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1E15C" w14:textId="77777777" w:rsidR="00EB2601" w:rsidRDefault="00BD0DF0" w:rsidP="6A397DB8">
      <w:pPr>
        <w:rPr>
          <w:rFonts w:ascii="Times New Roman" w:hAnsi="Times New Roman" w:cs="Times New Roman"/>
          <w:b/>
          <w:bCs/>
          <w:noProof/>
          <w:lang w:eastAsia="fr-FR"/>
        </w:rPr>
      </w:pPr>
      <w:r>
        <w:rPr>
          <w:noProof/>
        </w:rPr>
        <w:pict w14:anchorId="52F55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2056" type="#_x0000_t75" alt="" style="position:absolute;left:0;text-align:left;margin-left:329.6pt;margin-top:6.75pt;width:143.8pt;height:39.75pt;z-index:251667462;visibility:visible;mso-wrap-edited:f;mso-width-percent:0;mso-height-percent:0;mso-width-percent:0;mso-height-percent:0;mso-width-relative:margin;mso-height-relative:margin" wrapcoords="-112 0 -112 21192 21600 21192 21600 0 -112 0">
            <v:imagedata r:id="rId12" o:title=""/>
            <w10:wrap type="through"/>
          </v:shape>
        </w:pict>
      </w:r>
      <w:r>
        <w:rPr>
          <w:noProof/>
        </w:rPr>
        <w:pict w14:anchorId="67D22527">
          <v:shape id="Picture 7" o:spid="_x0000_s2055" type="#_x0000_t75" alt="" style="position:absolute;left:0;text-align:left;margin-left:-30.55pt;margin-top:3pt;width:121.1pt;height:60.7pt;z-index:251665414;visibility:visible;mso-wrap-edited:f;mso-width-percent:0;mso-height-percent:0;mso-width-percent:0;mso-height-percent:0;mso-width-relative:margin;mso-height-relative:margin" wrapcoords="5098 267 4159 800 3488 2400 3622 4533 0 8000 0 14400 21466 14400 21600 533 20795 267 9123 267 5098 267">
            <v:imagedata r:id="rId13" o:title=""/>
            <w10:wrap type="through"/>
          </v:shape>
        </w:pict>
      </w:r>
      <w:r>
        <w:rPr>
          <w:noProof/>
        </w:rPr>
        <w:pict w14:anchorId="1DEF1E8E">
          <v:shape id="Image 7" o:spid="_x0000_s2054" type="#_x0000_t75" alt="" style="position:absolute;left:0;text-align:left;margin-left:172.15pt;margin-top:0;width:107.25pt;height:103.6pt;z-index:251668486;visibility:visible;mso-wrap-edited:f;mso-width-percent:0;mso-height-percent:0;mso-position-horizontal-relative:margin;mso-width-percent:0;mso-height-percent:0;mso-width-relative:margin;mso-height-relative:margin" wrapcoords="9667 0 7703 157 4683 1722 4078 5635 4531 7513 6042 10330 1359 12835 1359 14870 -151 15339 -151 18000 453 21443 9818 21443 19787 21443 20392 21443 20845 20661 20543 20035 21600 18783 21600 15339 20543 14870 20543 12835 11933 12522 16162 10487 16313 10017 17824 7513 18126 5009 17824 1722 14652 157 12537 0 9667 0">
            <v:imagedata r:id="rId14" o:title=""/>
            <w10:wrap type="through" anchorx="margin"/>
          </v:shape>
        </w:pict>
      </w:r>
    </w:p>
    <w:p w14:paraId="5C9F61E8" w14:textId="77777777" w:rsidR="6A397DB8" w:rsidRDefault="6A397DB8" w:rsidP="6A397DB8">
      <w:pPr>
        <w:rPr>
          <w:b/>
          <w:bCs/>
          <w:noProof/>
          <w:lang w:eastAsia="fr-FR"/>
        </w:rPr>
      </w:pPr>
    </w:p>
    <w:p w14:paraId="697BF92A" w14:textId="77777777" w:rsidR="00EB2601" w:rsidRDefault="00EB2601">
      <w:pPr>
        <w:rPr>
          <w:rFonts w:ascii="Times New Roman" w:hAnsi="Times New Roman" w:cs="Times New Roman"/>
          <w:b/>
          <w:noProof/>
          <w:lang w:eastAsia="fr-FR"/>
        </w:rPr>
      </w:pPr>
    </w:p>
    <w:p w14:paraId="5412B213" w14:textId="77777777" w:rsidR="00EB2601" w:rsidRDefault="00EB2601">
      <w:pPr>
        <w:rPr>
          <w:rFonts w:ascii="Times New Roman" w:hAnsi="Times New Roman" w:cs="Times New Roman"/>
          <w:b/>
        </w:rPr>
      </w:pPr>
    </w:p>
    <w:p w14:paraId="3908DD40" w14:textId="61DCA9BF" w:rsidR="00EB2601" w:rsidRDefault="00BD0DF0" w:rsidP="6A397DB8">
      <w:pPr>
        <w:rPr>
          <w:rFonts w:ascii="Times New Roman" w:hAnsi="Times New Roman" w:cs="Times New Roman"/>
          <w:b/>
          <w:bCs/>
          <w:noProof/>
          <w:lang w:eastAsia="fr-FR"/>
        </w:rPr>
      </w:pPr>
      <w:r>
        <w:rPr>
          <w:noProof/>
        </w:rPr>
        <w:pict w14:anchorId="47DEFFBE">
          <v:shape id="Rectangle : avec coins arrondis en diagonale 73" o:spid="_x0000_s2053" style="position:absolute;left:0;text-align:left;margin-left:-24.35pt;margin-top:57.85pt;width:498.75pt;height:230.2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2924175" o:spt="100" adj="-11796480,,5400" path="m487372,l6334125,r,l6334125,2436803v,269168,-218204,487372,-487372,487372l,2924175r,l,487372c,218204,218204,,487372,xe" fillcolor="#deebf7" strokecolor="#00b0f0" strokeweight="1pt">
            <v:stroke joinstyle="miter"/>
            <v:formulas/>
            <v:path arrowok="t" o:connecttype="custom" o:connectlocs="487372,0;6334125,0;6334125,0;6334125,2436803;5846753,2924175;0,2924175;0,2924175;0,487372;487372,0" o:connectangles="0,0,0,0,0,0,0,0,0" textboxrect="0,0,6334125,2924175"/>
            <v:textbox>
              <w:txbxContent>
                <w:p w14:paraId="59C284B4" w14:textId="77777777" w:rsidR="006820EA" w:rsidRPr="00B97E19" w:rsidRDefault="006820EA" w:rsidP="00122EED">
                  <w:pPr>
                    <w:spacing w:line="276" w:lineRule="auto"/>
                    <w:jc w:val="center"/>
                    <w:rPr>
                      <w:rFonts w:cs="Times New Roman"/>
                      <w:b/>
                      <w:color w:val="0070C0"/>
                      <w:sz w:val="50"/>
                      <w:szCs w:val="50"/>
                    </w:rPr>
                  </w:pPr>
                  <w:r w:rsidRPr="00B97E19">
                    <w:rPr>
                      <w:rFonts w:cs="Times New Roman"/>
                      <w:b/>
                      <w:color w:val="0070C0"/>
                      <w:sz w:val="50"/>
                      <w:szCs w:val="50"/>
                    </w:rPr>
                    <w:t>Evaluation finale du projet « Appui aux initiatives transfrontalières de dialogue communautaire avec les acteurs du secteur de la sécurité et de la justice pour la consolidation de la paix au Mali et au Niger »</w:t>
                  </w:r>
                </w:p>
              </w:txbxContent>
            </v:textbox>
          </v:shape>
        </w:pict>
      </w:r>
      <w:r>
        <w:rPr>
          <w:noProof/>
        </w:rPr>
        <w:pict w14:anchorId="4082BA8F">
          <v:rect id="Rectangle 68" o:spid="_x0000_s2052" style="position:absolute;left:0;text-align:left;margin-left:71.5pt;margin-top:387.3pt;width:309pt;height:72.8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" fillcolor="window" stroked="f" strokeweight="1pt">
            <v:textbox>
              <w:txbxContent>
                <w:p w14:paraId="73C7CBB2" w14:textId="0C39FC2E" w:rsidR="006820EA" w:rsidRDefault="006820EA" w:rsidP="001B33A7">
                  <w:pPr>
                    <w:spacing w:after="0" w:line="240" w:lineRule="auto"/>
                    <w:jc w:val="center"/>
                    <w:rPr>
                      <w:rFonts w:ascii="Times New Roman" w:hAnsi="Times New Roman" w:cs="Times New Roman"/>
                      <w:b/>
                      <w:color w:val="0070C0"/>
                      <w:sz w:val="44"/>
                    </w:rPr>
                  </w:pPr>
                  <w:r>
                    <w:rPr>
                      <w:rFonts w:ascii="Times New Roman" w:hAnsi="Times New Roman" w:cs="Times New Roman"/>
                      <w:b/>
                      <w:color w:val="0070C0"/>
                      <w:sz w:val="44"/>
                    </w:rPr>
                    <w:t>Rapport final</w:t>
                  </w:r>
                </w:p>
                <w:p w14:paraId="52DE6C17" w14:textId="5475850D" w:rsidR="006820EA" w:rsidRPr="001B33A7" w:rsidRDefault="006820EA" w:rsidP="001B33A7">
                  <w:pPr>
                    <w:spacing w:after="0" w:line="240" w:lineRule="auto"/>
                    <w:jc w:val="center"/>
                    <w:rPr>
                      <w:rFonts w:ascii="Times New Roman" w:hAnsi="Times New Roman" w:cs="Times New Roman"/>
                      <w:b/>
                      <w:color w:val="FF0000"/>
                      <w:sz w:val="44"/>
                    </w:rPr>
                  </w:pPr>
                  <w:r>
                    <w:rPr>
                      <w:rFonts w:ascii="Times New Roman" w:hAnsi="Times New Roman" w:cs="Times New Roman"/>
                      <w:b/>
                      <w:color w:val="FF0000"/>
                      <w:sz w:val="44"/>
                    </w:rPr>
                    <w:t>Janvier</w:t>
                  </w:r>
                  <w:r w:rsidRPr="001B33A7">
                    <w:rPr>
                      <w:rFonts w:ascii="Times New Roman" w:hAnsi="Times New Roman" w:cs="Times New Roman"/>
                      <w:b/>
                      <w:color w:val="FF0000"/>
                      <w:sz w:val="44"/>
                    </w:rPr>
                    <w:t xml:space="preserve"> 202</w:t>
                  </w:r>
                  <w:r>
                    <w:rPr>
                      <w:rFonts w:ascii="Times New Roman" w:hAnsi="Times New Roman" w:cs="Times New Roman"/>
                      <w:b/>
                      <w:color w:val="FF0000"/>
                      <w:sz w:val="44"/>
                    </w:rPr>
                    <w:t>2</w:t>
                  </w:r>
                </w:p>
              </w:txbxContent>
            </v:textbox>
          </v:rect>
        </w:pict>
      </w:r>
      <w:r>
        <w:rPr>
          <w:noProof/>
        </w:rPr>
        <w:pict w14:anchorId="587C7CC3">
          <v:rect id="Rectangle 67" o:spid="_x0000_s2051" style="position:absolute;left:0;text-align:left;margin-left:12.4pt;margin-top:310.6pt;width:450.75pt;height:60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" fillcolor="window" stroked="f" strokeweight="1pt">
            <v:textbox>
              <w:txbxContent>
                <w:tbl>
                  <w:tblPr>
                    <w:tblW w:w="4965" w:type="pct"/>
                    <w:tblLook w:val="04A0" w:firstRow="1" w:lastRow="0" w:firstColumn="1" w:lastColumn="0" w:noHBand="0" w:noVBand="1"/>
                  </w:tblPr>
                  <w:tblGrid>
                    <w:gridCol w:w="3606"/>
                    <w:gridCol w:w="295"/>
                    <w:gridCol w:w="4780"/>
                  </w:tblGrid>
                  <w:tr w:rsidR="006820EA" w:rsidRPr="00A40F72" w14:paraId="01D550FD" w14:textId="77777777" w:rsidTr="00B547A7">
                    <w:tc>
                      <w:tcPr>
                        <w:tcW w:w="2077" w:type="pct"/>
                        <w:vAlign w:val="center"/>
                        <w:hideMark/>
                      </w:tcPr>
                      <w:p w14:paraId="37952198"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Date de couverture de l’évaluation </w:t>
                        </w:r>
                      </w:p>
                    </w:tc>
                    <w:tc>
                      <w:tcPr>
                        <w:tcW w:w="170" w:type="pct"/>
                        <w:vAlign w:val="center"/>
                        <w:hideMark/>
                      </w:tcPr>
                      <w:p w14:paraId="6F368B5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1A8BD775"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Mai – Décembre 2021</w:t>
                        </w:r>
                      </w:p>
                    </w:tc>
                  </w:tr>
                  <w:tr w:rsidR="006820EA" w:rsidRPr="00A40F72" w14:paraId="4B8E7965" w14:textId="77777777" w:rsidTr="00B547A7">
                    <w:tc>
                      <w:tcPr>
                        <w:tcW w:w="2077" w:type="pct"/>
                        <w:vAlign w:val="center"/>
                        <w:hideMark/>
                      </w:tcPr>
                      <w:p w14:paraId="6F90B73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Régions concernées </w:t>
                        </w:r>
                      </w:p>
                    </w:tc>
                    <w:tc>
                      <w:tcPr>
                        <w:tcW w:w="170" w:type="pct"/>
                        <w:vAlign w:val="center"/>
                        <w:hideMark/>
                      </w:tcPr>
                      <w:p w14:paraId="1DD10FB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78540D48"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Gao et Ménaka (Mali) et Tillabéry (Niger)</w:t>
                        </w:r>
                      </w:p>
                    </w:tc>
                  </w:tr>
                  <w:tr w:rsidR="006820EA" w:rsidRPr="00A40F72" w14:paraId="75104D22" w14:textId="77777777" w:rsidTr="00B547A7">
                    <w:tc>
                      <w:tcPr>
                        <w:tcW w:w="2077" w:type="pct"/>
                        <w:vAlign w:val="center"/>
                        <w:hideMark/>
                      </w:tcPr>
                      <w:p w14:paraId="33D3E372"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Consultant </w:t>
                        </w:r>
                      </w:p>
                    </w:tc>
                    <w:tc>
                      <w:tcPr>
                        <w:tcW w:w="170" w:type="pct"/>
                        <w:vAlign w:val="center"/>
                        <w:hideMark/>
                      </w:tcPr>
                      <w:p w14:paraId="62C95864"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6150D535"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Cabinet AMD International</w:t>
                        </w:r>
                      </w:p>
                    </w:tc>
                  </w:tr>
                </w:tbl>
                <w:p w14:paraId="0D6C0D5C" w14:textId="77777777" w:rsidR="006820EA" w:rsidRPr="00731B4B" w:rsidRDefault="006820EA" w:rsidP="00B547A7">
                  <w:pPr>
                    <w:jc w:val="center"/>
                  </w:pPr>
                </w:p>
              </w:txbxContent>
            </v:textbox>
          </v:rect>
        </w:pict>
      </w:r>
      <w:r>
        <w:rPr>
          <w:noProof/>
        </w:rPr>
        <w:pict w14:anchorId="3D706AA3">
          <v:shape id="Image 8" o:spid="_x0000_s2050" type="#_x0000_t75" alt="" style="position:absolute;left:0;text-align:left;margin-left:161.4pt;margin-top:516.6pt;width:133.35pt;height:76.1pt;z-index:251663366;visibility:visible;mso-wrap-edited:f;mso-width-percent:0;mso-height-percent:0;mso-width-percent:0;mso-height-percent:0;mso-width-relative:margin;mso-height-relative:margin" wrapcoords="-121 0 -121 21386 21600 21386 21600 0 -121 0">
            <v:imagedata r:id="rId15" o:title="LOGO AMD International"/>
            <w10:wrap type="through"/>
          </v:shape>
        </w:pict>
      </w:r>
    </w:p>
    <w:p w14:paraId="19BC24F2" w14:textId="43185ED4" w:rsidR="6A397DB8" w:rsidRDefault="6A397DB8" w:rsidP="6A397DB8">
      <w:pPr>
        <w:rPr>
          <w:rFonts w:eastAsia="Calibri"/>
          <w:b/>
          <w:bCs/>
          <w:noProof/>
          <w:lang w:eastAsia="fr-FR"/>
        </w:rPr>
      </w:pPr>
    </w:p>
    <w:p w14:paraId="672A6659" w14:textId="6DF825CD" w:rsidR="00EB2601" w:rsidRDefault="00EB2601">
      <w:pPr>
        <w:rPr>
          <w:rFonts w:ascii="Times New Roman" w:hAnsi="Times New Roman" w:cs="Times New Roman"/>
          <w:b/>
          <w:noProof/>
          <w:lang w:eastAsia="fr-FR"/>
        </w:rPr>
      </w:pPr>
    </w:p>
    <w:p w14:paraId="0A37501D" w14:textId="42286AB7" w:rsidR="00EB2601" w:rsidRDefault="00EB2601">
      <w:pPr>
        <w:rPr>
          <w:rFonts w:ascii="Times New Roman" w:hAnsi="Times New Roman" w:cs="Times New Roman"/>
          <w:b/>
        </w:rPr>
      </w:pPr>
    </w:p>
    <w:p w14:paraId="2679DADA" w14:textId="344576D8" w:rsidR="00B547A7" w:rsidRDefault="00122EED">
      <w:pPr>
        <w:rPr>
          <w:rFonts w:ascii="Times New Roman" w:hAnsi="Times New Roman" w:cs="Times New Roman"/>
          <w:b/>
          <w:bCs/>
        </w:rPr>
      </w:pPr>
      <w:r>
        <w:rPr>
          <w:noProof/>
          <w:lang w:eastAsia="fr-FR"/>
        </w:rPr>
        <w:drawing>
          <wp:anchor distT="0" distB="0" distL="114300" distR="114300" simplePos="0" relativeHeight="251658241" behindDoc="0" locked="0" layoutInCell="1" allowOverlap="1" wp14:anchorId="3D94FEE5" wp14:editId="67ECFE07">
            <wp:simplePos x="0" y="0"/>
            <wp:positionH relativeFrom="column">
              <wp:posOffset>2049780</wp:posOffset>
            </wp:positionH>
            <wp:positionV relativeFrom="paragraph">
              <wp:posOffset>6560820</wp:posOffset>
            </wp:positionV>
            <wp:extent cx="1693545" cy="966470"/>
            <wp:effectExtent l="0" t="0" r="1905" b="5080"/>
            <wp:wrapThrough wrapText="bothSides">
              <wp:wrapPolygon edited="0">
                <wp:start x="0" y="0"/>
                <wp:lineTo x="0" y="21288"/>
                <wp:lineTo x="21381" y="21288"/>
                <wp:lineTo x="21381" y="0"/>
                <wp:lineTo x="0" y="0"/>
              </wp:wrapPolygon>
            </wp:wrapThrough>
            <wp:docPr id="8" name="Image 8" descr="C:\Users\user\Desktop\LOGO AMD International.jpg"/>
            <wp:cNvGraphicFramePr/>
            <a:graphic xmlns:a="http://schemas.openxmlformats.org/drawingml/2006/main">
              <a:graphicData uri="http://schemas.openxmlformats.org/drawingml/2006/picture">
                <pic:pic xmlns:pic="http://schemas.openxmlformats.org/drawingml/2006/picture">
                  <pic:nvPicPr>
                    <pic:cNvPr id="8" name="Image 8" descr="C:\Users\user\Desktop\LOGO AMD International.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EE" w:rsidRPr="6D7F0E22">
        <w:rPr>
          <w:rFonts w:ascii="Times New Roman" w:hAnsi="Times New Roman" w:cs="Times New Roman"/>
          <w:b/>
          <w:bCs/>
        </w:rPr>
        <w:br w:type="page"/>
      </w:r>
    </w:p>
    <w:p w14:paraId="0ED006B1" w14:textId="2D837059" w:rsidR="00122EED" w:rsidRDefault="00122EED">
      <w:pPr>
        <w:rPr>
          <w:rFonts w:ascii="Times New Roman" w:hAnsi="Times New Roman" w:cs="Times New Roman"/>
          <w:b/>
          <w:bCs/>
        </w:rPr>
        <w:sectPr w:rsidR="00122EED" w:rsidSect="007277D8">
          <w:headerReference w:type="default" r:id="rId17"/>
          <w:footerReference w:type="default" r:id="rId18"/>
          <w:headerReference w:type="first" r:id="rId19"/>
          <w:footerReference w:type="first" r:id="rId20"/>
          <w:pgSz w:w="11906" w:h="16838"/>
          <w:pgMar w:top="1560" w:right="1417" w:bottom="1417" w:left="1417" w:header="708" w:footer="636" w:gutter="0"/>
          <w:pgNumType w:start="1"/>
          <w:cols w:space="708"/>
          <w:docGrid w:linePitch="360"/>
        </w:sectPr>
      </w:pPr>
    </w:p>
    <w:p w14:paraId="44354004" w14:textId="61DF5C83" w:rsidR="004260D0" w:rsidRPr="009B0172" w:rsidRDefault="009B0172" w:rsidP="00F564A4">
      <w:pPr>
        <w:pStyle w:val="Titre1"/>
      </w:pPr>
      <w:bookmarkStart w:id="0" w:name="_Toc39563186"/>
      <w:bookmarkStart w:id="1" w:name="_Toc95451838"/>
      <w:r w:rsidRPr="009B0172">
        <w:lastRenderedPageBreak/>
        <w:t>TABLES DES MATIERES</w:t>
      </w:r>
      <w:bookmarkEnd w:id="0"/>
      <w:bookmarkEnd w:id="1"/>
    </w:p>
    <w:p w14:paraId="355B75AF" w14:textId="77777777" w:rsidR="00040560" w:rsidRDefault="00040560" w:rsidP="00F62689">
      <w:pPr>
        <w:pStyle w:val="TM1"/>
      </w:pPr>
    </w:p>
    <w:p w14:paraId="6B9D3EAC" w14:textId="0FCD7F88" w:rsidR="00042B49" w:rsidRDefault="005D4D2C">
      <w:pPr>
        <w:pStyle w:val="TM1"/>
        <w:rPr>
          <w:rFonts w:asciiTheme="minorHAnsi" w:eastAsiaTheme="minorEastAsia" w:hAnsiTheme="minorHAnsi" w:cstheme="minorBidi"/>
          <w:b w:val="0"/>
          <w:bCs w:val="0"/>
          <w:noProof/>
          <w:sz w:val="22"/>
          <w:szCs w:val="22"/>
          <w:lang w:val="en-US"/>
        </w:rPr>
      </w:pPr>
      <w:r w:rsidRPr="00E76F07">
        <w:rPr>
          <w:rFonts w:cs="Times New Roman"/>
        </w:rPr>
        <w:fldChar w:fldCharType="begin"/>
      </w:r>
      <w:r w:rsidRPr="00E76F07">
        <w:rPr>
          <w:rFonts w:cs="Times New Roman"/>
        </w:rPr>
        <w:instrText xml:space="preserve"> TOC \o "1-2" \h \z \u </w:instrText>
      </w:r>
      <w:r w:rsidRPr="00E76F07">
        <w:rPr>
          <w:rFonts w:cs="Times New Roman"/>
        </w:rPr>
        <w:fldChar w:fldCharType="separate"/>
      </w:r>
      <w:hyperlink w:anchor="_Toc95451838" w:history="1">
        <w:r w:rsidR="00042B49" w:rsidRPr="009D0700">
          <w:rPr>
            <w:rStyle w:val="Lienhypertexte"/>
            <w:noProof/>
          </w:rPr>
          <w:t>TABLES DES MATIERES</w:t>
        </w:r>
        <w:r w:rsidR="00042B49">
          <w:rPr>
            <w:noProof/>
            <w:webHidden/>
          </w:rPr>
          <w:tab/>
        </w:r>
        <w:r w:rsidR="00042B49">
          <w:rPr>
            <w:noProof/>
            <w:webHidden/>
          </w:rPr>
          <w:fldChar w:fldCharType="begin"/>
        </w:r>
        <w:r w:rsidR="00042B49">
          <w:rPr>
            <w:noProof/>
            <w:webHidden/>
          </w:rPr>
          <w:instrText xml:space="preserve"> PAGEREF _Toc95451838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0A7A47D2" w14:textId="4AE4D07C" w:rsidR="00042B49" w:rsidRDefault="00BD0DF0">
      <w:pPr>
        <w:pStyle w:val="TM1"/>
        <w:rPr>
          <w:rFonts w:asciiTheme="minorHAnsi" w:eastAsiaTheme="minorEastAsia" w:hAnsiTheme="minorHAnsi" w:cstheme="minorBidi"/>
          <w:b w:val="0"/>
          <w:bCs w:val="0"/>
          <w:noProof/>
          <w:sz w:val="22"/>
          <w:szCs w:val="22"/>
          <w:lang w:val="en-US"/>
        </w:rPr>
      </w:pPr>
      <w:hyperlink w:anchor="_Toc95451839" w:history="1">
        <w:r w:rsidR="00042B49" w:rsidRPr="009D0700">
          <w:rPr>
            <w:rStyle w:val="Lienhypertexte"/>
            <w:noProof/>
          </w:rPr>
          <w:t>REMERCIEMENTS</w:t>
        </w:r>
        <w:r w:rsidR="00042B49">
          <w:rPr>
            <w:noProof/>
            <w:webHidden/>
          </w:rPr>
          <w:tab/>
        </w:r>
        <w:r w:rsidR="00042B49">
          <w:rPr>
            <w:noProof/>
            <w:webHidden/>
          </w:rPr>
          <w:fldChar w:fldCharType="begin"/>
        </w:r>
        <w:r w:rsidR="00042B49">
          <w:rPr>
            <w:noProof/>
            <w:webHidden/>
          </w:rPr>
          <w:instrText xml:space="preserve"> PAGEREF _Toc95451839 \h </w:instrText>
        </w:r>
        <w:r w:rsidR="00042B49">
          <w:rPr>
            <w:noProof/>
            <w:webHidden/>
          </w:rPr>
        </w:r>
        <w:r w:rsidR="00042B49">
          <w:rPr>
            <w:noProof/>
            <w:webHidden/>
          </w:rPr>
          <w:fldChar w:fldCharType="separate"/>
        </w:r>
        <w:r w:rsidR="00042B49">
          <w:rPr>
            <w:noProof/>
            <w:webHidden/>
          </w:rPr>
          <w:t>iii</w:t>
        </w:r>
        <w:r w:rsidR="00042B49">
          <w:rPr>
            <w:noProof/>
            <w:webHidden/>
          </w:rPr>
          <w:fldChar w:fldCharType="end"/>
        </w:r>
      </w:hyperlink>
    </w:p>
    <w:p w14:paraId="1021F62B" w14:textId="34BFA714" w:rsidR="00042B49" w:rsidRDefault="00BD0DF0">
      <w:pPr>
        <w:pStyle w:val="TM1"/>
        <w:rPr>
          <w:rFonts w:asciiTheme="minorHAnsi" w:eastAsiaTheme="minorEastAsia" w:hAnsiTheme="minorHAnsi" w:cstheme="minorBidi"/>
          <w:b w:val="0"/>
          <w:bCs w:val="0"/>
          <w:noProof/>
          <w:sz w:val="22"/>
          <w:szCs w:val="22"/>
          <w:lang w:val="en-US"/>
        </w:rPr>
      </w:pPr>
      <w:hyperlink w:anchor="_Toc95451840" w:history="1">
        <w:r w:rsidR="00042B49" w:rsidRPr="009D0700">
          <w:rPr>
            <w:rStyle w:val="Lienhypertexte"/>
            <w:noProof/>
          </w:rPr>
          <w:t>SIGLES ET ABREVIATIONS</w:t>
        </w:r>
        <w:r w:rsidR="00042B49">
          <w:rPr>
            <w:noProof/>
            <w:webHidden/>
          </w:rPr>
          <w:tab/>
        </w:r>
        <w:r w:rsidR="00042B49">
          <w:rPr>
            <w:noProof/>
            <w:webHidden/>
          </w:rPr>
          <w:fldChar w:fldCharType="begin"/>
        </w:r>
        <w:r w:rsidR="00042B49">
          <w:rPr>
            <w:noProof/>
            <w:webHidden/>
          </w:rPr>
          <w:instrText xml:space="preserve"> PAGEREF _Toc95451840 \h </w:instrText>
        </w:r>
        <w:r w:rsidR="00042B49">
          <w:rPr>
            <w:noProof/>
            <w:webHidden/>
          </w:rPr>
        </w:r>
        <w:r w:rsidR="00042B49">
          <w:rPr>
            <w:noProof/>
            <w:webHidden/>
          </w:rPr>
          <w:fldChar w:fldCharType="separate"/>
        </w:r>
        <w:r w:rsidR="00042B49">
          <w:rPr>
            <w:noProof/>
            <w:webHidden/>
          </w:rPr>
          <w:t>iv</w:t>
        </w:r>
        <w:r w:rsidR="00042B49">
          <w:rPr>
            <w:noProof/>
            <w:webHidden/>
          </w:rPr>
          <w:fldChar w:fldCharType="end"/>
        </w:r>
      </w:hyperlink>
    </w:p>
    <w:p w14:paraId="01ED8FEA" w14:textId="472972AE" w:rsidR="00042B49" w:rsidRDefault="00BD0DF0">
      <w:pPr>
        <w:pStyle w:val="TM1"/>
        <w:rPr>
          <w:rFonts w:asciiTheme="minorHAnsi" w:eastAsiaTheme="minorEastAsia" w:hAnsiTheme="minorHAnsi" w:cstheme="minorBidi"/>
          <w:b w:val="0"/>
          <w:bCs w:val="0"/>
          <w:noProof/>
          <w:sz w:val="22"/>
          <w:szCs w:val="22"/>
          <w:lang w:val="en-US"/>
        </w:rPr>
      </w:pPr>
      <w:hyperlink w:anchor="_Toc95451841" w:history="1">
        <w:r w:rsidR="00042B49" w:rsidRPr="009D0700">
          <w:rPr>
            <w:rStyle w:val="Lienhypertexte"/>
            <w:noProof/>
          </w:rPr>
          <w:t>LISTE DES TABLEAUX ET SCHEMA</w:t>
        </w:r>
        <w:r w:rsidR="00042B49">
          <w:rPr>
            <w:noProof/>
            <w:webHidden/>
          </w:rPr>
          <w:tab/>
        </w:r>
        <w:r w:rsidR="00042B49">
          <w:rPr>
            <w:noProof/>
            <w:webHidden/>
          </w:rPr>
          <w:fldChar w:fldCharType="begin"/>
        </w:r>
        <w:r w:rsidR="00042B49">
          <w:rPr>
            <w:noProof/>
            <w:webHidden/>
          </w:rPr>
          <w:instrText xml:space="preserve"> PAGEREF _Toc95451841 \h </w:instrText>
        </w:r>
        <w:r w:rsidR="00042B49">
          <w:rPr>
            <w:noProof/>
            <w:webHidden/>
          </w:rPr>
        </w:r>
        <w:r w:rsidR="00042B49">
          <w:rPr>
            <w:noProof/>
            <w:webHidden/>
          </w:rPr>
          <w:fldChar w:fldCharType="separate"/>
        </w:r>
        <w:r w:rsidR="00042B49">
          <w:rPr>
            <w:noProof/>
            <w:webHidden/>
          </w:rPr>
          <w:t>vi</w:t>
        </w:r>
        <w:r w:rsidR="00042B49">
          <w:rPr>
            <w:noProof/>
            <w:webHidden/>
          </w:rPr>
          <w:fldChar w:fldCharType="end"/>
        </w:r>
      </w:hyperlink>
    </w:p>
    <w:p w14:paraId="11B6B1A4" w14:textId="79ED8F18" w:rsidR="00042B49" w:rsidRDefault="00BD0DF0">
      <w:pPr>
        <w:pStyle w:val="TM1"/>
        <w:rPr>
          <w:rFonts w:asciiTheme="minorHAnsi" w:eastAsiaTheme="minorEastAsia" w:hAnsiTheme="minorHAnsi" w:cstheme="minorBidi"/>
          <w:b w:val="0"/>
          <w:bCs w:val="0"/>
          <w:noProof/>
          <w:sz w:val="22"/>
          <w:szCs w:val="22"/>
          <w:lang w:val="en-US"/>
        </w:rPr>
      </w:pPr>
      <w:hyperlink w:anchor="_Toc95451842" w:history="1">
        <w:r w:rsidR="00042B49" w:rsidRPr="009D0700">
          <w:rPr>
            <w:rStyle w:val="Lienhypertexte"/>
            <w:noProof/>
          </w:rPr>
          <w:t>RESUME EXECUTIF</w:t>
        </w:r>
        <w:r w:rsidR="00042B49">
          <w:rPr>
            <w:noProof/>
            <w:webHidden/>
          </w:rPr>
          <w:tab/>
        </w:r>
        <w:r w:rsidR="00042B49">
          <w:rPr>
            <w:noProof/>
            <w:webHidden/>
          </w:rPr>
          <w:fldChar w:fldCharType="begin"/>
        </w:r>
        <w:r w:rsidR="00042B49">
          <w:rPr>
            <w:noProof/>
            <w:webHidden/>
          </w:rPr>
          <w:instrText xml:space="preserve"> PAGEREF _Toc95451842 \h </w:instrText>
        </w:r>
        <w:r w:rsidR="00042B49">
          <w:rPr>
            <w:noProof/>
            <w:webHidden/>
          </w:rPr>
        </w:r>
        <w:r w:rsidR="00042B49">
          <w:rPr>
            <w:noProof/>
            <w:webHidden/>
          </w:rPr>
          <w:fldChar w:fldCharType="separate"/>
        </w:r>
        <w:r w:rsidR="00042B49">
          <w:rPr>
            <w:noProof/>
            <w:webHidden/>
          </w:rPr>
          <w:t>vii</w:t>
        </w:r>
        <w:r w:rsidR="00042B49">
          <w:rPr>
            <w:noProof/>
            <w:webHidden/>
          </w:rPr>
          <w:fldChar w:fldCharType="end"/>
        </w:r>
      </w:hyperlink>
    </w:p>
    <w:p w14:paraId="28C9ABCF" w14:textId="4B3DC32C"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43" w:history="1">
        <w:r w:rsidR="00042B49" w:rsidRPr="009D0700">
          <w:rPr>
            <w:rStyle w:val="Lienhypertexte"/>
            <w:noProof/>
          </w:rPr>
          <w:t>1.</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DESCRIPTIF DE L’OBJET DE L’EVALUATION ET DE SON CONTEXTE</w:t>
        </w:r>
        <w:r w:rsidR="00042B49">
          <w:rPr>
            <w:noProof/>
            <w:webHidden/>
          </w:rPr>
          <w:tab/>
        </w:r>
        <w:r w:rsidR="00042B49">
          <w:rPr>
            <w:noProof/>
            <w:webHidden/>
          </w:rPr>
          <w:fldChar w:fldCharType="begin"/>
        </w:r>
        <w:r w:rsidR="00042B49">
          <w:rPr>
            <w:noProof/>
            <w:webHidden/>
          </w:rPr>
          <w:instrText xml:space="preserve"> PAGEREF _Toc95451843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5BD0FCC3" w14:textId="0662F11B" w:rsidR="00042B49" w:rsidRDefault="00BD0DF0">
      <w:pPr>
        <w:pStyle w:val="TM2"/>
        <w:rPr>
          <w:rFonts w:asciiTheme="minorHAnsi" w:eastAsiaTheme="minorEastAsia" w:hAnsiTheme="minorHAnsi" w:cstheme="minorBidi"/>
          <w:bCs w:val="0"/>
          <w:iCs w:val="0"/>
          <w:noProof/>
          <w:szCs w:val="22"/>
          <w:lang w:val="en-US"/>
        </w:rPr>
      </w:pPr>
      <w:hyperlink w:anchor="_Toc95451844" w:history="1">
        <w:r w:rsidR="00042B49" w:rsidRPr="009D0700">
          <w:rPr>
            <w:rStyle w:val="Lienhypertexte"/>
            <w:noProof/>
          </w:rPr>
          <w:t>1.1.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Préambule</w:t>
        </w:r>
        <w:r w:rsidR="00042B49">
          <w:rPr>
            <w:noProof/>
            <w:webHidden/>
          </w:rPr>
          <w:tab/>
        </w:r>
        <w:r w:rsidR="00042B49">
          <w:rPr>
            <w:noProof/>
            <w:webHidden/>
          </w:rPr>
          <w:fldChar w:fldCharType="begin"/>
        </w:r>
        <w:r w:rsidR="00042B49">
          <w:rPr>
            <w:noProof/>
            <w:webHidden/>
          </w:rPr>
          <w:instrText xml:space="preserve"> PAGEREF _Toc95451844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7B7DB980" w14:textId="7E745F22" w:rsidR="00042B49" w:rsidRDefault="00BD0DF0">
      <w:pPr>
        <w:pStyle w:val="TM2"/>
        <w:rPr>
          <w:rFonts w:asciiTheme="minorHAnsi" w:eastAsiaTheme="minorEastAsia" w:hAnsiTheme="minorHAnsi" w:cstheme="minorBidi"/>
          <w:bCs w:val="0"/>
          <w:iCs w:val="0"/>
          <w:noProof/>
          <w:szCs w:val="22"/>
          <w:lang w:val="en-US"/>
        </w:rPr>
      </w:pPr>
      <w:hyperlink w:anchor="_Toc95451845" w:history="1">
        <w:r w:rsidR="00042B49" w:rsidRPr="009D0700">
          <w:rPr>
            <w:rStyle w:val="Lienhypertexte"/>
            <w:noProof/>
          </w:rPr>
          <w:t>1.2.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Historique et contexte du projet objet d’évaluation</w:t>
        </w:r>
        <w:r w:rsidR="00042B49">
          <w:rPr>
            <w:noProof/>
            <w:webHidden/>
          </w:rPr>
          <w:tab/>
        </w:r>
        <w:r w:rsidR="00042B49">
          <w:rPr>
            <w:noProof/>
            <w:webHidden/>
          </w:rPr>
          <w:fldChar w:fldCharType="begin"/>
        </w:r>
        <w:r w:rsidR="00042B49">
          <w:rPr>
            <w:noProof/>
            <w:webHidden/>
          </w:rPr>
          <w:instrText xml:space="preserve"> PAGEREF _Toc95451845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21425C96" w14:textId="66150F4A" w:rsidR="00042B49" w:rsidRDefault="00BD0DF0">
      <w:pPr>
        <w:pStyle w:val="TM2"/>
        <w:rPr>
          <w:rFonts w:asciiTheme="minorHAnsi" w:eastAsiaTheme="minorEastAsia" w:hAnsiTheme="minorHAnsi" w:cstheme="minorBidi"/>
          <w:bCs w:val="0"/>
          <w:iCs w:val="0"/>
          <w:noProof/>
          <w:szCs w:val="22"/>
          <w:lang w:val="en-US"/>
        </w:rPr>
      </w:pPr>
      <w:hyperlink w:anchor="_Toc95451846" w:history="1">
        <w:r w:rsidR="00042B49" w:rsidRPr="009D0700">
          <w:rPr>
            <w:rStyle w:val="Lienhypertexte"/>
            <w:noProof/>
          </w:rPr>
          <w:t>1.3.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Descriptif du projet</w:t>
        </w:r>
        <w:r w:rsidR="00042B49">
          <w:rPr>
            <w:noProof/>
            <w:webHidden/>
          </w:rPr>
          <w:tab/>
        </w:r>
        <w:r w:rsidR="00042B49">
          <w:rPr>
            <w:noProof/>
            <w:webHidden/>
          </w:rPr>
          <w:fldChar w:fldCharType="begin"/>
        </w:r>
        <w:r w:rsidR="00042B49">
          <w:rPr>
            <w:noProof/>
            <w:webHidden/>
          </w:rPr>
          <w:instrText xml:space="preserve"> PAGEREF _Toc95451846 \h </w:instrText>
        </w:r>
        <w:r w:rsidR="00042B49">
          <w:rPr>
            <w:noProof/>
            <w:webHidden/>
          </w:rPr>
        </w:r>
        <w:r w:rsidR="00042B49">
          <w:rPr>
            <w:noProof/>
            <w:webHidden/>
          </w:rPr>
          <w:fldChar w:fldCharType="separate"/>
        </w:r>
        <w:r w:rsidR="00042B49">
          <w:rPr>
            <w:noProof/>
            <w:webHidden/>
          </w:rPr>
          <w:t>5</w:t>
        </w:r>
        <w:r w:rsidR="00042B49">
          <w:rPr>
            <w:noProof/>
            <w:webHidden/>
          </w:rPr>
          <w:fldChar w:fldCharType="end"/>
        </w:r>
      </w:hyperlink>
    </w:p>
    <w:p w14:paraId="09E6AE5A" w14:textId="2E7E6EC2" w:rsidR="00042B49" w:rsidRDefault="00BD0DF0">
      <w:pPr>
        <w:pStyle w:val="TM2"/>
        <w:rPr>
          <w:rFonts w:asciiTheme="minorHAnsi" w:eastAsiaTheme="minorEastAsia" w:hAnsiTheme="minorHAnsi" w:cstheme="minorBidi"/>
          <w:bCs w:val="0"/>
          <w:iCs w:val="0"/>
          <w:noProof/>
          <w:szCs w:val="22"/>
          <w:lang w:val="en-US"/>
        </w:rPr>
      </w:pPr>
      <w:hyperlink w:anchor="_Toc95451847" w:history="1">
        <w:r w:rsidR="00042B49" w:rsidRPr="009D0700">
          <w:rPr>
            <w:rStyle w:val="Lienhypertexte"/>
            <w:noProof/>
          </w:rPr>
          <w:t>1.4.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Théorie de changement et cadre de résultat du projet</w:t>
        </w:r>
        <w:r w:rsidR="00042B49">
          <w:rPr>
            <w:noProof/>
            <w:webHidden/>
          </w:rPr>
          <w:tab/>
        </w:r>
        <w:r w:rsidR="00042B49">
          <w:rPr>
            <w:noProof/>
            <w:webHidden/>
          </w:rPr>
          <w:fldChar w:fldCharType="begin"/>
        </w:r>
        <w:r w:rsidR="00042B49">
          <w:rPr>
            <w:noProof/>
            <w:webHidden/>
          </w:rPr>
          <w:instrText xml:space="preserve"> PAGEREF _Toc95451847 \h </w:instrText>
        </w:r>
        <w:r w:rsidR="00042B49">
          <w:rPr>
            <w:noProof/>
            <w:webHidden/>
          </w:rPr>
        </w:r>
        <w:r w:rsidR="00042B49">
          <w:rPr>
            <w:noProof/>
            <w:webHidden/>
          </w:rPr>
          <w:fldChar w:fldCharType="separate"/>
        </w:r>
        <w:r w:rsidR="00042B49">
          <w:rPr>
            <w:noProof/>
            <w:webHidden/>
          </w:rPr>
          <w:t>7</w:t>
        </w:r>
        <w:r w:rsidR="00042B49">
          <w:rPr>
            <w:noProof/>
            <w:webHidden/>
          </w:rPr>
          <w:fldChar w:fldCharType="end"/>
        </w:r>
      </w:hyperlink>
    </w:p>
    <w:p w14:paraId="71BB6D96" w14:textId="712C09CF" w:rsidR="00042B49" w:rsidRDefault="00BD0DF0">
      <w:pPr>
        <w:pStyle w:val="TM2"/>
        <w:rPr>
          <w:rFonts w:asciiTheme="minorHAnsi" w:eastAsiaTheme="minorEastAsia" w:hAnsiTheme="minorHAnsi" w:cstheme="minorBidi"/>
          <w:bCs w:val="0"/>
          <w:iCs w:val="0"/>
          <w:noProof/>
          <w:szCs w:val="22"/>
          <w:lang w:val="en-US"/>
        </w:rPr>
      </w:pPr>
      <w:hyperlink w:anchor="_Toc95451848" w:history="1">
        <w:r w:rsidR="00042B49" w:rsidRPr="009D0700">
          <w:rPr>
            <w:rStyle w:val="Lienhypertexte"/>
            <w:noProof/>
          </w:rPr>
          <w:t>1.5.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Analyse des parties prenantes</w:t>
        </w:r>
        <w:r w:rsidR="00042B49">
          <w:rPr>
            <w:noProof/>
            <w:webHidden/>
          </w:rPr>
          <w:tab/>
        </w:r>
        <w:r w:rsidR="00042B49">
          <w:rPr>
            <w:noProof/>
            <w:webHidden/>
          </w:rPr>
          <w:fldChar w:fldCharType="begin"/>
        </w:r>
        <w:r w:rsidR="00042B49">
          <w:rPr>
            <w:noProof/>
            <w:webHidden/>
          </w:rPr>
          <w:instrText xml:space="preserve"> PAGEREF _Toc95451848 \h </w:instrText>
        </w:r>
        <w:r w:rsidR="00042B49">
          <w:rPr>
            <w:noProof/>
            <w:webHidden/>
          </w:rPr>
        </w:r>
        <w:r w:rsidR="00042B49">
          <w:rPr>
            <w:noProof/>
            <w:webHidden/>
          </w:rPr>
          <w:fldChar w:fldCharType="separate"/>
        </w:r>
        <w:r w:rsidR="00042B49">
          <w:rPr>
            <w:noProof/>
            <w:webHidden/>
          </w:rPr>
          <w:t>8</w:t>
        </w:r>
        <w:r w:rsidR="00042B49">
          <w:rPr>
            <w:noProof/>
            <w:webHidden/>
          </w:rPr>
          <w:fldChar w:fldCharType="end"/>
        </w:r>
      </w:hyperlink>
    </w:p>
    <w:p w14:paraId="3E680ADA" w14:textId="1E465798"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49" w:history="1">
        <w:r w:rsidR="00042B49" w:rsidRPr="009D0700">
          <w:rPr>
            <w:rStyle w:val="Lienhypertexte"/>
            <w:noProof/>
          </w:rPr>
          <w:t>2.</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BUT ET OBJECTIFS DE L’EVALUATION</w:t>
        </w:r>
        <w:r w:rsidR="00042B49">
          <w:rPr>
            <w:noProof/>
            <w:webHidden/>
          </w:rPr>
          <w:tab/>
        </w:r>
        <w:r w:rsidR="00042B49">
          <w:rPr>
            <w:noProof/>
            <w:webHidden/>
          </w:rPr>
          <w:fldChar w:fldCharType="begin"/>
        </w:r>
        <w:r w:rsidR="00042B49">
          <w:rPr>
            <w:noProof/>
            <w:webHidden/>
          </w:rPr>
          <w:instrText xml:space="preserve"> PAGEREF _Toc95451849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387534AC" w14:textId="118B4B43" w:rsidR="00042B49" w:rsidRDefault="00BD0DF0">
      <w:pPr>
        <w:pStyle w:val="TM2"/>
        <w:rPr>
          <w:rFonts w:asciiTheme="minorHAnsi" w:eastAsiaTheme="minorEastAsia" w:hAnsiTheme="minorHAnsi" w:cstheme="minorBidi"/>
          <w:bCs w:val="0"/>
          <w:iCs w:val="0"/>
          <w:noProof/>
          <w:szCs w:val="22"/>
          <w:lang w:val="en-US"/>
        </w:rPr>
      </w:pPr>
      <w:hyperlink w:anchor="_Toc95451850" w:history="1">
        <w:r w:rsidR="00042B49" w:rsidRPr="009D0700">
          <w:rPr>
            <w:rStyle w:val="Lienhypertexte"/>
            <w:noProof/>
          </w:rPr>
          <w:t>2.1.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Contexte de l’évaluation</w:t>
        </w:r>
        <w:r w:rsidR="00042B49">
          <w:rPr>
            <w:noProof/>
            <w:webHidden/>
          </w:rPr>
          <w:tab/>
        </w:r>
        <w:r w:rsidR="00042B49">
          <w:rPr>
            <w:noProof/>
            <w:webHidden/>
          </w:rPr>
          <w:fldChar w:fldCharType="begin"/>
        </w:r>
        <w:r w:rsidR="00042B49">
          <w:rPr>
            <w:noProof/>
            <w:webHidden/>
          </w:rPr>
          <w:instrText xml:space="preserve"> PAGEREF _Toc95451850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03727E68" w14:textId="50C37B50" w:rsidR="00042B49" w:rsidRDefault="00BD0DF0">
      <w:pPr>
        <w:pStyle w:val="TM2"/>
        <w:rPr>
          <w:rFonts w:asciiTheme="minorHAnsi" w:eastAsiaTheme="minorEastAsia" w:hAnsiTheme="minorHAnsi" w:cstheme="minorBidi"/>
          <w:bCs w:val="0"/>
          <w:iCs w:val="0"/>
          <w:noProof/>
          <w:szCs w:val="22"/>
          <w:lang w:val="en-US"/>
        </w:rPr>
      </w:pPr>
      <w:hyperlink w:anchor="_Toc95451851" w:history="1">
        <w:r w:rsidR="00042B49" w:rsidRPr="009D0700">
          <w:rPr>
            <w:rStyle w:val="Lienhypertexte"/>
            <w:noProof/>
          </w:rPr>
          <w:t>2.2.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But et objectifs de l’évaluation</w:t>
        </w:r>
        <w:r w:rsidR="00042B49">
          <w:rPr>
            <w:noProof/>
            <w:webHidden/>
          </w:rPr>
          <w:tab/>
        </w:r>
        <w:r w:rsidR="00042B49">
          <w:rPr>
            <w:noProof/>
            <w:webHidden/>
          </w:rPr>
          <w:fldChar w:fldCharType="begin"/>
        </w:r>
        <w:r w:rsidR="00042B49">
          <w:rPr>
            <w:noProof/>
            <w:webHidden/>
          </w:rPr>
          <w:instrText xml:space="preserve"> PAGEREF _Toc95451851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5A68200A" w14:textId="60569D68" w:rsidR="00042B49" w:rsidRDefault="00BD0DF0">
      <w:pPr>
        <w:pStyle w:val="TM2"/>
        <w:rPr>
          <w:rFonts w:asciiTheme="minorHAnsi" w:eastAsiaTheme="minorEastAsia" w:hAnsiTheme="minorHAnsi" w:cstheme="minorBidi"/>
          <w:bCs w:val="0"/>
          <w:iCs w:val="0"/>
          <w:noProof/>
          <w:szCs w:val="22"/>
          <w:lang w:val="en-US"/>
        </w:rPr>
      </w:pPr>
      <w:hyperlink w:anchor="_Toc95451852" w:history="1">
        <w:r w:rsidR="00042B49" w:rsidRPr="009D0700">
          <w:rPr>
            <w:rStyle w:val="Lienhypertexte"/>
            <w:noProof/>
          </w:rPr>
          <w:t>2.3.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Utilisation et utilisateurs des résultats de l’évaluation</w:t>
        </w:r>
        <w:r w:rsidR="00042B49">
          <w:rPr>
            <w:noProof/>
            <w:webHidden/>
          </w:rPr>
          <w:tab/>
        </w:r>
        <w:r w:rsidR="00042B49">
          <w:rPr>
            <w:noProof/>
            <w:webHidden/>
          </w:rPr>
          <w:fldChar w:fldCharType="begin"/>
        </w:r>
        <w:r w:rsidR="00042B49">
          <w:rPr>
            <w:noProof/>
            <w:webHidden/>
          </w:rPr>
          <w:instrText xml:space="preserve"> PAGEREF _Toc95451852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67A20BAD" w14:textId="1F28AF85"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53" w:history="1">
        <w:r w:rsidR="00042B49" w:rsidRPr="009D0700">
          <w:rPr>
            <w:rStyle w:val="Lienhypertexte"/>
            <w:noProof/>
          </w:rPr>
          <w:t>3.</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CHAMPS D’ACTION DE L’EVALUATION, CRITERES ET QUESTIONS D’EVALUATION</w:t>
        </w:r>
        <w:r w:rsidR="00042B49">
          <w:rPr>
            <w:noProof/>
            <w:webHidden/>
          </w:rPr>
          <w:tab/>
        </w:r>
        <w:r w:rsidR="00042B49">
          <w:rPr>
            <w:noProof/>
            <w:webHidden/>
          </w:rPr>
          <w:fldChar w:fldCharType="begin"/>
        </w:r>
        <w:r w:rsidR="00042B49">
          <w:rPr>
            <w:noProof/>
            <w:webHidden/>
          </w:rPr>
          <w:instrText xml:space="preserve"> PAGEREF _Toc95451853 \h </w:instrText>
        </w:r>
        <w:r w:rsidR="00042B49">
          <w:rPr>
            <w:noProof/>
            <w:webHidden/>
          </w:rPr>
        </w:r>
        <w:r w:rsidR="00042B49">
          <w:rPr>
            <w:noProof/>
            <w:webHidden/>
          </w:rPr>
          <w:fldChar w:fldCharType="separate"/>
        </w:r>
        <w:r w:rsidR="00042B49">
          <w:rPr>
            <w:noProof/>
            <w:webHidden/>
          </w:rPr>
          <w:t>13</w:t>
        </w:r>
        <w:r w:rsidR="00042B49">
          <w:rPr>
            <w:noProof/>
            <w:webHidden/>
          </w:rPr>
          <w:fldChar w:fldCharType="end"/>
        </w:r>
      </w:hyperlink>
    </w:p>
    <w:p w14:paraId="4EA6E934" w14:textId="26421B25" w:rsidR="00042B49" w:rsidRDefault="00BD0DF0">
      <w:pPr>
        <w:pStyle w:val="TM2"/>
        <w:rPr>
          <w:rFonts w:asciiTheme="minorHAnsi" w:eastAsiaTheme="minorEastAsia" w:hAnsiTheme="minorHAnsi" w:cstheme="minorBidi"/>
          <w:bCs w:val="0"/>
          <w:iCs w:val="0"/>
          <w:noProof/>
          <w:szCs w:val="22"/>
          <w:lang w:val="en-US"/>
        </w:rPr>
      </w:pPr>
      <w:hyperlink w:anchor="_Toc95451854" w:history="1">
        <w:r w:rsidR="00042B49" w:rsidRPr="009D0700">
          <w:rPr>
            <w:rStyle w:val="Lienhypertexte"/>
            <w:noProof/>
          </w:rPr>
          <w:t>3.1.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Champ d’action de l’évaluation</w:t>
        </w:r>
        <w:r w:rsidR="00042B49">
          <w:rPr>
            <w:noProof/>
            <w:webHidden/>
          </w:rPr>
          <w:tab/>
        </w:r>
        <w:r w:rsidR="00042B49">
          <w:rPr>
            <w:noProof/>
            <w:webHidden/>
          </w:rPr>
          <w:fldChar w:fldCharType="begin"/>
        </w:r>
        <w:r w:rsidR="00042B49">
          <w:rPr>
            <w:noProof/>
            <w:webHidden/>
          </w:rPr>
          <w:instrText xml:space="preserve"> PAGEREF _Toc95451854 \h </w:instrText>
        </w:r>
        <w:r w:rsidR="00042B49">
          <w:rPr>
            <w:noProof/>
            <w:webHidden/>
          </w:rPr>
        </w:r>
        <w:r w:rsidR="00042B49">
          <w:rPr>
            <w:noProof/>
            <w:webHidden/>
          </w:rPr>
          <w:fldChar w:fldCharType="separate"/>
        </w:r>
        <w:r w:rsidR="00042B49">
          <w:rPr>
            <w:noProof/>
            <w:webHidden/>
          </w:rPr>
          <w:t>13</w:t>
        </w:r>
        <w:r w:rsidR="00042B49">
          <w:rPr>
            <w:noProof/>
            <w:webHidden/>
          </w:rPr>
          <w:fldChar w:fldCharType="end"/>
        </w:r>
      </w:hyperlink>
    </w:p>
    <w:p w14:paraId="744D454E" w14:textId="3636B46C" w:rsidR="00042B49" w:rsidRDefault="00BD0DF0">
      <w:pPr>
        <w:pStyle w:val="TM2"/>
        <w:rPr>
          <w:rFonts w:asciiTheme="minorHAnsi" w:eastAsiaTheme="minorEastAsia" w:hAnsiTheme="minorHAnsi" w:cstheme="minorBidi"/>
          <w:bCs w:val="0"/>
          <w:iCs w:val="0"/>
          <w:noProof/>
          <w:szCs w:val="22"/>
          <w:lang w:val="en-US"/>
        </w:rPr>
      </w:pPr>
      <w:hyperlink w:anchor="_Toc95451855" w:history="1">
        <w:r w:rsidR="00042B49" w:rsidRPr="009D0700">
          <w:rPr>
            <w:rStyle w:val="Lienhypertexte"/>
            <w:noProof/>
          </w:rPr>
          <w:t>3.2.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Critères d’évaluation</w:t>
        </w:r>
        <w:r w:rsidR="00042B49">
          <w:rPr>
            <w:noProof/>
            <w:webHidden/>
          </w:rPr>
          <w:tab/>
        </w:r>
        <w:r w:rsidR="00042B49">
          <w:rPr>
            <w:noProof/>
            <w:webHidden/>
          </w:rPr>
          <w:fldChar w:fldCharType="begin"/>
        </w:r>
        <w:r w:rsidR="00042B49">
          <w:rPr>
            <w:noProof/>
            <w:webHidden/>
          </w:rPr>
          <w:instrText xml:space="preserve"> PAGEREF _Toc95451855 \h </w:instrText>
        </w:r>
        <w:r w:rsidR="00042B49">
          <w:rPr>
            <w:noProof/>
            <w:webHidden/>
          </w:rPr>
        </w:r>
        <w:r w:rsidR="00042B49">
          <w:rPr>
            <w:noProof/>
            <w:webHidden/>
          </w:rPr>
          <w:fldChar w:fldCharType="separate"/>
        </w:r>
        <w:r w:rsidR="00042B49">
          <w:rPr>
            <w:noProof/>
            <w:webHidden/>
          </w:rPr>
          <w:t>14</w:t>
        </w:r>
        <w:r w:rsidR="00042B49">
          <w:rPr>
            <w:noProof/>
            <w:webHidden/>
          </w:rPr>
          <w:fldChar w:fldCharType="end"/>
        </w:r>
      </w:hyperlink>
    </w:p>
    <w:p w14:paraId="5368C43C" w14:textId="752DB1EB" w:rsidR="00042B49" w:rsidRDefault="00BD0DF0">
      <w:pPr>
        <w:pStyle w:val="TM2"/>
        <w:rPr>
          <w:rFonts w:asciiTheme="minorHAnsi" w:eastAsiaTheme="minorEastAsia" w:hAnsiTheme="minorHAnsi" w:cstheme="minorBidi"/>
          <w:bCs w:val="0"/>
          <w:iCs w:val="0"/>
          <w:noProof/>
          <w:szCs w:val="22"/>
          <w:lang w:val="en-US"/>
        </w:rPr>
      </w:pPr>
      <w:hyperlink w:anchor="_Toc95451856" w:history="1">
        <w:r w:rsidR="00042B49" w:rsidRPr="009D0700">
          <w:rPr>
            <w:rStyle w:val="Lienhypertexte"/>
            <w:noProof/>
          </w:rPr>
          <w:t>3.3.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Questions clés de l’évaluation</w:t>
        </w:r>
        <w:r w:rsidR="00042B49">
          <w:rPr>
            <w:noProof/>
            <w:webHidden/>
          </w:rPr>
          <w:tab/>
        </w:r>
        <w:r w:rsidR="00042B49">
          <w:rPr>
            <w:noProof/>
            <w:webHidden/>
          </w:rPr>
          <w:fldChar w:fldCharType="begin"/>
        </w:r>
        <w:r w:rsidR="00042B49">
          <w:rPr>
            <w:noProof/>
            <w:webHidden/>
          </w:rPr>
          <w:instrText xml:space="preserve"> PAGEREF _Toc95451856 \h </w:instrText>
        </w:r>
        <w:r w:rsidR="00042B49">
          <w:rPr>
            <w:noProof/>
            <w:webHidden/>
          </w:rPr>
        </w:r>
        <w:r w:rsidR="00042B49">
          <w:rPr>
            <w:noProof/>
            <w:webHidden/>
          </w:rPr>
          <w:fldChar w:fldCharType="separate"/>
        </w:r>
        <w:r w:rsidR="00042B49">
          <w:rPr>
            <w:noProof/>
            <w:webHidden/>
          </w:rPr>
          <w:t>15</w:t>
        </w:r>
        <w:r w:rsidR="00042B49">
          <w:rPr>
            <w:noProof/>
            <w:webHidden/>
          </w:rPr>
          <w:fldChar w:fldCharType="end"/>
        </w:r>
      </w:hyperlink>
    </w:p>
    <w:p w14:paraId="753D1839" w14:textId="38601457" w:rsidR="00042B49" w:rsidRDefault="00BD0DF0">
      <w:pPr>
        <w:pStyle w:val="TM2"/>
        <w:rPr>
          <w:rFonts w:asciiTheme="minorHAnsi" w:eastAsiaTheme="minorEastAsia" w:hAnsiTheme="minorHAnsi" w:cstheme="minorBidi"/>
          <w:bCs w:val="0"/>
          <w:iCs w:val="0"/>
          <w:noProof/>
          <w:szCs w:val="22"/>
          <w:lang w:val="en-US"/>
        </w:rPr>
      </w:pPr>
      <w:hyperlink w:anchor="_Toc95451857" w:history="1">
        <w:r w:rsidR="00042B49" w:rsidRPr="009D0700">
          <w:rPr>
            <w:rStyle w:val="Lienhypertexte"/>
            <w:noProof/>
          </w:rPr>
          <w:t>3.4.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Disponibilité des informations et évaluabilité du projet</w:t>
        </w:r>
        <w:r w:rsidR="00042B49">
          <w:rPr>
            <w:noProof/>
            <w:webHidden/>
          </w:rPr>
          <w:tab/>
        </w:r>
        <w:r w:rsidR="00042B49">
          <w:rPr>
            <w:noProof/>
            <w:webHidden/>
          </w:rPr>
          <w:fldChar w:fldCharType="begin"/>
        </w:r>
        <w:r w:rsidR="00042B49">
          <w:rPr>
            <w:noProof/>
            <w:webHidden/>
          </w:rPr>
          <w:instrText xml:space="preserve"> PAGEREF _Toc95451857 \h </w:instrText>
        </w:r>
        <w:r w:rsidR="00042B49">
          <w:rPr>
            <w:noProof/>
            <w:webHidden/>
          </w:rPr>
        </w:r>
        <w:r w:rsidR="00042B49">
          <w:rPr>
            <w:noProof/>
            <w:webHidden/>
          </w:rPr>
          <w:fldChar w:fldCharType="separate"/>
        </w:r>
        <w:r w:rsidR="00042B49">
          <w:rPr>
            <w:noProof/>
            <w:webHidden/>
          </w:rPr>
          <w:t>17</w:t>
        </w:r>
        <w:r w:rsidR="00042B49">
          <w:rPr>
            <w:noProof/>
            <w:webHidden/>
          </w:rPr>
          <w:fldChar w:fldCharType="end"/>
        </w:r>
      </w:hyperlink>
    </w:p>
    <w:p w14:paraId="43D72829" w14:textId="62DA1295"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58" w:history="1">
        <w:r w:rsidR="00042B49" w:rsidRPr="009D0700">
          <w:rPr>
            <w:rStyle w:val="Lienhypertexte"/>
            <w:noProof/>
          </w:rPr>
          <w:t>4.</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METHODOLOGIE ET LIMITES DE L’EVALUATION</w:t>
        </w:r>
        <w:r w:rsidR="00042B49">
          <w:rPr>
            <w:noProof/>
            <w:webHidden/>
          </w:rPr>
          <w:tab/>
        </w:r>
        <w:r w:rsidR="00042B49">
          <w:rPr>
            <w:noProof/>
            <w:webHidden/>
          </w:rPr>
          <w:fldChar w:fldCharType="begin"/>
        </w:r>
        <w:r w:rsidR="00042B49">
          <w:rPr>
            <w:noProof/>
            <w:webHidden/>
          </w:rPr>
          <w:instrText xml:space="preserve"> PAGEREF _Toc95451858 \h </w:instrText>
        </w:r>
        <w:r w:rsidR="00042B49">
          <w:rPr>
            <w:noProof/>
            <w:webHidden/>
          </w:rPr>
        </w:r>
        <w:r w:rsidR="00042B49">
          <w:rPr>
            <w:noProof/>
            <w:webHidden/>
          </w:rPr>
          <w:fldChar w:fldCharType="separate"/>
        </w:r>
        <w:r w:rsidR="00042B49">
          <w:rPr>
            <w:noProof/>
            <w:webHidden/>
          </w:rPr>
          <w:t>19</w:t>
        </w:r>
        <w:r w:rsidR="00042B49">
          <w:rPr>
            <w:noProof/>
            <w:webHidden/>
          </w:rPr>
          <w:fldChar w:fldCharType="end"/>
        </w:r>
      </w:hyperlink>
    </w:p>
    <w:p w14:paraId="302C84A3" w14:textId="5308AE5C" w:rsidR="00042B49" w:rsidRDefault="00BD0DF0">
      <w:pPr>
        <w:pStyle w:val="TM2"/>
        <w:rPr>
          <w:rFonts w:asciiTheme="minorHAnsi" w:eastAsiaTheme="minorEastAsia" w:hAnsiTheme="minorHAnsi" w:cstheme="minorBidi"/>
          <w:bCs w:val="0"/>
          <w:iCs w:val="0"/>
          <w:noProof/>
          <w:szCs w:val="22"/>
          <w:lang w:val="en-US"/>
        </w:rPr>
      </w:pPr>
      <w:hyperlink w:anchor="_Toc95451859" w:history="1">
        <w:r w:rsidR="00042B49" w:rsidRPr="009D0700">
          <w:rPr>
            <w:rStyle w:val="Lienhypertexte"/>
            <w:noProof/>
          </w:rPr>
          <w:t>4.1.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Approche globale d’évaluation</w:t>
        </w:r>
        <w:r w:rsidR="00042B49">
          <w:rPr>
            <w:noProof/>
            <w:webHidden/>
          </w:rPr>
          <w:tab/>
        </w:r>
        <w:r w:rsidR="00042B49">
          <w:rPr>
            <w:noProof/>
            <w:webHidden/>
          </w:rPr>
          <w:fldChar w:fldCharType="begin"/>
        </w:r>
        <w:r w:rsidR="00042B49">
          <w:rPr>
            <w:noProof/>
            <w:webHidden/>
          </w:rPr>
          <w:instrText xml:space="preserve"> PAGEREF _Toc95451859 \h </w:instrText>
        </w:r>
        <w:r w:rsidR="00042B49">
          <w:rPr>
            <w:noProof/>
            <w:webHidden/>
          </w:rPr>
        </w:r>
        <w:r w:rsidR="00042B49">
          <w:rPr>
            <w:noProof/>
            <w:webHidden/>
          </w:rPr>
          <w:fldChar w:fldCharType="separate"/>
        </w:r>
        <w:r w:rsidR="00042B49">
          <w:rPr>
            <w:noProof/>
            <w:webHidden/>
          </w:rPr>
          <w:t>19</w:t>
        </w:r>
        <w:r w:rsidR="00042B49">
          <w:rPr>
            <w:noProof/>
            <w:webHidden/>
          </w:rPr>
          <w:fldChar w:fldCharType="end"/>
        </w:r>
      </w:hyperlink>
    </w:p>
    <w:p w14:paraId="36E92F97" w14:textId="6DDB3675" w:rsidR="00042B49" w:rsidRDefault="00BD0DF0">
      <w:pPr>
        <w:pStyle w:val="TM2"/>
        <w:rPr>
          <w:rFonts w:asciiTheme="minorHAnsi" w:eastAsiaTheme="minorEastAsia" w:hAnsiTheme="minorHAnsi" w:cstheme="minorBidi"/>
          <w:bCs w:val="0"/>
          <w:iCs w:val="0"/>
          <w:noProof/>
          <w:szCs w:val="22"/>
          <w:lang w:val="en-US"/>
        </w:rPr>
      </w:pPr>
      <w:hyperlink w:anchor="_Toc95451860" w:history="1">
        <w:r w:rsidR="00042B49" w:rsidRPr="009D0700">
          <w:rPr>
            <w:rStyle w:val="Lienhypertexte"/>
            <w:noProof/>
          </w:rPr>
          <w:t>4.2.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Méthodes et outils de collecte des données</w:t>
        </w:r>
        <w:r w:rsidR="00042B49">
          <w:rPr>
            <w:noProof/>
            <w:webHidden/>
          </w:rPr>
          <w:tab/>
        </w:r>
        <w:r w:rsidR="00042B49">
          <w:rPr>
            <w:noProof/>
            <w:webHidden/>
          </w:rPr>
          <w:fldChar w:fldCharType="begin"/>
        </w:r>
        <w:r w:rsidR="00042B49">
          <w:rPr>
            <w:noProof/>
            <w:webHidden/>
          </w:rPr>
          <w:instrText xml:space="preserve"> PAGEREF _Toc95451860 \h </w:instrText>
        </w:r>
        <w:r w:rsidR="00042B49">
          <w:rPr>
            <w:noProof/>
            <w:webHidden/>
          </w:rPr>
        </w:r>
        <w:r w:rsidR="00042B49">
          <w:rPr>
            <w:noProof/>
            <w:webHidden/>
          </w:rPr>
          <w:fldChar w:fldCharType="separate"/>
        </w:r>
        <w:r w:rsidR="00042B49">
          <w:rPr>
            <w:noProof/>
            <w:webHidden/>
          </w:rPr>
          <w:t>21</w:t>
        </w:r>
        <w:r w:rsidR="00042B49">
          <w:rPr>
            <w:noProof/>
            <w:webHidden/>
          </w:rPr>
          <w:fldChar w:fldCharType="end"/>
        </w:r>
      </w:hyperlink>
    </w:p>
    <w:p w14:paraId="2AD38D8C" w14:textId="6A18EF14" w:rsidR="00042B49" w:rsidRDefault="00BD0DF0">
      <w:pPr>
        <w:pStyle w:val="TM2"/>
        <w:rPr>
          <w:rFonts w:asciiTheme="minorHAnsi" w:eastAsiaTheme="minorEastAsia" w:hAnsiTheme="minorHAnsi" w:cstheme="minorBidi"/>
          <w:bCs w:val="0"/>
          <w:iCs w:val="0"/>
          <w:noProof/>
          <w:szCs w:val="22"/>
          <w:lang w:val="en-US"/>
        </w:rPr>
      </w:pPr>
      <w:hyperlink w:anchor="_Toc95451861" w:history="1">
        <w:r w:rsidR="00042B49" w:rsidRPr="009D0700">
          <w:rPr>
            <w:rStyle w:val="Lienhypertexte"/>
            <w:noProof/>
          </w:rPr>
          <w:t>4.3.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Bilan de la collecte de données sur le terrain</w:t>
        </w:r>
        <w:r w:rsidR="00042B49">
          <w:rPr>
            <w:noProof/>
            <w:webHidden/>
          </w:rPr>
          <w:tab/>
        </w:r>
        <w:r w:rsidR="00042B49">
          <w:rPr>
            <w:noProof/>
            <w:webHidden/>
          </w:rPr>
          <w:fldChar w:fldCharType="begin"/>
        </w:r>
        <w:r w:rsidR="00042B49">
          <w:rPr>
            <w:noProof/>
            <w:webHidden/>
          </w:rPr>
          <w:instrText xml:space="preserve"> PAGEREF _Toc95451861 \h </w:instrText>
        </w:r>
        <w:r w:rsidR="00042B49">
          <w:rPr>
            <w:noProof/>
            <w:webHidden/>
          </w:rPr>
        </w:r>
        <w:r w:rsidR="00042B49">
          <w:rPr>
            <w:noProof/>
            <w:webHidden/>
          </w:rPr>
          <w:fldChar w:fldCharType="separate"/>
        </w:r>
        <w:r w:rsidR="00042B49">
          <w:rPr>
            <w:noProof/>
            <w:webHidden/>
          </w:rPr>
          <w:t>24</w:t>
        </w:r>
        <w:r w:rsidR="00042B49">
          <w:rPr>
            <w:noProof/>
            <w:webHidden/>
          </w:rPr>
          <w:fldChar w:fldCharType="end"/>
        </w:r>
      </w:hyperlink>
    </w:p>
    <w:p w14:paraId="10E9F799" w14:textId="7D932122" w:rsidR="00042B49" w:rsidRDefault="00BD0DF0">
      <w:pPr>
        <w:pStyle w:val="TM2"/>
        <w:rPr>
          <w:rFonts w:asciiTheme="minorHAnsi" w:eastAsiaTheme="minorEastAsia" w:hAnsiTheme="minorHAnsi" w:cstheme="minorBidi"/>
          <w:bCs w:val="0"/>
          <w:iCs w:val="0"/>
          <w:noProof/>
          <w:szCs w:val="22"/>
          <w:lang w:val="en-US"/>
        </w:rPr>
      </w:pPr>
      <w:hyperlink w:anchor="_Toc95451862" w:history="1">
        <w:r w:rsidR="00042B49" w:rsidRPr="009D0700">
          <w:rPr>
            <w:rStyle w:val="Lienhypertexte"/>
            <w:noProof/>
          </w:rPr>
          <w:t>4.4.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Analyse des données, rapportage et restitution des résultats</w:t>
        </w:r>
        <w:r w:rsidR="00042B49">
          <w:rPr>
            <w:noProof/>
            <w:webHidden/>
          </w:rPr>
          <w:tab/>
        </w:r>
        <w:r w:rsidR="00042B49">
          <w:rPr>
            <w:noProof/>
            <w:webHidden/>
          </w:rPr>
          <w:fldChar w:fldCharType="begin"/>
        </w:r>
        <w:r w:rsidR="00042B49">
          <w:rPr>
            <w:noProof/>
            <w:webHidden/>
          </w:rPr>
          <w:instrText xml:space="preserve"> PAGEREF _Toc95451862 \h </w:instrText>
        </w:r>
        <w:r w:rsidR="00042B49">
          <w:rPr>
            <w:noProof/>
            <w:webHidden/>
          </w:rPr>
        </w:r>
        <w:r w:rsidR="00042B49">
          <w:rPr>
            <w:noProof/>
            <w:webHidden/>
          </w:rPr>
          <w:fldChar w:fldCharType="separate"/>
        </w:r>
        <w:r w:rsidR="00042B49">
          <w:rPr>
            <w:noProof/>
            <w:webHidden/>
          </w:rPr>
          <w:t>26</w:t>
        </w:r>
        <w:r w:rsidR="00042B49">
          <w:rPr>
            <w:noProof/>
            <w:webHidden/>
          </w:rPr>
          <w:fldChar w:fldCharType="end"/>
        </w:r>
      </w:hyperlink>
    </w:p>
    <w:p w14:paraId="7ACC63D9" w14:textId="6D2E5625" w:rsidR="00042B49" w:rsidRDefault="00BD0DF0">
      <w:pPr>
        <w:pStyle w:val="TM2"/>
        <w:rPr>
          <w:rFonts w:asciiTheme="minorHAnsi" w:eastAsiaTheme="minorEastAsia" w:hAnsiTheme="minorHAnsi" w:cstheme="minorBidi"/>
          <w:bCs w:val="0"/>
          <w:iCs w:val="0"/>
          <w:noProof/>
          <w:szCs w:val="22"/>
          <w:lang w:val="en-US"/>
        </w:rPr>
      </w:pPr>
      <w:hyperlink w:anchor="_Toc95451863" w:history="1">
        <w:r w:rsidR="00042B49" w:rsidRPr="009D0700">
          <w:rPr>
            <w:rStyle w:val="Lienhypertexte"/>
            <w:noProof/>
          </w:rPr>
          <w:t>4.5.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Stratégie de formation des enquêteurs et de collecte de données</w:t>
        </w:r>
        <w:r w:rsidR="00042B49">
          <w:rPr>
            <w:noProof/>
            <w:webHidden/>
          </w:rPr>
          <w:tab/>
        </w:r>
        <w:r w:rsidR="00042B49">
          <w:rPr>
            <w:noProof/>
            <w:webHidden/>
          </w:rPr>
          <w:fldChar w:fldCharType="begin"/>
        </w:r>
        <w:r w:rsidR="00042B49">
          <w:rPr>
            <w:noProof/>
            <w:webHidden/>
          </w:rPr>
          <w:instrText xml:space="preserve"> PAGEREF _Toc95451863 \h </w:instrText>
        </w:r>
        <w:r w:rsidR="00042B49">
          <w:rPr>
            <w:noProof/>
            <w:webHidden/>
          </w:rPr>
        </w:r>
        <w:r w:rsidR="00042B49">
          <w:rPr>
            <w:noProof/>
            <w:webHidden/>
          </w:rPr>
          <w:fldChar w:fldCharType="separate"/>
        </w:r>
        <w:r w:rsidR="00042B49">
          <w:rPr>
            <w:noProof/>
            <w:webHidden/>
          </w:rPr>
          <w:t>27</w:t>
        </w:r>
        <w:r w:rsidR="00042B49">
          <w:rPr>
            <w:noProof/>
            <w:webHidden/>
          </w:rPr>
          <w:fldChar w:fldCharType="end"/>
        </w:r>
      </w:hyperlink>
    </w:p>
    <w:p w14:paraId="0E1F6FAD" w14:textId="2975E26D" w:rsidR="00042B49" w:rsidRDefault="00BD0DF0">
      <w:pPr>
        <w:pStyle w:val="TM2"/>
        <w:rPr>
          <w:rFonts w:asciiTheme="minorHAnsi" w:eastAsiaTheme="minorEastAsia" w:hAnsiTheme="minorHAnsi" w:cstheme="minorBidi"/>
          <w:bCs w:val="0"/>
          <w:iCs w:val="0"/>
          <w:noProof/>
          <w:szCs w:val="22"/>
          <w:lang w:val="en-US"/>
        </w:rPr>
      </w:pPr>
      <w:hyperlink w:anchor="_Toc95451864" w:history="1">
        <w:r w:rsidR="00042B49" w:rsidRPr="009D0700">
          <w:rPr>
            <w:rStyle w:val="Lienhypertexte"/>
            <w:noProof/>
          </w:rPr>
          <w:t>4.6.</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Considérations éthiques</w:t>
        </w:r>
        <w:r w:rsidR="00042B49">
          <w:rPr>
            <w:noProof/>
            <w:webHidden/>
          </w:rPr>
          <w:tab/>
        </w:r>
        <w:r w:rsidR="00042B49">
          <w:rPr>
            <w:noProof/>
            <w:webHidden/>
          </w:rPr>
          <w:fldChar w:fldCharType="begin"/>
        </w:r>
        <w:r w:rsidR="00042B49">
          <w:rPr>
            <w:noProof/>
            <w:webHidden/>
          </w:rPr>
          <w:instrText xml:space="preserve"> PAGEREF _Toc95451864 \h </w:instrText>
        </w:r>
        <w:r w:rsidR="00042B49">
          <w:rPr>
            <w:noProof/>
            <w:webHidden/>
          </w:rPr>
        </w:r>
        <w:r w:rsidR="00042B49">
          <w:rPr>
            <w:noProof/>
            <w:webHidden/>
          </w:rPr>
          <w:fldChar w:fldCharType="separate"/>
        </w:r>
        <w:r w:rsidR="00042B49">
          <w:rPr>
            <w:noProof/>
            <w:webHidden/>
          </w:rPr>
          <w:t>28</w:t>
        </w:r>
        <w:r w:rsidR="00042B49">
          <w:rPr>
            <w:noProof/>
            <w:webHidden/>
          </w:rPr>
          <w:fldChar w:fldCharType="end"/>
        </w:r>
      </w:hyperlink>
    </w:p>
    <w:p w14:paraId="670BEC6E" w14:textId="7ECE1CD6" w:rsidR="00042B49" w:rsidRDefault="00BD0DF0">
      <w:pPr>
        <w:pStyle w:val="TM2"/>
        <w:rPr>
          <w:rFonts w:asciiTheme="minorHAnsi" w:eastAsiaTheme="minorEastAsia" w:hAnsiTheme="minorHAnsi" w:cstheme="minorBidi"/>
          <w:bCs w:val="0"/>
          <w:iCs w:val="0"/>
          <w:noProof/>
          <w:szCs w:val="22"/>
          <w:lang w:val="en-US"/>
        </w:rPr>
      </w:pPr>
      <w:hyperlink w:anchor="_Toc95451865" w:history="1">
        <w:r w:rsidR="00042B49" w:rsidRPr="009D0700">
          <w:rPr>
            <w:rStyle w:val="Lienhypertexte"/>
            <w:noProof/>
          </w:rPr>
          <w:t>4.7.</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Dispositif de mise en œuvre et de suivi de l’évaluation</w:t>
        </w:r>
        <w:r w:rsidR="00042B49">
          <w:rPr>
            <w:noProof/>
            <w:webHidden/>
          </w:rPr>
          <w:tab/>
        </w:r>
        <w:r w:rsidR="00042B49">
          <w:rPr>
            <w:noProof/>
            <w:webHidden/>
          </w:rPr>
          <w:fldChar w:fldCharType="begin"/>
        </w:r>
        <w:r w:rsidR="00042B49">
          <w:rPr>
            <w:noProof/>
            <w:webHidden/>
          </w:rPr>
          <w:instrText xml:space="preserve"> PAGEREF _Toc95451865 \h </w:instrText>
        </w:r>
        <w:r w:rsidR="00042B49">
          <w:rPr>
            <w:noProof/>
            <w:webHidden/>
          </w:rPr>
        </w:r>
        <w:r w:rsidR="00042B49">
          <w:rPr>
            <w:noProof/>
            <w:webHidden/>
          </w:rPr>
          <w:fldChar w:fldCharType="separate"/>
        </w:r>
        <w:r w:rsidR="00042B49">
          <w:rPr>
            <w:noProof/>
            <w:webHidden/>
          </w:rPr>
          <w:t>29</w:t>
        </w:r>
        <w:r w:rsidR="00042B49">
          <w:rPr>
            <w:noProof/>
            <w:webHidden/>
          </w:rPr>
          <w:fldChar w:fldCharType="end"/>
        </w:r>
      </w:hyperlink>
    </w:p>
    <w:p w14:paraId="4F7A14B9" w14:textId="4558C067" w:rsidR="00042B49" w:rsidRDefault="00BD0DF0">
      <w:pPr>
        <w:pStyle w:val="TM2"/>
        <w:rPr>
          <w:rFonts w:asciiTheme="minorHAnsi" w:eastAsiaTheme="minorEastAsia" w:hAnsiTheme="minorHAnsi" w:cstheme="minorBidi"/>
          <w:bCs w:val="0"/>
          <w:iCs w:val="0"/>
          <w:noProof/>
          <w:szCs w:val="22"/>
          <w:lang w:val="en-US"/>
        </w:rPr>
      </w:pPr>
      <w:hyperlink w:anchor="_Toc95451866" w:history="1">
        <w:r w:rsidR="00042B49" w:rsidRPr="009D0700">
          <w:rPr>
            <w:rStyle w:val="Lienhypertexte"/>
            <w:noProof/>
          </w:rPr>
          <w:t>4.8.</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Difficultés et limites de l’évaluation</w:t>
        </w:r>
        <w:r w:rsidR="00042B49">
          <w:rPr>
            <w:noProof/>
            <w:webHidden/>
          </w:rPr>
          <w:tab/>
        </w:r>
        <w:r w:rsidR="00042B49">
          <w:rPr>
            <w:noProof/>
            <w:webHidden/>
          </w:rPr>
          <w:fldChar w:fldCharType="begin"/>
        </w:r>
        <w:r w:rsidR="00042B49">
          <w:rPr>
            <w:noProof/>
            <w:webHidden/>
          </w:rPr>
          <w:instrText xml:space="preserve"> PAGEREF _Toc95451866 \h </w:instrText>
        </w:r>
        <w:r w:rsidR="00042B49">
          <w:rPr>
            <w:noProof/>
            <w:webHidden/>
          </w:rPr>
        </w:r>
        <w:r w:rsidR="00042B49">
          <w:rPr>
            <w:noProof/>
            <w:webHidden/>
          </w:rPr>
          <w:fldChar w:fldCharType="separate"/>
        </w:r>
        <w:r w:rsidR="00042B49">
          <w:rPr>
            <w:noProof/>
            <w:webHidden/>
          </w:rPr>
          <w:t>30</w:t>
        </w:r>
        <w:r w:rsidR="00042B49">
          <w:rPr>
            <w:noProof/>
            <w:webHidden/>
          </w:rPr>
          <w:fldChar w:fldCharType="end"/>
        </w:r>
      </w:hyperlink>
    </w:p>
    <w:p w14:paraId="1979D21A" w14:textId="457001D8"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67" w:history="1">
        <w:r w:rsidR="00042B49" w:rsidRPr="009D0700">
          <w:rPr>
            <w:rStyle w:val="Lienhypertexte"/>
            <w:noProof/>
          </w:rPr>
          <w:t>5.</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CONSTATATIONS</w:t>
        </w:r>
        <w:r w:rsidR="00042B49">
          <w:rPr>
            <w:noProof/>
            <w:webHidden/>
          </w:rPr>
          <w:tab/>
        </w:r>
        <w:r w:rsidR="00042B49">
          <w:rPr>
            <w:noProof/>
            <w:webHidden/>
          </w:rPr>
          <w:fldChar w:fldCharType="begin"/>
        </w:r>
        <w:r w:rsidR="00042B49">
          <w:rPr>
            <w:noProof/>
            <w:webHidden/>
          </w:rPr>
          <w:instrText xml:space="preserve"> PAGEREF _Toc95451867 \h </w:instrText>
        </w:r>
        <w:r w:rsidR="00042B49">
          <w:rPr>
            <w:noProof/>
            <w:webHidden/>
          </w:rPr>
        </w:r>
        <w:r w:rsidR="00042B49">
          <w:rPr>
            <w:noProof/>
            <w:webHidden/>
          </w:rPr>
          <w:fldChar w:fldCharType="separate"/>
        </w:r>
        <w:r w:rsidR="00042B49">
          <w:rPr>
            <w:noProof/>
            <w:webHidden/>
          </w:rPr>
          <w:t>32</w:t>
        </w:r>
        <w:r w:rsidR="00042B49">
          <w:rPr>
            <w:noProof/>
            <w:webHidden/>
          </w:rPr>
          <w:fldChar w:fldCharType="end"/>
        </w:r>
      </w:hyperlink>
    </w:p>
    <w:p w14:paraId="717E0190" w14:textId="487CD542" w:rsidR="00042B49" w:rsidRDefault="00BD0DF0">
      <w:pPr>
        <w:pStyle w:val="TM2"/>
        <w:rPr>
          <w:rFonts w:asciiTheme="minorHAnsi" w:eastAsiaTheme="minorEastAsia" w:hAnsiTheme="minorHAnsi" w:cstheme="minorBidi"/>
          <w:bCs w:val="0"/>
          <w:iCs w:val="0"/>
          <w:noProof/>
          <w:szCs w:val="22"/>
          <w:lang w:val="en-US"/>
        </w:rPr>
      </w:pPr>
      <w:hyperlink w:anchor="_Toc95451868" w:history="1">
        <w:r w:rsidR="00042B49" w:rsidRPr="009D0700">
          <w:rPr>
            <w:rStyle w:val="Lienhypertexte"/>
            <w:noProof/>
          </w:rPr>
          <w:t>5.1.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Pertinence</w:t>
        </w:r>
        <w:r w:rsidR="00042B49">
          <w:rPr>
            <w:noProof/>
            <w:webHidden/>
          </w:rPr>
          <w:tab/>
        </w:r>
        <w:r w:rsidR="00042B49">
          <w:rPr>
            <w:noProof/>
            <w:webHidden/>
          </w:rPr>
          <w:fldChar w:fldCharType="begin"/>
        </w:r>
        <w:r w:rsidR="00042B49">
          <w:rPr>
            <w:noProof/>
            <w:webHidden/>
          </w:rPr>
          <w:instrText xml:space="preserve"> PAGEREF _Toc95451868 \h </w:instrText>
        </w:r>
        <w:r w:rsidR="00042B49">
          <w:rPr>
            <w:noProof/>
            <w:webHidden/>
          </w:rPr>
        </w:r>
        <w:r w:rsidR="00042B49">
          <w:rPr>
            <w:noProof/>
            <w:webHidden/>
          </w:rPr>
          <w:fldChar w:fldCharType="separate"/>
        </w:r>
        <w:r w:rsidR="00042B49">
          <w:rPr>
            <w:noProof/>
            <w:webHidden/>
          </w:rPr>
          <w:t>32</w:t>
        </w:r>
        <w:r w:rsidR="00042B49">
          <w:rPr>
            <w:noProof/>
            <w:webHidden/>
          </w:rPr>
          <w:fldChar w:fldCharType="end"/>
        </w:r>
      </w:hyperlink>
    </w:p>
    <w:p w14:paraId="0A0EF484" w14:textId="0AF4AED7" w:rsidR="00042B49" w:rsidRDefault="00BD0DF0">
      <w:pPr>
        <w:pStyle w:val="TM2"/>
        <w:rPr>
          <w:rFonts w:asciiTheme="minorHAnsi" w:eastAsiaTheme="minorEastAsia" w:hAnsiTheme="minorHAnsi" w:cstheme="minorBidi"/>
          <w:bCs w:val="0"/>
          <w:iCs w:val="0"/>
          <w:noProof/>
          <w:szCs w:val="22"/>
          <w:lang w:val="en-US"/>
        </w:rPr>
      </w:pPr>
      <w:hyperlink w:anchor="_Toc95451869" w:history="1">
        <w:r w:rsidR="00042B49" w:rsidRPr="009D0700">
          <w:rPr>
            <w:rStyle w:val="Lienhypertexte"/>
            <w:noProof/>
          </w:rPr>
          <w:t>5.2.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Efficacité</w:t>
        </w:r>
        <w:r w:rsidR="00042B49">
          <w:rPr>
            <w:noProof/>
            <w:webHidden/>
          </w:rPr>
          <w:tab/>
        </w:r>
        <w:r w:rsidR="00042B49">
          <w:rPr>
            <w:noProof/>
            <w:webHidden/>
          </w:rPr>
          <w:fldChar w:fldCharType="begin"/>
        </w:r>
        <w:r w:rsidR="00042B49">
          <w:rPr>
            <w:noProof/>
            <w:webHidden/>
          </w:rPr>
          <w:instrText xml:space="preserve"> PAGEREF _Toc95451869 \h </w:instrText>
        </w:r>
        <w:r w:rsidR="00042B49">
          <w:rPr>
            <w:noProof/>
            <w:webHidden/>
          </w:rPr>
        </w:r>
        <w:r w:rsidR="00042B49">
          <w:rPr>
            <w:noProof/>
            <w:webHidden/>
          </w:rPr>
          <w:fldChar w:fldCharType="separate"/>
        </w:r>
        <w:r w:rsidR="00042B49">
          <w:rPr>
            <w:noProof/>
            <w:webHidden/>
          </w:rPr>
          <w:t>38</w:t>
        </w:r>
        <w:r w:rsidR="00042B49">
          <w:rPr>
            <w:noProof/>
            <w:webHidden/>
          </w:rPr>
          <w:fldChar w:fldCharType="end"/>
        </w:r>
      </w:hyperlink>
    </w:p>
    <w:p w14:paraId="7AC72186" w14:textId="25E69866" w:rsidR="00042B49" w:rsidRDefault="00BD0DF0">
      <w:pPr>
        <w:pStyle w:val="TM2"/>
        <w:rPr>
          <w:rFonts w:asciiTheme="minorHAnsi" w:eastAsiaTheme="minorEastAsia" w:hAnsiTheme="minorHAnsi" w:cstheme="minorBidi"/>
          <w:bCs w:val="0"/>
          <w:iCs w:val="0"/>
          <w:noProof/>
          <w:szCs w:val="22"/>
          <w:lang w:val="en-US"/>
        </w:rPr>
      </w:pPr>
      <w:hyperlink w:anchor="_Toc95451870" w:history="1">
        <w:r w:rsidR="00042B49" w:rsidRPr="009D0700">
          <w:rPr>
            <w:rStyle w:val="Lienhypertexte"/>
            <w:noProof/>
          </w:rPr>
          <w:t>5.3.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Efficience</w:t>
        </w:r>
        <w:r w:rsidR="00042B49">
          <w:rPr>
            <w:noProof/>
            <w:webHidden/>
          </w:rPr>
          <w:tab/>
        </w:r>
        <w:r w:rsidR="00042B49">
          <w:rPr>
            <w:noProof/>
            <w:webHidden/>
          </w:rPr>
          <w:fldChar w:fldCharType="begin"/>
        </w:r>
        <w:r w:rsidR="00042B49">
          <w:rPr>
            <w:noProof/>
            <w:webHidden/>
          </w:rPr>
          <w:instrText xml:space="preserve"> PAGEREF _Toc95451870 \h </w:instrText>
        </w:r>
        <w:r w:rsidR="00042B49">
          <w:rPr>
            <w:noProof/>
            <w:webHidden/>
          </w:rPr>
        </w:r>
        <w:r w:rsidR="00042B49">
          <w:rPr>
            <w:noProof/>
            <w:webHidden/>
          </w:rPr>
          <w:fldChar w:fldCharType="separate"/>
        </w:r>
        <w:r w:rsidR="00042B49">
          <w:rPr>
            <w:noProof/>
            <w:webHidden/>
          </w:rPr>
          <w:t>46</w:t>
        </w:r>
        <w:r w:rsidR="00042B49">
          <w:rPr>
            <w:noProof/>
            <w:webHidden/>
          </w:rPr>
          <w:fldChar w:fldCharType="end"/>
        </w:r>
      </w:hyperlink>
    </w:p>
    <w:p w14:paraId="445E0D03" w14:textId="066CC256" w:rsidR="00042B49" w:rsidRDefault="00BD0DF0">
      <w:pPr>
        <w:pStyle w:val="TM2"/>
        <w:rPr>
          <w:rFonts w:asciiTheme="minorHAnsi" w:eastAsiaTheme="minorEastAsia" w:hAnsiTheme="minorHAnsi" w:cstheme="minorBidi"/>
          <w:bCs w:val="0"/>
          <w:iCs w:val="0"/>
          <w:noProof/>
          <w:szCs w:val="22"/>
          <w:lang w:val="en-US"/>
        </w:rPr>
      </w:pPr>
      <w:hyperlink w:anchor="_Toc95451871" w:history="1">
        <w:r w:rsidR="00042B49" w:rsidRPr="009D0700">
          <w:rPr>
            <w:rStyle w:val="Lienhypertexte"/>
            <w:noProof/>
          </w:rPr>
          <w:t>5.4.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Impact</w:t>
        </w:r>
        <w:r w:rsidR="00042B49">
          <w:rPr>
            <w:noProof/>
            <w:webHidden/>
          </w:rPr>
          <w:tab/>
        </w:r>
        <w:r w:rsidR="00042B49">
          <w:rPr>
            <w:noProof/>
            <w:webHidden/>
          </w:rPr>
          <w:fldChar w:fldCharType="begin"/>
        </w:r>
        <w:r w:rsidR="00042B49">
          <w:rPr>
            <w:noProof/>
            <w:webHidden/>
          </w:rPr>
          <w:instrText xml:space="preserve"> PAGEREF _Toc95451871 \h </w:instrText>
        </w:r>
        <w:r w:rsidR="00042B49">
          <w:rPr>
            <w:noProof/>
            <w:webHidden/>
          </w:rPr>
        </w:r>
        <w:r w:rsidR="00042B49">
          <w:rPr>
            <w:noProof/>
            <w:webHidden/>
          </w:rPr>
          <w:fldChar w:fldCharType="separate"/>
        </w:r>
        <w:r w:rsidR="00042B49">
          <w:rPr>
            <w:noProof/>
            <w:webHidden/>
          </w:rPr>
          <w:t>49</w:t>
        </w:r>
        <w:r w:rsidR="00042B49">
          <w:rPr>
            <w:noProof/>
            <w:webHidden/>
          </w:rPr>
          <w:fldChar w:fldCharType="end"/>
        </w:r>
      </w:hyperlink>
    </w:p>
    <w:p w14:paraId="67260554" w14:textId="01BE2151" w:rsidR="00042B49" w:rsidRDefault="00BD0DF0">
      <w:pPr>
        <w:pStyle w:val="TM2"/>
        <w:rPr>
          <w:rFonts w:asciiTheme="minorHAnsi" w:eastAsiaTheme="minorEastAsia" w:hAnsiTheme="minorHAnsi" w:cstheme="minorBidi"/>
          <w:bCs w:val="0"/>
          <w:iCs w:val="0"/>
          <w:noProof/>
          <w:szCs w:val="22"/>
          <w:lang w:val="en-US"/>
        </w:rPr>
      </w:pPr>
      <w:hyperlink w:anchor="_Toc95451872" w:history="1">
        <w:r w:rsidR="00042B49" w:rsidRPr="009D0700">
          <w:rPr>
            <w:rStyle w:val="Lienhypertexte"/>
            <w:noProof/>
          </w:rPr>
          <w:t>5.5.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Durabilité</w:t>
        </w:r>
        <w:r w:rsidR="00042B49">
          <w:rPr>
            <w:noProof/>
            <w:webHidden/>
          </w:rPr>
          <w:tab/>
        </w:r>
        <w:r w:rsidR="00042B49">
          <w:rPr>
            <w:noProof/>
            <w:webHidden/>
          </w:rPr>
          <w:fldChar w:fldCharType="begin"/>
        </w:r>
        <w:r w:rsidR="00042B49">
          <w:rPr>
            <w:noProof/>
            <w:webHidden/>
          </w:rPr>
          <w:instrText xml:space="preserve"> PAGEREF _Toc95451872 \h </w:instrText>
        </w:r>
        <w:r w:rsidR="00042B49">
          <w:rPr>
            <w:noProof/>
            <w:webHidden/>
          </w:rPr>
        </w:r>
        <w:r w:rsidR="00042B49">
          <w:rPr>
            <w:noProof/>
            <w:webHidden/>
          </w:rPr>
          <w:fldChar w:fldCharType="separate"/>
        </w:r>
        <w:r w:rsidR="00042B49">
          <w:rPr>
            <w:noProof/>
            <w:webHidden/>
          </w:rPr>
          <w:t>56</w:t>
        </w:r>
        <w:r w:rsidR="00042B49">
          <w:rPr>
            <w:noProof/>
            <w:webHidden/>
          </w:rPr>
          <w:fldChar w:fldCharType="end"/>
        </w:r>
      </w:hyperlink>
    </w:p>
    <w:p w14:paraId="38A74E2B" w14:textId="04DB1353" w:rsidR="00042B49" w:rsidRDefault="00BD0DF0">
      <w:pPr>
        <w:pStyle w:val="TM2"/>
        <w:rPr>
          <w:rFonts w:asciiTheme="minorHAnsi" w:eastAsiaTheme="minorEastAsia" w:hAnsiTheme="minorHAnsi" w:cstheme="minorBidi"/>
          <w:bCs w:val="0"/>
          <w:iCs w:val="0"/>
          <w:noProof/>
          <w:szCs w:val="22"/>
          <w:lang w:val="en-US"/>
        </w:rPr>
      </w:pPr>
      <w:hyperlink w:anchor="_Toc95451873" w:history="1">
        <w:r w:rsidR="00042B49" w:rsidRPr="009D0700">
          <w:rPr>
            <w:rStyle w:val="Lienhypertexte"/>
            <w:noProof/>
          </w:rPr>
          <w:t>5.6.</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Egalité de sexe, genre et droits humains</w:t>
        </w:r>
        <w:r w:rsidR="00042B49">
          <w:rPr>
            <w:noProof/>
            <w:webHidden/>
          </w:rPr>
          <w:tab/>
        </w:r>
        <w:r w:rsidR="00042B49">
          <w:rPr>
            <w:noProof/>
            <w:webHidden/>
          </w:rPr>
          <w:fldChar w:fldCharType="begin"/>
        </w:r>
        <w:r w:rsidR="00042B49">
          <w:rPr>
            <w:noProof/>
            <w:webHidden/>
          </w:rPr>
          <w:instrText xml:space="preserve"> PAGEREF _Toc95451873 \h </w:instrText>
        </w:r>
        <w:r w:rsidR="00042B49">
          <w:rPr>
            <w:noProof/>
            <w:webHidden/>
          </w:rPr>
        </w:r>
        <w:r w:rsidR="00042B49">
          <w:rPr>
            <w:noProof/>
            <w:webHidden/>
          </w:rPr>
          <w:fldChar w:fldCharType="separate"/>
        </w:r>
        <w:r w:rsidR="00042B49">
          <w:rPr>
            <w:noProof/>
            <w:webHidden/>
          </w:rPr>
          <w:t>60</w:t>
        </w:r>
        <w:r w:rsidR="00042B49">
          <w:rPr>
            <w:noProof/>
            <w:webHidden/>
          </w:rPr>
          <w:fldChar w:fldCharType="end"/>
        </w:r>
      </w:hyperlink>
    </w:p>
    <w:p w14:paraId="056E9B9F" w14:textId="59207A59" w:rsidR="00042B49" w:rsidRDefault="00BD0DF0">
      <w:pPr>
        <w:pStyle w:val="TM2"/>
        <w:rPr>
          <w:rFonts w:asciiTheme="minorHAnsi" w:eastAsiaTheme="minorEastAsia" w:hAnsiTheme="minorHAnsi" w:cstheme="minorBidi"/>
          <w:bCs w:val="0"/>
          <w:iCs w:val="0"/>
          <w:noProof/>
          <w:szCs w:val="22"/>
          <w:lang w:val="en-US"/>
        </w:rPr>
      </w:pPr>
      <w:hyperlink w:anchor="_Toc95451874" w:history="1">
        <w:r w:rsidR="00042B49" w:rsidRPr="009D0700">
          <w:rPr>
            <w:rStyle w:val="Lienhypertexte"/>
            <w:noProof/>
          </w:rPr>
          <w:t>5.7.</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Inclusion des personnes handicapées</w:t>
        </w:r>
        <w:r w:rsidR="00042B49">
          <w:rPr>
            <w:noProof/>
            <w:webHidden/>
          </w:rPr>
          <w:tab/>
        </w:r>
        <w:r w:rsidR="00042B49">
          <w:rPr>
            <w:noProof/>
            <w:webHidden/>
          </w:rPr>
          <w:fldChar w:fldCharType="begin"/>
        </w:r>
        <w:r w:rsidR="00042B49">
          <w:rPr>
            <w:noProof/>
            <w:webHidden/>
          </w:rPr>
          <w:instrText xml:space="preserve"> PAGEREF _Toc95451874 \h </w:instrText>
        </w:r>
        <w:r w:rsidR="00042B49">
          <w:rPr>
            <w:noProof/>
            <w:webHidden/>
          </w:rPr>
        </w:r>
        <w:r w:rsidR="00042B49">
          <w:rPr>
            <w:noProof/>
            <w:webHidden/>
          </w:rPr>
          <w:fldChar w:fldCharType="separate"/>
        </w:r>
        <w:r w:rsidR="00042B49">
          <w:rPr>
            <w:noProof/>
            <w:webHidden/>
          </w:rPr>
          <w:t>64</w:t>
        </w:r>
        <w:r w:rsidR="00042B49">
          <w:rPr>
            <w:noProof/>
            <w:webHidden/>
          </w:rPr>
          <w:fldChar w:fldCharType="end"/>
        </w:r>
      </w:hyperlink>
    </w:p>
    <w:p w14:paraId="7F54C79F" w14:textId="44610013"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75" w:history="1">
        <w:r w:rsidR="00042B49" w:rsidRPr="009D0700">
          <w:rPr>
            <w:rStyle w:val="Lienhypertexte"/>
            <w:noProof/>
          </w:rPr>
          <w:t>6.</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CONCLUSIONS ET RECOMMANDATIONS</w:t>
        </w:r>
        <w:r w:rsidR="00042B49">
          <w:rPr>
            <w:noProof/>
            <w:webHidden/>
          </w:rPr>
          <w:tab/>
        </w:r>
        <w:r w:rsidR="00042B49">
          <w:rPr>
            <w:noProof/>
            <w:webHidden/>
          </w:rPr>
          <w:fldChar w:fldCharType="begin"/>
        </w:r>
        <w:r w:rsidR="00042B49">
          <w:rPr>
            <w:noProof/>
            <w:webHidden/>
          </w:rPr>
          <w:instrText xml:space="preserve"> PAGEREF _Toc95451875 \h </w:instrText>
        </w:r>
        <w:r w:rsidR="00042B49">
          <w:rPr>
            <w:noProof/>
            <w:webHidden/>
          </w:rPr>
        </w:r>
        <w:r w:rsidR="00042B49">
          <w:rPr>
            <w:noProof/>
            <w:webHidden/>
          </w:rPr>
          <w:fldChar w:fldCharType="separate"/>
        </w:r>
        <w:r w:rsidR="00042B49">
          <w:rPr>
            <w:noProof/>
            <w:webHidden/>
          </w:rPr>
          <w:t>66</w:t>
        </w:r>
        <w:r w:rsidR="00042B49">
          <w:rPr>
            <w:noProof/>
            <w:webHidden/>
          </w:rPr>
          <w:fldChar w:fldCharType="end"/>
        </w:r>
      </w:hyperlink>
    </w:p>
    <w:p w14:paraId="727B2D0C" w14:textId="35E338E6" w:rsidR="00042B49" w:rsidRDefault="00BD0DF0">
      <w:pPr>
        <w:pStyle w:val="TM2"/>
        <w:rPr>
          <w:rFonts w:asciiTheme="minorHAnsi" w:eastAsiaTheme="minorEastAsia" w:hAnsiTheme="minorHAnsi" w:cstheme="minorBidi"/>
          <w:bCs w:val="0"/>
          <w:iCs w:val="0"/>
          <w:noProof/>
          <w:szCs w:val="22"/>
          <w:lang w:val="en-US"/>
        </w:rPr>
      </w:pPr>
      <w:hyperlink w:anchor="_Toc95451876" w:history="1">
        <w:r w:rsidR="00042B49" w:rsidRPr="009D0700">
          <w:rPr>
            <w:rStyle w:val="Lienhypertexte"/>
            <w:noProof/>
          </w:rPr>
          <w:t>6.1.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Conclusion</w:t>
        </w:r>
        <w:r w:rsidR="00042B49">
          <w:rPr>
            <w:noProof/>
            <w:webHidden/>
          </w:rPr>
          <w:tab/>
        </w:r>
        <w:r w:rsidR="00042B49">
          <w:rPr>
            <w:noProof/>
            <w:webHidden/>
          </w:rPr>
          <w:fldChar w:fldCharType="begin"/>
        </w:r>
        <w:r w:rsidR="00042B49">
          <w:rPr>
            <w:noProof/>
            <w:webHidden/>
          </w:rPr>
          <w:instrText xml:space="preserve"> PAGEREF _Toc95451876 \h </w:instrText>
        </w:r>
        <w:r w:rsidR="00042B49">
          <w:rPr>
            <w:noProof/>
            <w:webHidden/>
          </w:rPr>
        </w:r>
        <w:r w:rsidR="00042B49">
          <w:rPr>
            <w:noProof/>
            <w:webHidden/>
          </w:rPr>
          <w:fldChar w:fldCharType="separate"/>
        </w:r>
        <w:r w:rsidR="00042B49">
          <w:rPr>
            <w:noProof/>
            <w:webHidden/>
          </w:rPr>
          <w:t>66</w:t>
        </w:r>
        <w:r w:rsidR="00042B49">
          <w:rPr>
            <w:noProof/>
            <w:webHidden/>
          </w:rPr>
          <w:fldChar w:fldCharType="end"/>
        </w:r>
      </w:hyperlink>
    </w:p>
    <w:p w14:paraId="7A7C2329" w14:textId="6EFCEBA5" w:rsidR="00042B49" w:rsidRDefault="00BD0DF0">
      <w:pPr>
        <w:pStyle w:val="TM2"/>
        <w:rPr>
          <w:rFonts w:asciiTheme="minorHAnsi" w:eastAsiaTheme="minorEastAsia" w:hAnsiTheme="minorHAnsi" w:cstheme="minorBidi"/>
          <w:bCs w:val="0"/>
          <w:iCs w:val="0"/>
          <w:noProof/>
          <w:szCs w:val="22"/>
          <w:lang w:val="en-US"/>
        </w:rPr>
      </w:pPr>
      <w:hyperlink w:anchor="_Toc95451877" w:history="1">
        <w:r w:rsidR="00042B49" w:rsidRPr="009D0700">
          <w:rPr>
            <w:rStyle w:val="Lienhypertexte"/>
            <w:noProof/>
          </w:rPr>
          <w:t>6.2.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Recommandations</w:t>
        </w:r>
        <w:r w:rsidR="00042B49">
          <w:rPr>
            <w:noProof/>
            <w:webHidden/>
          </w:rPr>
          <w:tab/>
        </w:r>
        <w:r w:rsidR="00042B49">
          <w:rPr>
            <w:noProof/>
            <w:webHidden/>
          </w:rPr>
          <w:fldChar w:fldCharType="begin"/>
        </w:r>
        <w:r w:rsidR="00042B49">
          <w:rPr>
            <w:noProof/>
            <w:webHidden/>
          </w:rPr>
          <w:instrText xml:space="preserve"> PAGEREF _Toc95451877 \h </w:instrText>
        </w:r>
        <w:r w:rsidR="00042B49">
          <w:rPr>
            <w:noProof/>
            <w:webHidden/>
          </w:rPr>
        </w:r>
        <w:r w:rsidR="00042B49">
          <w:rPr>
            <w:noProof/>
            <w:webHidden/>
          </w:rPr>
          <w:fldChar w:fldCharType="separate"/>
        </w:r>
        <w:r w:rsidR="00042B49">
          <w:rPr>
            <w:noProof/>
            <w:webHidden/>
          </w:rPr>
          <w:t>70</w:t>
        </w:r>
        <w:r w:rsidR="00042B49">
          <w:rPr>
            <w:noProof/>
            <w:webHidden/>
          </w:rPr>
          <w:fldChar w:fldCharType="end"/>
        </w:r>
      </w:hyperlink>
    </w:p>
    <w:p w14:paraId="075DDB34" w14:textId="03310417"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78" w:history="1">
        <w:r w:rsidR="00042B49" w:rsidRPr="009D0700">
          <w:rPr>
            <w:rStyle w:val="Lienhypertexte"/>
            <w:noProof/>
          </w:rPr>
          <w:t>7.</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ENSEIGNEMENTS TIRES</w:t>
        </w:r>
        <w:r w:rsidR="00042B49">
          <w:rPr>
            <w:noProof/>
            <w:webHidden/>
          </w:rPr>
          <w:tab/>
        </w:r>
        <w:r w:rsidR="00042B49">
          <w:rPr>
            <w:noProof/>
            <w:webHidden/>
          </w:rPr>
          <w:fldChar w:fldCharType="begin"/>
        </w:r>
        <w:r w:rsidR="00042B49">
          <w:rPr>
            <w:noProof/>
            <w:webHidden/>
          </w:rPr>
          <w:instrText xml:space="preserve"> PAGEREF _Toc95451878 \h </w:instrText>
        </w:r>
        <w:r w:rsidR="00042B49">
          <w:rPr>
            <w:noProof/>
            <w:webHidden/>
          </w:rPr>
        </w:r>
        <w:r w:rsidR="00042B49">
          <w:rPr>
            <w:noProof/>
            <w:webHidden/>
          </w:rPr>
          <w:fldChar w:fldCharType="separate"/>
        </w:r>
        <w:r w:rsidR="00042B49">
          <w:rPr>
            <w:noProof/>
            <w:webHidden/>
          </w:rPr>
          <w:t>72</w:t>
        </w:r>
        <w:r w:rsidR="00042B49">
          <w:rPr>
            <w:noProof/>
            <w:webHidden/>
          </w:rPr>
          <w:fldChar w:fldCharType="end"/>
        </w:r>
      </w:hyperlink>
    </w:p>
    <w:p w14:paraId="36AEFE62" w14:textId="068F0333" w:rsidR="00042B49" w:rsidRDefault="00BD0DF0">
      <w:pPr>
        <w:pStyle w:val="TM1"/>
        <w:rPr>
          <w:rFonts w:asciiTheme="minorHAnsi" w:eastAsiaTheme="minorEastAsia" w:hAnsiTheme="minorHAnsi" w:cstheme="minorBidi"/>
          <w:b w:val="0"/>
          <w:bCs w:val="0"/>
          <w:noProof/>
          <w:sz w:val="22"/>
          <w:szCs w:val="22"/>
          <w:lang w:val="en-US"/>
        </w:rPr>
      </w:pPr>
      <w:hyperlink w:anchor="_Toc95451879" w:history="1">
        <w:r w:rsidR="00042B49" w:rsidRPr="009D0700">
          <w:rPr>
            <w:rStyle w:val="Lienhypertexte"/>
            <w:noProof/>
          </w:rPr>
          <w:t>ANNEXE</w:t>
        </w:r>
        <w:r w:rsidR="00042B49">
          <w:rPr>
            <w:noProof/>
            <w:webHidden/>
          </w:rPr>
          <w:tab/>
        </w:r>
        <w:r w:rsidR="00042B49">
          <w:rPr>
            <w:noProof/>
            <w:webHidden/>
          </w:rPr>
          <w:fldChar w:fldCharType="begin"/>
        </w:r>
        <w:r w:rsidR="00042B49">
          <w:rPr>
            <w:noProof/>
            <w:webHidden/>
          </w:rPr>
          <w:instrText xml:space="preserve"> PAGEREF _Toc95451879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7261BAAF" w14:textId="56BB66B4" w:rsidR="00042B49" w:rsidRDefault="00BD0DF0">
      <w:pPr>
        <w:pStyle w:val="TM2"/>
        <w:rPr>
          <w:rFonts w:asciiTheme="minorHAnsi" w:eastAsiaTheme="minorEastAsia" w:hAnsiTheme="minorHAnsi" w:cstheme="minorBidi"/>
          <w:bCs w:val="0"/>
          <w:iCs w:val="0"/>
          <w:noProof/>
          <w:szCs w:val="22"/>
          <w:lang w:val="en-US"/>
        </w:rPr>
      </w:pPr>
      <w:hyperlink w:anchor="_Toc95451880" w:history="1">
        <w:r w:rsidR="00042B49" w:rsidRPr="009D0700">
          <w:rPr>
            <w:rStyle w:val="Lienhypertexte"/>
            <w:noProof/>
          </w:rPr>
          <w:t>Annexe 1 : Matrices d’évaluation</w:t>
        </w:r>
        <w:r w:rsidR="00042B49">
          <w:rPr>
            <w:noProof/>
            <w:webHidden/>
          </w:rPr>
          <w:tab/>
        </w:r>
        <w:r w:rsidR="00042B49">
          <w:rPr>
            <w:noProof/>
            <w:webHidden/>
          </w:rPr>
          <w:fldChar w:fldCharType="begin"/>
        </w:r>
        <w:r w:rsidR="00042B49">
          <w:rPr>
            <w:noProof/>
            <w:webHidden/>
          </w:rPr>
          <w:instrText xml:space="preserve"> PAGEREF _Toc95451880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2A43B78C" w14:textId="2FD0E5BC" w:rsidR="00042B49" w:rsidRDefault="00BD0DF0">
      <w:pPr>
        <w:pStyle w:val="TM2"/>
        <w:rPr>
          <w:rFonts w:asciiTheme="minorHAnsi" w:eastAsiaTheme="minorEastAsia" w:hAnsiTheme="minorHAnsi" w:cstheme="minorBidi"/>
          <w:bCs w:val="0"/>
          <w:iCs w:val="0"/>
          <w:noProof/>
          <w:szCs w:val="22"/>
          <w:lang w:val="en-US"/>
        </w:rPr>
      </w:pPr>
      <w:hyperlink w:anchor="_Toc95451881" w:history="1">
        <w:r w:rsidR="00042B49" w:rsidRPr="009D0700">
          <w:rPr>
            <w:rStyle w:val="Lienhypertexte"/>
            <w:noProof/>
          </w:rPr>
          <w:t>Annexe 2 : Documents et sites consultés</w:t>
        </w:r>
        <w:r w:rsidR="00042B49">
          <w:rPr>
            <w:noProof/>
            <w:webHidden/>
          </w:rPr>
          <w:tab/>
        </w:r>
        <w:r w:rsidR="00042B49">
          <w:rPr>
            <w:noProof/>
            <w:webHidden/>
          </w:rPr>
          <w:fldChar w:fldCharType="begin"/>
        </w:r>
        <w:r w:rsidR="00042B49">
          <w:rPr>
            <w:noProof/>
            <w:webHidden/>
          </w:rPr>
          <w:instrText xml:space="preserve"> PAGEREF _Toc95451881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02E545F6" w14:textId="43B0FD0B" w:rsidR="00042B49" w:rsidRDefault="00BD0DF0">
      <w:pPr>
        <w:pStyle w:val="TM2"/>
        <w:rPr>
          <w:rFonts w:asciiTheme="minorHAnsi" w:eastAsiaTheme="minorEastAsia" w:hAnsiTheme="minorHAnsi" w:cstheme="minorBidi"/>
          <w:bCs w:val="0"/>
          <w:iCs w:val="0"/>
          <w:noProof/>
          <w:szCs w:val="22"/>
          <w:lang w:val="en-US"/>
        </w:rPr>
      </w:pPr>
      <w:hyperlink w:anchor="_Toc95451882" w:history="1">
        <w:r w:rsidR="00042B49" w:rsidRPr="009D0700">
          <w:rPr>
            <w:rStyle w:val="Lienhypertexte"/>
            <w:noProof/>
          </w:rPr>
          <w:t>Annexe 3 : Cadre de résultats du projet</w:t>
        </w:r>
        <w:r w:rsidR="00042B49">
          <w:rPr>
            <w:noProof/>
            <w:webHidden/>
          </w:rPr>
          <w:tab/>
        </w:r>
        <w:r w:rsidR="00042B49">
          <w:rPr>
            <w:noProof/>
            <w:webHidden/>
          </w:rPr>
          <w:fldChar w:fldCharType="begin"/>
        </w:r>
        <w:r w:rsidR="00042B49">
          <w:rPr>
            <w:noProof/>
            <w:webHidden/>
          </w:rPr>
          <w:instrText xml:space="preserve"> PAGEREF _Toc95451882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30B9A883" w14:textId="467D3038" w:rsidR="00042B49" w:rsidRDefault="00BD0DF0">
      <w:pPr>
        <w:pStyle w:val="TM2"/>
        <w:rPr>
          <w:rFonts w:asciiTheme="minorHAnsi" w:eastAsiaTheme="minorEastAsia" w:hAnsiTheme="minorHAnsi" w:cstheme="minorBidi"/>
          <w:bCs w:val="0"/>
          <w:iCs w:val="0"/>
          <w:noProof/>
          <w:szCs w:val="22"/>
          <w:lang w:val="en-US"/>
        </w:rPr>
      </w:pPr>
      <w:hyperlink w:anchor="_Toc95451883" w:history="1">
        <w:r w:rsidR="00042B49" w:rsidRPr="009D0700">
          <w:rPr>
            <w:rStyle w:val="Lienhypertexte"/>
            <w:noProof/>
          </w:rPr>
          <w:t>Annexe 4 : Analyse des parties prenantes de l'évaluation</w:t>
        </w:r>
        <w:r w:rsidR="00042B49">
          <w:rPr>
            <w:noProof/>
            <w:webHidden/>
          </w:rPr>
          <w:tab/>
        </w:r>
        <w:r w:rsidR="00042B49">
          <w:rPr>
            <w:noProof/>
            <w:webHidden/>
          </w:rPr>
          <w:fldChar w:fldCharType="begin"/>
        </w:r>
        <w:r w:rsidR="00042B49">
          <w:rPr>
            <w:noProof/>
            <w:webHidden/>
          </w:rPr>
          <w:instrText xml:space="preserve"> PAGEREF _Toc95451883 \h </w:instrText>
        </w:r>
        <w:r w:rsidR="00042B49">
          <w:rPr>
            <w:noProof/>
            <w:webHidden/>
          </w:rPr>
        </w:r>
        <w:r w:rsidR="00042B49">
          <w:rPr>
            <w:noProof/>
            <w:webHidden/>
          </w:rPr>
          <w:fldChar w:fldCharType="separate"/>
        </w:r>
        <w:r w:rsidR="00042B49">
          <w:rPr>
            <w:noProof/>
            <w:webHidden/>
          </w:rPr>
          <w:t>IV</w:t>
        </w:r>
        <w:r w:rsidR="00042B49">
          <w:rPr>
            <w:noProof/>
            <w:webHidden/>
          </w:rPr>
          <w:fldChar w:fldCharType="end"/>
        </w:r>
      </w:hyperlink>
    </w:p>
    <w:p w14:paraId="5D8281A2" w14:textId="6E881ECB" w:rsidR="00042B49" w:rsidRDefault="00BD0DF0">
      <w:pPr>
        <w:pStyle w:val="TM2"/>
        <w:rPr>
          <w:rFonts w:asciiTheme="minorHAnsi" w:eastAsiaTheme="minorEastAsia" w:hAnsiTheme="minorHAnsi" w:cstheme="minorBidi"/>
          <w:bCs w:val="0"/>
          <w:iCs w:val="0"/>
          <w:noProof/>
          <w:szCs w:val="22"/>
          <w:lang w:val="en-US"/>
        </w:rPr>
      </w:pPr>
      <w:hyperlink w:anchor="_Toc95451884" w:history="1">
        <w:r w:rsidR="00042B49" w:rsidRPr="009D0700">
          <w:rPr>
            <w:rStyle w:val="Lienhypertexte"/>
            <w:noProof/>
          </w:rPr>
          <w:t>Annexe 5 : Outils de collecte des données</w:t>
        </w:r>
        <w:r w:rsidR="00042B49">
          <w:rPr>
            <w:noProof/>
            <w:webHidden/>
          </w:rPr>
          <w:tab/>
        </w:r>
        <w:r w:rsidR="00042B49">
          <w:rPr>
            <w:noProof/>
            <w:webHidden/>
          </w:rPr>
          <w:fldChar w:fldCharType="begin"/>
        </w:r>
        <w:r w:rsidR="00042B49">
          <w:rPr>
            <w:noProof/>
            <w:webHidden/>
          </w:rPr>
          <w:instrText xml:space="preserve"> PAGEREF _Toc95451884 \h </w:instrText>
        </w:r>
        <w:r w:rsidR="00042B49">
          <w:rPr>
            <w:noProof/>
            <w:webHidden/>
          </w:rPr>
        </w:r>
        <w:r w:rsidR="00042B49">
          <w:rPr>
            <w:noProof/>
            <w:webHidden/>
          </w:rPr>
          <w:fldChar w:fldCharType="separate"/>
        </w:r>
        <w:r w:rsidR="00042B49">
          <w:rPr>
            <w:noProof/>
            <w:webHidden/>
          </w:rPr>
          <w:t>VII</w:t>
        </w:r>
        <w:r w:rsidR="00042B49">
          <w:rPr>
            <w:noProof/>
            <w:webHidden/>
          </w:rPr>
          <w:fldChar w:fldCharType="end"/>
        </w:r>
      </w:hyperlink>
    </w:p>
    <w:p w14:paraId="72B3FEBD" w14:textId="18916FA4" w:rsidR="00042B49" w:rsidRDefault="00BD0DF0">
      <w:pPr>
        <w:pStyle w:val="TM2"/>
        <w:rPr>
          <w:rFonts w:asciiTheme="minorHAnsi" w:eastAsiaTheme="minorEastAsia" w:hAnsiTheme="minorHAnsi" w:cstheme="minorBidi"/>
          <w:bCs w:val="0"/>
          <w:iCs w:val="0"/>
          <w:noProof/>
          <w:szCs w:val="22"/>
          <w:lang w:val="en-US"/>
        </w:rPr>
      </w:pPr>
      <w:hyperlink w:anchor="_Toc95451885" w:history="1">
        <w:r w:rsidR="00042B49" w:rsidRPr="009D0700">
          <w:rPr>
            <w:rStyle w:val="Lienhypertexte"/>
            <w:noProof/>
          </w:rPr>
          <w:t>Annexe 6 : Liste des structures et acteurs rencontrés</w:t>
        </w:r>
        <w:r w:rsidR="00042B49">
          <w:rPr>
            <w:noProof/>
            <w:webHidden/>
          </w:rPr>
          <w:tab/>
        </w:r>
        <w:r w:rsidR="00042B49">
          <w:rPr>
            <w:noProof/>
            <w:webHidden/>
          </w:rPr>
          <w:fldChar w:fldCharType="begin"/>
        </w:r>
        <w:r w:rsidR="00042B49">
          <w:rPr>
            <w:noProof/>
            <w:webHidden/>
          </w:rPr>
          <w:instrText xml:space="preserve"> PAGEREF _Toc95451885 \h </w:instrText>
        </w:r>
        <w:r w:rsidR="00042B49">
          <w:rPr>
            <w:noProof/>
            <w:webHidden/>
          </w:rPr>
        </w:r>
        <w:r w:rsidR="00042B49">
          <w:rPr>
            <w:noProof/>
            <w:webHidden/>
          </w:rPr>
          <w:fldChar w:fldCharType="separate"/>
        </w:r>
        <w:r w:rsidR="00042B49">
          <w:rPr>
            <w:noProof/>
            <w:webHidden/>
          </w:rPr>
          <w:t>XXXVI</w:t>
        </w:r>
        <w:r w:rsidR="00042B49">
          <w:rPr>
            <w:noProof/>
            <w:webHidden/>
          </w:rPr>
          <w:fldChar w:fldCharType="end"/>
        </w:r>
      </w:hyperlink>
    </w:p>
    <w:p w14:paraId="7E407F29" w14:textId="2585F2F4" w:rsidR="00042B49" w:rsidRDefault="00BD0DF0">
      <w:pPr>
        <w:pStyle w:val="TM2"/>
        <w:rPr>
          <w:rFonts w:asciiTheme="minorHAnsi" w:eastAsiaTheme="minorEastAsia" w:hAnsiTheme="minorHAnsi" w:cstheme="minorBidi"/>
          <w:bCs w:val="0"/>
          <w:iCs w:val="0"/>
          <w:noProof/>
          <w:szCs w:val="22"/>
          <w:lang w:val="en-US"/>
        </w:rPr>
      </w:pPr>
      <w:hyperlink w:anchor="_Toc95451886" w:history="1">
        <w:r w:rsidR="00042B49" w:rsidRPr="009D0700">
          <w:rPr>
            <w:rStyle w:val="Lienhypertexte"/>
            <w:noProof/>
          </w:rPr>
          <w:t>Annexe 7 : Termes de référence de l’Evaluation finale</w:t>
        </w:r>
        <w:r w:rsidR="00042B49">
          <w:rPr>
            <w:noProof/>
            <w:webHidden/>
          </w:rPr>
          <w:tab/>
        </w:r>
        <w:r w:rsidR="00042B49">
          <w:rPr>
            <w:noProof/>
            <w:webHidden/>
          </w:rPr>
          <w:fldChar w:fldCharType="begin"/>
        </w:r>
        <w:r w:rsidR="00042B49">
          <w:rPr>
            <w:noProof/>
            <w:webHidden/>
          </w:rPr>
          <w:instrText xml:space="preserve"> PAGEREF _Toc95451886 \h </w:instrText>
        </w:r>
        <w:r w:rsidR="00042B49">
          <w:rPr>
            <w:noProof/>
            <w:webHidden/>
          </w:rPr>
        </w:r>
        <w:r w:rsidR="00042B49">
          <w:rPr>
            <w:noProof/>
            <w:webHidden/>
          </w:rPr>
          <w:fldChar w:fldCharType="separate"/>
        </w:r>
        <w:r w:rsidR="00042B49">
          <w:rPr>
            <w:noProof/>
            <w:webHidden/>
          </w:rPr>
          <w:t>XXXVII</w:t>
        </w:r>
        <w:r w:rsidR="00042B49">
          <w:rPr>
            <w:noProof/>
            <w:webHidden/>
          </w:rPr>
          <w:fldChar w:fldCharType="end"/>
        </w:r>
      </w:hyperlink>
    </w:p>
    <w:p w14:paraId="0B5B3452" w14:textId="704A81F8" w:rsidR="00042B49" w:rsidRDefault="00BD0DF0">
      <w:pPr>
        <w:pStyle w:val="TM2"/>
        <w:rPr>
          <w:rFonts w:asciiTheme="minorHAnsi" w:eastAsiaTheme="minorEastAsia" w:hAnsiTheme="minorHAnsi" w:cstheme="minorBidi"/>
          <w:bCs w:val="0"/>
          <w:iCs w:val="0"/>
          <w:noProof/>
          <w:szCs w:val="22"/>
          <w:lang w:val="en-US"/>
        </w:rPr>
      </w:pPr>
      <w:hyperlink w:anchor="_Toc95451887" w:history="1">
        <w:r w:rsidR="00042B49" w:rsidRPr="009D0700">
          <w:rPr>
            <w:rStyle w:val="Lienhypertexte"/>
            <w:noProof/>
          </w:rPr>
          <w:t>Annexe 8 : Liste des membres du groupe de gestion de l’évaluation</w:t>
        </w:r>
        <w:r w:rsidR="00042B49">
          <w:rPr>
            <w:noProof/>
            <w:webHidden/>
          </w:rPr>
          <w:tab/>
        </w:r>
        <w:r w:rsidR="00042B49">
          <w:rPr>
            <w:noProof/>
            <w:webHidden/>
          </w:rPr>
          <w:fldChar w:fldCharType="begin"/>
        </w:r>
        <w:r w:rsidR="00042B49">
          <w:rPr>
            <w:noProof/>
            <w:webHidden/>
          </w:rPr>
          <w:instrText xml:space="preserve"> PAGEREF _Toc95451887 \h </w:instrText>
        </w:r>
        <w:r w:rsidR="00042B49">
          <w:rPr>
            <w:noProof/>
            <w:webHidden/>
          </w:rPr>
        </w:r>
        <w:r w:rsidR="00042B49">
          <w:rPr>
            <w:noProof/>
            <w:webHidden/>
          </w:rPr>
          <w:fldChar w:fldCharType="separate"/>
        </w:r>
        <w:r w:rsidR="00042B49">
          <w:rPr>
            <w:noProof/>
            <w:webHidden/>
          </w:rPr>
          <w:t>LII</w:t>
        </w:r>
        <w:r w:rsidR="00042B49">
          <w:rPr>
            <w:noProof/>
            <w:webHidden/>
          </w:rPr>
          <w:fldChar w:fldCharType="end"/>
        </w:r>
      </w:hyperlink>
    </w:p>
    <w:p w14:paraId="44F2DAF9" w14:textId="336CCA03" w:rsidR="00042B49" w:rsidRDefault="00BD0DF0">
      <w:pPr>
        <w:pStyle w:val="TM2"/>
        <w:rPr>
          <w:rFonts w:asciiTheme="minorHAnsi" w:eastAsiaTheme="minorEastAsia" w:hAnsiTheme="minorHAnsi" w:cstheme="minorBidi"/>
          <w:bCs w:val="0"/>
          <w:iCs w:val="0"/>
          <w:noProof/>
          <w:szCs w:val="22"/>
          <w:lang w:val="en-US"/>
        </w:rPr>
      </w:pPr>
      <w:hyperlink w:anchor="_Toc95451888" w:history="1">
        <w:r w:rsidR="00042B49" w:rsidRPr="009D0700">
          <w:rPr>
            <w:rStyle w:val="Lienhypertexte"/>
            <w:noProof/>
          </w:rPr>
          <w:t>Annexe 9 : Liste des membres du groupe de référence de l’évaluation</w:t>
        </w:r>
        <w:r w:rsidR="00042B49">
          <w:rPr>
            <w:noProof/>
            <w:webHidden/>
          </w:rPr>
          <w:tab/>
        </w:r>
        <w:r w:rsidR="00042B49">
          <w:rPr>
            <w:noProof/>
            <w:webHidden/>
          </w:rPr>
          <w:fldChar w:fldCharType="begin"/>
        </w:r>
        <w:r w:rsidR="00042B49">
          <w:rPr>
            <w:noProof/>
            <w:webHidden/>
          </w:rPr>
          <w:instrText xml:space="preserve"> PAGEREF _Toc95451888 \h </w:instrText>
        </w:r>
        <w:r w:rsidR="00042B49">
          <w:rPr>
            <w:noProof/>
            <w:webHidden/>
          </w:rPr>
        </w:r>
        <w:r w:rsidR="00042B49">
          <w:rPr>
            <w:noProof/>
            <w:webHidden/>
          </w:rPr>
          <w:fldChar w:fldCharType="separate"/>
        </w:r>
        <w:r w:rsidR="00042B49">
          <w:rPr>
            <w:noProof/>
            <w:webHidden/>
          </w:rPr>
          <w:t>LII</w:t>
        </w:r>
        <w:r w:rsidR="00042B49">
          <w:rPr>
            <w:noProof/>
            <w:webHidden/>
          </w:rPr>
          <w:fldChar w:fldCharType="end"/>
        </w:r>
      </w:hyperlink>
    </w:p>
    <w:p w14:paraId="33C74A3D" w14:textId="33A62941" w:rsidR="00042B49" w:rsidRDefault="00BD0DF0">
      <w:pPr>
        <w:pStyle w:val="TM2"/>
        <w:rPr>
          <w:rFonts w:asciiTheme="minorHAnsi" w:eastAsiaTheme="minorEastAsia" w:hAnsiTheme="minorHAnsi" w:cstheme="minorBidi"/>
          <w:bCs w:val="0"/>
          <w:iCs w:val="0"/>
          <w:noProof/>
          <w:szCs w:val="22"/>
          <w:lang w:val="en-US"/>
        </w:rPr>
      </w:pPr>
      <w:hyperlink w:anchor="_Toc95451889" w:history="1">
        <w:r w:rsidR="00042B49" w:rsidRPr="009D0700">
          <w:rPr>
            <w:rStyle w:val="Lienhypertexte"/>
            <w:noProof/>
          </w:rPr>
          <w:t>Annexe 10 : Présentation des membres de l’équipe d’évaluation</w:t>
        </w:r>
        <w:r w:rsidR="00042B49">
          <w:rPr>
            <w:noProof/>
            <w:webHidden/>
          </w:rPr>
          <w:tab/>
        </w:r>
        <w:r w:rsidR="00042B49">
          <w:rPr>
            <w:noProof/>
            <w:webHidden/>
          </w:rPr>
          <w:fldChar w:fldCharType="begin"/>
        </w:r>
        <w:r w:rsidR="00042B49">
          <w:rPr>
            <w:noProof/>
            <w:webHidden/>
          </w:rPr>
          <w:instrText xml:space="preserve"> PAGEREF _Toc95451889 \h </w:instrText>
        </w:r>
        <w:r w:rsidR="00042B49">
          <w:rPr>
            <w:noProof/>
            <w:webHidden/>
          </w:rPr>
        </w:r>
        <w:r w:rsidR="00042B49">
          <w:rPr>
            <w:noProof/>
            <w:webHidden/>
          </w:rPr>
          <w:fldChar w:fldCharType="separate"/>
        </w:r>
        <w:r w:rsidR="00042B49">
          <w:rPr>
            <w:noProof/>
            <w:webHidden/>
          </w:rPr>
          <w:t>LIV</w:t>
        </w:r>
        <w:r w:rsidR="00042B49">
          <w:rPr>
            <w:noProof/>
            <w:webHidden/>
          </w:rPr>
          <w:fldChar w:fldCharType="end"/>
        </w:r>
      </w:hyperlink>
    </w:p>
    <w:p w14:paraId="7F77E072" w14:textId="634EE66A" w:rsidR="00042B49" w:rsidRDefault="00BD0DF0">
      <w:pPr>
        <w:pStyle w:val="TM2"/>
        <w:rPr>
          <w:rFonts w:asciiTheme="minorHAnsi" w:eastAsiaTheme="minorEastAsia" w:hAnsiTheme="minorHAnsi" w:cstheme="minorBidi"/>
          <w:bCs w:val="0"/>
          <w:iCs w:val="0"/>
          <w:noProof/>
          <w:szCs w:val="22"/>
          <w:lang w:val="en-US"/>
        </w:rPr>
      </w:pPr>
      <w:hyperlink w:anchor="_Toc95451890" w:history="1">
        <w:r w:rsidR="00042B49" w:rsidRPr="009D0700">
          <w:rPr>
            <w:rStyle w:val="Lienhypertexte"/>
            <w:noProof/>
          </w:rPr>
          <w:t>Annexe 11 : Liste des enquêteurs et enquêtrices</w:t>
        </w:r>
        <w:r w:rsidR="00042B49">
          <w:rPr>
            <w:noProof/>
            <w:webHidden/>
          </w:rPr>
          <w:tab/>
        </w:r>
        <w:r w:rsidR="00042B49">
          <w:rPr>
            <w:noProof/>
            <w:webHidden/>
          </w:rPr>
          <w:fldChar w:fldCharType="begin"/>
        </w:r>
        <w:r w:rsidR="00042B49">
          <w:rPr>
            <w:noProof/>
            <w:webHidden/>
          </w:rPr>
          <w:instrText xml:space="preserve"> PAGEREF _Toc95451890 \h </w:instrText>
        </w:r>
        <w:r w:rsidR="00042B49">
          <w:rPr>
            <w:noProof/>
            <w:webHidden/>
          </w:rPr>
        </w:r>
        <w:r w:rsidR="00042B49">
          <w:rPr>
            <w:noProof/>
            <w:webHidden/>
          </w:rPr>
          <w:fldChar w:fldCharType="separate"/>
        </w:r>
        <w:r w:rsidR="00042B49">
          <w:rPr>
            <w:noProof/>
            <w:webHidden/>
          </w:rPr>
          <w:t>LXIX</w:t>
        </w:r>
        <w:r w:rsidR="00042B49">
          <w:rPr>
            <w:noProof/>
            <w:webHidden/>
          </w:rPr>
          <w:fldChar w:fldCharType="end"/>
        </w:r>
      </w:hyperlink>
    </w:p>
    <w:p w14:paraId="34EA70E6" w14:textId="64520E6A" w:rsidR="00042B49" w:rsidRDefault="00BD0DF0">
      <w:pPr>
        <w:pStyle w:val="TM2"/>
        <w:rPr>
          <w:rFonts w:asciiTheme="minorHAnsi" w:eastAsiaTheme="minorEastAsia" w:hAnsiTheme="minorHAnsi" w:cstheme="minorBidi"/>
          <w:bCs w:val="0"/>
          <w:iCs w:val="0"/>
          <w:noProof/>
          <w:szCs w:val="22"/>
          <w:lang w:val="en-US"/>
        </w:rPr>
      </w:pPr>
      <w:hyperlink w:anchor="_Toc95451891" w:history="1">
        <w:r w:rsidR="00042B49" w:rsidRPr="009D0700">
          <w:rPr>
            <w:rStyle w:val="Lienhypertexte"/>
            <w:noProof/>
          </w:rPr>
          <w:t>Annexe 12 : CV des enquêteurs et enquêtrices</w:t>
        </w:r>
        <w:r w:rsidR="00042B49">
          <w:rPr>
            <w:noProof/>
            <w:webHidden/>
          </w:rPr>
          <w:tab/>
        </w:r>
        <w:r w:rsidR="00042B49">
          <w:rPr>
            <w:noProof/>
            <w:webHidden/>
          </w:rPr>
          <w:fldChar w:fldCharType="begin"/>
        </w:r>
        <w:r w:rsidR="00042B49">
          <w:rPr>
            <w:noProof/>
            <w:webHidden/>
          </w:rPr>
          <w:instrText xml:space="preserve"> PAGEREF _Toc95451891 \h </w:instrText>
        </w:r>
        <w:r w:rsidR="00042B49">
          <w:rPr>
            <w:noProof/>
            <w:webHidden/>
          </w:rPr>
        </w:r>
        <w:r w:rsidR="00042B49">
          <w:rPr>
            <w:noProof/>
            <w:webHidden/>
          </w:rPr>
          <w:fldChar w:fldCharType="separate"/>
        </w:r>
        <w:r w:rsidR="00042B49">
          <w:rPr>
            <w:noProof/>
            <w:webHidden/>
          </w:rPr>
          <w:t>LXX</w:t>
        </w:r>
        <w:r w:rsidR="00042B49">
          <w:rPr>
            <w:noProof/>
            <w:webHidden/>
          </w:rPr>
          <w:fldChar w:fldCharType="end"/>
        </w:r>
      </w:hyperlink>
    </w:p>
    <w:p w14:paraId="20F9E838" w14:textId="5CFC8FB7" w:rsidR="00042B49" w:rsidRDefault="00BD0DF0">
      <w:pPr>
        <w:pStyle w:val="TM2"/>
        <w:rPr>
          <w:rFonts w:asciiTheme="minorHAnsi" w:eastAsiaTheme="minorEastAsia" w:hAnsiTheme="minorHAnsi" w:cstheme="minorBidi"/>
          <w:bCs w:val="0"/>
          <w:iCs w:val="0"/>
          <w:noProof/>
          <w:szCs w:val="22"/>
          <w:lang w:val="en-US"/>
        </w:rPr>
      </w:pPr>
      <w:hyperlink w:anchor="_Toc95451892" w:history="1">
        <w:r w:rsidR="00042B49" w:rsidRPr="009D0700">
          <w:rPr>
            <w:rStyle w:val="Lienhypertexte"/>
            <w:noProof/>
          </w:rPr>
          <w:t>Annexe 13 : Résultats de l’enquête quantitative auprès des bénéficiaires directs</w:t>
        </w:r>
        <w:r w:rsidR="00042B49">
          <w:rPr>
            <w:noProof/>
            <w:webHidden/>
          </w:rPr>
          <w:tab/>
        </w:r>
        <w:r w:rsidR="00042B49">
          <w:rPr>
            <w:noProof/>
            <w:webHidden/>
          </w:rPr>
          <w:fldChar w:fldCharType="begin"/>
        </w:r>
        <w:r w:rsidR="00042B49">
          <w:rPr>
            <w:noProof/>
            <w:webHidden/>
          </w:rPr>
          <w:instrText xml:space="preserve"> PAGEREF _Toc95451892 \h </w:instrText>
        </w:r>
        <w:r w:rsidR="00042B49">
          <w:rPr>
            <w:noProof/>
            <w:webHidden/>
          </w:rPr>
        </w:r>
        <w:r w:rsidR="00042B49">
          <w:rPr>
            <w:noProof/>
            <w:webHidden/>
          </w:rPr>
          <w:fldChar w:fldCharType="separate"/>
        </w:r>
        <w:r w:rsidR="00042B49">
          <w:rPr>
            <w:noProof/>
            <w:webHidden/>
          </w:rPr>
          <w:t>LXXXVII</w:t>
        </w:r>
        <w:r w:rsidR="00042B49">
          <w:rPr>
            <w:noProof/>
            <w:webHidden/>
          </w:rPr>
          <w:fldChar w:fldCharType="end"/>
        </w:r>
      </w:hyperlink>
    </w:p>
    <w:p w14:paraId="2E4E7CD1" w14:textId="2B924ACF" w:rsidR="00042B49" w:rsidRDefault="00BD0DF0">
      <w:pPr>
        <w:pStyle w:val="TM2"/>
        <w:rPr>
          <w:rFonts w:asciiTheme="minorHAnsi" w:eastAsiaTheme="minorEastAsia" w:hAnsiTheme="minorHAnsi" w:cstheme="minorBidi"/>
          <w:bCs w:val="0"/>
          <w:iCs w:val="0"/>
          <w:noProof/>
          <w:szCs w:val="22"/>
          <w:lang w:val="en-US"/>
        </w:rPr>
      </w:pPr>
      <w:hyperlink w:anchor="_Toc95451893" w:history="1">
        <w:r w:rsidR="00042B49" w:rsidRPr="009D0700">
          <w:rPr>
            <w:rStyle w:val="Lienhypertexte"/>
            <w:noProof/>
          </w:rPr>
          <w:t>Annexe 14 : Situation finale du cadre de résultat du projet</w:t>
        </w:r>
        <w:r w:rsidR="00042B49">
          <w:rPr>
            <w:noProof/>
            <w:webHidden/>
          </w:rPr>
          <w:tab/>
        </w:r>
        <w:r w:rsidR="00042B49">
          <w:rPr>
            <w:noProof/>
            <w:webHidden/>
          </w:rPr>
          <w:fldChar w:fldCharType="begin"/>
        </w:r>
        <w:r w:rsidR="00042B49">
          <w:rPr>
            <w:noProof/>
            <w:webHidden/>
          </w:rPr>
          <w:instrText xml:space="preserve"> PAGEREF _Toc95451893 \h </w:instrText>
        </w:r>
        <w:r w:rsidR="00042B49">
          <w:rPr>
            <w:noProof/>
            <w:webHidden/>
          </w:rPr>
        </w:r>
        <w:r w:rsidR="00042B49">
          <w:rPr>
            <w:noProof/>
            <w:webHidden/>
          </w:rPr>
          <w:fldChar w:fldCharType="separate"/>
        </w:r>
        <w:r w:rsidR="00042B49">
          <w:rPr>
            <w:noProof/>
            <w:webHidden/>
          </w:rPr>
          <w:t>XCIX</w:t>
        </w:r>
        <w:r w:rsidR="00042B49">
          <w:rPr>
            <w:noProof/>
            <w:webHidden/>
          </w:rPr>
          <w:fldChar w:fldCharType="end"/>
        </w:r>
      </w:hyperlink>
    </w:p>
    <w:p w14:paraId="6A05A809" w14:textId="14173AEA" w:rsidR="00161E51" w:rsidRDefault="005D4D2C" w:rsidP="00E76F07">
      <w:pPr>
        <w:spacing w:before="0" w:after="0" w:line="276" w:lineRule="auto"/>
        <w:jc w:val="left"/>
        <w:rPr>
          <w:rFonts w:ascii="Times New Roman" w:hAnsi="Times New Roman" w:cs="Times New Roman"/>
          <w:b/>
        </w:rPr>
      </w:pPr>
      <w:r w:rsidRPr="00E76F07">
        <w:rPr>
          <w:rFonts w:cs="Times New Roman"/>
          <w:sz w:val="24"/>
          <w:szCs w:val="20"/>
        </w:rPr>
        <w:fldChar w:fldCharType="end"/>
      </w:r>
    </w:p>
    <w:p w14:paraId="1B6956D5" w14:textId="4234BABC" w:rsidR="00FF0F21" w:rsidRDefault="00FF0F21">
      <w:pPr>
        <w:rPr>
          <w:caps/>
        </w:rPr>
      </w:pPr>
      <w:bookmarkStart w:id="2" w:name="_Toc39563187"/>
      <w:r>
        <w:rPr>
          <w:caps/>
        </w:rPr>
        <w:br w:type="page"/>
      </w:r>
    </w:p>
    <w:p w14:paraId="7BECA6BE" w14:textId="6C6FB40C" w:rsidR="00FA6CA3" w:rsidRDefault="009B0172" w:rsidP="00F564A4">
      <w:pPr>
        <w:pStyle w:val="Titre1"/>
        <w:rPr>
          <w:caps/>
        </w:rPr>
      </w:pPr>
      <w:bookmarkStart w:id="3" w:name="_Toc95451839"/>
      <w:r>
        <w:t>REMERCIEMENTS</w:t>
      </w:r>
      <w:bookmarkEnd w:id="3"/>
    </w:p>
    <w:p w14:paraId="7DDCE676" w14:textId="77777777" w:rsidR="005F2AB4" w:rsidRPr="008772DB" w:rsidRDefault="005F2AB4" w:rsidP="00F352BC">
      <w:pPr>
        <w:rPr>
          <w:rFonts w:cs="Tahoma"/>
          <w:color w:val="000000"/>
          <w:sz w:val="12"/>
          <w:szCs w:val="12"/>
        </w:rPr>
      </w:pPr>
    </w:p>
    <w:p w14:paraId="558A5B82" w14:textId="7529307D" w:rsidR="00F352BC" w:rsidRPr="005F2AB4" w:rsidRDefault="00FA6CA3" w:rsidP="008772DB">
      <w:pPr>
        <w:spacing w:line="276" w:lineRule="auto"/>
        <w:rPr>
          <w:rFonts w:cs="Tahoma"/>
          <w:color w:val="000000"/>
        </w:rPr>
      </w:pPr>
      <w:r w:rsidRPr="005F2AB4">
        <w:rPr>
          <w:rFonts w:cs="Tahoma"/>
          <w:color w:val="000000"/>
        </w:rPr>
        <w:t>L</w:t>
      </w:r>
      <w:r w:rsidR="00E31643" w:rsidRPr="005F2AB4">
        <w:rPr>
          <w:rFonts w:cs="Tahoma"/>
          <w:color w:val="000000"/>
        </w:rPr>
        <w:t>e cabinet d’étude</w:t>
      </w:r>
      <w:r w:rsidR="005F2AB4">
        <w:rPr>
          <w:rFonts w:cs="Tahoma"/>
          <w:color w:val="000000"/>
        </w:rPr>
        <w:t>s</w:t>
      </w:r>
      <w:r w:rsidR="00E31643" w:rsidRPr="005F2AB4">
        <w:rPr>
          <w:rFonts w:cs="Tahoma"/>
          <w:color w:val="000000"/>
        </w:rPr>
        <w:t xml:space="preserve"> AMD International en charge de </w:t>
      </w:r>
      <w:r w:rsidRPr="005F2AB4">
        <w:rPr>
          <w:rFonts w:cs="Tahoma"/>
          <w:color w:val="000000"/>
        </w:rPr>
        <w:t xml:space="preserve">l’évaluation finale indépendante du </w:t>
      </w:r>
      <w:r w:rsidR="005F2AB4">
        <w:rPr>
          <w:rFonts w:cs="Tahoma"/>
          <w:color w:val="000000"/>
        </w:rPr>
        <w:t>« </w:t>
      </w:r>
      <w:r w:rsidR="005F2AB4">
        <w:rPr>
          <w:rFonts w:cs="Tahoma"/>
          <w:i/>
          <w:iCs/>
          <w:color w:val="000000"/>
        </w:rPr>
        <w:t>P</w:t>
      </w:r>
      <w:r w:rsidR="00E31643" w:rsidRPr="005F2AB4">
        <w:rPr>
          <w:rFonts w:cs="Tahoma"/>
          <w:i/>
          <w:iCs/>
          <w:color w:val="000000"/>
        </w:rPr>
        <w:t>rojet Appui aux initiatives transfrontalières de dialogue communautaire avec les acteurs du secteur de la sécurité et de la justice pour la consolidation de la paix au Mali et au Niger</w:t>
      </w:r>
      <w:r w:rsidR="005F2AB4">
        <w:rPr>
          <w:rFonts w:cs="Tahoma"/>
          <w:i/>
          <w:iCs/>
          <w:color w:val="000000"/>
        </w:rPr>
        <w:t> »</w:t>
      </w:r>
      <w:r w:rsidR="00E31643" w:rsidRPr="005F2AB4">
        <w:rPr>
          <w:rFonts w:cs="Tahoma"/>
          <w:color w:val="000000"/>
        </w:rPr>
        <w:t>,</w:t>
      </w:r>
      <w:r w:rsidRPr="005F2AB4">
        <w:rPr>
          <w:rFonts w:cs="Tahoma"/>
          <w:color w:val="000000"/>
        </w:rPr>
        <w:t xml:space="preserve"> tient à remercier le</w:t>
      </w:r>
      <w:r w:rsidR="00E31643" w:rsidRPr="005F2AB4">
        <w:rPr>
          <w:rFonts w:cs="Tahoma"/>
          <w:color w:val="000000"/>
        </w:rPr>
        <w:t xml:space="preserve">s </w:t>
      </w:r>
      <w:r w:rsidRPr="005F2AB4">
        <w:rPr>
          <w:rFonts w:cs="Tahoma"/>
          <w:color w:val="000000"/>
        </w:rPr>
        <w:t>Bureau</w:t>
      </w:r>
      <w:r w:rsidR="00E31643" w:rsidRPr="005F2AB4">
        <w:rPr>
          <w:rFonts w:cs="Tahoma"/>
          <w:color w:val="000000"/>
        </w:rPr>
        <w:t>x</w:t>
      </w:r>
      <w:r w:rsidRPr="005F2AB4">
        <w:rPr>
          <w:rFonts w:cs="Tahoma"/>
          <w:color w:val="000000"/>
        </w:rPr>
        <w:t xml:space="preserve"> Pays d’ONU Femmes Mali </w:t>
      </w:r>
      <w:r w:rsidR="00E31643" w:rsidRPr="005F2AB4">
        <w:rPr>
          <w:rFonts w:cs="Tahoma"/>
          <w:color w:val="000000"/>
        </w:rPr>
        <w:t xml:space="preserve">et Niger et les </w:t>
      </w:r>
      <w:r w:rsidR="005F2AB4">
        <w:rPr>
          <w:rFonts w:cs="Tahoma"/>
          <w:color w:val="000000"/>
        </w:rPr>
        <w:t>B</w:t>
      </w:r>
      <w:r w:rsidR="00E31643" w:rsidRPr="005F2AB4">
        <w:rPr>
          <w:rFonts w:cs="Tahoma"/>
          <w:color w:val="000000"/>
        </w:rPr>
        <w:t xml:space="preserve">ureaux pays de ONUDC ainsi que les ONG locales (CRADE, CAR.D, ADL et RESPECO) </w:t>
      </w:r>
      <w:r w:rsidRPr="005F2AB4">
        <w:rPr>
          <w:rFonts w:cs="Tahoma"/>
          <w:color w:val="000000"/>
        </w:rPr>
        <w:t xml:space="preserve">pour </w:t>
      </w:r>
      <w:r w:rsidR="00E31643" w:rsidRPr="005F2AB4">
        <w:rPr>
          <w:rFonts w:cs="Tahoma"/>
          <w:color w:val="000000"/>
        </w:rPr>
        <w:t>l</w:t>
      </w:r>
      <w:r w:rsidR="00C10F2F" w:rsidRPr="005F2AB4">
        <w:rPr>
          <w:rFonts w:cs="Tahoma"/>
          <w:color w:val="000000"/>
        </w:rPr>
        <w:t xml:space="preserve">a </w:t>
      </w:r>
      <w:r w:rsidR="00E31643" w:rsidRPr="005F2AB4">
        <w:rPr>
          <w:rFonts w:cs="Tahoma"/>
          <w:color w:val="000000"/>
        </w:rPr>
        <w:t xml:space="preserve">disponibilité, </w:t>
      </w:r>
      <w:r w:rsidRPr="005F2AB4">
        <w:rPr>
          <w:rFonts w:cs="Tahoma"/>
          <w:color w:val="000000"/>
        </w:rPr>
        <w:t>l</w:t>
      </w:r>
      <w:r w:rsidR="00C10F2F" w:rsidRPr="005F2AB4">
        <w:rPr>
          <w:rFonts w:cs="Tahoma"/>
          <w:color w:val="000000"/>
        </w:rPr>
        <w:t xml:space="preserve">a facilitation et </w:t>
      </w:r>
      <w:r w:rsidR="00E31643" w:rsidRPr="005F2AB4">
        <w:rPr>
          <w:rFonts w:cs="Tahoma"/>
          <w:color w:val="000000"/>
        </w:rPr>
        <w:t>le suivi des travaux</w:t>
      </w:r>
      <w:r w:rsidRPr="005F2AB4">
        <w:rPr>
          <w:rFonts w:cs="Tahoma"/>
          <w:color w:val="000000"/>
        </w:rPr>
        <w:t xml:space="preserve">. </w:t>
      </w:r>
      <w:r w:rsidR="00C10F2F" w:rsidRPr="005F2AB4">
        <w:rPr>
          <w:rFonts w:cs="Tahoma"/>
          <w:color w:val="000000"/>
        </w:rPr>
        <w:t>L</w:t>
      </w:r>
      <w:r w:rsidRPr="005F2AB4">
        <w:rPr>
          <w:rFonts w:cs="Tahoma"/>
          <w:color w:val="000000"/>
        </w:rPr>
        <w:t>es informations</w:t>
      </w:r>
      <w:r w:rsidR="00C10F2F" w:rsidRPr="005F2AB4">
        <w:rPr>
          <w:rFonts w:cs="Tahoma"/>
          <w:color w:val="000000"/>
        </w:rPr>
        <w:t>,</w:t>
      </w:r>
      <w:r w:rsidRPr="005F2AB4">
        <w:rPr>
          <w:rFonts w:cs="Tahoma"/>
          <w:color w:val="000000"/>
        </w:rPr>
        <w:t xml:space="preserve"> documents </w:t>
      </w:r>
      <w:r w:rsidR="00C10F2F" w:rsidRPr="005F2AB4">
        <w:rPr>
          <w:rFonts w:cs="Tahoma"/>
          <w:color w:val="000000"/>
        </w:rPr>
        <w:t xml:space="preserve">et rapports </w:t>
      </w:r>
      <w:r w:rsidRPr="005F2AB4">
        <w:rPr>
          <w:rFonts w:cs="Tahoma"/>
          <w:color w:val="000000"/>
        </w:rPr>
        <w:t>nécessaires à la réalisation de</w:t>
      </w:r>
      <w:r w:rsidR="00E31643" w:rsidRPr="005F2AB4">
        <w:rPr>
          <w:rFonts w:cs="Tahoma"/>
          <w:color w:val="000000"/>
        </w:rPr>
        <w:t xml:space="preserve"> </w:t>
      </w:r>
      <w:r w:rsidRPr="005F2AB4">
        <w:rPr>
          <w:rFonts w:cs="Tahoma"/>
          <w:color w:val="000000"/>
        </w:rPr>
        <w:t>l’évaluation</w:t>
      </w:r>
      <w:r w:rsidR="00C10F2F" w:rsidRPr="005F2AB4">
        <w:rPr>
          <w:rFonts w:cs="Tahoma"/>
          <w:color w:val="000000"/>
        </w:rPr>
        <w:t xml:space="preserve"> ont été mise à disposition</w:t>
      </w:r>
      <w:r w:rsidRPr="005F2AB4">
        <w:rPr>
          <w:rFonts w:cs="Tahoma"/>
          <w:color w:val="000000"/>
        </w:rPr>
        <w:t>.</w:t>
      </w:r>
      <w:r w:rsidR="00C10F2F" w:rsidRPr="005F2AB4">
        <w:rPr>
          <w:rFonts w:cs="Tahoma"/>
          <w:color w:val="000000"/>
        </w:rPr>
        <w:t xml:space="preserve"> </w:t>
      </w:r>
    </w:p>
    <w:p w14:paraId="784D9A0C" w14:textId="12D28DCD" w:rsidR="00F352BC" w:rsidRPr="005F2AB4" w:rsidRDefault="00FA6CA3" w:rsidP="00C62F7E">
      <w:pPr>
        <w:spacing w:line="240" w:lineRule="auto"/>
        <w:rPr>
          <w:rFonts w:cs="Tahoma"/>
          <w:color w:val="000000"/>
        </w:rPr>
      </w:pPr>
      <w:r w:rsidRPr="005F2AB4">
        <w:rPr>
          <w:rFonts w:cs="Tahoma"/>
          <w:color w:val="000000"/>
        </w:rPr>
        <w:t xml:space="preserve">Nous remercions particulièrement le bailleur de fonds, </w:t>
      </w:r>
      <w:r w:rsidR="00C10F2F" w:rsidRPr="005F2AB4">
        <w:rPr>
          <w:rFonts w:cs="Tahoma"/>
          <w:color w:val="000000"/>
        </w:rPr>
        <w:t xml:space="preserve">le Fonds de Consolidation de la </w:t>
      </w:r>
      <w:r w:rsidR="005F2AB4">
        <w:rPr>
          <w:rFonts w:cs="Tahoma"/>
          <w:color w:val="000000"/>
        </w:rPr>
        <w:t>P</w:t>
      </w:r>
      <w:r w:rsidR="00C10F2F" w:rsidRPr="005F2AB4">
        <w:rPr>
          <w:rFonts w:cs="Tahoma"/>
          <w:color w:val="000000"/>
        </w:rPr>
        <w:t>aix</w:t>
      </w:r>
      <w:r w:rsidR="005F2AB4">
        <w:rPr>
          <w:rFonts w:cs="Tahoma"/>
          <w:color w:val="000000"/>
        </w:rPr>
        <w:t xml:space="preserve"> (PBF)</w:t>
      </w:r>
      <w:r w:rsidR="00C10F2F" w:rsidRPr="005F2AB4">
        <w:rPr>
          <w:rFonts w:cs="Tahoma"/>
          <w:color w:val="000000"/>
        </w:rPr>
        <w:t xml:space="preserve"> </w:t>
      </w:r>
      <w:r w:rsidRPr="005F2AB4">
        <w:rPr>
          <w:rFonts w:cs="Tahoma"/>
          <w:color w:val="000000"/>
        </w:rPr>
        <w:t>qui a</w:t>
      </w:r>
      <w:r w:rsidR="00C10F2F" w:rsidRPr="005F2AB4">
        <w:rPr>
          <w:rFonts w:cs="Tahoma"/>
          <w:color w:val="000000"/>
        </w:rPr>
        <w:t xml:space="preserve"> </w:t>
      </w:r>
      <w:r w:rsidRPr="005F2AB4">
        <w:rPr>
          <w:rFonts w:cs="Tahoma"/>
          <w:color w:val="000000"/>
        </w:rPr>
        <w:t xml:space="preserve">accepté </w:t>
      </w:r>
      <w:r w:rsidR="00C10F2F" w:rsidRPr="005F2AB4">
        <w:rPr>
          <w:rFonts w:cs="Tahoma"/>
          <w:color w:val="000000"/>
        </w:rPr>
        <w:t xml:space="preserve">se soumettre </w:t>
      </w:r>
      <w:r w:rsidRPr="005F2AB4">
        <w:rPr>
          <w:rFonts w:cs="Tahoma"/>
          <w:color w:val="000000"/>
        </w:rPr>
        <w:t xml:space="preserve">à </w:t>
      </w:r>
      <w:r w:rsidR="00C10F2F" w:rsidRPr="005F2AB4">
        <w:rPr>
          <w:rFonts w:cs="Tahoma"/>
          <w:color w:val="000000"/>
        </w:rPr>
        <w:t xml:space="preserve">la collecte de données et de participer aux rencontres de validation des livrables. </w:t>
      </w:r>
    </w:p>
    <w:p w14:paraId="48B21D51" w14:textId="195317C1" w:rsidR="00F352BC" w:rsidRPr="005F2AB4" w:rsidRDefault="00FA6CA3" w:rsidP="008772DB">
      <w:pPr>
        <w:spacing w:line="276" w:lineRule="auto"/>
        <w:rPr>
          <w:rFonts w:cs="Tahoma"/>
          <w:color w:val="000000"/>
        </w:rPr>
      </w:pPr>
      <w:r w:rsidRPr="005F2AB4">
        <w:rPr>
          <w:rFonts w:cs="Tahoma"/>
          <w:color w:val="000000"/>
        </w:rPr>
        <w:t>Nos remerciements vont également aux</w:t>
      </w:r>
      <w:r w:rsidR="00D11868" w:rsidRPr="005F2AB4">
        <w:rPr>
          <w:rFonts w:cs="Tahoma"/>
          <w:color w:val="000000"/>
        </w:rPr>
        <w:t xml:space="preserve"> acteurs des institutions publiques et des</w:t>
      </w:r>
      <w:r w:rsidRPr="005F2AB4">
        <w:rPr>
          <w:rFonts w:cs="Tahoma"/>
          <w:color w:val="000000"/>
        </w:rPr>
        <w:t xml:space="preserve"> départements ministériels </w:t>
      </w:r>
      <w:r w:rsidR="00D11868" w:rsidRPr="005F2AB4">
        <w:rPr>
          <w:rFonts w:cs="Tahoma"/>
          <w:color w:val="000000"/>
        </w:rPr>
        <w:t xml:space="preserve">du Mali et du Niger </w:t>
      </w:r>
      <w:r w:rsidRPr="005F2AB4">
        <w:rPr>
          <w:rFonts w:cs="Tahoma"/>
          <w:color w:val="000000"/>
        </w:rPr>
        <w:t>au niveau central</w:t>
      </w:r>
      <w:r w:rsidR="00D11868" w:rsidRPr="005F2AB4">
        <w:rPr>
          <w:rFonts w:cs="Tahoma"/>
          <w:color w:val="000000"/>
        </w:rPr>
        <w:t xml:space="preserve"> </w:t>
      </w:r>
      <w:r w:rsidRPr="005F2AB4">
        <w:rPr>
          <w:rFonts w:cs="Tahoma"/>
          <w:color w:val="000000"/>
        </w:rPr>
        <w:t xml:space="preserve">et déconcentré </w:t>
      </w:r>
      <w:r w:rsidR="00F352BC" w:rsidRPr="005F2AB4">
        <w:rPr>
          <w:rFonts w:cs="Tahoma"/>
          <w:color w:val="000000"/>
        </w:rPr>
        <w:t xml:space="preserve">notamment les FDS et ACP </w:t>
      </w:r>
      <w:r w:rsidRPr="005F2AB4">
        <w:rPr>
          <w:rFonts w:cs="Tahoma"/>
          <w:color w:val="000000"/>
        </w:rPr>
        <w:t>qui ont participé au processus</w:t>
      </w:r>
      <w:r w:rsidR="00D11868" w:rsidRPr="005F2AB4">
        <w:rPr>
          <w:rFonts w:cs="Tahoma"/>
          <w:color w:val="000000"/>
        </w:rPr>
        <w:t xml:space="preserve"> </w:t>
      </w:r>
      <w:r w:rsidRPr="005F2AB4">
        <w:rPr>
          <w:rFonts w:cs="Tahoma"/>
          <w:color w:val="000000"/>
        </w:rPr>
        <w:t xml:space="preserve">d’évaluation </w:t>
      </w:r>
      <w:r w:rsidR="00F352BC" w:rsidRPr="005F2AB4">
        <w:rPr>
          <w:rFonts w:cs="Tahoma"/>
          <w:color w:val="000000"/>
        </w:rPr>
        <w:t>malgré le contexte d’insécurité et de suspicion général</w:t>
      </w:r>
      <w:r w:rsidR="006C6131">
        <w:rPr>
          <w:rFonts w:cs="Tahoma"/>
          <w:color w:val="000000"/>
        </w:rPr>
        <w:t>e</w:t>
      </w:r>
      <w:r w:rsidR="00F352BC" w:rsidRPr="005F2AB4">
        <w:rPr>
          <w:rFonts w:cs="Tahoma"/>
          <w:color w:val="000000"/>
        </w:rPr>
        <w:t xml:space="preserve">. </w:t>
      </w:r>
    </w:p>
    <w:p w14:paraId="56C42913" w14:textId="541BC71A" w:rsidR="00FA6CA3" w:rsidRPr="005F2AB4" w:rsidRDefault="00FA6CA3" w:rsidP="008772DB">
      <w:pPr>
        <w:spacing w:line="276" w:lineRule="auto"/>
        <w:rPr>
          <w:rFonts w:cs="Tahoma"/>
          <w:caps/>
        </w:rPr>
      </w:pPr>
      <w:r w:rsidRPr="005F2AB4">
        <w:rPr>
          <w:rFonts w:cs="Tahoma"/>
          <w:color w:val="000000"/>
        </w:rPr>
        <w:t>Nous exprimons également notre gratitude aux femmes</w:t>
      </w:r>
      <w:r w:rsidR="00F352BC" w:rsidRPr="005F2AB4">
        <w:rPr>
          <w:rFonts w:cs="Tahoma"/>
          <w:color w:val="000000"/>
        </w:rPr>
        <w:t xml:space="preserve"> et</w:t>
      </w:r>
      <w:r w:rsidRPr="005F2AB4">
        <w:rPr>
          <w:rFonts w:cs="Tahoma"/>
          <w:color w:val="000000"/>
        </w:rPr>
        <w:t xml:space="preserve"> aux </w:t>
      </w:r>
      <w:r w:rsidR="00F352BC" w:rsidRPr="005F2AB4">
        <w:rPr>
          <w:rFonts w:cs="Tahoma"/>
          <w:color w:val="000000"/>
        </w:rPr>
        <w:t xml:space="preserve">jeunes leaders et aux chefs coutumiers et religieux </w:t>
      </w:r>
      <w:r w:rsidRPr="005F2AB4">
        <w:rPr>
          <w:rFonts w:cs="Tahoma"/>
          <w:color w:val="000000"/>
        </w:rPr>
        <w:t xml:space="preserve">pour leur disponibilité et pour </w:t>
      </w:r>
      <w:r w:rsidR="00F352BC" w:rsidRPr="005F2AB4">
        <w:rPr>
          <w:rFonts w:cs="Tahoma"/>
          <w:color w:val="000000"/>
        </w:rPr>
        <w:t>le travail important qui est fait pour la consolidation de la paix et la cohésion sociale au niveau communautaire</w:t>
      </w:r>
      <w:r w:rsidRPr="005F2AB4">
        <w:rPr>
          <w:rFonts w:cs="Tahoma"/>
          <w:color w:val="000000"/>
        </w:rPr>
        <w:t>.</w:t>
      </w:r>
    </w:p>
    <w:p w14:paraId="4B19C85E" w14:textId="741B8357" w:rsidR="00F352BC" w:rsidRDefault="00F352BC">
      <w:pPr>
        <w:spacing w:before="0" w:after="160" w:line="259" w:lineRule="auto"/>
        <w:jc w:val="left"/>
        <w:rPr>
          <w:rFonts w:eastAsiaTheme="majorEastAsia" w:cstheme="majorBidi"/>
          <w:b/>
          <w:color w:val="0070C0"/>
          <w:sz w:val="24"/>
          <w:szCs w:val="32"/>
        </w:rPr>
      </w:pPr>
      <w:r>
        <w:rPr>
          <w:rFonts w:eastAsiaTheme="majorEastAsia" w:cstheme="majorBidi"/>
          <w:b/>
          <w:color w:val="0070C0"/>
          <w:sz w:val="24"/>
          <w:szCs w:val="32"/>
        </w:rPr>
        <w:br w:type="page"/>
      </w:r>
    </w:p>
    <w:p w14:paraId="63601C1E" w14:textId="2CAA935A" w:rsidR="004260D0" w:rsidRDefault="009242CF" w:rsidP="00F564A4">
      <w:pPr>
        <w:pStyle w:val="Titre1"/>
      </w:pPr>
      <w:bookmarkStart w:id="4" w:name="_Toc95451840"/>
      <w:r>
        <w:t>SIGLES ET ABREVIATIONS</w:t>
      </w:r>
      <w:bookmarkEnd w:id="2"/>
      <w:bookmarkEnd w:id="4"/>
      <w:r w:rsidR="00C73E0A">
        <w:tab/>
      </w:r>
    </w:p>
    <w:p w14:paraId="3C5661B2" w14:textId="58EEC899" w:rsidR="00273E37" w:rsidRPr="00273E37" w:rsidRDefault="00273E37">
      <w:pPr>
        <w:rPr>
          <w:caps/>
          <w:sz w:val="8"/>
          <w:szCs w:val="8"/>
        </w:rPr>
      </w:pPr>
      <w:bookmarkStart w:id="5" w:name="_Toc39563188"/>
    </w:p>
    <w:tbl>
      <w:tblPr>
        <w:tblpPr w:leftFromText="180" w:rightFromText="180" w:vertAnchor="text" w:horzAnchor="margin" w:tblpY="64"/>
        <w:tblW w:w="9072" w:type="dxa"/>
        <w:tblLayout w:type="fixed"/>
        <w:tblLook w:val="04A0" w:firstRow="1" w:lastRow="0" w:firstColumn="1" w:lastColumn="0" w:noHBand="0" w:noVBand="1"/>
      </w:tblPr>
      <w:tblGrid>
        <w:gridCol w:w="1418"/>
        <w:gridCol w:w="253"/>
        <w:gridCol w:w="7401"/>
      </w:tblGrid>
      <w:tr w:rsidR="00BF7ED0" w:rsidRPr="007E136C" w14:paraId="1FC76969" w14:textId="77777777" w:rsidTr="000508BC">
        <w:trPr>
          <w:trHeight w:val="113"/>
        </w:trPr>
        <w:tc>
          <w:tcPr>
            <w:tcW w:w="1418" w:type="dxa"/>
            <w:shd w:val="clear" w:color="auto" w:fill="auto"/>
            <w:noWrap/>
          </w:tcPr>
          <w:p w14:paraId="6308338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ACP</w:t>
            </w:r>
          </w:p>
        </w:tc>
        <w:tc>
          <w:tcPr>
            <w:tcW w:w="253" w:type="dxa"/>
            <w:shd w:val="clear" w:color="auto" w:fill="auto"/>
            <w:noWrap/>
          </w:tcPr>
          <w:p w14:paraId="4CADCE8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42D9275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Acteur de la </w:t>
            </w:r>
            <w:r>
              <w:rPr>
                <w:rFonts w:eastAsia="Times New Roman" w:cs="Calibri"/>
                <w:color w:val="000000"/>
              </w:rPr>
              <w:t>C</w:t>
            </w:r>
            <w:r w:rsidRPr="007E136C">
              <w:rPr>
                <w:rFonts w:eastAsia="Times New Roman" w:cs="Calibri"/>
                <w:color w:val="000000"/>
              </w:rPr>
              <w:t xml:space="preserve">haine </w:t>
            </w:r>
            <w:r>
              <w:rPr>
                <w:rFonts w:eastAsia="Times New Roman" w:cs="Calibri"/>
                <w:color w:val="000000"/>
              </w:rPr>
              <w:t>P</w:t>
            </w:r>
            <w:r w:rsidRPr="007E136C">
              <w:rPr>
                <w:rFonts w:eastAsia="Times New Roman" w:cs="Calibri"/>
                <w:color w:val="000000"/>
              </w:rPr>
              <w:t>énale</w:t>
            </w:r>
          </w:p>
        </w:tc>
      </w:tr>
      <w:tr w:rsidR="00BF7ED0" w:rsidRPr="007E136C" w14:paraId="4EA449BA" w14:textId="77777777" w:rsidTr="000508BC">
        <w:trPr>
          <w:trHeight w:val="113"/>
        </w:trPr>
        <w:tc>
          <w:tcPr>
            <w:tcW w:w="1418" w:type="dxa"/>
            <w:shd w:val="clear" w:color="auto" w:fill="auto"/>
            <w:noWrap/>
          </w:tcPr>
          <w:p w14:paraId="4023A01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ADL </w:t>
            </w:r>
          </w:p>
        </w:tc>
        <w:tc>
          <w:tcPr>
            <w:tcW w:w="253" w:type="dxa"/>
            <w:shd w:val="clear" w:color="auto" w:fill="auto"/>
            <w:noWrap/>
          </w:tcPr>
          <w:p w14:paraId="31C135A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C33E9F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Appui au Développement Local</w:t>
            </w:r>
          </w:p>
        </w:tc>
      </w:tr>
      <w:tr w:rsidR="00BF7ED0" w:rsidRPr="007E136C" w14:paraId="3A96C8AF" w14:textId="77777777" w:rsidTr="000508BC">
        <w:trPr>
          <w:trHeight w:val="113"/>
        </w:trPr>
        <w:tc>
          <w:tcPr>
            <w:tcW w:w="1418" w:type="dxa"/>
            <w:shd w:val="clear" w:color="auto" w:fill="auto"/>
            <w:noWrap/>
          </w:tcPr>
          <w:p w14:paraId="0FAD54F7" w14:textId="77777777" w:rsidR="00BF7ED0" w:rsidRPr="009F5BDE" w:rsidRDefault="00BF7ED0" w:rsidP="00273E37">
            <w:pPr>
              <w:spacing w:before="60" w:after="0" w:line="276" w:lineRule="auto"/>
              <w:jc w:val="left"/>
              <w:rPr>
                <w:color w:val="000000"/>
              </w:rPr>
            </w:pPr>
            <w:r w:rsidRPr="009F5BDE">
              <w:rPr>
                <w:color w:val="000000"/>
              </w:rPr>
              <w:t>ALG</w:t>
            </w:r>
          </w:p>
        </w:tc>
        <w:tc>
          <w:tcPr>
            <w:tcW w:w="253" w:type="dxa"/>
            <w:shd w:val="clear" w:color="auto" w:fill="auto"/>
            <w:noWrap/>
          </w:tcPr>
          <w:p w14:paraId="07A14CE5" w14:textId="77777777" w:rsidR="00BF7ED0" w:rsidRPr="009F5BDE" w:rsidRDefault="00BF7ED0" w:rsidP="00273E37">
            <w:pPr>
              <w:spacing w:before="60" w:after="0" w:line="276" w:lineRule="auto"/>
              <w:jc w:val="left"/>
              <w:rPr>
                <w:color w:val="000000"/>
              </w:rPr>
            </w:pPr>
            <w:r w:rsidRPr="009F5BDE">
              <w:rPr>
                <w:color w:val="000000"/>
              </w:rPr>
              <w:t>:</w:t>
            </w:r>
          </w:p>
        </w:tc>
        <w:tc>
          <w:tcPr>
            <w:tcW w:w="7401" w:type="dxa"/>
            <w:shd w:val="clear" w:color="auto" w:fill="auto"/>
            <w:noWrap/>
          </w:tcPr>
          <w:p w14:paraId="520F9367" w14:textId="77777777" w:rsidR="00BF7ED0" w:rsidRPr="009F5BDE" w:rsidRDefault="00BF7ED0" w:rsidP="00273E37">
            <w:pPr>
              <w:spacing w:before="60" w:after="0" w:line="276" w:lineRule="auto"/>
              <w:jc w:val="left"/>
              <w:rPr>
                <w:color w:val="000000"/>
              </w:rPr>
            </w:pPr>
            <w:r w:rsidRPr="009F5BDE">
              <w:t>Autorité de développement intégré de la région du Liptako Gourma</w:t>
            </w:r>
          </w:p>
        </w:tc>
      </w:tr>
      <w:tr w:rsidR="00BF7ED0" w:rsidRPr="007E136C" w14:paraId="36C5F006" w14:textId="77777777" w:rsidTr="000508BC">
        <w:trPr>
          <w:trHeight w:val="113"/>
        </w:trPr>
        <w:tc>
          <w:tcPr>
            <w:tcW w:w="1418" w:type="dxa"/>
            <w:shd w:val="clear" w:color="auto" w:fill="auto"/>
            <w:noWrap/>
            <w:hideMark/>
          </w:tcPr>
          <w:p w14:paraId="0562CD9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AMD </w:t>
            </w:r>
          </w:p>
        </w:tc>
        <w:tc>
          <w:tcPr>
            <w:tcW w:w="253" w:type="dxa"/>
            <w:shd w:val="clear" w:color="auto" w:fill="auto"/>
            <w:noWrap/>
            <w:hideMark/>
          </w:tcPr>
          <w:p w14:paraId="3A76910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71A735C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Associé en Management et Développement public</w:t>
            </w:r>
          </w:p>
        </w:tc>
      </w:tr>
      <w:tr w:rsidR="00BF7ED0" w:rsidRPr="007E136C" w14:paraId="54570931" w14:textId="77777777" w:rsidTr="000508BC">
        <w:trPr>
          <w:trHeight w:val="113"/>
        </w:trPr>
        <w:tc>
          <w:tcPr>
            <w:tcW w:w="1418" w:type="dxa"/>
            <w:shd w:val="clear" w:color="auto" w:fill="auto"/>
            <w:noWrap/>
          </w:tcPr>
          <w:p w14:paraId="6295F7F6"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BAD</w:t>
            </w:r>
          </w:p>
        </w:tc>
        <w:tc>
          <w:tcPr>
            <w:tcW w:w="253" w:type="dxa"/>
            <w:shd w:val="clear" w:color="auto" w:fill="auto"/>
            <w:noWrap/>
          </w:tcPr>
          <w:p w14:paraId="2E5673C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45A48A3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Banque Africaine de Développement </w:t>
            </w:r>
          </w:p>
        </w:tc>
      </w:tr>
      <w:tr w:rsidR="00BF7ED0" w:rsidRPr="007E136C" w14:paraId="194C02AB" w14:textId="77777777" w:rsidTr="000508BC">
        <w:trPr>
          <w:trHeight w:val="113"/>
        </w:trPr>
        <w:tc>
          <w:tcPr>
            <w:tcW w:w="1418" w:type="dxa"/>
            <w:shd w:val="clear" w:color="auto" w:fill="auto"/>
            <w:noWrap/>
          </w:tcPr>
          <w:p w14:paraId="2A0872E5" w14:textId="77777777" w:rsidR="00BF7ED0" w:rsidRPr="007E136C" w:rsidRDefault="00BF7ED0" w:rsidP="00273E37">
            <w:pPr>
              <w:spacing w:before="60" w:after="0" w:line="276" w:lineRule="auto"/>
              <w:jc w:val="left"/>
              <w:rPr>
                <w:rFonts w:eastAsia="Times New Roman" w:cs="Times New Roman"/>
                <w:color w:val="000000"/>
              </w:rPr>
            </w:pPr>
            <w:r>
              <w:rPr>
                <w:rFonts w:eastAsia="Times New Roman" w:cs="Times New Roman"/>
                <w:color w:val="000000"/>
              </w:rPr>
              <w:t>C3Sahel</w:t>
            </w:r>
          </w:p>
        </w:tc>
        <w:tc>
          <w:tcPr>
            <w:tcW w:w="253" w:type="dxa"/>
            <w:shd w:val="clear" w:color="auto" w:fill="auto"/>
            <w:noWrap/>
          </w:tcPr>
          <w:p w14:paraId="212C89B8"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 </w:t>
            </w:r>
          </w:p>
        </w:tc>
        <w:tc>
          <w:tcPr>
            <w:tcW w:w="7401" w:type="dxa"/>
            <w:shd w:val="clear" w:color="auto" w:fill="auto"/>
            <w:noWrap/>
          </w:tcPr>
          <w:p w14:paraId="44AC191B" w14:textId="77777777" w:rsidR="00BF7ED0" w:rsidRPr="007E136C" w:rsidRDefault="00BF7ED0" w:rsidP="00273E37">
            <w:pPr>
              <w:spacing w:before="60" w:after="0" w:line="276" w:lineRule="auto"/>
              <w:jc w:val="left"/>
              <w:rPr>
                <w:rFonts w:eastAsia="Times New Roman" w:cs="Calibri"/>
                <w:color w:val="000000"/>
              </w:rPr>
            </w:pPr>
            <w:r w:rsidRPr="0002439A">
              <w:rPr>
                <w:rFonts w:cs="Times New Roman"/>
              </w:rPr>
              <w:t>Cellule de Coopération Décentralisée Transfrontalière des Collectivités Territoriales du Sahel</w:t>
            </w:r>
          </w:p>
        </w:tc>
      </w:tr>
      <w:tr w:rsidR="00BF7ED0" w:rsidRPr="007E136C" w14:paraId="562EBEB4" w14:textId="77777777" w:rsidTr="000508BC">
        <w:trPr>
          <w:trHeight w:val="65"/>
        </w:trPr>
        <w:tc>
          <w:tcPr>
            <w:tcW w:w="1418" w:type="dxa"/>
            <w:shd w:val="clear" w:color="auto" w:fill="auto"/>
            <w:noWrap/>
            <w:hideMark/>
          </w:tcPr>
          <w:p w14:paraId="140F162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CAR.D </w:t>
            </w:r>
          </w:p>
        </w:tc>
        <w:tc>
          <w:tcPr>
            <w:tcW w:w="253" w:type="dxa"/>
            <w:shd w:val="clear" w:color="auto" w:fill="auto"/>
            <w:noWrap/>
            <w:hideMark/>
          </w:tcPr>
          <w:p w14:paraId="21D1298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7032568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Carrefour Développement</w:t>
            </w:r>
          </w:p>
        </w:tc>
      </w:tr>
      <w:tr w:rsidR="00BF7ED0" w:rsidRPr="007E136C" w14:paraId="6DFCA57A" w14:textId="77777777" w:rsidTr="000508BC">
        <w:trPr>
          <w:trHeight w:val="113"/>
        </w:trPr>
        <w:tc>
          <w:tcPr>
            <w:tcW w:w="1418" w:type="dxa"/>
            <w:shd w:val="clear" w:color="auto" w:fill="auto"/>
            <w:noWrap/>
          </w:tcPr>
          <w:p w14:paraId="66CC6D56"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CEDEAO</w:t>
            </w:r>
          </w:p>
        </w:tc>
        <w:tc>
          <w:tcPr>
            <w:tcW w:w="253" w:type="dxa"/>
            <w:shd w:val="clear" w:color="auto" w:fill="auto"/>
            <w:noWrap/>
          </w:tcPr>
          <w:p w14:paraId="4B8B646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D973C9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Communauté Economique des Etats de l’Afrique de l’Ouest</w:t>
            </w:r>
          </w:p>
        </w:tc>
      </w:tr>
      <w:tr w:rsidR="00BF7ED0" w:rsidRPr="007E136C" w14:paraId="7A0A47AF" w14:textId="77777777" w:rsidTr="000508BC">
        <w:trPr>
          <w:trHeight w:val="113"/>
        </w:trPr>
        <w:tc>
          <w:tcPr>
            <w:tcW w:w="1418" w:type="dxa"/>
            <w:shd w:val="clear" w:color="auto" w:fill="auto"/>
            <w:noWrap/>
          </w:tcPr>
          <w:p w14:paraId="106528BE"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Calibri"/>
                <w:color w:val="000000"/>
              </w:rPr>
              <w:t>CICR</w:t>
            </w:r>
          </w:p>
        </w:tc>
        <w:tc>
          <w:tcPr>
            <w:tcW w:w="253" w:type="dxa"/>
            <w:shd w:val="clear" w:color="auto" w:fill="auto"/>
            <w:noWrap/>
          </w:tcPr>
          <w:p w14:paraId="13D8B86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7C26DD7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Comité </w:t>
            </w:r>
            <w:r>
              <w:rPr>
                <w:rFonts w:eastAsia="Times New Roman" w:cs="Calibri"/>
                <w:color w:val="000000"/>
              </w:rPr>
              <w:t>I</w:t>
            </w:r>
            <w:r w:rsidRPr="007E136C">
              <w:rPr>
                <w:rFonts w:eastAsia="Times New Roman" w:cs="Calibri"/>
                <w:color w:val="000000"/>
              </w:rPr>
              <w:t xml:space="preserve">nternational de la Croix-Rouge </w:t>
            </w:r>
          </w:p>
        </w:tc>
      </w:tr>
      <w:tr w:rsidR="00BF7ED0" w:rsidRPr="007E136C" w14:paraId="66F14ABD" w14:textId="77777777" w:rsidTr="000508BC">
        <w:trPr>
          <w:trHeight w:val="113"/>
        </w:trPr>
        <w:tc>
          <w:tcPr>
            <w:tcW w:w="1418" w:type="dxa"/>
            <w:shd w:val="clear" w:color="auto" w:fill="auto"/>
            <w:noWrap/>
            <w:hideMark/>
          </w:tcPr>
          <w:p w14:paraId="776D0CB7"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CNDH </w:t>
            </w:r>
          </w:p>
        </w:tc>
        <w:tc>
          <w:tcPr>
            <w:tcW w:w="253" w:type="dxa"/>
            <w:shd w:val="clear" w:color="auto" w:fill="auto"/>
            <w:noWrap/>
            <w:hideMark/>
          </w:tcPr>
          <w:p w14:paraId="2D8DCA5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397F07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Commissions Nationales des Droits de l’Homme </w:t>
            </w:r>
          </w:p>
        </w:tc>
      </w:tr>
      <w:tr w:rsidR="00BF7ED0" w:rsidRPr="007E136C" w14:paraId="64D397A3" w14:textId="77777777" w:rsidTr="000508BC">
        <w:trPr>
          <w:trHeight w:val="113"/>
        </w:trPr>
        <w:tc>
          <w:tcPr>
            <w:tcW w:w="1418" w:type="dxa"/>
            <w:shd w:val="clear" w:color="auto" w:fill="auto"/>
            <w:noWrap/>
            <w:hideMark/>
          </w:tcPr>
          <w:p w14:paraId="51CD2D5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CNRSS </w:t>
            </w:r>
          </w:p>
        </w:tc>
        <w:tc>
          <w:tcPr>
            <w:tcW w:w="253" w:type="dxa"/>
            <w:shd w:val="clear" w:color="auto" w:fill="auto"/>
            <w:noWrap/>
            <w:hideMark/>
          </w:tcPr>
          <w:p w14:paraId="475260E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E5BDA5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Conseil National de la Réforme du Secteur de Sécurité</w:t>
            </w:r>
          </w:p>
        </w:tc>
      </w:tr>
      <w:tr w:rsidR="00BF7ED0" w:rsidRPr="007E136C" w14:paraId="64762A39" w14:textId="77777777" w:rsidTr="000508BC">
        <w:trPr>
          <w:trHeight w:val="113"/>
        </w:trPr>
        <w:tc>
          <w:tcPr>
            <w:tcW w:w="1418" w:type="dxa"/>
            <w:shd w:val="clear" w:color="auto" w:fill="auto"/>
            <w:noWrap/>
          </w:tcPr>
          <w:p w14:paraId="246D413A"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FAO</w:t>
            </w:r>
          </w:p>
        </w:tc>
        <w:tc>
          <w:tcPr>
            <w:tcW w:w="253" w:type="dxa"/>
            <w:shd w:val="clear" w:color="auto" w:fill="auto"/>
            <w:noWrap/>
          </w:tcPr>
          <w:p w14:paraId="0E6C0EF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6286B26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 des Nations unies pour l'Alimentation et l'Agriculture</w:t>
            </w:r>
          </w:p>
        </w:tc>
      </w:tr>
      <w:tr w:rsidR="00895196" w:rsidRPr="007E136C" w14:paraId="2A6AA6CC" w14:textId="77777777" w:rsidTr="5E3C5D11">
        <w:trPr>
          <w:trHeight w:val="113"/>
        </w:trPr>
        <w:tc>
          <w:tcPr>
            <w:tcW w:w="1418" w:type="dxa"/>
            <w:shd w:val="clear" w:color="auto" w:fill="auto"/>
            <w:noWrap/>
          </w:tcPr>
          <w:p w14:paraId="7A61D7E7" w14:textId="27378F10" w:rsidR="00895196" w:rsidRPr="007E136C" w:rsidRDefault="00895196" w:rsidP="00273E37">
            <w:pPr>
              <w:spacing w:before="60" w:after="0" w:line="276" w:lineRule="auto"/>
              <w:jc w:val="left"/>
              <w:rPr>
                <w:rFonts w:eastAsia="Times New Roman" w:cs="Times New Roman"/>
                <w:color w:val="000000"/>
              </w:rPr>
            </w:pPr>
            <w:r>
              <w:rPr>
                <w:rFonts w:eastAsia="Times New Roman" w:cs="Times New Roman"/>
                <w:color w:val="000000"/>
              </w:rPr>
              <w:t>FAMA</w:t>
            </w:r>
          </w:p>
        </w:tc>
        <w:tc>
          <w:tcPr>
            <w:tcW w:w="253" w:type="dxa"/>
            <w:shd w:val="clear" w:color="auto" w:fill="auto"/>
            <w:noWrap/>
          </w:tcPr>
          <w:p w14:paraId="16A4ACFC" w14:textId="7BDDA641" w:rsidR="00895196" w:rsidRPr="007E136C" w:rsidRDefault="00895196"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468D00F6" w14:textId="5BB58C89" w:rsidR="00895196" w:rsidRPr="007E136C" w:rsidRDefault="00895196" w:rsidP="00273E37">
            <w:pPr>
              <w:spacing w:before="60" w:after="0" w:line="276" w:lineRule="auto"/>
              <w:jc w:val="left"/>
              <w:rPr>
                <w:rFonts w:eastAsia="Times New Roman" w:cs="Calibri"/>
                <w:color w:val="000000"/>
              </w:rPr>
            </w:pPr>
            <w:r>
              <w:rPr>
                <w:rFonts w:eastAsia="Times New Roman" w:cs="Calibri"/>
                <w:color w:val="000000"/>
              </w:rPr>
              <w:t>Forces Armées Maliennes</w:t>
            </w:r>
          </w:p>
        </w:tc>
      </w:tr>
      <w:tr w:rsidR="00BF7ED0" w:rsidRPr="007E136C" w14:paraId="42DF4A91" w14:textId="77777777" w:rsidTr="00895196">
        <w:trPr>
          <w:trHeight w:val="113"/>
        </w:trPr>
        <w:tc>
          <w:tcPr>
            <w:tcW w:w="1418" w:type="dxa"/>
            <w:shd w:val="clear" w:color="auto" w:fill="auto"/>
            <w:noWrap/>
            <w:hideMark/>
          </w:tcPr>
          <w:p w14:paraId="243EB7A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FDS </w:t>
            </w:r>
          </w:p>
        </w:tc>
        <w:tc>
          <w:tcPr>
            <w:tcW w:w="253" w:type="dxa"/>
            <w:shd w:val="clear" w:color="auto" w:fill="auto"/>
            <w:noWrap/>
            <w:hideMark/>
          </w:tcPr>
          <w:p w14:paraId="15177D0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4124FBD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Forces de Défense et de Sécurité </w:t>
            </w:r>
          </w:p>
        </w:tc>
      </w:tr>
      <w:tr w:rsidR="00BF7ED0" w:rsidRPr="007E136C" w14:paraId="346F0D5C" w14:textId="77777777" w:rsidTr="00895196">
        <w:trPr>
          <w:trHeight w:val="113"/>
        </w:trPr>
        <w:tc>
          <w:tcPr>
            <w:tcW w:w="1418" w:type="dxa"/>
            <w:shd w:val="clear" w:color="auto" w:fill="auto"/>
            <w:noWrap/>
            <w:hideMark/>
          </w:tcPr>
          <w:p w14:paraId="0B3C6B2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GAR </w:t>
            </w:r>
          </w:p>
        </w:tc>
        <w:tc>
          <w:tcPr>
            <w:tcW w:w="253" w:type="dxa"/>
            <w:shd w:val="clear" w:color="auto" w:fill="auto"/>
            <w:noWrap/>
            <w:hideMark/>
          </w:tcPr>
          <w:p w14:paraId="27E68B4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527A2F2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Gestion Axée sur les Résultats </w:t>
            </w:r>
          </w:p>
        </w:tc>
      </w:tr>
      <w:tr w:rsidR="00BF7ED0" w:rsidRPr="00BE0834" w14:paraId="4329F5EC" w14:textId="77777777" w:rsidTr="00895196">
        <w:trPr>
          <w:trHeight w:val="113"/>
        </w:trPr>
        <w:tc>
          <w:tcPr>
            <w:tcW w:w="1418" w:type="dxa"/>
            <w:shd w:val="clear" w:color="auto" w:fill="auto"/>
            <w:noWrap/>
            <w:hideMark/>
          </w:tcPr>
          <w:p w14:paraId="23604C6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GERAAS </w:t>
            </w:r>
          </w:p>
        </w:tc>
        <w:tc>
          <w:tcPr>
            <w:tcW w:w="253" w:type="dxa"/>
            <w:shd w:val="clear" w:color="auto" w:fill="auto"/>
            <w:noWrap/>
            <w:hideMark/>
          </w:tcPr>
          <w:p w14:paraId="405EE36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1347C3A9" w14:textId="77777777" w:rsidR="00BF7ED0" w:rsidRPr="007E136C" w:rsidRDefault="00BF7ED0" w:rsidP="00273E37">
            <w:pPr>
              <w:spacing w:before="60" w:after="0" w:line="276" w:lineRule="auto"/>
              <w:jc w:val="left"/>
              <w:rPr>
                <w:rFonts w:eastAsia="Times New Roman" w:cs="Calibri"/>
                <w:color w:val="000000"/>
                <w:lang w:val="en-US"/>
              </w:rPr>
            </w:pPr>
            <w:r w:rsidRPr="007E136C">
              <w:rPr>
                <w:rFonts w:eastAsia="Times New Roman" w:cs="Calibri"/>
                <w:color w:val="000000"/>
                <w:lang w:val="en-US"/>
              </w:rPr>
              <w:t>Global Evaluation Report Assessment and Analysis System</w:t>
            </w:r>
          </w:p>
        </w:tc>
      </w:tr>
      <w:tr w:rsidR="00BF7ED0" w:rsidRPr="007E136C" w14:paraId="30D53835" w14:textId="77777777" w:rsidTr="00895196">
        <w:trPr>
          <w:trHeight w:val="113"/>
        </w:trPr>
        <w:tc>
          <w:tcPr>
            <w:tcW w:w="1418" w:type="dxa"/>
            <w:shd w:val="clear" w:color="auto" w:fill="auto"/>
            <w:noWrap/>
          </w:tcPr>
          <w:p w14:paraId="3BCC3C2C" w14:textId="77777777" w:rsidR="00BF7ED0" w:rsidRDefault="00BF7ED0" w:rsidP="00273E37">
            <w:pPr>
              <w:spacing w:before="60" w:after="0" w:line="276" w:lineRule="auto"/>
              <w:jc w:val="left"/>
              <w:rPr>
                <w:rFonts w:eastAsia="Times New Roman" w:cs="Times New Roman"/>
                <w:color w:val="000000"/>
              </w:rPr>
            </w:pPr>
            <w:r>
              <w:rPr>
                <w:rFonts w:eastAsia="Times New Roman" w:cs="Times New Roman"/>
                <w:color w:val="000000"/>
              </w:rPr>
              <w:t>GLCT</w:t>
            </w:r>
          </w:p>
        </w:tc>
        <w:tc>
          <w:tcPr>
            <w:tcW w:w="253" w:type="dxa"/>
            <w:shd w:val="clear" w:color="auto" w:fill="auto"/>
            <w:noWrap/>
          </w:tcPr>
          <w:p w14:paraId="252D2ADE" w14:textId="77777777" w:rsidR="00BF7ED0"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50D25A0B" w14:textId="77777777" w:rsidR="00BF7ED0" w:rsidRDefault="00BF7ED0" w:rsidP="00273E37">
            <w:pPr>
              <w:spacing w:before="60" w:after="0" w:line="276" w:lineRule="auto"/>
              <w:jc w:val="left"/>
              <w:rPr>
                <w:rFonts w:cs="Times New Roman"/>
              </w:rPr>
            </w:pPr>
            <w:r>
              <w:rPr>
                <w:rFonts w:cs="Times New Roman"/>
              </w:rPr>
              <w:t xml:space="preserve">Groupement Locaux de Coopération Transfrontalière </w:t>
            </w:r>
          </w:p>
        </w:tc>
      </w:tr>
      <w:tr w:rsidR="00BF7ED0" w:rsidRPr="007E136C" w14:paraId="2E9C5A84" w14:textId="77777777" w:rsidTr="00895196">
        <w:trPr>
          <w:trHeight w:val="113"/>
        </w:trPr>
        <w:tc>
          <w:tcPr>
            <w:tcW w:w="1418" w:type="dxa"/>
            <w:shd w:val="clear" w:color="auto" w:fill="auto"/>
            <w:noWrap/>
            <w:hideMark/>
          </w:tcPr>
          <w:p w14:paraId="7EDA056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GRAD </w:t>
            </w:r>
          </w:p>
        </w:tc>
        <w:tc>
          <w:tcPr>
            <w:tcW w:w="253" w:type="dxa"/>
            <w:shd w:val="clear" w:color="auto" w:fill="auto"/>
            <w:noWrap/>
            <w:hideMark/>
          </w:tcPr>
          <w:p w14:paraId="0D0ED49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CFF062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Groupe de Recherche Actions pour le Développement </w:t>
            </w:r>
          </w:p>
        </w:tc>
      </w:tr>
      <w:tr w:rsidR="00BF7ED0" w:rsidRPr="007E136C" w14:paraId="6B367EB6" w14:textId="77777777" w:rsidTr="00895196">
        <w:trPr>
          <w:trHeight w:val="310"/>
        </w:trPr>
        <w:tc>
          <w:tcPr>
            <w:tcW w:w="1418" w:type="dxa"/>
            <w:shd w:val="clear" w:color="auto" w:fill="auto"/>
            <w:noWrap/>
          </w:tcPr>
          <w:p w14:paraId="3F494AF3" w14:textId="77777777" w:rsidR="00BF7ED0" w:rsidRPr="007E136C" w:rsidRDefault="00BF7ED0" w:rsidP="00273E37">
            <w:pPr>
              <w:spacing w:before="60" w:after="0" w:line="276" w:lineRule="auto"/>
              <w:rPr>
                <w:rFonts w:cs="Times New Roman"/>
              </w:rPr>
            </w:pPr>
            <w:r w:rsidRPr="007E136C">
              <w:rPr>
                <w:rFonts w:cs="Times New Roman"/>
              </w:rPr>
              <w:t>MATD</w:t>
            </w:r>
          </w:p>
        </w:tc>
        <w:tc>
          <w:tcPr>
            <w:tcW w:w="253" w:type="dxa"/>
            <w:shd w:val="clear" w:color="auto" w:fill="auto"/>
            <w:noWrap/>
          </w:tcPr>
          <w:p w14:paraId="79CD33AD"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044672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l’Administration Territoriale et de la Décentralisation</w:t>
            </w:r>
            <w:r>
              <w:rPr>
                <w:rFonts w:eastAsia="Times New Roman" w:cs="Calibri"/>
                <w:color w:val="000000"/>
              </w:rPr>
              <w:t xml:space="preserve"> (Mali)</w:t>
            </w:r>
          </w:p>
        </w:tc>
      </w:tr>
      <w:tr w:rsidR="00BF7ED0" w:rsidRPr="007E136C" w14:paraId="5E43A848" w14:textId="77777777" w:rsidTr="00895196">
        <w:trPr>
          <w:trHeight w:val="310"/>
        </w:trPr>
        <w:tc>
          <w:tcPr>
            <w:tcW w:w="1418" w:type="dxa"/>
            <w:shd w:val="clear" w:color="auto" w:fill="auto"/>
            <w:noWrap/>
          </w:tcPr>
          <w:p w14:paraId="24A7FEC2" w14:textId="77777777" w:rsidR="00BF7ED0" w:rsidRPr="007E136C" w:rsidRDefault="00BF7ED0" w:rsidP="00273E37">
            <w:pPr>
              <w:spacing w:before="60" w:after="0" w:line="276" w:lineRule="auto"/>
              <w:rPr>
                <w:rFonts w:cs="Times New Roman"/>
              </w:rPr>
            </w:pPr>
            <w:r>
              <w:rPr>
                <w:rFonts w:cs="Times New Roman"/>
              </w:rPr>
              <w:t>MCPGC</w:t>
            </w:r>
          </w:p>
        </w:tc>
        <w:tc>
          <w:tcPr>
            <w:tcW w:w="253" w:type="dxa"/>
            <w:shd w:val="clear" w:color="auto" w:fill="auto"/>
            <w:noWrap/>
          </w:tcPr>
          <w:p w14:paraId="5BE52F04"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0249A4CB" w14:textId="68A7CA3A" w:rsidR="00BF7ED0" w:rsidRPr="007E136C" w:rsidRDefault="00BF7ED0" w:rsidP="00273E37">
            <w:pPr>
              <w:spacing w:before="60" w:after="0" w:line="276" w:lineRule="auto"/>
              <w:jc w:val="left"/>
              <w:rPr>
                <w:rFonts w:eastAsia="Times New Roman" w:cs="Calibri"/>
                <w:color w:val="000000"/>
              </w:rPr>
            </w:pPr>
            <w:r w:rsidRPr="00F62689">
              <w:rPr>
                <w:color w:val="000000"/>
              </w:rPr>
              <w:t>Mécanisme Communautaire de Prévention et de gestion des Conflits</w:t>
            </w:r>
          </w:p>
        </w:tc>
      </w:tr>
      <w:tr w:rsidR="00BF7ED0" w:rsidRPr="007E136C" w14:paraId="250BB7CC" w14:textId="77777777" w:rsidTr="00895196">
        <w:trPr>
          <w:trHeight w:val="113"/>
        </w:trPr>
        <w:tc>
          <w:tcPr>
            <w:tcW w:w="1418" w:type="dxa"/>
            <w:shd w:val="clear" w:color="auto" w:fill="auto"/>
            <w:noWrap/>
          </w:tcPr>
          <w:p w14:paraId="649BB643" w14:textId="77777777" w:rsidR="00BF7ED0" w:rsidRPr="007E136C" w:rsidRDefault="00BF7ED0" w:rsidP="00273E37">
            <w:pPr>
              <w:spacing w:before="60" w:after="0" w:line="276" w:lineRule="auto"/>
              <w:rPr>
                <w:rFonts w:cs="Times New Roman"/>
              </w:rPr>
            </w:pPr>
            <w:r w:rsidRPr="007E136C">
              <w:rPr>
                <w:rFonts w:cs="Times New Roman"/>
              </w:rPr>
              <w:t>MCPR</w:t>
            </w:r>
          </w:p>
        </w:tc>
        <w:tc>
          <w:tcPr>
            <w:tcW w:w="253" w:type="dxa"/>
            <w:shd w:val="clear" w:color="auto" w:fill="auto"/>
            <w:noWrap/>
          </w:tcPr>
          <w:p w14:paraId="44AC0C9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176BFE6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Cohésion sociale, de la Paix et de la Réconciliation nationale</w:t>
            </w:r>
            <w:r>
              <w:rPr>
                <w:rFonts w:eastAsia="Times New Roman" w:cs="Calibri"/>
                <w:color w:val="000000"/>
              </w:rPr>
              <w:t xml:space="preserve"> (Mali)</w:t>
            </w:r>
          </w:p>
        </w:tc>
      </w:tr>
      <w:tr w:rsidR="00BF7ED0" w:rsidRPr="007E136C" w14:paraId="408EF435" w14:textId="77777777" w:rsidTr="00895196">
        <w:trPr>
          <w:trHeight w:val="113"/>
        </w:trPr>
        <w:tc>
          <w:tcPr>
            <w:tcW w:w="1418" w:type="dxa"/>
            <w:shd w:val="clear" w:color="auto" w:fill="auto"/>
            <w:noWrap/>
          </w:tcPr>
          <w:p w14:paraId="4D96C2AF" w14:textId="77777777" w:rsidR="00BF7ED0" w:rsidRPr="007E136C" w:rsidRDefault="00BF7ED0" w:rsidP="00273E37">
            <w:pPr>
              <w:spacing w:before="60" w:after="0" w:line="276" w:lineRule="auto"/>
              <w:rPr>
                <w:rFonts w:cs="Times New Roman"/>
              </w:rPr>
            </w:pPr>
            <w:r w:rsidRPr="007E136C">
              <w:rPr>
                <w:rFonts w:cs="Times New Roman"/>
              </w:rPr>
              <w:t>MDC</w:t>
            </w:r>
          </w:p>
        </w:tc>
        <w:tc>
          <w:tcPr>
            <w:tcW w:w="253" w:type="dxa"/>
            <w:shd w:val="clear" w:color="auto" w:fill="auto"/>
            <w:noWrap/>
          </w:tcPr>
          <w:p w14:paraId="2BB7888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AFE159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Défense et des Anciens Combattants</w:t>
            </w:r>
            <w:r>
              <w:rPr>
                <w:rFonts w:eastAsia="Times New Roman" w:cs="Calibri"/>
                <w:color w:val="000000"/>
              </w:rPr>
              <w:t xml:space="preserve"> (Mali)</w:t>
            </w:r>
            <w:r w:rsidRPr="007E136C">
              <w:rPr>
                <w:rFonts w:eastAsia="Times New Roman" w:cs="Calibri"/>
                <w:color w:val="000000"/>
              </w:rPr>
              <w:t xml:space="preserve"> </w:t>
            </w:r>
          </w:p>
        </w:tc>
      </w:tr>
      <w:tr w:rsidR="00BF7ED0" w:rsidRPr="007E136C" w14:paraId="43732D8F" w14:textId="77777777" w:rsidTr="00895196">
        <w:trPr>
          <w:trHeight w:val="113"/>
        </w:trPr>
        <w:tc>
          <w:tcPr>
            <w:tcW w:w="1418" w:type="dxa"/>
            <w:shd w:val="clear" w:color="auto" w:fill="auto"/>
            <w:noWrap/>
            <w:hideMark/>
          </w:tcPr>
          <w:p w14:paraId="473B717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MINUSMA </w:t>
            </w:r>
          </w:p>
        </w:tc>
        <w:tc>
          <w:tcPr>
            <w:tcW w:w="253" w:type="dxa"/>
            <w:shd w:val="clear" w:color="auto" w:fill="auto"/>
            <w:noWrap/>
            <w:hideMark/>
          </w:tcPr>
          <w:p w14:paraId="4E7DB94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4838BB3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Mission multidimensionnelle Intégrée des Nations Unies pour la Stabilisation</w:t>
            </w:r>
          </w:p>
        </w:tc>
      </w:tr>
      <w:tr w:rsidR="00BF7ED0" w:rsidRPr="007E136C" w14:paraId="4F0E4FEA" w14:textId="77777777" w:rsidTr="00895196">
        <w:trPr>
          <w:trHeight w:val="113"/>
        </w:trPr>
        <w:tc>
          <w:tcPr>
            <w:tcW w:w="1418" w:type="dxa"/>
            <w:shd w:val="clear" w:color="auto" w:fill="auto"/>
            <w:noWrap/>
          </w:tcPr>
          <w:p w14:paraId="34A7951A" w14:textId="77777777" w:rsidR="00BF7ED0" w:rsidRPr="007E136C" w:rsidRDefault="00BF7ED0" w:rsidP="00273E37">
            <w:pPr>
              <w:spacing w:before="60" w:after="0" w:line="276" w:lineRule="auto"/>
              <w:rPr>
                <w:rFonts w:cs="Times New Roman"/>
              </w:rPr>
            </w:pPr>
            <w:r w:rsidRPr="007E136C">
              <w:rPr>
                <w:rFonts w:cs="Times New Roman"/>
              </w:rPr>
              <w:t>MISDACR</w:t>
            </w:r>
          </w:p>
        </w:tc>
        <w:tc>
          <w:tcPr>
            <w:tcW w:w="253" w:type="dxa"/>
            <w:shd w:val="clear" w:color="auto" w:fill="auto"/>
            <w:noWrap/>
          </w:tcPr>
          <w:p w14:paraId="1C0FCB3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4F4668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l’Intérieur, de la Sécurité publique, de la Décentralisation et des Affaires Coutumières et Religieuses</w:t>
            </w:r>
            <w:r>
              <w:rPr>
                <w:rFonts w:eastAsia="Times New Roman" w:cs="Calibri"/>
                <w:color w:val="000000"/>
              </w:rPr>
              <w:t xml:space="preserve"> (Niger)</w:t>
            </w:r>
          </w:p>
        </w:tc>
      </w:tr>
      <w:tr w:rsidR="00BF7ED0" w:rsidRPr="007E136C" w14:paraId="67C713B6" w14:textId="77777777" w:rsidTr="00895196">
        <w:trPr>
          <w:trHeight w:val="113"/>
        </w:trPr>
        <w:tc>
          <w:tcPr>
            <w:tcW w:w="1418" w:type="dxa"/>
            <w:shd w:val="clear" w:color="auto" w:fill="auto"/>
            <w:noWrap/>
          </w:tcPr>
          <w:p w14:paraId="731C9C0C" w14:textId="77777777" w:rsidR="00BF7ED0" w:rsidRPr="007E136C" w:rsidRDefault="00BF7ED0" w:rsidP="00273E37">
            <w:pPr>
              <w:spacing w:before="60" w:after="0" w:line="276" w:lineRule="auto"/>
              <w:rPr>
                <w:rFonts w:cs="Times New Roman"/>
              </w:rPr>
            </w:pPr>
            <w:r w:rsidRPr="007E136C">
              <w:rPr>
                <w:rFonts w:cs="Times New Roman"/>
              </w:rPr>
              <w:t>MJDH-GS</w:t>
            </w:r>
          </w:p>
        </w:tc>
        <w:tc>
          <w:tcPr>
            <w:tcW w:w="253" w:type="dxa"/>
            <w:shd w:val="clear" w:color="auto" w:fill="auto"/>
            <w:noWrap/>
          </w:tcPr>
          <w:p w14:paraId="2B9B629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0322C40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Justice et des Droits de l’Homme, Garde des Sceaux</w:t>
            </w:r>
            <w:r>
              <w:rPr>
                <w:rFonts w:eastAsia="Times New Roman" w:cs="Calibri"/>
                <w:color w:val="000000"/>
              </w:rPr>
              <w:t xml:space="preserve"> (Mali)</w:t>
            </w:r>
          </w:p>
        </w:tc>
      </w:tr>
      <w:tr w:rsidR="00BF7ED0" w:rsidRPr="007E136C" w14:paraId="1344634D" w14:textId="77777777" w:rsidTr="00895196">
        <w:trPr>
          <w:trHeight w:val="113"/>
        </w:trPr>
        <w:tc>
          <w:tcPr>
            <w:tcW w:w="1418" w:type="dxa"/>
            <w:shd w:val="clear" w:color="auto" w:fill="auto"/>
            <w:noWrap/>
          </w:tcPr>
          <w:p w14:paraId="5B4C1EC9" w14:textId="77777777" w:rsidR="00BF7ED0" w:rsidRPr="007E136C" w:rsidRDefault="00BF7ED0" w:rsidP="00273E37">
            <w:pPr>
              <w:spacing w:before="60" w:after="0" w:line="276" w:lineRule="auto"/>
              <w:rPr>
                <w:rFonts w:cs="Times New Roman"/>
              </w:rPr>
            </w:pPr>
            <w:r w:rsidRPr="007E136C">
              <w:rPr>
                <w:rFonts w:cs="Times New Roman"/>
              </w:rPr>
              <w:t>MPFEF</w:t>
            </w:r>
          </w:p>
        </w:tc>
        <w:tc>
          <w:tcPr>
            <w:tcW w:w="253" w:type="dxa"/>
            <w:shd w:val="clear" w:color="auto" w:fill="auto"/>
            <w:noWrap/>
          </w:tcPr>
          <w:p w14:paraId="1245E48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1E5DE5C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la Promotion de la Femme, de l’Enfant et de la Famille</w:t>
            </w:r>
            <w:r>
              <w:rPr>
                <w:rFonts w:eastAsia="Times New Roman" w:cs="Calibri"/>
                <w:color w:val="000000"/>
              </w:rPr>
              <w:t xml:space="preserve"> (Mali)</w:t>
            </w:r>
          </w:p>
        </w:tc>
      </w:tr>
      <w:tr w:rsidR="00BF7ED0" w:rsidRPr="007E136C" w14:paraId="5C2D9778" w14:textId="77777777" w:rsidTr="00895196">
        <w:trPr>
          <w:trHeight w:val="113"/>
        </w:trPr>
        <w:tc>
          <w:tcPr>
            <w:tcW w:w="1418" w:type="dxa"/>
            <w:shd w:val="clear" w:color="auto" w:fill="auto"/>
            <w:noWrap/>
          </w:tcPr>
          <w:p w14:paraId="41A2454F" w14:textId="77777777" w:rsidR="00BF7ED0" w:rsidRPr="007E136C" w:rsidRDefault="00BF7ED0" w:rsidP="00273E37">
            <w:pPr>
              <w:spacing w:before="60" w:after="0" w:line="276" w:lineRule="auto"/>
              <w:rPr>
                <w:rFonts w:cs="Times New Roman"/>
              </w:rPr>
            </w:pPr>
            <w:r w:rsidRPr="00295D13">
              <w:rPr>
                <w:rFonts w:eastAsia="Times New Roman" w:cs="Calibri"/>
                <w:color w:val="000000"/>
              </w:rPr>
              <w:t>MPFPE</w:t>
            </w:r>
          </w:p>
        </w:tc>
        <w:tc>
          <w:tcPr>
            <w:tcW w:w="253" w:type="dxa"/>
            <w:shd w:val="clear" w:color="auto" w:fill="auto"/>
            <w:noWrap/>
          </w:tcPr>
          <w:p w14:paraId="0949B45B" w14:textId="77777777" w:rsidR="00BF7ED0" w:rsidRPr="007E136C" w:rsidRDefault="00BF7ED0" w:rsidP="00273E37">
            <w:pPr>
              <w:spacing w:before="60" w:after="0" w:line="276" w:lineRule="auto"/>
              <w:jc w:val="left"/>
              <w:rPr>
                <w:rFonts w:eastAsia="Times New Roman" w:cs="Calibri"/>
                <w:color w:val="000000"/>
              </w:rPr>
            </w:pPr>
          </w:p>
        </w:tc>
        <w:tc>
          <w:tcPr>
            <w:tcW w:w="7401" w:type="dxa"/>
            <w:shd w:val="clear" w:color="auto" w:fill="auto"/>
            <w:noWrap/>
          </w:tcPr>
          <w:p w14:paraId="6B98B390" w14:textId="77777777" w:rsidR="00BF7ED0" w:rsidRPr="007E136C" w:rsidRDefault="00BF7ED0" w:rsidP="00273E37">
            <w:pPr>
              <w:spacing w:before="60" w:after="0" w:line="276" w:lineRule="auto"/>
              <w:jc w:val="left"/>
              <w:rPr>
                <w:rFonts w:eastAsia="Times New Roman" w:cs="Calibri"/>
                <w:color w:val="000000"/>
              </w:rPr>
            </w:pPr>
            <w:r w:rsidRPr="00295D13">
              <w:rPr>
                <w:rFonts w:eastAsia="Times New Roman" w:cs="Calibri"/>
                <w:color w:val="000000"/>
              </w:rPr>
              <w:t>Ministère de la Promotion de la Femme et de la Protection de l’Enfant (Niger)</w:t>
            </w:r>
          </w:p>
        </w:tc>
      </w:tr>
      <w:tr w:rsidR="00BF7ED0" w:rsidRPr="007E136C" w14:paraId="6B0143BD" w14:textId="77777777" w:rsidTr="00895196">
        <w:trPr>
          <w:trHeight w:val="113"/>
        </w:trPr>
        <w:tc>
          <w:tcPr>
            <w:tcW w:w="1418" w:type="dxa"/>
            <w:shd w:val="clear" w:color="auto" w:fill="auto"/>
            <w:noWrap/>
          </w:tcPr>
          <w:p w14:paraId="5C18AFAF" w14:textId="77777777" w:rsidR="00BF7ED0" w:rsidRPr="007E136C" w:rsidRDefault="00BF7ED0" w:rsidP="00273E37">
            <w:pPr>
              <w:spacing w:before="60" w:after="0" w:line="276" w:lineRule="auto"/>
              <w:rPr>
                <w:rFonts w:cs="Times New Roman"/>
              </w:rPr>
            </w:pPr>
            <w:r w:rsidRPr="007E136C">
              <w:rPr>
                <w:rFonts w:cs="Times New Roman"/>
              </w:rPr>
              <w:t>MSP</w:t>
            </w:r>
          </w:p>
        </w:tc>
        <w:tc>
          <w:tcPr>
            <w:tcW w:w="253" w:type="dxa"/>
            <w:shd w:val="clear" w:color="auto" w:fill="auto"/>
            <w:noWrap/>
          </w:tcPr>
          <w:p w14:paraId="3A18A54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E89E41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Ministère de la Sécurité et de la Protection civile </w:t>
            </w:r>
            <w:r>
              <w:rPr>
                <w:rFonts w:eastAsia="Times New Roman" w:cs="Calibri"/>
                <w:color w:val="000000"/>
              </w:rPr>
              <w:t>(</w:t>
            </w:r>
            <w:r w:rsidRPr="007E136C">
              <w:rPr>
                <w:rFonts w:eastAsia="Times New Roman" w:cs="Calibri"/>
                <w:color w:val="000000"/>
              </w:rPr>
              <w:t>Mali</w:t>
            </w:r>
            <w:r>
              <w:rPr>
                <w:rFonts w:eastAsia="Times New Roman" w:cs="Calibri"/>
                <w:color w:val="000000"/>
              </w:rPr>
              <w:t>)</w:t>
            </w:r>
          </w:p>
        </w:tc>
      </w:tr>
      <w:tr w:rsidR="00BF7ED0" w:rsidRPr="007E136C" w14:paraId="0492902D" w14:textId="77777777" w:rsidTr="00895196">
        <w:trPr>
          <w:trHeight w:val="113"/>
        </w:trPr>
        <w:tc>
          <w:tcPr>
            <w:tcW w:w="1418" w:type="dxa"/>
            <w:shd w:val="clear" w:color="auto" w:fill="auto"/>
            <w:noWrap/>
            <w:hideMark/>
          </w:tcPr>
          <w:p w14:paraId="2A9098A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ONG </w:t>
            </w:r>
          </w:p>
        </w:tc>
        <w:tc>
          <w:tcPr>
            <w:tcW w:w="253" w:type="dxa"/>
            <w:shd w:val="clear" w:color="auto" w:fill="auto"/>
            <w:noWrap/>
            <w:hideMark/>
          </w:tcPr>
          <w:p w14:paraId="083C32C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874D16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 Non Gouvernementale</w:t>
            </w:r>
          </w:p>
        </w:tc>
      </w:tr>
      <w:tr w:rsidR="00BF7ED0" w:rsidRPr="007E136C" w14:paraId="5AB8B360" w14:textId="77777777" w:rsidTr="00895196">
        <w:trPr>
          <w:trHeight w:val="113"/>
        </w:trPr>
        <w:tc>
          <w:tcPr>
            <w:tcW w:w="1418" w:type="dxa"/>
            <w:shd w:val="clear" w:color="auto" w:fill="auto"/>
            <w:noWrap/>
            <w:hideMark/>
          </w:tcPr>
          <w:p w14:paraId="05B1B87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ONUDC </w:t>
            </w:r>
          </w:p>
        </w:tc>
        <w:tc>
          <w:tcPr>
            <w:tcW w:w="253" w:type="dxa"/>
            <w:shd w:val="clear" w:color="auto" w:fill="auto"/>
            <w:noWrap/>
            <w:hideMark/>
          </w:tcPr>
          <w:p w14:paraId="0DFE3D7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6D89CE3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Office des Nations Unies contre la Drogue et le Crime</w:t>
            </w:r>
          </w:p>
        </w:tc>
      </w:tr>
      <w:tr w:rsidR="00BF7ED0" w:rsidRPr="007E136C" w14:paraId="3D7FD145" w14:textId="77777777" w:rsidTr="00895196">
        <w:trPr>
          <w:trHeight w:val="113"/>
        </w:trPr>
        <w:tc>
          <w:tcPr>
            <w:tcW w:w="1418" w:type="dxa"/>
            <w:shd w:val="clear" w:color="auto" w:fill="auto"/>
            <w:noWrap/>
            <w:hideMark/>
          </w:tcPr>
          <w:p w14:paraId="7AC647E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OSC </w:t>
            </w:r>
          </w:p>
        </w:tc>
        <w:tc>
          <w:tcPr>
            <w:tcW w:w="253" w:type="dxa"/>
            <w:shd w:val="clear" w:color="auto" w:fill="auto"/>
            <w:noWrap/>
            <w:hideMark/>
          </w:tcPr>
          <w:p w14:paraId="23C18DE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536DFC9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Organisations de la Société Civile</w:t>
            </w:r>
          </w:p>
        </w:tc>
      </w:tr>
      <w:tr w:rsidR="00BF7ED0" w:rsidRPr="007E136C" w14:paraId="41D38E00" w14:textId="77777777" w:rsidTr="00895196">
        <w:trPr>
          <w:trHeight w:val="113"/>
        </w:trPr>
        <w:tc>
          <w:tcPr>
            <w:tcW w:w="1418" w:type="dxa"/>
            <w:shd w:val="clear" w:color="auto" w:fill="auto"/>
            <w:noWrap/>
          </w:tcPr>
          <w:p w14:paraId="6B8C288B"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Calibri"/>
                <w:color w:val="000000"/>
              </w:rPr>
              <w:t>PAM</w:t>
            </w:r>
          </w:p>
        </w:tc>
        <w:tc>
          <w:tcPr>
            <w:tcW w:w="253" w:type="dxa"/>
            <w:shd w:val="clear" w:color="auto" w:fill="auto"/>
            <w:noWrap/>
          </w:tcPr>
          <w:p w14:paraId="7AFC4C9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C130C8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Programme Alimentaire Mondial</w:t>
            </w:r>
            <w:r>
              <w:rPr>
                <w:rFonts w:eastAsia="Times New Roman" w:cs="Calibri"/>
                <w:color w:val="000000"/>
              </w:rPr>
              <w:t xml:space="preserve"> </w:t>
            </w:r>
          </w:p>
        </w:tc>
      </w:tr>
      <w:tr w:rsidR="00BF7ED0" w:rsidRPr="007E136C" w14:paraId="2EFEDBC2" w14:textId="77777777" w:rsidTr="00895196">
        <w:trPr>
          <w:trHeight w:val="113"/>
        </w:trPr>
        <w:tc>
          <w:tcPr>
            <w:tcW w:w="1418" w:type="dxa"/>
            <w:shd w:val="clear" w:color="auto" w:fill="auto"/>
            <w:noWrap/>
            <w:hideMark/>
          </w:tcPr>
          <w:p w14:paraId="6BFB675F"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PBF </w:t>
            </w:r>
          </w:p>
        </w:tc>
        <w:tc>
          <w:tcPr>
            <w:tcW w:w="253" w:type="dxa"/>
            <w:shd w:val="clear" w:color="auto" w:fill="auto"/>
            <w:noWrap/>
            <w:hideMark/>
          </w:tcPr>
          <w:p w14:paraId="26B98B6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7255A1D"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Peacebuilding </w:t>
            </w:r>
            <w:r w:rsidRPr="007E136C">
              <w:rPr>
                <w:rFonts w:eastAsia="Times New Roman" w:cs="Calibri"/>
                <w:color w:val="000000"/>
              </w:rPr>
              <w:t>F</w:t>
            </w:r>
            <w:r>
              <w:rPr>
                <w:rFonts w:eastAsia="Times New Roman" w:cs="Calibri"/>
                <w:color w:val="000000"/>
              </w:rPr>
              <w:t>unds</w:t>
            </w:r>
            <w:r w:rsidRPr="007E136C">
              <w:rPr>
                <w:rFonts w:eastAsia="Times New Roman" w:cs="Calibri"/>
                <w:color w:val="000000"/>
              </w:rPr>
              <w:t xml:space="preserve"> </w:t>
            </w:r>
          </w:p>
        </w:tc>
      </w:tr>
      <w:tr w:rsidR="00BF7ED0" w:rsidRPr="007E136C" w14:paraId="4E0EB8A4" w14:textId="77777777" w:rsidTr="00895196">
        <w:trPr>
          <w:trHeight w:val="113"/>
        </w:trPr>
        <w:tc>
          <w:tcPr>
            <w:tcW w:w="1418" w:type="dxa"/>
            <w:shd w:val="clear" w:color="auto" w:fill="auto"/>
            <w:noWrap/>
          </w:tcPr>
          <w:p w14:paraId="0241776C"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PNUD</w:t>
            </w:r>
          </w:p>
        </w:tc>
        <w:tc>
          <w:tcPr>
            <w:tcW w:w="253" w:type="dxa"/>
            <w:shd w:val="clear" w:color="auto" w:fill="auto"/>
            <w:noWrap/>
          </w:tcPr>
          <w:p w14:paraId="248F2AD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36AAA2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Programme des Nations Unies pour le Développement </w:t>
            </w:r>
          </w:p>
        </w:tc>
      </w:tr>
      <w:tr w:rsidR="00BF7ED0" w:rsidRPr="007E136C" w14:paraId="13907055" w14:textId="77777777" w:rsidTr="00895196">
        <w:trPr>
          <w:trHeight w:val="113"/>
        </w:trPr>
        <w:tc>
          <w:tcPr>
            <w:tcW w:w="1418" w:type="dxa"/>
            <w:shd w:val="clear" w:color="auto" w:fill="auto"/>
            <w:noWrap/>
            <w:hideMark/>
          </w:tcPr>
          <w:p w14:paraId="25CE4BF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RCI </w:t>
            </w:r>
          </w:p>
        </w:tc>
        <w:tc>
          <w:tcPr>
            <w:tcW w:w="253" w:type="dxa"/>
            <w:shd w:val="clear" w:color="auto" w:fill="auto"/>
            <w:noWrap/>
            <w:hideMark/>
          </w:tcPr>
          <w:p w14:paraId="7644004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29CC096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Rapport de Conception Initiale </w:t>
            </w:r>
          </w:p>
        </w:tc>
      </w:tr>
      <w:tr w:rsidR="00BF7ED0" w:rsidRPr="007E136C" w14:paraId="761BA87D" w14:textId="77777777" w:rsidTr="00895196">
        <w:trPr>
          <w:trHeight w:val="113"/>
        </w:trPr>
        <w:tc>
          <w:tcPr>
            <w:tcW w:w="1418" w:type="dxa"/>
            <w:shd w:val="clear" w:color="auto" w:fill="auto"/>
            <w:noWrap/>
            <w:hideMark/>
          </w:tcPr>
          <w:p w14:paraId="2732392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REPSFECO </w:t>
            </w:r>
          </w:p>
        </w:tc>
        <w:tc>
          <w:tcPr>
            <w:tcW w:w="253" w:type="dxa"/>
            <w:shd w:val="clear" w:color="auto" w:fill="auto"/>
            <w:noWrap/>
            <w:hideMark/>
          </w:tcPr>
          <w:p w14:paraId="4CC789E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1E030D2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Réseau Paix et Sécurité pour les Femmes de l’Espace CEDEAO</w:t>
            </w:r>
          </w:p>
        </w:tc>
      </w:tr>
      <w:tr w:rsidR="00BF7ED0" w:rsidRPr="007E136C" w14:paraId="335A5333" w14:textId="77777777" w:rsidTr="00895196">
        <w:trPr>
          <w:trHeight w:val="113"/>
        </w:trPr>
        <w:tc>
          <w:tcPr>
            <w:tcW w:w="1418" w:type="dxa"/>
            <w:shd w:val="clear" w:color="auto" w:fill="auto"/>
            <w:noWrap/>
          </w:tcPr>
          <w:p w14:paraId="1E1BCD21"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S&amp;E</w:t>
            </w:r>
          </w:p>
        </w:tc>
        <w:tc>
          <w:tcPr>
            <w:tcW w:w="253" w:type="dxa"/>
            <w:shd w:val="clear" w:color="auto" w:fill="auto"/>
            <w:noWrap/>
          </w:tcPr>
          <w:p w14:paraId="2B993F6F" w14:textId="77777777" w:rsidR="00BF7ED0" w:rsidRPr="007E136C" w:rsidRDefault="00BF7ED0" w:rsidP="00273E37">
            <w:pPr>
              <w:spacing w:before="60" w:after="0" w:line="276" w:lineRule="auto"/>
              <w:jc w:val="left"/>
              <w:rPr>
                <w:rFonts w:eastAsia="Times New Roman" w:cs="Calibri"/>
                <w:color w:val="000000"/>
              </w:rPr>
            </w:pPr>
          </w:p>
        </w:tc>
        <w:tc>
          <w:tcPr>
            <w:tcW w:w="7401" w:type="dxa"/>
            <w:shd w:val="clear" w:color="auto" w:fill="auto"/>
            <w:noWrap/>
          </w:tcPr>
          <w:p w14:paraId="31235400" w14:textId="0805FC46"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Suivi-évaluation</w:t>
            </w:r>
          </w:p>
        </w:tc>
      </w:tr>
      <w:tr w:rsidR="00BF7ED0" w:rsidRPr="007E136C" w14:paraId="0A04F5D5" w14:textId="77777777" w:rsidTr="00895196">
        <w:trPr>
          <w:trHeight w:val="113"/>
        </w:trPr>
        <w:tc>
          <w:tcPr>
            <w:tcW w:w="1418" w:type="dxa"/>
            <w:shd w:val="clear" w:color="auto" w:fill="auto"/>
            <w:noWrap/>
          </w:tcPr>
          <w:p w14:paraId="2B36A525" w14:textId="77777777" w:rsidR="00BF7ED0" w:rsidRPr="007E136C" w:rsidRDefault="00BF7ED0" w:rsidP="00273E37">
            <w:pPr>
              <w:spacing w:before="60" w:after="0" w:line="276" w:lineRule="auto"/>
              <w:jc w:val="left"/>
              <w:rPr>
                <w:rFonts w:eastAsia="Times New Roman" w:cs="Times New Roman"/>
                <w:color w:val="000000"/>
              </w:rPr>
            </w:pPr>
            <w:r>
              <w:rPr>
                <w:rFonts w:eastAsia="Times New Roman" w:cs="Times New Roman"/>
                <w:color w:val="000000"/>
              </w:rPr>
              <w:t xml:space="preserve">UEMOA </w:t>
            </w:r>
          </w:p>
        </w:tc>
        <w:tc>
          <w:tcPr>
            <w:tcW w:w="253" w:type="dxa"/>
            <w:shd w:val="clear" w:color="auto" w:fill="auto"/>
            <w:noWrap/>
          </w:tcPr>
          <w:p w14:paraId="6A6A3935"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08218C03"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Union Economique et Monétaire Ouest Africaine </w:t>
            </w:r>
          </w:p>
        </w:tc>
      </w:tr>
      <w:tr w:rsidR="00BF7ED0" w:rsidRPr="007E136C" w14:paraId="1E47994C" w14:textId="77777777" w:rsidTr="00895196">
        <w:trPr>
          <w:trHeight w:val="113"/>
        </w:trPr>
        <w:tc>
          <w:tcPr>
            <w:tcW w:w="1418" w:type="dxa"/>
            <w:shd w:val="clear" w:color="auto" w:fill="auto"/>
            <w:noWrap/>
          </w:tcPr>
          <w:p w14:paraId="7B579C54"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 xml:space="preserve">UNEG </w:t>
            </w:r>
          </w:p>
        </w:tc>
        <w:tc>
          <w:tcPr>
            <w:tcW w:w="253" w:type="dxa"/>
            <w:shd w:val="clear" w:color="auto" w:fill="auto"/>
            <w:noWrap/>
          </w:tcPr>
          <w:p w14:paraId="6B154C4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B1D4E0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Groupe d’évaluation des Nations Unies </w:t>
            </w:r>
          </w:p>
        </w:tc>
      </w:tr>
      <w:tr w:rsidR="00BF7ED0" w:rsidRPr="007E136C" w14:paraId="0A1B3A44" w14:textId="77777777" w:rsidTr="00895196">
        <w:trPr>
          <w:trHeight w:val="113"/>
        </w:trPr>
        <w:tc>
          <w:tcPr>
            <w:tcW w:w="1418" w:type="dxa"/>
            <w:shd w:val="clear" w:color="auto" w:fill="auto"/>
            <w:noWrap/>
          </w:tcPr>
          <w:p w14:paraId="3BD0ACE9"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UNHCR</w:t>
            </w:r>
          </w:p>
        </w:tc>
        <w:tc>
          <w:tcPr>
            <w:tcW w:w="253" w:type="dxa"/>
            <w:shd w:val="clear" w:color="auto" w:fill="auto"/>
            <w:noWrap/>
          </w:tcPr>
          <w:p w14:paraId="4F86383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6B2874F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Haut-</w:t>
            </w:r>
            <w:r w:rsidRPr="007E136C">
              <w:rPr>
                <w:rFonts w:ascii="Arial" w:eastAsia="Times New Roman" w:hAnsi="Arial" w:cs="Arial"/>
                <w:color w:val="000000"/>
              </w:rPr>
              <w:t>​</w:t>
            </w:r>
            <w:r w:rsidRPr="007E136C">
              <w:rPr>
                <w:rFonts w:eastAsia="Times New Roman" w:cs="Calibri"/>
                <w:color w:val="000000"/>
              </w:rPr>
              <w:t>Commissariat des Nations Unies pour les R</w:t>
            </w:r>
            <w:r w:rsidRPr="007E136C">
              <w:rPr>
                <w:rFonts w:eastAsia="Times New Roman" w:cs="Century Gothic"/>
                <w:color w:val="000000"/>
              </w:rPr>
              <w:t>é</w:t>
            </w:r>
            <w:r w:rsidRPr="007E136C">
              <w:rPr>
                <w:rFonts w:eastAsia="Times New Roman" w:cs="Calibri"/>
                <w:color w:val="000000"/>
              </w:rPr>
              <w:t>fugi</w:t>
            </w:r>
            <w:r w:rsidRPr="007E136C">
              <w:rPr>
                <w:rFonts w:eastAsia="Times New Roman" w:cs="Century Gothic"/>
                <w:color w:val="000000"/>
              </w:rPr>
              <w:t>é</w:t>
            </w:r>
            <w:r w:rsidRPr="007E136C">
              <w:rPr>
                <w:rFonts w:eastAsia="Times New Roman" w:cs="Calibri"/>
                <w:color w:val="000000"/>
              </w:rPr>
              <w:t>s</w:t>
            </w:r>
          </w:p>
        </w:tc>
      </w:tr>
      <w:tr w:rsidR="00BF7ED0" w:rsidRPr="007E136C" w14:paraId="7521D391" w14:textId="77777777" w:rsidTr="00895196">
        <w:trPr>
          <w:trHeight w:val="113"/>
        </w:trPr>
        <w:tc>
          <w:tcPr>
            <w:tcW w:w="1418" w:type="dxa"/>
            <w:shd w:val="clear" w:color="auto" w:fill="auto"/>
            <w:noWrap/>
            <w:hideMark/>
          </w:tcPr>
          <w:p w14:paraId="5196E7C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UNICEF </w:t>
            </w:r>
          </w:p>
        </w:tc>
        <w:tc>
          <w:tcPr>
            <w:tcW w:w="253" w:type="dxa"/>
            <w:shd w:val="clear" w:color="auto" w:fill="auto"/>
            <w:noWrap/>
            <w:hideMark/>
          </w:tcPr>
          <w:p w14:paraId="25472D37"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69E61F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Fonds des Nations Unies pour l’enfance </w:t>
            </w:r>
          </w:p>
        </w:tc>
      </w:tr>
      <w:tr w:rsidR="00BF7ED0" w:rsidRPr="007E136C" w14:paraId="38CF49FC" w14:textId="77777777" w:rsidTr="00895196">
        <w:trPr>
          <w:trHeight w:val="113"/>
        </w:trPr>
        <w:tc>
          <w:tcPr>
            <w:tcW w:w="1418" w:type="dxa"/>
            <w:shd w:val="clear" w:color="auto" w:fill="auto"/>
            <w:noWrap/>
            <w:hideMark/>
          </w:tcPr>
          <w:p w14:paraId="2DBE456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VBG </w:t>
            </w:r>
          </w:p>
        </w:tc>
        <w:tc>
          <w:tcPr>
            <w:tcW w:w="253" w:type="dxa"/>
            <w:shd w:val="clear" w:color="auto" w:fill="auto"/>
            <w:noWrap/>
            <w:hideMark/>
          </w:tcPr>
          <w:p w14:paraId="777977A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9EF34F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Violences Basées sur le Genre </w:t>
            </w:r>
          </w:p>
        </w:tc>
      </w:tr>
    </w:tbl>
    <w:p w14:paraId="16B3B542" w14:textId="77777777" w:rsidR="00886BB7" w:rsidRDefault="00886BB7">
      <w:pPr>
        <w:rPr>
          <w:caps/>
        </w:rPr>
      </w:pPr>
    </w:p>
    <w:p w14:paraId="5A333E04" w14:textId="77777777" w:rsidR="00886BB7" w:rsidRDefault="00886BB7">
      <w:pPr>
        <w:rPr>
          <w:caps/>
        </w:rPr>
      </w:pPr>
    </w:p>
    <w:p w14:paraId="5001169E" w14:textId="6AF7B7E3" w:rsidR="00FF0F21" w:rsidRDefault="00FF0F21">
      <w:pPr>
        <w:rPr>
          <w:rFonts w:eastAsiaTheme="majorEastAsia" w:cstheme="majorBidi"/>
          <w:b/>
          <w:color w:val="0070C0"/>
          <w:sz w:val="24"/>
          <w:szCs w:val="32"/>
        </w:rPr>
      </w:pPr>
      <w:r>
        <w:rPr>
          <w:caps/>
        </w:rPr>
        <w:br w:type="page"/>
      </w:r>
    </w:p>
    <w:p w14:paraId="4AF7070B" w14:textId="21651EF7" w:rsidR="00EE646F" w:rsidRDefault="009242CF" w:rsidP="00F564A4">
      <w:pPr>
        <w:pStyle w:val="Titre1"/>
      </w:pPr>
      <w:bookmarkStart w:id="6" w:name="_Toc95451841"/>
      <w:r>
        <w:t>LISTE DES TABLEAUX ET SCHEMA</w:t>
      </w:r>
      <w:bookmarkEnd w:id="5"/>
      <w:bookmarkEnd w:id="6"/>
    </w:p>
    <w:p w14:paraId="1F7D0C8B" w14:textId="64BE394C" w:rsidR="0011253F" w:rsidRDefault="006D48B9">
      <w:pPr>
        <w:pStyle w:val="Tabledesillustrations"/>
        <w:tabs>
          <w:tab w:val="right" w:leader="dot" w:pos="9203"/>
        </w:tabs>
        <w:rPr>
          <w:rFonts w:asciiTheme="minorHAnsi" w:eastAsiaTheme="minorEastAsia" w:hAnsiTheme="minorHAnsi"/>
          <w:noProof/>
        </w:rPr>
      </w:pPr>
      <w:r>
        <w:rPr>
          <w:rFonts w:cs="Times New Roman"/>
          <w:bCs/>
        </w:rPr>
        <w:fldChar w:fldCharType="begin"/>
      </w:r>
      <w:r>
        <w:rPr>
          <w:rFonts w:cs="Times New Roman"/>
          <w:bCs/>
        </w:rPr>
        <w:instrText xml:space="preserve"> TOC \h \z \c "Tableau" </w:instrText>
      </w:r>
      <w:r>
        <w:rPr>
          <w:rFonts w:cs="Times New Roman"/>
          <w:bCs/>
        </w:rPr>
        <w:fldChar w:fldCharType="separate"/>
      </w:r>
      <w:hyperlink w:anchor="_Toc92262102" w:history="1">
        <w:r w:rsidR="0011253F" w:rsidRPr="00BA3F05">
          <w:rPr>
            <w:rStyle w:val="Lienhypertexte"/>
            <w:noProof/>
          </w:rPr>
          <w:t>Tableau 1 : Répartition des bénéficiaires du projet selon le sexe</w:t>
        </w:r>
        <w:r w:rsidR="0011253F">
          <w:rPr>
            <w:noProof/>
            <w:webHidden/>
          </w:rPr>
          <w:tab/>
        </w:r>
        <w:r w:rsidR="0011253F">
          <w:rPr>
            <w:noProof/>
            <w:webHidden/>
          </w:rPr>
          <w:fldChar w:fldCharType="begin"/>
        </w:r>
        <w:r w:rsidR="0011253F">
          <w:rPr>
            <w:noProof/>
            <w:webHidden/>
          </w:rPr>
          <w:instrText xml:space="preserve"> PAGEREF _Toc92262102 \h </w:instrText>
        </w:r>
        <w:r w:rsidR="0011253F">
          <w:rPr>
            <w:noProof/>
            <w:webHidden/>
          </w:rPr>
        </w:r>
        <w:r w:rsidR="0011253F">
          <w:rPr>
            <w:noProof/>
            <w:webHidden/>
          </w:rPr>
          <w:fldChar w:fldCharType="separate"/>
        </w:r>
        <w:r w:rsidR="0011253F">
          <w:rPr>
            <w:noProof/>
            <w:webHidden/>
          </w:rPr>
          <w:t>26</w:t>
        </w:r>
        <w:r w:rsidR="0011253F">
          <w:rPr>
            <w:noProof/>
            <w:webHidden/>
          </w:rPr>
          <w:fldChar w:fldCharType="end"/>
        </w:r>
      </w:hyperlink>
    </w:p>
    <w:p w14:paraId="1B570010" w14:textId="7F5058E4" w:rsidR="0011253F" w:rsidRDefault="00BD0DF0">
      <w:pPr>
        <w:pStyle w:val="Tabledesillustrations"/>
        <w:tabs>
          <w:tab w:val="right" w:leader="dot" w:pos="9203"/>
        </w:tabs>
        <w:rPr>
          <w:rFonts w:asciiTheme="minorHAnsi" w:eastAsiaTheme="minorEastAsia" w:hAnsiTheme="minorHAnsi"/>
          <w:noProof/>
        </w:rPr>
      </w:pPr>
      <w:hyperlink w:anchor="_Toc92262103" w:history="1">
        <w:r w:rsidR="0011253F" w:rsidRPr="00BA3F05">
          <w:rPr>
            <w:rStyle w:val="Lienhypertexte"/>
            <w:noProof/>
          </w:rPr>
          <w:t>Tableau 2 : Utilisateurs et utilisations de l’évaluation</w:t>
        </w:r>
        <w:r w:rsidR="0011253F">
          <w:rPr>
            <w:noProof/>
            <w:webHidden/>
          </w:rPr>
          <w:tab/>
        </w:r>
        <w:r w:rsidR="0011253F">
          <w:rPr>
            <w:noProof/>
            <w:webHidden/>
          </w:rPr>
          <w:fldChar w:fldCharType="begin"/>
        </w:r>
        <w:r w:rsidR="0011253F">
          <w:rPr>
            <w:noProof/>
            <w:webHidden/>
          </w:rPr>
          <w:instrText xml:space="preserve"> PAGEREF _Toc92262103 \h </w:instrText>
        </w:r>
        <w:r w:rsidR="0011253F">
          <w:rPr>
            <w:noProof/>
            <w:webHidden/>
          </w:rPr>
        </w:r>
        <w:r w:rsidR="0011253F">
          <w:rPr>
            <w:noProof/>
            <w:webHidden/>
          </w:rPr>
          <w:fldChar w:fldCharType="separate"/>
        </w:r>
        <w:r w:rsidR="0011253F">
          <w:rPr>
            <w:noProof/>
            <w:webHidden/>
          </w:rPr>
          <w:t>28</w:t>
        </w:r>
        <w:r w:rsidR="0011253F">
          <w:rPr>
            <w:noProof/>
            <w:webHidden/>
          </w:rPr>
          <w:fldChar w:fldCharType="end"/>
        </w:r>
      </w:hyperlink>
    </w:p>
    <w:p w14:paraId="73AA2CA8" w14:textId="5AA38691" w:rsidR="0011253F" w:rsidRDefault="00BD0DF0">
      <w:pPr>
        <w:pStyle w:val="Tabledesillustrations"/>
        <w:tabs>
          <w:tab w:val="right" w:leader="dot" w:pos="9203"/>
        </w:tabs>
        <w:rPr>
          <w:rFonts w:asciiTheme="minorHAnsi" w:eastAsiaTheme="minorEastAsia" w:hAnsiTheme="minorHAnsi"/>
          <w:noProof/>
        </w:rPr>
      </w:pPr>
      <w:hyperlink w:anchor="_Toc92262104" w:history="1">
        <w:r w:rsidR="0011253F" w:rsidRPr="00BA3F05">
          <w:rPr>
            <w:rStyle w:val="Lienhypertexte"/>
            <w:noProof/>
          </w:rPr>
          <w:t>Tableau 3 : Questions évaluatives par critère</w:t>
        </w:r>
        <w:r w:rsidR="0011253F">
          <w:rPr>
            <w:noProof/>
            <w:webHidden/>
          </w:rPr>
          <w:tab/>
        </w:r>
        <w:r w:rsidR="0011253F">
          <w:rPr>
            <w:noProof/>
            <w:webHidden/>
          </w:rPr>
          <w:fldChar w:fldCharType="begin"/>
        </w:r>
        <w:r w:rsidR="0011253F">
          <w:rPr>
            <w:noProof/>
            <w:webHidden/>
          </w:rPr>
          <w:instrText xml:space="preserve"> PAGEREF _Toc92262104 \h </w:instrText>
        </w:r>
        <w:r w:rsidR="0011253F">
          <w:rPr>
            <w:noProof/>
            <w:webHidden/>
          </w:rPr>
        </w:r>
        <w:r w:rsidR="0011253F">
          <w:rPr>
            <w:noProof/>
            <w:webHidden/>
          </w:rPr>
          <w:fldChar w:fldCharType="separate"/>
        </w:r>
        <w:r w:rsidR="0011253F">
          <w:rPr>
            <w:noProof/>
            <w:webHidden/>
          </w:rPr>
          <w:t>31</w:t>
        </w:r>
        <w:r w:rsidR="0011253F">
          <w:rPr>
            <w:noProof/>
            <w:webHidden/>
          </w:rPr>
          <w:fldChar w:fldCharType="end"/>
        </w:r>
      </w:hyperlink>
    </w:p>
    <w:p w14:paraId="62800C1F" w14:textId="1FD46FF4" w:rsidR="0011253F" w:rsidRDefault="00BD0DF0">
      <w:pPr>
        <w:pStyle w:val="Tabledesillustrations"/>
        <w:tabs>
          <w:tab w:val="right" w:leader="dot" w:pos="9203"/>
        </w:tabs>
        <w:rPr>
          <w:rFonts w:asciiTheme="minorHAnsi" w:eastAsiaTheme="minorEastAsia" w:hAnsiTheme="minorHAnsi"/>
          <w:noProof/>
        </w:rPr>
      </w:pPr>
      <w:hyperlink w:anchor="_Toc92262105" w:history="1">
        <w:r w:rsidR="0011253F" w:rsidRPr="00BA3F05">
          <w:rPr>
            <w:rStyle w:val="Lienhypertexte"/>
            <w:noProof/>
          </w:rPr>
          <w:t>Tableau 4 : Examen d'évaluabilité du projet</w:t>
        </w:r>
        <w:r w:rsidR="0011253F">
          <w:rPr>
            <w:noProof/>
            <w:webHidden/>
          </w:rPr>
          <w:tab/>
        </w:r>
        <w:r w:rsidR="0011253F">
          <w:rPr>
            <w:noProof/>
            <w:webHidden/>
          </w:rPr>
          <w:fldChar w:fldCharType="begin"/>
        </w:r>
        <w:r w:rsidR="0011253F">
          <w:rPr>
            <w:noProof/>
            <w:webHidden/>
          </w:rPr>
          <w:instrText xml:space="preserve"> PAGEREF _Toc92262105 \h </w:instrText>
        </w:r>
        <w:r w:rsidR="0011253F">
          <w:rPr>
            <w:noProof/>
            <w:webHidden/>
          </w:rPr>
        </w:r>
        <w:r w:rsidR="0011253F">
          <w:rPr>
            <w:noProof/>
            <w:webHidden/>
          </w:rPr>
          <w:fldChar w:fldCharType="separate"/>
        </w:r>
        <w:r w:rsidR="0011253F">
          <w:rPr>
            <w:noProof/>
            <w:webHidden/>
          </w:rPr>
          <w:t>34</w:t>
        </w:r>
        <w:r w:rsidR="0011253F">
          <w:rPr>
            <w:noProof/>
            <w:webHidden/>
          </w:rPr>
          <w:fldChar w:fldCharType="end"/>
        </w:r>
      </w:hyperlink>
    </w:p>
    <w:p w14:paraId="655DF6D2" w14:textId="0629ED96" w:rsidR="0011253F" w:rsidRDefault="00BD0DF0">
      <w:pPr>
        <w:pStyle w:val="Tabledesillustrations"/>
        <w:tabs>
          <w:tab w:val="right" w:leader="dot" w:pos="9203"/>
        </w:tabs>
        <w:rPr>
          <w:rFonts w:asciiTheme="minorHAnsi" w:eastAsiaTheme="minorEastAsia" w:hAnsiTheme="minorHAnsi"/>
          <w:noProof/>
        </w:rPr>
      </w:pPr>
      <w:hyperlink w:anchor="_Toc92262106" w:history="1">
        <w:r w:rsidR="0011253F" w:rsidRPr="00BA3F05">
          <w:rPr>
            <w:rStyle w:val="Lienhypertexte"/>
            <w:noProof/>
          </w:rPr>
          <w:t>Tableau 5 : Bilan de la collecte quantitative et qualitative au niveau local</w:t>
        </w:r>
        <w:r w:rsidR="0011253F">
          <w:rPr>
            <w:noProof/>
            <w:webHidden/>
          </w:rPr>
          <w:tab/>
        </w:r>
        <w:r w:rsidR="0011253F">
          <w:rPr>
            <w:noProof/>
            <w:webHidden/>
          </w:rPr>
          <w:fldChar w:fldCharType="begin"/>
        </w:r>
        <w:r w:rsidR="0011253F">
          <w:rPr>
            <w:noProof/>
            <w:webHidden/>
          </w:rPr>
          <w:instrText xml:space="preserve"> PAGEREF _Toc92262106 \h </w:instrText>
        </w:r>
        <w:r w:rsidR="0011253F">
          <w:rPr>
            <w:noProof/>
            <w:webHidden/>
          </w:rPr>
        </w:r>
        <w:r w:rsidR="0011253F">
          <w:rPr>
            <w:noProof/>
            <w:webHidden/>
          </w:rPr>
          <w:fldChar w:fldCharType="separate"/>
        </w:r>
        <w:r w:rsidR="0011253F">
          <w:rPr>
            <w:noProof/>
            <w:webHidden/>
          </w:rPr>
          <w:t>XLI</w:t>
        </w:r>
        <w:r w:rsidR="0011253F">
          <w:rPr>
            <w:noProof/>
            <w:webHidden/>
          </w:rPr>
          <w:fldChar w:fldCharType="end"/>
        </w:r>
      </w:hyperlink>
    </w:p>
    <w:p w14:paraId="60D2D644" w14:textId="6904B1AB" w:rsidR="0011253F" w:rsidRDefault="00BD0DF0">
      <w:pPr>
        <w:pStyle w:val="Tabledesillustrations"/>
        <w:tabs>
          <w:tab w:val="right" w:leader="dot" w:pos="9203"/>
        </w:tabs>
        <w:rPr>
          <w:rFonts w:asciiTheme="minorHAnsi" w:eastAsiaTheme="minorEastAsia" w:hAnsiTheme="minorHAnsi"/>
          <w:noProof/>
        </w:rPr>
      </w:pPr>
      <w:hyperlink w:anchor="_Toc92262107" w:history="1">
        <w:r w:rsidR="0011253F" w:rsidRPr="00BA3F05">
          <w:rPr>
            <w:rStyle w:val="Lienhypertexte"/>
            <w:noProof/>
          </w:rPr>
          <w:t>Tableau 6 : Niveau d’exécution des résultats et produits du projet (taux d’atteinte des cibles)</w:t>
        </w:r>
        <w:r w:rsidR="0011253F">
          <w:rPr>
            <w:noProof/>
            <w:webHidden/>
          </w:rPr>
          <w:tab/>
        </w:r>
        <w:r w:rsidR="0011253F">
          <w:rPr>
            <w:noProof/>
            <w:webHidden/>
          </w:rPr>
          <w:fldChar w:fldCharType="begin"/>
        </w:r>
        <w:r w:rsidR="0011253F">
          <w:rPr>
            <w:noProof/>
            <w:webHidden/>
          </w:rPr>
          <w:instrText xml:space="preserve"> PAGEREF _Toc92262107 \h </w:instrText>
        </w:r>
        <w:r w:rsidR="0011253F">
          <w:rPr>
            <w:noProof/>
            <w:webHidden/>
          </w:rPr>
        </w:r>
        <w:r w:rsidR="0011253F">
          <w:rPr>
            <w:noProof/>
            <w:webHidden/>
          </w:rPr>
          <w:fldChar w:fldCharType="separate"/>
        </w:r>
        <w:r w:rsidR="0011253F">
          <w:rPr>
            <w:noProof/>
            <w:webHidden/>
          </w:rPr>
          <w:t>LVIII</w:t>
        </w:r>
        <w:r w:rsidR="0011253F">
          <w:rPr>
            <w:noProof/>
            <w:webHidden/>
          </w:rPr>
          <w:fldChar w:fldCharType="end"/>
        </w:r>
      </w:hyperlink>
    </w:p>
    <w:p w14:paraId="1372D1D6" w14:textId="149F19D9" w:rsidR="0011253F" w:rsidRDefault="00BD0DF0">
      <w:pPr>
        <w:pStyle w:val="Tabledesillustrations"/>
        <w:tabs>
          <w:tab w:val="right" w:leader="dot" w:pos="9203"/>
        </w:tabs>
        <w:rPr>
          <w:rFonts w:asciiTheme="minorHAnsi" w:eastAsiaTheme="minorEastAsia" w:hAnsiTheme="minorHAnsi"/>
          <w:noProof/>
        </w:rPr>
      </w:pPr>
      <w:hyperlink w:anchor="_Toc92262108" w:history="1">
        <w:r w:rsidR="0011253F" w:rsidRPr="00BA3F05">
          <w:rPr>
            <w:rStyle w:val="Lienhypertexte"/>
            <w:noProof/>
          </w:rPr>
          <w:t>Tableau 7 : Caractéristiques socio-démographique des bénéficiaires directs</w:t>
        </w:r>
        <w:r w:rsidR="0011253F">
          <w:rPr>
            <w:noProof/>
            <w:webHidden/>
          </w:rPr>
          <w:tab/>
        </w:r>
        <w:r w:rsidR="0011253F">
          <w:rPr>
            <w:noProof/>
            <w:webHidden/>
          </w:rPr>
          <w:fldChar w:fldCharType="begin"/>
        </w:r>
        <w:r w:rsidR="0011253F">
          <w:rPr>
            <w:noProof/>
            <w:webHidden/>
          </w:rPr>
          <w:instrText xml:space="preserve"> PAGEREF _Toc92262108 \h </w:instrText>
        </w:r>
        <w:r w:rsidR="0011253F">
          <w:rPr>
            <w:noProof/>
            <w:webHidden/>
          </w:rPr>
        </w:r>
        <w:r w:rsidR="0011253F">
          <w:rPr>
            <w:noProof/>
            <w:webHidden/>
          </w:rPr>
          <w:fldChar w:fldCharType="separate"/>
        </w:r>
        <w:r w:rsidR="0011253F">
          <w:rPr>
            <w:noProof/>
            <w:webHidden/>
          </w:rPr>
          <w:t>LXXXVIII</w:t>
        </w:r>
        <w:r w:rsidR="0011253F">
          <w:rPr>
            <w:noProof/>
            <w:webHidden/>
          </w:rPr>
          <w:fldChar w:fldCharType="end"/>
        </w:r>
      </w:hyperlink>
    </w:p>
    <w:p w14:paraId="36E8BE22" w14:textId="64E7698B" w:rsidR="0011253F" w:rsidRDefault="00BD0DF0">
      <w:pPr>
        <w:pStyle w:val="Tabledesillustrations"/>
        <w:tabs>
          <w:tab w:val="right" w:leader="dot" w:pos="9203"/>
        </w:tabs>
        <w:rPr>
          <w:rFonts w:asciiTheme="minorHAnsi" w:eastAsiaTheme="minorEastAsia" w:hAnsiTheme="minorHAnsi"/>
          <w:noProof/>
        </w:rPr>
      </w:pPr>
      <w:hyperlink w:anchor="_Toc92262109" w:history="1">
        <w:r w:rsidR="0011253F" w:rsidRPr="00BA3F05">
          <w:rPr>
            <w:rStyle w:val="Lienhypertexte"/>
            <w:noProof/>
          </w:rPr>
          <w:t>Tableau 8: Avis des bénéficiaires directs sur la prise en compte de leurs besoins</w:t>
        </w:r>
        <w:r w:rsidR="0011253F">
          <w:rPr>
            <w:noProof/>
            <w:webHidden/>
          </w:rPr>
          <w:tab/>
        </w:r>
        <w:r w:rsidR="0011253F">
          <w:rPr>
            <w:noProof/>
            <w:webHidden/>
          </w:rPr>
          <w:fldChar w:fldCharType="begin"/>
        </w:r>
        <w:r w:rsidR="0011253F">
          <w:rPr>
            <w:noProof/>
            <w:webHidden/>
          </w:rPr>
          <w:instrText xml:space="preserve"> PAGEREF _Toc92262109 \h </w:instrText>
        </w:r>
        <w:r w:rsidR="0011253F">
          <w:rPr>
            <w:noProof/>
            <w:webHidden/>
          </w:rPr>
        </w:r>
        <w:r w:rsidR="0011253F">
          <w:rPr>
            <w:noProof/>
            <w:webHidden/>
          </w:rPr>
          <w:fldChar w:fldCharType="separate"/>
        </w:r>
        <w:r w:rsidR="0011253F">
          <w:rPr>
            <w:noProof/>
            <w:webHidden/>
          </w:rPr>
          <w:t>LXXXIX</w:t>
        </w:r>
        <w:r w:rsidR="0011253F">
          <w:rPr>
            <w:noProof/>
            <w:webHidden/>
          </w:rPr>
          <w:fldChar w:fldCharType="end"/>
        </w:r>
      </w:hyperlink>
    </w:p>
    <w:p w14:paraId="19D2EB75" w14:textId="695F56B9" w:rsidR="0011253F" w:rsidRDefault="00BD0DF0">
      <w:pPr>
        <w:pStyle w:val="Tabledesillustrations"/>
        <w:tabs>
          <w:tab w:val="right" w:leader="dot" w:pos="9203"/>
        </w:tabs>
        <w:rPr>
          <w:rFonts w:asciiTheme="minorHAnsi" w:eastAsiaTheme="minorEastAsia" w:hAnsiTheme="minorHAnsi"/>
          <w:noProof/>
        </w:rPr>
      </w:pPr>
      <w:hyperlink w:anchor="_Toc92262110" w:history="1">
        <w:r w:rsidR="0011253F" w:rsidRPr="00BA3F05">
          <w:rPr>
            <w:rStyle w:val="Lienhypertexte"/>
            <w:noProof/>
          </w:rPr>
          <w:t>Tableau 9 : Situation finale du cadre de résultat du projet</w:t>
        </w:r>
        <w:r w:rsidR="0011253F">
          <w:rPr>
            <w:noProof/>
            <w:webHidden/>
          </w:rPr>
          <w:tab/>
        </w:r>
        <w:r w:rsidR="0011253F">
          <w:rPr>
            <w:noProof/>
            <w:webHidden/>
          </w:rPr>
          <w:fldChar w:fldCharType="begin"/>
        </w:r>
        <w:r w:rsidR="0011253F">
          <w:rPr>
            <w:noProof/>
            <w:webHidden/>
          </w:rPr>
          <w:instrText xml:space="preserve"> PAGEREF _Toc92262110 \h </w:instrText>
        </w:r>
        <w:r w:rsidR="0011253F">
          <w:rPr>
            <w:noProof/>
            <w:webHidden/>
          </w:rPr>
        </w:r>
        <w:r w:rsidR="0011253F">
          <w:rPr>
            <w:noProof/>
            <w:webHidden/>
          </w:rPr>
          <w:fldChar w:fldCharType="separate"/>
        </w:r>
        <w:r w:rsidR="0011253F">
          <w:rPr>
            <w:noProof/>
            <w:webHidden/>
          </w:rPr>
          <w:t>XC</w:t>
        </w:r>
        <w:r w:rsidR="0011253F">
          <w:rPr>
            <w:noProof/>
            <w:webHidden/>
          </w:rPr>
          <w:fldChar w:fldCharType="end"/>
        </w:r>
      </w:hyperlink>
    </w:p>
    <w:p w14:paraId="4B9F9775" w14:textId="4F51C6C0" w:rsidR="0011253F" w:rsidRDefault="00BD0DF0">
      <w:pPr>
        <w:pStyle w:val="Tabledesillustrations"/>
        <w:tabs>
          <w:tab w:val="right" w:leader="dot" w:pos="9203"/>
        </w:tabs>
        <w:rPr>
          <w:rFonts w:asciiTheme="minorHAnsi" w:eastAsiaTheme="minorEastAsia" w:hAnsiTheme="minorHAnsi"/>
          <w:noProof/>
        </w:rPr>
      </w:pPr>
      <w:hyperlink w:anchor="_Toc92262111" w:history="1">
        <w:r w:rsidR="0011253F" w:rsidRPr="00BA3F05">
          <w:rPr>
            <w:rStyle w:val="Lienhypertexte"/>
            <w:noProof/>
          </w:rPr>
          <w:t>Tableau 10 : Appréciation des bénéficiaires directs sur les activités réalisées</w:t>
        </w:r>
        <w:r w:rsidR="0011253F">
          <w:rPr>
            <w:noProof/>
            <w:webHidden/>
          </w:rPr>
          <w:tab/>
        </w:r>
        <w:r w:rsidR="0011253F">
          <w:rPr>
            <w:noProof/>
            <w:webHidden/>
          </w:rPr>
          <w:fldChar w:fldCharType="begin"/>
        </w:r>
        <w:r w:rsidR="0011253F">
          <w:rPr>
            <w:noProof/>
            <w:webHidden/>
          </w:rPr>
          <w:instrText xml:space="preserve"> PAGEREF _Toc92262111 \h </w:instrText>
        </w:r>
        <w:r w:rsidR="0011253F">
          <w:rPr>
            <w:noProof/>
            <w:webHidden/>
          </w:rPr>
        </w:r>
        <w:r w:rsidR="0011253F">
          <w:rPr>
            <w:noProof/>
            <w:webHidden/>
          </w:rPr>
          <w:fldChar w:fldCharType="separate"/>
        </w:r>
        <w:r w:rsidR="0011253F">
          <w:rPr>
            <w:noProof/>
            <w:webHidden/>
          </w:rPr>
          <w:t>XCV</w:t>
        </w:r>
        <w:r w:rsidR="0011253F">
          <w:rPr>
            <w:noProof/>
            <w:webHidden/>
          </w:rPr>
          <w:fldChar w:fldCharType="end"/>
        </w:r>
      </w:hyperlink>
    </w:p>
    <w:p w14:paraId="448246EF" w14:textId="7C16A99A" w:rsidR="0011253F" w:rsidRDefault="00BD0DF0">
      <w:pPr>
        <w:pStyle w:val="Tabledesillustrations"/>
        <w:tabs>
          <w:tab w:val="right" w:leader="dot" w:pos="9203"/>
        </w:tabs>
        <w:rPr>
          <w:rFonts w:asciiTheme="minorHAnsi" w:eastAsiaTheme="minorEastAsia" w:hAnsiTheme="minorHAnsi"/>
          <w:noProof/>
        </w:rPr>
      </w:pPr>
      <w:hyperlink w:anchor="_Toc92262112" w:history="1">
        <w:r w:rsidR="0011253F" w:rsidRPr="00BA3F05">
          <w:rPr>
            <w:rStyle w:val="Lienhypertexte"/>
            <w:noProof/>
          </w:rPr>
          <w:t>Tableau 11 : Répartition détaillée du budget par agence d’exécution et par rubrique de coût</w:t>
        </w:r>
        <w:r w:rsidR="0011253F">
          <w:rPr>
            <w:noProof/>
            <w:webHidden/>
          </w:rPr>
          <w:tab/>
        </w:r>
        <w:r w:rsidR="0011253F">
          <w:rPr>
            <w:noProof/>
            <w:webHidden/>
          </w:rPr>
          <w:fldChar w:fldCharType="begin"/>
        </w:r>
        <w:r w:rsidR="0011253F">
          <w:rPr>
            <w:noProof/>
            <w:webHidden/>
          </w:rPr>
          <w:instrText xml:space="preserve"> PAGEREF _Toc92262112 \h </w:instrText>
        </w:r>
        <w:r w:rsidR="0011253F">
          <w:rPr>
            <w:noProof/>
            <w:webHidden/>
          </w:rPr>
        </w:r>
        <w:r w:rsidR="0011253F">
          <w:rPr>
            <w:noProof/>
            <w:webHidden/>
          </w:rPr>
          <w:fldChar w:fldCharType="separate"/>
        </w:r>
        <w:r w:rsidR="0011253F">
          <w:rPr>
            <w:noProof/>
            <w:webHidden/>
          </w:rPr>
          <w:t>XCV</w:t>
        </w:r>
        <w:r w:rsidR="0011253F">
          <w:rPr>
            <w:noProof/>
            <w:webHidden/>
          </w:rPr>
          <w:fldChar w:fldCharType="end"/>
        </w:r>
      </w:hyperlink>
    </w:p>
    <w:p w14:paraId="54E81A16" w14:textId="134BFD0E" w:rsidR="0011253F" w:rsidRDefault="00BD0DF0">
      <w:pPr>
        <w:pStyle w:val="Tabledesillustrations"/>
        <w:tabs>
          <w:tab w:val="right" w:leader="dot" w:pos="9203"/>
        </w:tabs>
        <w:rPr>
          <w:rFonts w:asciiTheme="minorHAnsi" w:eastAsiaTheme="minorEastAsia" w:hAnsiTheme="minorHAnsi"/>
          <w:noProof/>
        </w:rPr>
      </w:pPr>
      <w:hyperlink w:anchor="_Toc92262113" w:history="1">
        <w:r w:rsidR="0011253F" w:rsidRPr="00BA3F05">
          <w:rPr>
            <w:rStyle w:val="Lienhypertexte"/>
            <w:noProof/>
          </w:rPr>
          <w:t>Tableau 12 : Etat des ressources humaines mobilisées par le projet</w:t>
        </w:r>
        <w:r w:rsidR="0011253F">
          <w:rPr>
            <w:noProof/>
            <w:webHidden/>
          </w:rPr>
          <w:tab/>
        </w:r>
        <w:r w:rsidR="0011253F">
          <w:rPr>
            <w:noProof/>
            <w:webHidden/>
          </w:rPr>
          <w:fldChar w:fldCharType="begin"/>
        </w:r>
        <w:r w:rsidR="0011253F">
          <w:rPr>
            <w:noProof/>
            <w:webHidden/>
          </w:rPr>
          <w:instrText xml:space="preserve"> PAGEREF _Toc92262113 \h </w:instrText>
        </w:r>
        <w:r w:rsidR="0011253F">
          <w:rPr>
            <w:noProof/>
            <w:webHidden/>
          </w:rPr>
        </w:r>
        <w:r w:rsidR="0011253F">
          <w:rPr>
            <w:noProof/>
            <w:webHidden/>
          </w:rPr>
          <w:fldChar w:fldCharType="separate"/>
        </w:r>
        <w:r w:rsidR="0011253F">
          <w:rPr>
            <w:noProof/>
            <w:webHidden/>
          </w:rPr>
          <w:t>XCVII</w:t>
        </w:r>
        <w:r w:rsidR="0011253F">
          <w:rPr>
            <w:noProof/>
            <w:webHidden/>
          </w:rPr>
          <w:fldChar w:fldCharType="end"/>
        </w:r>
      </w:hyperlink>
    </w:p>
    <w:p w14:paraId="673DA0F8" w14:textId="2F8D54C5" w:rsidR="0011253F" w:rsidRDefault="00BD0DF0">
      <w:pPr>
        <w:pStyle w:val="Tabledesillustrations"/>
        <w:tabs>
          <w:tab w:val="right" w:leader="dot" w:pos="9203"/>
        </w:tabs>
        <w:rPr>
          <w:rFonts w:asciiTheme="minorHAnsi" w:eastAsiaTheme="minorEastAsia" w:hAnsiTheme="minorHAnsi"/>
          <w:noProof/>
        </w:rPr>
      </w:pPr>
      <w:hyperlink w:anchor="_Toc92262114" w:history="1">
        <w:r w:rsidR="0011253F" w:rsidRPr="00BA3F05">
          <w:rPr>
            <w:rStyle w:val="Lienhypertexte"/>
            <w:noProof/>
          </w:rPr>
          <w:t>Tableau 13 : Niveau d’implication des femmes et des jeunes membres des MCPGC</w:t>
        </w:r>
        <w:r w:rsidR="0011253F">
          <w:rPr>
            <w:noProof/>
            <w:webHidden/>
          </w:rPr>
          <w:tab/>
        </w:r>
        <w:r w:rsidR="0011253F">
          <w:rPr>
            <w:noProof/>
            <w:webHidden/>
          </w:rPr>
          <w:fldChar w:fldCharType="begin"/>
        </w:r>
        <w:r w:rsidR="0011253F">
          <w:rPr>
            <w:noProof/>
            <w:webHidden/>
          </w:rPr>
          <w:instrText xml:space="preserve"> PAGEREF _Toc92262114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42554846" w14:textId="340CED64" w:rsidR="0011253F" w:rsidRDefault="00BD0DF0">
      <w:pPr>
        <w:pStyle w:val="Tabledesillustrations"/>
        <w:tabs>
          <w:tab w:val="right" w:leader="dot" w:pos="9203"/>
        </w:tabs>
        <w:rPr>
          <w:rFonts w:asciiTheme="minorHAnsi" w:eastAsiaTheme="minorEastAsia" w:hAnsiTheme="minorHAnsi"/>
          <w:noProof/>
        </w:rPr>
      </w:pPr>
      <w:hyperlink w:anchor="_Toc92262115" w:history="1">
        <w:r w:rsidR="0011253F" w:rsidRPr="00BA3F05">
          <w:rPr>
            <w:rStyle w:val="Lienhypertexte"/>
            <w:noProof/>
          </w:rPr>
          <w:t>Tableau 14 : Appréciation des répondants sur la prise en compte des avis des femmes et des jeunes dans les MCPGC</w:t>
        </w:r>
        <w:r w:rsidR="0011253F">
          <w:rPr>
            <w:noProof/>
            <w:webHidden/>
          </w:rPr>
          <w:tab/>
        </w:r>
        <w:r w:rsidR="0011253F">
          <w:rPr>
            <w:noProof/>
            <w:webHidden/>
          </w:rPr>
          <w:fldChar w:fldCharType="begin"/>
        </w:r>
        <w:r w:rsidR="0011253F">
          <w:rPr>
            <w:noProof/>
            <w:webHidden/>
          </w:rPr>
          <w:instrText xml:space="preserve"> PAGEREF _Toc92262115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5CC27AC6" w14:textId="7D6E6F56" w:rsidR="0011253F" w:rsidRDefault="00BD0DF0">
      <w:pPr>
        <w:pStyle w:val="Tabledesillustrations"/>
        <w:tabs>
          <w:tab w:val="right" w:leader="dot" w:pos="9203"/>
        </w:tabs>
        <w:rPr>
          <w:rFonts w:asciiTheme="minorHAnsi" w:eastAsiaTheme="minorEastAsia" w:hAnsiTheme="minorHAnsi"/>
          <w:noProof/>
        </w:rPr>
      </w:pPr>
      <w:hyperlink w:anchor="_Toc92262116" w:history="1">
        <w:r w:rsidR="0011253F" w:rsidRPr="00BA3F05">
          <w:rPr>
            <w:rStyle w:val="Lienhypertexte"/>
            <w:noProof/>
          </w:rPr>
          <w:t>Tableau 15 : Répartition des femmes et des jeunes membres des MCPGC suivant leur niveau de compréhension des sujets débattus lors des réunions des comités</w:t>
        </w:r>
        <w:r w:rsidR="0011253F">
          <w:rPr>
            <w:noProof/>
            <w:webHidden/>
          </w:rPr>
          <w:tab/>
        </w:r>
        <w:r w:rsidR="0011253F">
          <w:rPr>
            <w:noProof/>
            <w:webHidden/>
          </w:rPr>
          <w:fldChar w:fldCharType="begin"/>
        </w:r>
        <w:r w:rsidR="0011253F">
          <w:rPr>
            <w:noProof/>
            <w:webHidden/>
          </w:rPr>
          <w:instrText xml:space="preserve"> PAGEREF _Toc92262116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2BECD380" w14:textId="10ABDDBA" w:rsidR="0011253F" w:rsidRDefault="00BD0DF0">
      <w:pPr>
        <w:pStyle w:val="Tabledesillustrations"/>
        <w:tabs>
          <w:tab w:val="right" w:leader="dot" w:pos="9203"/>
        </w:tabs>
        <w:rPr>
          <w:rFonts w:asciiTheme="minorHAnsi" w:eastAsiaTheme="minorEastAsia" w:hAnsiTheme="minorHAnsi"/>
          <w:noProof/>
        </w:rPr>
      </w:pPr>
      <w:hyperlink w:anchor="_Toc92262117" w:history="1">
        <w:r w:rsidR="0011253F" w:rsidRPr="00BA3F05">
          <w:rPr>
            <w:rStyle w:val="Lienhypertexte"/>
            <w:noProof/>
          </w:rPr>
          <w:t>Tableau 16 : Perception des répondants sur l'amélioration des relations de confiance entre communautés, FDS &amp; ACP</w:t>
        </w:r>
        <w:r w:rsidR="0011253F">
          <w:rPr>
            <w:noProof/>
            <w:webHidden/>
          </w:rPr>
          <w:tab/>
        </w:r>
        <w:r w:rsidR="0011253F">
          <w:rPr>
            <w:noProof/>
            <w:webHidden/>
          </w:rPr>
          <w:fldChar w:fldCharType="begin"/>
        </w:r>
        <w:r w:rsidR="0011253F">
          <w:rPr>
            <w:noProof/>
            <w:webHidden/>
          </w:rPr>
          <w:instrText xml:space="preserve"> PAGEREF _Toc92262117 \h </w:instrText>
        </w:r>
        <w:r w:rsidR="0011253F">
          <w:rPr>
            <w:noProof/>
            <w:webHidden/>
          </w:rPr>
        </w:r>
        <w:r w:rsidR="0011253F">
          <w:rPr>
            <w:noProof/>
            <w:webHidden/>
          </w:rPr>
          <w:fldChar w:fldCharType="separate"/>
        </w:r>
        <w:r w:rsidR="0011253F">
          <w:rPr>
            <w:noProof/>
            <w:webHidden/>
          </w:rPr>
          <w:t>XCIX</w:t>
        </w:r>
        <w:r w:rsidR="0011253F">
          <w:rPr>
            <w:noProof/>
            <w:webHidden/>
          </w:rPr>
          <w:fldChar w:fldCharType="end"/>
        </w:r>
      </w:hyperlink>
    </w:p>
    <w:p w14:paraId="377A999C" w14:textId="321A1944" w:rsidR="0011253F" w:rsidRDefault="00BD0DF0">
      <w:pPr>
        <w:pStyle w:val="Tabledesillustrations"/>
        <w:tabs>
          <w:tab w:val="right" w:leader="dot" w:pos="9203"/>
        </w:tabs>
        <w:rPr>
          <w:rFonts w:asciiTheme="minorHAnsi" w:eastAsiaTheme="minorEastAsia" w:hAnsiTheme="minorHAnsi"/>
          <w:noProof/>
        </w:rPr>
      </w:pPr>
      <w:hyperlink w:anchor="_Toc92262118" w:history="1">
        <w:r w:rsidR="0011253F" w:rsidRPr="00BA3F05">
          <w:rPr>
            <w:rStyle w:val="Lienhypertexte"/>
            <w:noProof/>
          </w:rPr>
          <w:t>Tableau 17 : Niveau de confiance des répondants par rapport aux FDS</w:t>
        </w:r>
        <w:r w:rsidR="0011253F">
          <w:rPr>
            <w:noProof/>
            <w:webHidden/>
          </w:rPr>
          <w:tab/>
        </w:r>
        <w:r w:rsidR="0011253F">
          <w:rPr>
            <w:noProof/>
            <w:webHidden/>
          </w:rPr>
          <w:fldChar w:fldCharType="begin"/>
        </w:r>
        <w:r w:rsidR="0011253F">
          <w:rPr>
            <w:noProof/>
            <w:webHidden/>
          </w:rPr>
          <w:instrText xml:space="preserve"> PAGEREF _Toc92262118 \h </w:instrText>
        </w:r>
        <w:r w:rsidR="0011253F">
          <w:rPr>
            <w:noProof/>
            <w:webHidden/>
          </w:rPr>
        </w:r>
        <w:r w:rsidR="0011253F">
          <w:rPr>
            <w:noProof/>
            <w:webHidden/>
          </w:rPr>
          <w:fldChar w:fldCharType="separate"/>
        </w:r>
        <w:r w:rsidR="0011253F">
          <w:rPr>
            <w:noProof/>
            <w:webHidden/>
          </w:rPr>
          <w:t>XCIX</w:t>
        </w:r>
        <w:r w:rsidR="0011253F">
          <w:rPr>
            <w:noProof/>
            <w:webHidden/>
          </w:rPr>
          <w:fldChar w:fldCharType="end"/>
        </w:r>
      </w:hyperlink>
    </w:p>
    <w:p w14:paraId="7563D3C7" w14:textId="121FA9B0" w:rsidR="0011253F" w:rsidRDefault="00BD0DF0">
      <w:pPr>
        <w:pStyle w:val="Tabledesillustrations"/>
        <w:tabs>
          <w:tab w:val="right" w:leader="dot" w:pos="9203"/>
        </w:tabs>
        <w:rPr>
          <w:rFonts w:asciiTheme="minorHAnsi" w:eastAsiaTheme="minorEastAsia" w:hAnsiTheme="minorHAnsi"/>
          <w:noProof/>
        </w:rPr>
      </w:pPr>
      <w:hyperlink w:anchor="_Toc92262119" w:history="1">
        <w:r w:rsidR="0011253F" w:rsidRPr="00BA3F05">
          <w:rPr>
            <w:rStyle w:val="Lienhypertexte"/>
            <w:noProof/>
          </w:rPr>
          <w:t>Tableau 18 : Niveau de connaissance des droits humains par les bénéficiaires directs</w:t>
        </w:r>
        <w:r w:rsidR="0011253F">
          <w:rPr>
            <w:noProof/>
            <w:webHidden/>
          </w:rPr>
          <w:tab/>
        </w:r>
        <w:r w:rsidR="0011253F">
          <w:rPr>
            <w:noProof/>
            <w:webHidden/>
          </w:rPr>
          <w:fldChar w:fldCharType="begin"/>
        </w:r>
        <w:r w:rsidR="0011253F">
          <w:rPr>
            <w:noProof/>
            <w:webHidden/>
          </w:rPr>
          <w:instrText xml:space="preserve"> PAGEREF _Toc92262119 \h </w:instrText>
        </w:r>
        <w:r w:rsidR="0011253F">
          <w:rPr>
            <w:noProof/>
            <w:webHidden/>
          </w:rPr>
        </w:r>
        <w:r w:rsidR="0011253F">
          <w:rPr>
            <w:noProof/>
            <w:webHidden/>
          </w:rPr>
          <w:fldChar w:fldCharType="separate"/>
        </w:r>
        <w:r w:rsidR="0011253F">
          <w:rPr>
            <w:noProof/>
            <w:webHidden/>
          </w:rPr>
          <w:t>C</w:t>
        </w:r>
        <w:r w:rsidR="0011253F">
          <w:rPr>
            <w:noProof/>
            <w:webHidden/>
          </w:rPr>
          <w:fldChar w:fldCharType="end"/>
        </w:r>
      </w:hyperlink>
    </w:p>
    <w:p w14:paraId="11C07EE5" w14:textId="388F229D" w:rsidR="0011253F" w:rsidRDefault="00BD0DF0">
      <w:pPr>
        <w:pStyle w:val="Tabledesillustrations"/>
        <w:tabs>
          <w:tab w:val="right" w:leader="dot" w:pos="9203"/>
        </w:tabs>
        <w:rPr>
          <w:rFonts w:asciiTheme="minorHAnsi" w:eastAsiaTheme="minorEastAsia" w:hAnsiTheme="minorHAnsi"/>
          <w:noProof/>
        </w:rPr>
      </w:pPr>
      <w:hyperlink w:anchor="_Toc92262120" w:history="1">
        <w:r w:rsidR="0011253F" w:rsidRPr="00BA3F05">
          <w:rPr>
            <w:rStyle w:val="Lienhypertexte"/>
            <w:noProof/>
          </w:rPr>
          <w:t>Tableau 19 : Connaissance des voies de recours par les bénéficiaires directs</w:t>
        </w:r>
        <w:r w:rsidR="0011253F">
          <w:rPr>
            <w:noProof/>
            <w:webHidden/>
          </w:rPr>
          <w:tab/>
        </w:r>
        <w:r w:rsidR="0011253F">
          <w:rPr>
            <w:noProof/>
            <w:webHidden/>
          </w:rPr>
          <w:fldChar w:fldCharType="begin"/>
        </w:r>
        <w:r w:rsidR="0011253F">
          <w:rPr>
            <w:noProof/>
            <w:webHidden/>
          </w:rPr>
          <w:instrText xml:space="preserve"> PAGEREF _Toc92262120 \h </w:instrText>
        </w:r>
        <w:r w:rsidR="0011253F">
          <w:rPr>
            <w:noProof/>
            <w:webHidden/>
          </w:rPr>
        </w:r>
        <w:r w:rsidR="0011253F">
          <w:rPr>
            <w:noProof/>
            <w:webHidden/>
          </w:rPr>
          <w:fldChar w:fldCharType="separate"/>
        </w:r>
        <w:r w:rsidR="0011253F">
          <w:rPr>
            <w:noProof/>
            <w:webHidden/>
          </w:rPr>
          <w:t>C</w:t>
        </w:r>
        <w:r w:rsidR="0011253F">
          <w:rPr>
            <w:noProof/>
            <w:webHidden/>
          </w:rPr>
          <w:fldChar w:fldCharType="end"/>
        </w:r>
      </w:hyperlink>
    </w:p>
    <w:p w14:paraId="20D0C593" w14:textId="4C152CB0" w:rsidR="0011253F" w:rsidRDefault="00BD0DF0">
      <w:pPr>
        <w:pStyle w:val="Tabledesillustrations"/>
        <w:tabs>
          <w:tab w:val="right" w:leader="dot" w:pos="9203"/>
        </w:tabs>
        <w:rPr>
          <w:rFonts w:asciiTheme="minorHAnsi" w:eastAsiaTheme="minorEastAsia" w:hAnsiTheme="minorHAnsi"/>
          <w:noProof/>
        </w:rPr>
      </w:pPr>
      <w:hyperlink w:anchor="_Toc92262121" w:history="1">
        <w:r w:rsidR="0011253F" w:rsidRPr="00BA3F05">
          <w:rPr>
            <w:rStyle w:val="Lienhypertexte"/>
            <w:noProof/>
          </w:rPr>
          <w:t>Tableau 20 : Disposition et niveau d'engagement des membres de MCPGC à maintenir la participation des femmes</w:t>
        </w:r>
        <w:r w:rsidR="0011253F">
          <w:rPr>
            <w:noProof/>
            <w:webHidden/>
          </w:rPr>
          <w:tab/>
        </w:r>
        <w:r w:rsidR="0011253F">
          <w:rPr>
            <w:noProof/>
            <w:webHidden/>
          </w:rPr>
          <w:fldChar w:fldCharType="begin"/>
        </w:r>
        <w:r w:rsidR="0011253F">
          <w:rPr>
            <w:noProof/>
            <w:webHidden/>
          </w:rPr>
          <w:instrText xml:space="preserve"> PAGEREF _Toc92262121 \h </w:instrText>
        </w:r>
        <w:r w:rsidR="0011253F">
          <w:rPr>
            <w:noProof/>
            <w:webHidden/>
          </w:rPr>
        </w:r>
        <w:r w:rsidR="0011253F">
          <w:rPr>
            <w:noProof/>
            <w:webHidden/>
          </w:rPr>
          <w:fldChar w:fldCharType="separate"/>
        </w:r>
        <w:r w:rsidR="0011253F">
          <w:rPr>
            <w:noProof/>
            <w:webHidden/>
          </w:rPr>
          <w:t>CI</w:t>
        </w:r>
        <w:r w:rsidR="0011253F">
          <w:rPr>
            <w:noProof/>
            <w:webHidden/>
          </w:rPr>
          <w:fldChar w:fldCharType="end"/>
        </w:r>
      </w:hyperlink>
    </w:p>
    <w:p w14:paraId="04385C97" w14:textId="478B4C90" w:rsidR="0011253F" w:rsidRDefault="00BD0DF0">
      <w:pPr>
        <w:pStyle w:val="Tabledesillustrations"/>
        <w:tabs>
          <w:tab w:val="right" w:leader="dot" w:pos="9203"/>
        </w:tabs>
        <w:rPr>
          <w:rFonts w:asciiTheme="minorHAnsi" w:eastAsiaTheme="minorEastAsia" w:hAnsiTheme="minorHAnsi"/>
          <w:noProof/>
        </w:rPr>
      </w:pPr>
      <w:hyperlink w:anchor="_Toc92262122" w:history="1">
        <w:r w:rsidR="0011253F" w:rsidRPr="00BA3F05">
          <w:rPr>
            <w:rStyle w:val="Lienhypertexte"/>
            <w:noProof/>
          </w:rPr>
          <w:t>Tableau 21 : Répertoire des organisations engagées sur les questions de femmes, paix et sécurité dans le cercle d’Ansongo</w:t>
        </w:r>
        <w:r w:rsidR="0011253F">
          <w:rPr>
            <w:noProof/>
            <w:webHidden/>
          </w:rPr>
          <w:tab/>
        </w:r>
        <w:r w:rsidR="0011253F">
          <w:rPr>
            <w:noProof/>
            <w:webHidden/>
          </w:rPr>
          <w:fldChar w:fldCharType="begin"/>
        </w:r>
        <w:r w:rsidR="0011253F">
          <w:rPr>
            <w:noProof/>
            <w:webHidden/>
          </w:rPr>
          <w:instrText xml:space="preserve"> PAGEREF _Toc92262122 \h </w:instrText>
        </w:r>
        <w:r w:rsidR="0011253F">
          <w:rPr>
            <w:noProof/>
            <w:webHidden/>
          </w:rPr>
        </w:r>
        <w:r w:rsidR="0011253F">
          <w:rPr>
            <w:noProof/>
            <w:webHidden/>
          </w:rPr>
          <w:fldChar w:fldCharType="separate"/>
        </w:r>
        <w:r w:rsidR="0011253F">
          <w:rPr>
            <w:noProof/>
            <w:webHidden/>
          </w:rPr>
          <w:t>CI</w:t>
        </w:r>
        <w:r w:rsidR="0011253F">
          <w:rPr>
            <w:noProof/>
            <w:webHidden/>
          </w:rPr>
          <w:fldChar w:fldCharType="end"/>
        </w:r>
      </w:hyperlink>
    </w:p>
    <w:p w14:paraId="0144CB93" w14:textId="53AA7725" w:rsidR="0011253F" w:rsidRDefault="00BD0DF0">
      <w:pPr>
        <w:pStyle w:val="Tabledesillustrations"/>
        <w:tabs>
          <w:tab w:val="right" w:leader="dot" w:pos="9203"/>
        </w:tabs>
        <w:rPr>
          <w:rFonts w:asciiTheme="minorHAnsi" w:eastAsiaTheme="minorEastAsia" w:hAnsiTheme="minorHAnsi"/>
          <w:noProof/>
        </w:rPr>
      </w:pPr>
      <w:hyperlink w:anchor="_Toc92262123" w:history="1">
        <w:r w:rsidR="0011253F" w:rsidRPr="00BA3F05">
          <w:rPr>
            <w:rStyle w:val="Lienhypertexte"/>
            <w:noProof/>
          </w:rPr>
          <w:t>Tableau 22 : Répertoire des organisations intervenant sur les questions de femmes, paix et sécurité dans les Communes de Bankilaré,Ayorou, Banibangou et Gorouol</w:t>
        </w:r>
        <w:r w:rsidR="0011253F">
          <w:rPr>
            <w:noProof/>
            <w:webHidden/>
          </w:rPr>
          <w:tab/>
        </w:r>
        <w:r w:rsidR="0011253F">
          <w:rPr>
            <w:noProof/>
            <w:webHidden/>
          </w:rPr>
          <w:fldChar w:fldCharType="begin"/>
        </w:r>
        <w:r w:rsidR="0011253F">
          <w:rPr>
            <w:noProof/>
            <w:webHidden/>
          </w:rPr>
          <w:instrText xml:space="preserve"> PAGEREF _Toc92262123 \h </w:instrText>
        </w:r>
        <w:r w:rsidR="0011253F">
          <w:rPr>
            <w:noProof/>
            <w:webHidden/>
          </w:rPr>
        </w:r>
        <w:r w:rsidR="0011253F">
          <w:rPr>
            <w:noProof/>
            <w:webHidden/>
          </w:rPr>
          <w:fldChar w:fldCharType="separate"/>
        </w:r>
        <w:r w:rsidR="0011253F">
          <w:rPr>
            <w:noProof/>
            <w:webHidden/>
          </w:rPr>
          <w:t>CIII</w:t>
        </w:r>
        <w:r w:rsidR="0011253F">
          <w:rPr>
            <w:noProof/>
            <w:webHidden/>
          </w:rPr>
          <w:fldChar w:fldCharType="end"/>
        </w:r>
      </w:hyperlink>
    </w:p>
    <w:p w14:paraId="40A8C935" w14:textId="1C4728EB" w:rsidR="00CF454A" w:rsidRDefault="006D48B9" w:rsidP="00CF454A">
      <w:pPr>
        <w:spacing w:before="0" w:after="0" w:line="276" w:lineRule="auto"/>
        <w:rPr>
          <w:rFonts w:ascii="Times New Roman" w:hAnsi="Times New Roman" w:cs="Times New Roman"/>
          <w:b/>
        </w:rPr>
      </w:pPr>
      <w:r>
        <w:rPr>
          <w:rFonts w:cs="Times New Roman"/>
          <w:bCs/>
        </w:rPr>
        <w:fldChar w:fldCharType="end"/>
      </w:r>
    </w:p>
    <w:p w14:paraId="0E27B00A" w14:textId="39B2DAA8" w:rsidR="004B15B5" w:rsidRDefault="004B15B5" w:rsidP="00A36747">
      <w:pPr>
        <w:spacing w:line="276" w:lineRule="auto"/>
        <w:rPr>
          <w:rFonts w:ascii="Times New Roman" w:hAnsi="Times New Roman" w:cs="Times New Roman"/>
          <w:b/>
        </w:rPr>
      </w:pPr>
    </w:p>
    <w:p w14:paraId="19D94E97" w14:textId="5FD70619" w:rsidR="00FA6CA3" w:rsidRPr="00FA6CA3" w:rsidRDefault="009B0172" w:rsidP="00F564A4">
      <w:pPr>
        <w:pStyle w:val="Titre1"/>
      </w:pPr>
      <w:bookmarkStart w:id="7" w:name="_Toc95451842"/>
      <w:r w:rsidRPr="00FA6CA3">
        <w:t>RESUME EXECUTIF</w:t>
      </w:r>
      <w:bookmarkEnd w:id="7"/>
    </w:p>
    <w:p w14:paraId="29683467" w14:textId="10B3BFE1" w:rsidR="00FA6CA3" w:rsidRPr="00FA6CA3" w:rsidRDefault="00FA6CA3" w:rsidP="0077076F">
      <w:pPr>
        <w:spacing w:before="240" w:line="276" w:lineRule="auto"/>
        <w:rPr>
          <w:rFonts w:cs="Times New Roman"/>
          <w:b/>
          <w:bCs/>
          <w:color w:val="0070C0"/>
        </w:rPr>
      </w:pPr>
      <w:r w:rsidRPr="00FA6CA3">
        <w:rPr>
          <w:b/>
          <w:bCs/>
          <w:color w:val="0070C0"/>
        </w:rPr>
        <w:t>Aperçu de l’objet d’évaluation</w:t>
      </w:r>
    </w:p>
    <w:p w14:paraId="7FD866E5" w14:textId="5190CDCE" w:rsidR="00A34B42" w:rsidRDefault="00FA6CA3" w:rsidP="00A876F7">
      <w:pPr>
        <w:pStyle w:val="Paragraphedeliste"/>
        <w:numPr>
          <w:ilvl w:val="0"/>
          <w:numId w:val="76"/>
        </w:numPr>
        <w:spacing w:line="276" w:lineRule="auto"/>
      </w:pPr>
      <w:bookmarkStart w:id="8" w:name="_Hlk86473080"/>
      <w:r w:rsidRPr="00A876F7">
        <w:rPr>
          <w:color w:val="000000"/>
        </w:rPr>
        <w:t xml:space="preserve">L’évaluation </w:t>
      </w:r>
      <w:r w:rsidR="00142CCB" w:rsidRPr="00A876F7">
        <w:rPr>
          <w:color w:val="000000"/>
        </w:rPr>
        <w:t xml:space="preserve">finale </w:t>
      </w:r>
      <w:r w:rsidRPr="00A876F7">
        <w:rPr>
          <w:color w:val="000000"/>
        </w:rPr>
        <w:t xml:space="preserve">porte sur </w:t>
      </w:r>
      <w:r w:rsidR="52776F45" w:rsidRPr="00A876F7">
        <w:rPr>
          <w:color w:val="000000"/>
        </w:rPr>
        <w:t>le</w:t>
      </w:r>
      <w:r w:rsidR="00142CCB" w:rsidRPr="00A876F7">
        <w:rPr>
          <w:color w:val="000000"/>
        </w:rPr>
        <w:t xml:space="preserve"> projet d’appui aux initiatives transfrontalières de dialogue communautaire avec les acteurs du secteur de la sécurité et de la justice pour la consolidation de la paix au Mali et au Niger</w:t>
      </w:r>
      <w:r w:rsidRPr="00A876F7">
        <w:rPr>
          <w:color w:val="000000"/>
        </w:rPr>
        <w:t>.</w:t>
      </w:r>
      <w:r w:rsidR="0003385D" w:rsidRPr="00A876F7">
        <w:rPr>
          <w:color w:val="000000"/>
        </w:rPr>
        <w:t xml:space="preserve"> L’objectif du projet est d’« améliorer les capacités des acteurs clés à Ménaka, Gao et Tillabéry situés dans les zones frontalières du Mali et du Niger, à établir des dialogues et médiations afin de mettre fin aux conflits communautaires qui sont aggravés par les actions des groupes extrémistes ». </w:t>
      </w:r>
      <w:r w:rsidR="0003385D">
        <w:t>La vision est de « contribuer à la stabilisation, à la réduction et à une meilleure gestion des conflits, et de manière indirecte à réduire la vulnérabilité des jeunes hommes par rapport à l’extrémisme violent ».</w:t>
      </w:r>
      <w:r w:rsidR="00A34B42">
        <w:t xml:space="preserve"> Le projet </w:t>
      </w:r>
      <w:r w:rsidR="00A876F7">
        <w:t xml:space="preserve">a ciblé 29 904 bénéficiaires directs et indirects dont 14016 hommes, 10652 femmes et 5236 jeunes. Il </w:t>
      </w:r>
      <w:r w:rsidR="00A34B42">
        <w:t>a</w:t>
      </w:r>
      <w:r w:rsidR="00A876F7">
        <w:t xml:space="preserve"> </w:t>
      </w:r>
      <w:r w:rsidR="00A34B42">
        <w:t xml:space="preserve">mis un focus sur </w:t>
      </w:r>
      <w:r w:rsidR="0003385D">
        <w:t xml:space="preserve">le rétablissement de la confiance, entre les communautés locales et les FDS et les acteurs de la chaîne pénale, </w:t>
      </w:r>
      <w:r w:rsidR="00A34B42">
        <w:t xml:space="preserve">les initiatives de dialogue transfrontalier, la sensibilisation aux droits de l'Homme et à la procédure pénale, les mécanismes pacifiques de règlement des différends et les mécanismes d'alerte précoce en ciblant particulièrement les femmes et les jeunes. </w:t>
      </w:r>
      <w:r w:rsidR="00665D79">
        <w:t xml:space="preserve">Au problème majeur de méfiance qui chevauche les </w:t>
      </w:r>
      <w:r w:rsidR="00005FD3">
        <w:t xml:space="preserve">frontières </w:t>
      </w:r>
      <w:r w:rsidR="00665D79">
        <w:t xml:space="preserve">du Mali et du Niger, le projet a développé une approche transfrontalière </w:t>
      </w:r>
      <w:bookmarkStart w:id="9" w:name="_Hlk89179936"/>
      <w:r w:rsidR="5D2AA563">
        <w:t>à</w:t>
      </w:r>
      <w:r w:rsidR="00665D79">
        <w:t xml:space="preserve"> travers des rencontres </w:t>
      </w:r>
      <w:r w:rsidR="00DD21F5">
        <w:t>de mise en réseau des OSC engagées sur les questions de femmes, paix et sécurité d’une part, et d’autre part,</w:t>
      </w:r>
      <w:r w:rsidR="0020372B">
        <w:t xml:space="preserve"> à travers</w:t>
      </w:r>
      <w:r w:rsidR="00DD21F5">
        <w:t xml:space="preserve"> des rencontres de </w:t>
      </w:r>
      <w:r w:rsidR="00DD21F5" w:rsidRPr="002B7D9F">
        <w:t xml:space="preserve">partage d’expériences et de bonnes pratiques </w:t>
      </w:r>
      <w:r w:rsidR="00DD21F5">
        <w:t>sur l’implication accrue des femmes et des jeunes dans les mécanismes communautaires de prévention et de gestion des conflits.</w:t>
      </w:r>
      <w:r w:rsidR="007760A2">
        <w:t xml:space="preserve"> </w:t>
      </w:r>
      <w:r w:rsidR="008B7377">
        <w:t xml:space="preserve">Ces rencontres ont regroupé les femmes et jeunes leaders des OSC, </w:t>
      </w:r>
      <w:r w:rsidR="009747DA">
        <w:t>d</w:t>
      </w:r>
      <w:r w:rsidR="008B7377">
        <w:t>es FDS</w:t>
      </w:r>
      <w:r w:rsidR="004631D8">
        <w:t>,</w:t>
      </w:r>
      <w:r w:rsidR="008B7377">
        <w:t xml:space="preserve"> </w:t>
      </w:r>
      <w:r w:rsidR="009747DA">
        <w:t>d</w:t>
      </w:r>
      <w:r w:rsidR="008B7377">
        <w:t>es ACP</w:t>
      </w:r>
      <w:r w:rsidR="004631D8">
        <w:t xml:space="preserve"> et les acteurs étatiques des deux pays.</w:t>
      </w:r>
      <w:bookmarkEnd w:id="9"/>
      <w:r w:rsidR="007760A2">
        <w:t xml:space="preserve"> </w:t>
      </w:r>
    </w:p>
    <w:p w14:paraId="6E623932" w14:textId="33592F97" w:rsidR="001B54B3" w:rsidRDefault="00E3214F" w:rsidP="00FB2B45">
      <w:pPr>
        <w:pStyle w:val="Paragraphedeliste"/>
        <w:numPr>
          <w:ilvl w:val="0"/>
          <w:numId w:val="76"/>
        </w:numPr>
        <w:spacing w:line="276" w:lineRule="auto"/>
        <w:rPr>
          <w:rFonts w:cs="Tahoma"/>
          <w:color w:val="000000"/>
        </w:rPr>
      </w:pPr>
      <w:r>
        <w:t xml:space="preserve">D’un budget global de </w:t>
      </w:r>
      <w:r w:rsidRPr="00FB5EA5">
        <w:t>3</w:t>
      </w:r>
      <w:r>
        <w:t xml:space="preserve"> </w:t>
      </w:r>
      <w:r w:rsidRPr="00FB5EA5">
        <w:t>014</w:t>
      </w:r>
      <w:r>
        <w:t> </w:t>
      </w:r>
      <w:r w:rsidRPr="00FB5EA5">
        <w:t>164</w:t>
      </w:r>
      <w:r>
        <w:t xml:space="preserve"> US</w:t>
      </w:r>
      <w:r w:rsidRPr="00FB5EA5">
        <w:t>$</w:t>
      </w:r>
      <w:r>
        <w:t xml:space="preserve">, </w:t>
      </w:r>
      <w:r w:rsidR="00243D95">
        <w:t>le projet</w:t>
      </w:r>
      <w:r>
        <w:t xml:space="preserve"> </w:t>
      </w:r>
      <w:r w:rsidR="00A34B42">
        <w:t>a été</w:t>
      </w:r>
      <w:r w:rsidRPr="00FB5EA5">
        <w:t xml:space="preserve"> </w:t>
      </w:r>
      <w:r>
        <w:t xml:space="preserve">financé par le </w:t>
      </w:r>
      <w:r w:rsidRPr="00FB5EA5">
        <w:t>Fonds de Consolidation de la Paix (PBF)</w:t>
      </w:r>
      <w:r>
        <w:t xml:space="preserve">. </w:t>
      </w:r>
      <w:r w:rsidR="00243D95">
        <w:t>C</w:t>
      </w:r>
      <w:r w:rsidR="00943015" w:rsidRPr="0006632C">
        <w:rPr>
          <w:rFonts w:cs="Tahoma"/>
          <w:color w:val="000000"/>
        </w:rPr>
        <w:t xml:space="preserve">onjointement </w:t>
      </w:r>
      <w:r w:rsidR="00243D95">
        <w:rPr>
          <w:rFonts w:cs="Tahoma"/>
          <w:color w:val="000000"/>
        </w:rPr>
        <w:t xml:space="preserve">mis en œuvre </w:t>
      </w:r>
      <w:r w:rsidR="00943015" w:rsidRPr="0006632C">
        <w:rPr>
          <w:rFonts w:cs="Tahoma"/>
          <w:color w:val="000000"/>
        </w:rPr>
        <w:t>par ONU Femmes et ONUDC</w:t>
      </w:r>
      <w:r w:rsidR="000174A9">
        <w:rPr>
          <w:rFonts w:cs="Tahoma"/>
          <w:color w:val="000000"/>
        </w:rPr>
        <w:t xml:space="preserve"> e</w:t>
      </w:r>
      <w:r w:rsidR="000174A9" w:rsidRPr="000174A9">
        <w:rPr>
          <w:rFonts w:cs="Tahoma"/>
          <w:color w:val="000000"/>
        </w:rPr>
        <w:t>n collaboration avec</w:t>
      </w:r>
      <w:r w:rsidR="000174A9">
        <w:rPr>
          <w:rFonts w:cs="Tahoma"/>
          <w:color w:val="000000"/>
        </w:rPr>
        <w:t xml:space="preserve"> des</w:t>
      </w:r>
      <w:r w:rsidR="000174A9" w:rsidRPr="000174A9">
        <w:rPr>
          <w:rFonts w:cs="Tahoma"/>
          <w:color w:val="000000"/>
        </w:rPr>
        <w:t xml:space="preserve"> ONGs locales</w:t>
      </w:r>
      <w:r w:rsidR="00243D95">
        <w:rPr>
          <w:rFonts w:cs="Tahoma"/>
          <w:color w:val="000000"/>
        </w:rPr>
        <w:t xml:space="preserve">, le projet a couvert </w:t>
      </w:r>
      <w:r w:rsidR="00943015" w:rsidRPr="0006632C">
        <w:rPr>
          <w:rFonts w:cs="Tahoma"/>
          <w:color w:val="000000"/>
        </w:rPr>
        <w:t>8 communes transfrontalière</w:t>
      </w:r>
      <w:r w:rsidR="00A34B42">
        <w:rPr>
          <w:rFonts w:cs="Tahoma"/>
          <w:color w:val="000000"/>
        </w:rPr>
        <w:t>s</w:t>
      </w:r>
      <w:r w:rsidR="00943015" w:rsidRPr="0006632C">
        <w:rPr>
          <w:rFonts w:cs="Tahoma"/>
          <w:color w:val="000000"/>
        </w:rPr>
        <w:t xml:space="preserve"> dont 4 au Mali (Ménaka, Anderanboukane</w:t>
      </w:r>
      <w:r w:rsidR="00FA6CA3" w:rsidRPr="0006632C">
        <w:rPr>
          <w:rFonts w:cs="Tahoma"/>
          <w:color w:val="000000"/>
        </w:rPr>
        <w:t>,</w:t>
      </w:r>
      <w:r w:rsidR="00943015" w:rsidRPr="0006632C">
        <w:rPr>
          <w:rFonts w:cs="Tahoma"/>
          <w:color w:val="000000"/>
        </w:rPr>
        <w:t xml:space="preserve"> Tessit et Outangouna) et 4 du côté du Niger (Bankilaré, Banibangou, Ayérou et Gorool). </w:t>
      </w:r>
      <w:r w:rsidR="0006632C" w:rsidRPr="0006632C">
        <w:rPr>
          <w:rFonts w:cs="Tahoma"/>
          <w:color w:val="000000"/>
        </w:rPr>
        <w:t>L</w:t>
      </w:r>
      <w:r w:rsidR="001B54B3">
        <w:rPr>
          <w:rFonts w:cs="Tahoma"/>
          <w:color w:val="000000"/>
        </w:rPr>
        <w:t xml:space="preserve">a durée de mise en œuvre du </w:t>
      </w:r>
      <w:r w:rsidR="0006632C" w:rsidRPr="0006632C">
        <w:rPr>
          <w:rFonts w:cs="Tahoma"/>
          <w:color w:val="000000"/>
        </w:rPr>
        <w:t xml:space="preserve">projet </w:t>
      </w:r>
      <w:r w:rsidR="00FA6CA3" w:rsidRPr="0006632C">
        <w:rPr>
          <w:rFonts w:cs="Tahoma"/>
          <w:color w:val="000000"/>
        </w:rPr>
        <w:t xml:space="preserve">a été </w:t>
      </w:r>
      <w:r w:rsidR="001B54B3">
        <w:rPr>
          <w:rFonts w:cs="Tahoma"/>
          <w:color w:val="000000"/>
        </w:rPr>
        <w:t>21 mois (janvier</w:t>
      </w:r>
      <w:r w:rsidR="00FA6CA3" w:rsidRPr="0006632C">
        <w:rPr>
          <w:rFonts w:cs="Tahoma"/>
          <w:color w:val="000000"/>
        </w:rPr>
        <w:t xml:space="preserve"> 201</w:t>
      </w:r>
      <w:r w:rsidR="001B54B3">
        <w:rPr>
          <w:rFonts w:cs="Tahoma"/>
          <w:color w:val="000000"/>
        </w:rPr>
        <w:t>9</w:t>
      </w:r>
      <w:r w:rsidR="0006632C" w:rsidRPr="0006632C">
        <w:rPr>
          <w:rFonts w:cs="Tahoma"/>
          <w:color w:val="000000"/>
        </w:rPr>
        <w:t xml:space="preserve"> </w:t>
      </w:r>
      <w:r w:rsidR="00FA6CA3" w:rsidRPr="0006632C">
        <w:rPr>
          <w:rFonts w:cs="Tahoma"/>
          <w:color w:val="000000"/>
        </w:rPr>
        <w:t xml:space="preserve">à </w:t>
      </w:r>
      <w:r w:rsidR="001B54B3">
        <w:rPr>
          <w:rFonts w:cs="Tahoma"/>
          <w:color w:val="000000"/>
        </w:rPr>
        <w:t>mars 2021)</w:t>
      </w:r>
      <w:r w:rsidR="00FA6CA3" w:rsidRPr="0006632C">
        <w:rPr>
          <w:rFonts w:cs="Tahoma"/>
          <w:color w:val="000000"/>
        </w:rPr>
        <w:t xml:space="preserve"> </w:t>
      </w:r>
      <w:r>
        <w:rPr>
          <w:rFonts w:cs="Tahoma"/>
          <w:color w:val="000000"/>
        </w:rPr>
        <w:t>y compris</w:t>
      </w:r>
      <w:r w:rsidR="00FA6CA3" w:rsidRPr="0006632C">
        <w:rPr>
          <w:rFonts w:cs="Tahoma"/>
          <w:color w:val="000000"/>
        </w:rPr>
        <w:t xml:space="preserve"> un No-Cost Extension (NCE) de </w:t>
      </w:r>
      <w:r w:rsidR="000532D3">
        <w:rPr>
          <w:rFonts w:cs="Tahoma"/>
          <w:color w:val="000000"/>
        </w:rPr>
        <w:t>neuf</w:t>
      </w:r>
      <w:r w:rsidR="00FA6CA3" w:rsidRPr="0006632C">
        <w:rPr>
          <w:rFonts w:cs="Tahoma"/>
          <w:color w:val="000000"/>
        </w:rPr>
        <w:t xml:space="preserve"> mois. </w:t>
      </w:r>
    </w:p>
    <w:bookmarkEnd w:id="8"/>
    <w:p w14:paraId="633C367D" w14:textId="180347EF" w:rsidR="00FA6CA3" w:rsidRDefault="00FA6CA3" w:rsidP="00991DA8">
      <w:pPr>
        <w:spacing w:line="276" w:lineRule="auto"/>
        <w:rPr>
          <w:rFonts w:ascii="Times New Roman" w:hAnsi="Times New Roman" w:cs="Times New Roman"/>
          <w:b/>
        </w:rPr>
      </w:pPr>
    </w:p>
    <w:p w14:paraId="50EB4C3A" w14:textId="53CBB062" w:rsidR="00FA6CA3" w:rsidRPr="00FA6CA3" w:rsidRDefault="00FA6CA3" w:rsidP="00991DA8">
      <w:pPr>
        <w:spacing w:line="276" w:lineRule="auto"/>
        <w:rPr>
          <w:rFonts w:cs="Times New Roman"/>
          <w:b/>
          <w:bCs/>
          <w:color w:val="0070C0"/>
        </w:rPr>
      </w:pPr>
      <w:r w:rsidRPr="00FA6CA3">
        <w:rPr>
          <w:b/>
          <w:bCs/>
          <w:color w:val="0070C0"/>
        </w:rPr>
        <w:t>Objectifs de l’évaluation et public visé</w:t>
      </w:r>
    </w:p>
    <w:p w14:paraId="2B1FA355" w14:textId="53FCDB33" w:rsidR="001B54B3" w:rsidRPr="00DF1E28" w:rsidRDefault="001B54B3" w:rsidP="00FB2B45">
      <w:pPr>
        <w:pStyle w:val="Paragraphedeliste"/>
        <w:numPr>
          <w:ilvl w:val="0"/>
          <w:numId w:val="76"/>
        </w:numPr>
        <w:spacing w:line="276" w:lineRule="auto"/>
        <w:rPr>
          <w:rFonts w:cs="Times New Roman"/>
        </w:rPr>
      </w:pPr>
      <w:r>
        <w:t xml:space="preserve">Le </w:t>
      </w:r>
      <w:r w:rsidRPr="00DF1E28">
        <w:t>but de cette évaluation est d’apprécier les résultats obtenus de la mise en œuvre du projet et de tirer les leçons pour la consolidation des acquis et les interventions futures</w:t>
      </w:r>
      <w:r w:rsidRPr="001B54B3">
        <w:rPr>
          <w:color w:val="000000"/>
        </w:rPr>
        <w:t xml:space="preserve">. </w:t>
      </w:r>
      <w:r>
        <w:rPr>
          <w:color w:val="000000"/>
        </w:rPr>
        <w:t xml:space="preserve">Les </w:t>
      </w:r>
      <w:r>
        <w:t>objectifs spécifiques sont les suivants :</w:t>
      </w:r>
    </w:p>
    <w:p w14:paraId="77C9C89F" w14:textId="77777777" w:rsidR="001B54B3" w:rsidRDefault="001B54B3" w:rsidP="001B54B3">
      <w:pPr>
        <w:numPr>
          <w:ilvl w:val="0"/>
          <w:numId w:val="1"/>
        </w:numPr>
        <w:spacing w:before="0" w:after="0" w:line="276" w:lineRule="auto"/>
      </w:pPr>
      <w:r>
        <w:t>Établir un bilan du projet en vue d’identifier les points forts et les points faibles de l’intervention ;</w:t>
      </w:r>
    </w:p>
    <w:p w14:paraId="13226650" w14:textId="77777777" w:rsidR="001B54B3" w:rsidRDefault="001B54B3" w:rsidP="001B54B3">
      <w:pPr>
        <w:numPr>
          <w:ilvl w:val="0"/>
          <w:numId w:val="1"/>
        </w:numPr>
        <w:spacing w:before="0" w:after="0" w:line="276" w:lineRule="auto"/>
      </w:pPr>
      <w:r>
        <w:t>Faire l’état des lieux sur les résultats atteints et leurs contributions à la réalisation des objectifs de consolidation de la paix au Mali et au Niger en général et en particulier des zones du projet ;</w:t>
      </w:r>
    </w:p>
    <w:p w14:paraId="29BBC9EE" w14:textId="77777777" w:rsidR="001B54B3" w:rsidRDefault="001B54B3" w:rsidP="001B54B3">
      <w:pPr>
        <w:numPr>
          <w:ilvl w:val="0"/>
          <w:numId w:val="1"/>
        </w:numPr>
        <w:spacing w:before="0" w:after="0" w:line="276" w:lineRule="auto"/>
      </w:pPr>
      <w:r>
        <w:t>Dégager des mesures éventuelles à prendre pour assurer une pérennisation des actions ;</w:t>
      </w:r>
    </w:p>
    <w:p w14:paraId="243E7226" w14:textId="79C1B602" w:rsidR="001B54B3" w:rsidRDefault="001B54B3" w:rsidP="001B54B3">
      <w:pPr>
        <w:numPr>
          <w:ilvl w:val="0"/>
          <w:numId w:val="1"/>
        </w:numPr>
        <w:spacing w:before="0" w:after="0" w:line="276" w:lineRule="auto"/>
      </w:pPr>
      <w:r>
        <w:t>Tirer les leçons apprises qui puissent contribuer à mieux orienter et éclairer la conception/mise en œuvre des interventions futures.</w:t>
      </w:r>
    </w:p>
    <w:p w14:paraId="20A571F1" w14:textId="4504993B" w:rsidR="009215AD" w:rsidRPr="00696598" w:rsidRDefault="009215AD" w:rsidP="009215AD">
      <w:pPr>
        <w:pStyle w:val="Paragraphedeliste"/>
        <w:numPr>
          <w:ilvl w:val="0"/>
          <w:numId w:val="76"/>
        </w:numPr>
        <w:spacing w:line="276" w:lineRule="auto"/>
        <w:rPr>
          <w:color w:val="000000"/>
        </w:rPr>
      </w:pPr>
      <w:r w:rsidRPr="00696598">
        <w:rPr>
          <w:color w:val="000000"/>
        </w:rPr>
        <w:t>Les résultats de l’évaluation seront utilisés pour améliorer la conception, la programmation et la mise en œuvre des interventions futures. Ce</w:t>
      </w:r>
      <w:r>
        <w:rPr>
          <w:color w:val="000000"/>
        </w:rPr>
        <w:t>la</w:t>
      </w:r>
      <w:r w:rsidRPr="00696598">
        <w:rPr>
          <w:color w:val="000000"/>
        </w:rPr>
        <w:t xml:space="preserve"> inclut </w:t>
      </w:r>
      <w:r>
        <w:rPr>
          <w:color w:val="000000"/>
        </w:rPr>
        <w:t xml:space="preserve">les apprentissages portant sur la </w:t>
      </w:r>
      <w:r w:rsidRPr="00696598">
        <w:rPr>
          <w:color w:val="000000"/>
        </w:rPr>
        <w:t xml:space="preserve">prise en compte de la perspective genre et du respect des droits humains dans les </w:t>
      </w:r>
      <w:r>
        <w:rPr>
          <w:color w:val="000000"/>
        </w:rPr>
        <w:t xml:space="preserve">processus de paix, la participation des femmes et des jeunes aux </w:t>
      </w:r>
      <w:r w:rsidRPr="00696598">
        <w:rPr>
          <w:color w:val="000000"/>
        </w:rPr>
        <w:t>mécanismes de</w:t>
      </w:r>
      <w:r>
        <w:rPr>
          <w:color w:val="000000"/>
        </w:rPr>
        <w:t xml:space="preserve"> prévention et de gestion des conflits</w:t>
      </w:r>
      <w:r w:rsidRPr="00696598">
        <w:rPr>
          <w:color w:val="000000"/>
        </w:rPr>
        <w:t xml:space="preserve"> paix, la prise de décisions stratégique en matière de financement des projets transfrontaliers de consolidation de la paix</w:t>
      </w:r>
      <w:r>
        <w:rPr>
          <w:color w:val="000000"/>
        </w:rPr>
        <w:t>.</w:t>
      </w:r>
    </w:p>
    <w:p w14:paraId="660F439F" w14:textId="5FD807BC" w:rsidR="00090E35" w:rsidRDefault="00FA6CA3" w:rsidP="00FB2B45">
      <w:pPr>
        <w:pStyle w:val="Paragraphedeliste"/>
        <w:numPr>
          <w:ilvl w:val="0"/>
          <w:numId w:val="76"/>
        </w:numPr>
        <w:spacing w:line="276" w:lineRule="auto"/>
        <w:rPr>
          <w:color w:val="000000"/>
        </w:rPr>
      </w:pPr>
      <w:r w:rsidRPr="00090E35">
        <w:rPr>
          <w:color w:val="000000"/>
        </w:rPr>
        <w:t>Les parties prenantes qui sont les utilisateurs de l’évaluation sont entre autres :</w:t>
      </w:r>
    </w:p>
    <w:p w14:paraId="1FA28FA0" w14:textId="77777777" w:rsidR="00090E35" w:rsidRDefault="00FA6CA3" w:rsidP="00FB2B45">
      <w:pPr>
        <w:pStyle w:val="Paragraphedeliste"/>
        <w:numPr>
          <w:ilvl w:val="0"/>
          <w:numId w:val="83"/>
        </w:numPr>
        <w:spacing w:line="276" w:lineRule="auto"/>
        <w:jc w:val="left"/>
        <w:rPr>
          <w:color w:val="000000"/>
        </w:rPr>
      </w:pPr>
      <w:r w:rsidRPr="00090E35">
        <w:rPr>
          <w:color w:val="000000"/>
        </w:rPr>
        <w:t>Le</w:t>
      </w:r>
      <w:r w:rsidR="001B54B3" w:rsidRPr="00090E35">
        <w:rPr>
          <w:color w:val="000000"/>
        </w:rPr>
        <w:t>s bureaux régionaux de ONU Femmes et de ONUDC</w:t>
      </w:r>
      <w:r w:rsidR="00B2670B" w:rsidRPr="00090E35">
        <w:rPr>
          <w:color w:val="000000"/>
        </w:rPr>
        <w:t> ;</w:t>
      </w:r>
    </w:p>
    <w:p w14:paraId="51AD2A2F" w14:textId="610F364A" w:rsidR="00B2670B" w:rsidRPr="00090E35" w:rsidRDefault="001B54B3" w:rsidP="00FB2B45">
      <w:pPr>
        <w:pStyle w:val="Paragraphedeliste"/>
        <w:numPr>
          <w:ilvl w:val="0"/>
          <w:numId w:val="83"/>
        </w:numPr>
        <w:spacing w:line="276" w:lineRule="auto"/>
        <w:jc w:val="left"/>
        <w:rPr>
          <w:color w:val="000000"/>
        </w:rPr>
      </w:pPr>
      <w:r w:rsidRPr="00090E35">
        <w:rPr>
          <w:color w:val="000000"/>
        </w:rPr>
        <w:t>Les bureaux pays de ONU Femmes et de ONUDC ;</w:t>
      </w:r>
      <w:r w:rsidR="00B2670B" w:rsidRPr="00090E35">
        <w:rPr>
          <w:color w:val="000000"/>
        </w:rPr>
        <w:t xml:space="preserve"> </w:t>
      </w:r>
    </w:p>
    <w:p w14:paraId="0CE09352" w14:textId="255E6459" w:rsidR="00B2670B" w:rsidRDefault="00FA6CA3" w:rsidP="00FB2B45">
      <w:pPr>
        <w:pStyle w:val="Paragraphedeliste"/>
        <w:numPr>
          <w:ilvl w:val="0"/>
          <w:numId w:val="83"/>
        </w:numPr>
        <w:spacing w:line="276" w:lineRule="auto"/>
        <w:jc w:val="left"/>
        <w:rPr>
          <w:color w:val="000000"/>
        </w:rPr>
      </w:pPr>
      <w:r w:rsidRPr="00B2670B">
        <w:rPr>
          <w:color w:val="000000"/>
        </w:rPr>
        <w:t xml:space="preserve">Le </w:t>
      </w:r>
      <w:r w:rsidR="00B2670B">
        <w:rPr>
          <w:color w:val="000000"/>
        </w:rPr>
        <w:t>Fond de Consolidation de la Paix</w:t>
      </w:r>
      <w:r w:rsidR="00090E35">
        <w:rPr>
          <w:color w:val="000000"/>
        </w:rPr>
        <w:t> ;</w:t>
      </w:r>
    </w:p>
    <w:p w14:paraId="237A2CD1" w14:textId="2DDF0637" w:rsidR="00090E35" w:rsidRDefault="00FA6CA3" w:rsidP="00FB2B45">
      <w:pPr>
        <w:pStyle w:val="Paragraphedeliste"/>
        <w:numPr>
          <w:ilvl w:val="0"/>
          <w:numId w:val="83"/>
        </w:numPr>
        <w:spacing w:line="276" w:lineRule="auto"/>
        <w:jc w:val="left"/>
        <w:rPr>
          <w:color w:val="000000"/>
        </w:rPr>
      </w:pPr>
      <w:r w:rsidRPr="00B2670B">
        <w:rPr>
          <w:color w:val="000000"/>
        </w:rPr>
        <w:t xml:space="preserve">Les </w:t>
      </w:r>
      <w:r w:rsidR="00090E35">
        <w:rPr>
          <w:color w:val="000000"/>
        </w:rPr>
        <w:t>institutions et départements ministériels du Mali et du Niger ;</w:t>
      </w:r>
    </w:p>
    <w:p w14:paraId="7609AD9A" w14:textId="29E89482" w:rsidR="00090E35" w:rsidRDefault="00090E35" w:rsidP="00FB2B45">
      <w:pPr>
        <w:pStyle w:val="Paragraphedeliste"/>
        <w:numPr>
          <w:ilvl w:val="0"/>
          <w:numId w:val="83"/>
        </w:numPr>
        <w:spacing w:line="276" w:lineRule="auto"/>
        <w:jc w:val="left"/>
        <w:rPr>
          <w:color w:val="000000"/>
        </w:rPr>
      </w:pPr>
      <w:r>
        <w:rPr>
          <w:color w:val="000000"/>
        </w:rPr>
        <w:t>Les ONG locales et associations de femmes et de jeunes.</w:t>
      </w:r>
    </w:p>
    <w:p w14:paraId="79DBF570" w14:textId="77777777" w:rsidR="009215AD" w:rsidRDefault="009215AD" w:rsidP="009215AD">
      <w:pPr>
        <w:pStyle w:val="Paragraphedeliste"/>
        <w:spacing w:line="276" w:lineRule="auto"/>
        <w:jc w:val="left"/>
        <w:rPr>
          <w:color w:val="000000"/>
        </w:rPr>
      </w:pPr>
    </w:p>
    <w:p w14:paraId="3FF54652" w14:textId="66736000" w:rsidR="00FA6CA3" w:rsidRPr="00FA6CA3" w:rsidRDefault="00FA6CA3" w:rsidP="008C5AD3">
      <w:pPr>
        <w:keepNext/>
        <w:spacing w:line="276" w:lineRule="auto"/>
        <w:rPr>
          <w:rFonts w:eastAsia="Times New Roman" w:cs="Times New Roman"/>
          <w:b/>
          <w:bCs/>
          <w:color w:val="0070C0"/>
        </w:rPr>
      </w:pPr>
      <w:r w:rsidRPr="00FA6CA3">
        <w:rPr>
          <w:rFonts w:eastAsia="Times New Roman" w:cs="Times New Roman"/>
          <w:b/>
          <w:bCs/>
          <w:color w:val="0070C0"/>
        </w:rPr>
        <w:t>Méthodologie</w:t>
      </w:r>
    </w:p>
    <w:p w14:paraId="7336CEF7" w14:textId="23D892E6" w:rsidR="00FA6CA3" w:rsidRDefault="00794676" w:rsidP="008C5AD3">
      <w:pPr>
        <w:pStyle w:val="Paragraphedeliste"/>
        <w:keepNext/>
        <w:numPr>
          <w:ilvl w:val="0"/>
          <w:numId w:val="76"/>
        </w:numPr>
        <w:spacing w:line="276" w:lineRule="auto"/>
      </w:pPr>
      <w:r>
        <w:t xml:space="preserve">L’approche méthodologique adoptée met en synergie les aspects quantitatifs et qualitatifs de l’évaluation à travers la combinaison de différents outils et méthodes de collecte et d’analyse des données (revue documentaire, guide d’entretien qualitatif, guide de focus group, entretiens individuels par questionnaire, analyse statistique </w:t>
      </w:r>
      <w:r w:rsidR="00725478">
        <w:t xml:space="preserve">et </w:t>
      </w:r>
      <w:r>
        <w:t xml:space="preserve">analyse de contenu). </w:t>
      </w:r>
    </w:p>
    <w:p w14:paraId="6DE27EC2" w14:textId="53B77C8A" w:rsidR="00794676" w:rsidRDefault="00794676" w:rsidP="00FB2B45">
      <w:pPr>
        <w:pStyle w:val="Paragraphedeliste"/>
        <w:numPr>
          <w:ilvl w:val="0"/>
          <w:numId w:val="76"/>
        </w:numPr>
        <w:spacing w:line="276" w:lineRule="auto"/>
      </w:pPr>
      <w:r w:rsidRPr="00794676">
        <w:rPr>
          <w:color w:val="000000"/>
        </w:rPr>
        <w:t>L’a</w:t>
      </w:r>
      <w:r>
        <w:t>pproche adoptée a été participative et consultative garantissant une collaboration étroite avec l’équipe projet et les principales parties prenantes.</w:t>
      </w:r>
      <w:r w:rsidR="007068E8">
        <w:t xml:space="preserve"> </w:t>
      </w:r>
      <w:r w:rsidR="00CC334A">
        <w:t>Au total, 71 entretiens individuels</w:t>
      </w:r>
      <w:r w:rsidR="0070068C">
        <w:t xml:space="preserve"> (avec le bailleur, les acteurs de mise en œuvre et les acteurs communautaires et responsables d’OSC de femmes et de jeunes), 24 focus group avec les femmes et les jeunes, 440 entretiens individuels par questionnaires auprès des bénéficiaires directs ont été conduits. </w:t>
      </w:r>
      <w:r w:rsidR="00B40F5E">
        <w:t xml:space="preserve">Le déroulement de l’évaluation s’est fait en </w:t>
      </w:r>
      <w:r>
        <w:t>trois phases : i) une phase de préparation de la mission</w:t>
      </w:r>
      <w:r w:rsidR="00B40F5E">
        <w:t xml:space="preserve"> qui a abouti au Rapport de conception initiale</w:t>
      </w:r>
      <w:r>
        <w:t>, ii) une phase de collecte et traitement des données et iii) une phase d’analyse des données et de rapportage. Le déroulement de chacune des phases a été pleinement participatif avec les parties prenantes (équipe de projet, partie gouvernementale, bailleur de fonds, OSC et bénéficiaires directs).</w:t>
      </w:r>
    </w:p>
    <w:p w14:paraId="32FCF62D" w14:textId="23CD1D43" w:rsidR="00794676" w:rsidRDefault="00AB3892" w:rsidP="00FB2B45">
      <w:pPr>
        <w:pStyle w:val="Paragraphedeliste"/>
        <w:numPr>
          <w:ilvl w:val="0"/>
          <w:numId w:val="76"/>
        </w:numPr>
        <w:spacing w:line="276" w:lineRule="auto"/>
      </w:pPr>
      <w:r>
        <w:t>Outre le</w:t>
      </w:r>
      <w:r w:rsidRPr="007007C9">
        <w:t xml:space="preserve"> caractère participatif et inclusif</w:t>
      </w:r>
      <w:r>
        <w:t xml:space="preserve">, </w:t>
      </w:r>
      <w:r w:rsidRPr="007007C9">
        <w:t xml:space="preserve">la présente évaluation se veut aussi sensible au genre et à la </w:t>
      </w:r>
      <w:r>
        <w:t>COVID-19</w:t>
      </w:r>
      <w:r w:rsidRPr="007007C9">
        <w:t>. La sensibilité au genre s</w:t>
      </w:r>
      <w:r>
        <w:t>’</w:t>
      </w:r>
      <w:r w:rsidRPr="007007C9">
        <w:t>e</w:t>
      </w:r>
      <w:r>
        <w:t>st</w:t>
      </w:r>
      <w:r w:rsidRPr="007007C9">
        <w:t xml:space="preserve"> traduit</w:t>
      </w:r>
      <w:r>
        <w:t>e</w:t>
      </w:r>
      <w:r w:rsidRPr="007007C9">
        <w:t xml:space="preserve"> concrètement dans la </w:t>
      </w:r>
      <w:r>
        <w:t xml:space="preserve">composition de l’équipe d’évaluation (50% de femmes) et l’analyse sexo-spécifique des données collectées. </w:t>
      </w:r>
      <w:r w:rsidR="00794676">
        <w:t xml:space="preserve">La collecte de données sur le terrain s’est adaptée au contexte de la pandémie de la COVID-19 </w:t>
      </w:r>
      <w:r w:rsidR="00B40F5E">
        <w:t xml:space="preserve">et l’insécurité dans la zone d’intervention </w:t>
      </w:r>
      <w:r w:rsidR="00794676">
        <w:t xml:space="preserve">en recourant </w:t>
      </w:r>
      <w:r w:rsidR="00B40F5E">
        <w:t xml:space="preserve">quand il est nécessaire </w:t>
      </w:r>
      <w:r w:rsidR="00794676">
        <w:t>à la collecte à distance</w:t>
      </w:r>
      <w:r w:rsidR="00B40F5E" w:rsidRPr="00B40F5E">
        <w:t xml:space="preserve"> </w:t>
      </w:r>
      <w:r w:rsidR="00B40F5E" w:rsidRPr="00167475">
        <w:t xml:space="preserve">à travers les appels téléphoniques, des échanges sur </w:t>
      </w:r>
      <w:r w:rsidR="00E60AB2">
        <w:t>Z</w:t>
      </w:r>
      <w:r w:rsidR="00B40F5E" w:rsidRPr="00167475">
        <w:t xml:space="preserve">oom ou </w:t>
      </w:r>
      <w:r w:rsidR="00B40F5E">
        <w:t>Teams.</w:t>
      </w:r>
      <w:r w:rsidR="00794676">
        <w:t xml:space="preserve"> </w:t>
      </w:r>
    </w:p>
    <w:p w14:paraId="262D8A23" w14:textId="20B83318" w:rsidR="00725478" w:rsidRPr="007F738A" w:rsidRDefault="00794676" w:rsidP="00FB2B45">
      <w:pPr>
        <w:pStyle w:val="Paragraphedeliste"/>
        <w:numPr>
          <w:ilvl w:val="0"/>
          <w:numId w:val="76"/>
        </w:numPr>
        <w:spacing w:line="276" w:lineRule="auto"/>
        <w:rPr>
          <w:b/>
          <w:i/>
        </w:rPr>
      </w:pPr>
      <w:r>
        <w:t xml:space="preserve">L’évaluation s’est appuyée sur </w:t>
      </w:r>
      <w:r w:rsidR="00997051">
        <w:t xml:space="preserve">7 </w:t>
      </w:r>
      <w:r>
        <w:t>critères d’évaluation à savoir la pertinence, l’efficacité, l’efficience, l</w:t>
      </w:r>
      <w:r w:rsidR="00B40F5E">
        <w:t>’</w:t>
      </w:r>
      <w:r>
        <w:t>impact, la durabilité</w:t>
      </w:r>
      <w:r w:rsidR="00B40F5E">
        <w:t xml:space="preserve">, </w:t>
      </w:r>
      <w:r>
        <w:t>l</w:t>
      </w:r>
      <w:r w:rsidR="00B40F5E">
        <w:t>’égalité de sexe et droits humains ainsi que l’inclusion des personnes handicapées</w:t>
      </w:r>
      <w:r>
        <w:t>.</w:t>
      </w:r>
      <w:r w:rsidRPr="00932DDE">
        <w:t xml:space="preserve"> </w:t>
      </w:r>
      <w:r w:rsidR="00B40F5E">
        <w:t xml:space="preserve">Les questions évaluatives de chaque </w:t>
      </w:r>
      <w:r>
        <w:t>critère</w:t>
      </w:r>
      <w:r w:rsidR="00B40F5E">
        <w:t xml:space="preserve"> ont </w:t>
      </w:r>
      <w:r>
        <w:t>été décliné</w:t>
      </w:r>
      <w:r w:rsidR="0066013C">
        <w:t>e</w:t>
      </w:r>
      <w:r w:rsidR="00DE3496">
        <w:t>s</w:t>
      </w:r>
      <w:r>
        <w:t xml:space="preserve"> en</w:t>
      </w:r>
      <w:r w:rsidR="00AB3892">
        <w:t xml:space="preserve"> sous-</w:t>
      </w:r>
      <w:r w:rsidRPr="00932DDE">
        <w:t>question</w:t>
      </w:r>
      <w:r w:rsidR="00AB3892">
        <w:t xml:space="preserve">s et indicateurs de mesure </w:t>
      </w:r>
      <w:r>
        <w:t>pour guider l</w:t>
      </w:r>
      <w:r w:rsidR="00AB3892">
        <w:t>a collecte de données et l’</w:t>
      </w:r>
      <w:r>
        <w:t xml:space="preserve">analyse. </w:t>
      </w:r>
      <w:r w:rsidR="00AB3892">
        <w:t>Le traitement de ces questions évaluations est synthétisé dans la matrice d’évaluation (voir annexe 1).</w:t>
      </w:r>
      <w:r w:rsidR="007F738A">
        <w:t xml:space="preserve"> </w:t>
      </w:r>
      <w:r w:rsidR="00512A3B">
        <w:t>A partir des données primaires et secondaires collectées sur le terrain, les analyses ont débouché sur des constats importants et des conclusions.</w:t>
      </w:r>
      <w:r w:rsidR="007068E8">
        <w:t xml:space="preserve"> </w:t>
      </w:r>
    </w:p>
    <w:p w14:paraId="2D7CE5EE" w14:textId="5FCCA5E4" w:rsidR="00794676" w:rsidRPr="000A29FB" w:rsidRDefault="00512A3B" w:rsidP="00FB2B45">
      <w:pPr>
        <w:pStyle w:val="Paragraphedeliste"/>
        <w:numPr>
          <w:ilvl w:val="0"/>
          <w:numId w:val="76"/>
        </w:numPr>
        <w:spacing w:line="276" w:lineRule="auto"/>
        <w:rPr>
          <w:b/>
          <w:i/>
        </w:rPr>
      </w:pPr>
      <w:r>
        <w:t>En résumé, l</w:t>
      </w:r>
      <w:r w:rsidR="00725478">
        <w:t xml:space="preserve">a méthodologie a </w:t>
      </w:r>
      <w:r>
        <w:t xml:space="preserve">porté sur </w:t>
      </w:r>
      <w:r w:rsidR="00725478">
        <w:t xml:space="preserve">la matrice d’évaluation, </w:t>
      </w:r>
      <w:r>
        <w:t>l</w:t>
      </w:r>
      <w:r w:rsidR="00725478">
        <w:t>es méthodes et outils de collecte et d’analyse des données, l’échantillon, le dispositif de collecte et de rapportage ainsi que les considérations éthiques et les limites de l’évaluation.</w:t>
      </w:r>
    </w:p>
    <w:p w14:paraId="4C8A3A11" w14:textId="77777777" w:rsidR="00794676" w:rsidRDefault="00794676" w:rsidP="00991DA8">
      <w:pPr>
        <w:spacing w:line="276" w:lineRule="auto"/>
        <w:rPr>
          <w:rFonts w:ascii="CenturyGothic" w:eastAsia="Times New Roman" w:hAnsi="CenturyGothic" w:cs="Times New Roman"/>
          <w:color w:val="000000"/>
        </w:rPr>
      </w:pPr>
    </w:p>
    <w:p w14:paraId="2B976AF3" w14:textId="6F34D987" w:rsidR="00FA6CA3"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Principaux constats</w:t>
      </w:r>
    </w:p>
    <w:p w14:paraId="598A05C1" w14:textId="3A3593CB" w:rsidR="00FA2990" w:rsidRPr="00FA2990" w:rsidRDefault="00FA2990" w:rsidP="009E2DEE">
      <w:pPr>
        <w:pStyle w:val="Paragraphedeliste"/>
        <w:numPr>
          <w:ilvl w:val="0"/>
          <w:numId w:val="76"/>
        </w:numPr>
        <w:spacing w:line="276" w:lineRule="auto"/>
        <w:rPr>
          <w:rFonts w:eastAsia="Times New Roman" w:cs="Times New Roman"/>
          <w:b/>
          <w:bCs/>
          <w:color w:val="0070C0"/>
        </w:rPr>
      </w:pPr>
      <w:r w:rsidRPr="00FA2990">
        <w:rPr>
          <w:b/>
          <w:bCs/>
        </w:rPr>
        <w:t>Constat 1 :</w:t>
      </w:r>
      <w:r>
        <w:t xml:space="preserve"> </w:t>
      </w:r>
      <w:r w:rsidRPr="00FA2990">
        <w:t>Les activités du projet sont alignées sur les objectifs nationaux du Niger et Mali ainsi que les référentiels internationaux en matière de consolidation de la paix et de cohésion sociale. Par ailleurs, les activités du projet sont cohérentes avec les domaines d’intervention de PBF, de ONU Femmes et de ONUDC.</w:t>
      </w:r>
      <w:r>
        <w:t xml:space="preserve"> </w:t>
      </w:r>
    </w:p>
    <w:p w14:paraId="538E753A" w14:textId="77777777" w:rsidR="00FA2990" w:rsidRPr="00FA2990" w:rsidRDefault="00FA2990" w:rsidP="00FA2990">
      <w:pPr>
        <w:pStyle w:val="Paragraphedeliste"/>
        <w:numPr>
          <w:ilvl w:val="0"/>
          <w:numId w:val="76"/>
        </w:numPr>
        <w:spacing w:line="276" w:lineRule="auto"/>
      </w:pPr>
      <w:r w:rsidRPr="00FA2990">
        <w:rPr>
          <w:b/>
          <w:bCs/>
        </w:rPr>
        <w:t>Constat 2</w:t>
      </w:r>
      <w:r>
        <w:t xml:space="preserve"> : </w:t>
      </w:r>
      <w:r w:rsidRPr="00FA2990">
        <w:t>Dans sa conception et sa mise en œuvre, le projet a pris en compte les besoins de cohésion sociale et de promotion de la participation des femmes et des jeunes au niveau communautaire. Les activités du projet ont aussi promu le genre et les droits humains dans les missions des FDS et des ACP, ainsi que la collaboration entre les communautés et ces derniers.</w:t>
      </w:r>
    </w:p>
    <w:p w14:paraId="4CDAD751" w14:textId="4C281C36" w:rsidR="00FA2990" w:rsidRPr="00FA2990" w:rsidRDefault="00FA2990" w:rsidP="00FA2990">
      <w:pPr>
        <w:pStyle w:val="Paragraphedeliste"/>
        <w:numPr>
          <w:ilvl w:val="0"/>
          <w:numId w:val="76"/>
        </w:numPr>
        <w:spacing w:line="276" w:lineRule="auto"/>
      </w:pPr>
      <w:r w:rsidRPr="00FA2990">
        <w:rPr>
          <w:b/>
          <w:bCs/>
        </w:rPr>
        <w:t>Constat 3 :</w:t>
      </w:r>
      <w:r>
        <w:t xml:space="preserve"> </w:t>
      </w:r>
      <w:r w:rsidRPr="00FA2990">
        <w:t>Le projet s’est adapté à l’évolution du contexte liée à la pandémie du COVID-19 à travers la reformulation de certaines activités pour accompagner les initiatives gouvernementales de riposte à la pandémie de la COVID 19.</w:t>
      </w:r>
    </w:p>
    <w:p w14:paraId="50C5529C" w14:textId="77777777" w:rsidR="00FA2990" w:rsidRDefault="00FA2990" w:rsidP="00FA2990">
      <w:pPr>
        <w:pStyle w:val="Paragraphedeliste"/>
        <w:numPr>
          <w:ilvl w:val="0"/>
          <w:numId w:val="76"/>
        </w:numPr>
        <w:spacing w:line="276" w:lineRule="auto"/>
      </w:pPr>
      <w:r w:rsidRPr="00FA2990">
        <w:rPr>
          <w:b/>
          <w:bCs/>
        </w:rPr>
        <w:t>Constat 4 :</w:t>
      </w:r>
      <w:r w:rsidRPr="00FA2990">
        <w:t xml:space="preserve"> La théorie de changement du projet est fondée sur des liens de cause à effet logiques. La robustesse de la théorie est toutefois limitée du fait de la non prise en compte de la vulnérabilité économique comme une des causes fondamentales des conflits d’une part, et d’autre part, du fait de la non-explicitation des hypothèses qui sous-tendent la chaine de résultats. </w:t>
      </w:r>
    </w:p>
    <w:p w14:paraId="3473A505" w14:textId="0988D75C" w:rsidR="00FA2990" w:rsidRDefault="00FA2990" w:rsidP="009E2DEE">
      <w:pPr>
        <w:pStyle w:val="Paragraphedeliste"/>
        <w:numPr>
          <w:ilvl w:val="0"/>
          <w:numId w:val="76"/>
        </w:numPr>
        <w:spacing w:line="276" w:lineRule="auto"/>
      </w:pPr>
      <w:r w:rsidRPr="00FA2990">
        <w:rPr>
          <w:b/>
          <w:bCs/>
        </w:rPr>
        <w:t>Constat 5 :</w:t>
      </w:r>
      <w:r>
        <w:t xml:space="preserve"> Le taux moyen de réalisation (atteinte) des indicateurs de résultats et de produits est de 72%. Le taux de réalisation des indicateurs de résultats est de 54% et celui des indicateurs de produits est de 83%. Cette performance a été réalisée dans un contexte difficile marqué par la détérioration du contexte sécuritaire, la pandémie de la COVID-19, les troubles socio-politiques et quelques difficultés d’ordre organisationnel.</w:t>
      </w:r>
      <w:r w:rsidR="007068E8">
        <w:t xml:space="preserve"> </w:t>
      </w:r>
    </w:p>
    <w:p w14:paraId="768DEF1A" w14:textId="5A30FD19" w:rsidR="00FA2990" w:rsidRDefault="00FA2990" w:rsidP="009E2DEE">
      <w:pPr>
        <w:pStyle w:val="Paragraphedeliste"/>
        <w:numPr>
          <w:ilvl w:val="0"/>
          <w:numId w:val="76"/>
        </w:numPr>
        <w:spacing w:line="276" w:lineRule="auto"/>
      </w:pPr>
      <w:r w:rsidRPr="00FA2990">
        <w:rPr>
          <w:b/>
          <w:bCs/>
        </w:rPr>
        <w:t>Constat 6 :</w:t>
      </w:r>
      <w:r w:rsidRPr="00FA2990">
        <w:t xml:space="preserve"> Les activités mises en œuvre par le projet ont apporté une réponse aux problèmes identifiés par l’analyse du contexte. Ces activités allient dans une certaine mesure, des solutions de court terme et de long terme en s’attaquant aux défis de la</w:t>
      </w:r>
      <w:r w:rsidR="007068E8">
        <w:t xml:space="preserve"> </w:t>
      </w:r>
      <w:r w:rsidRPr="00FA2990">
        <w:t>COVID-19, et aux questions de sécurité et de cohésion sociale à travers la promotion du genre et des droits humains.</w:t>
      </w:r>
      <w:r w:rsidR="007068E8">
        <w:t xml:space="preserve"> </w:t>
      </w:r>
      <w:r w:rsidRPr="00FA2990">
        <w:t>La plupart des populations bénéficiaires et des FDS &amp; ACP enquêtés apprécient positivement les activités exécutées. Toutefois, le volet relatif au renforcement de la résilience économique des communautés n’a pas suffisamment été traité.</w:t>
      </w:r>
    </w:p>
    <w:p w14:paraId="405545A9" w14:textId="67AEE318" w:rsidR="00FA2990" w:rsidRDefault="00FA2990" w:rsidP="009E2DEE">
      <w:pPr>
        <w:pStyle w:val="Paragraphedeliste"/>
        <w:numPr>
          <w:ilvl w:val="0"/>
          <w:numId w:val="76"/>
        </w:numPr>
        <w:spacing w:line="276" w:lineRule="auto"/>
      </w:pPr>
      <w:r w:rsidRPr="00FA2990">
        <w:rPr>
          <w:b/>
          <w:bCs/>
        </w:rPr>
        <w:t>Constat 7 :</w:t>
      </w:r>
      <w:r w:rsidRPr="00FA2990">
        <w:t xml:space="preserve"> Le projet a manqué d’un plan pour guider le suivi-évaluation des activités et des résultats du projet. Les livrables contractuels notamment les rapports de progrès ont certes été produits et transmis, mais l’évaluateur a noté quelques incohérences de données et un manque d’harmonisation dans la mesure des indicateurs.</w:t>
      </w:r>
    </w:p>
    <w:p w14:paraId="3B4B09B4" w14:textId="6078FABD" w:rsidR="00FA2990" w:rsidRDefault="00FA2990" w:rsidP="009E2DEE">
      <w:pPr>
        <w:pStyle w:val="Paragraphedeliste"/>
        <w:numPr>
          <w:ilvl w:val="0"/>
          <w:numId w:val="76"/>
        </w:numPr>
        <w:spacing w:line="276" w:lineRule="auto"/>
      </w:pPr>
      <w:r w:rsidRPr="00FA2990">
        <w:rPr>
          <w:b/>
          <w:bCs/>
        </w:rPr>
        <w:t>Constat 8 :</w:t>
      </w:r>
      <w:r>
        <w:t xml:space="preserve"> </w:t>
      </w:r>
      <w:r w:rsidRPr="00FA2990">
        <w:t xml:space="preserve">Les difficultés de communication et de coordination ont limité les potentiels effets synergiques du partenariat entre ONU Femmes et ONUDC et entre les ONG partenaires de mise en œuvre d’une part, ainsi que le partenariat entre ce projet et les autres projets financés par PBF d’autre part. </w:t>
      </w:r>
    </w:p>
    <w:p w14:paraId="6A7FE68F" w14:textId="777804DC" w:rsidR="00FA2990" w:rsidRDefault="00FA2990" w:rsidP="009E2DEE">
      <w:pPr>
        <w:pStyle w:val="Paragraphedeliste"/>
        <w:numPr>
          <w:ilvl w:val="0"/>
          <w:numId w:val="76"/>
        </w:numPr>
        <w:spacing w:line="276" w:lineRule="auto"/>
      </w:pPr>
      <w:r w:rsidRPr="00FA2990">
        <w:rPr>
          <w:b/>
          <w:bCs/>
        </w:rPr>
        <w:t>Constat 9 :</w:t>
      </w:r>
      <w:r w:rsidRPr="00FA2990">
        <w:t xml:space="preserve"> Dans la zone d’intervention du projet, d’autres partenaires au développement ont mis en œuvre durant la période couverte, des interventions en lien avec le renforcement de la cohésion sociale, la participation des femmes et des jeunes à la gestion des conflits et le rétablissement des relations de confiance entre les populations et les FDS. Les actions de ces partenaires contribuent aux changements observés sur le terrain.</w:t>
      </w:r>
    </w:p>
    <w:p w14:paraId="4CF39D29" w14:textId="16E94AD9" w:rsidR="00E932CA" w:rsidRDefault="00FA2990" w:rsidP="00E932CA">
      <w:pPr>
        <w:pStyle w:val="Paragraphedeliste"/>
        <w:numPr>
          <w:ilvl w:val="0"/>
          <w:numId w:val="76"/>
        </w:numPr>
        <w:spacing w:line="276" w:lineRule="auto"/>
      </w:pPr>
      <w:r w:rsidRPr="00FA2990">
        <w:rPr>
          <w:b/>
          <w:bCs/>
        </w:rPr>
        <w:t>Constat 10 :</w:t>
      </w:r>
      <w:r w:rsidRPr="00FA2990">
        <w:t xml:space="preserve"> Les ressources financières planifiées dans le cadre du projet ont été mobilisées et exécutées conformément aux procédures des agences d’exécution. Le taux d’exécution financière est évalué à </w:t>
      </w:r>
      <w:r w:rsidR="00380482">
        <w:t>95,2</w:t>
      </w:r>
      <w:r w:rsidRPr="00FA2990">
        <w:t>% des ressources du projet (rapport final). Toutes les ressources humaines et matérielles mobilisées ont aussi été pleinement employées pour la réalisation effective des activités programmées.</w:t>
      </w:r>
    </w:p>
    <w:p w14:paraId="7F5432F8" w14:textId="0D232094" w:rsidR="00FA2990" w:rsidRDefault="00FA2990" w:rsidP="00E932CA">
      <w:pPr>
        <w:pStyle w:val="Paragraphedeliste"/>
        <w:numPr>
          <w:ilvl w:val="0"/>
          <w:numId w:val="76"/>
        </w:numPr>
        <w:spacing w:line="276" w:lineRule="auto"/>
      </w:pPr>
      <w:r w:rsidRPr="00FA2990">
        <w:rPr>
          <w:b/>
          <w:bCs/>
        </w:rPr>
        <w:t>Constat 11 :</w:t>
      </w:r>
      <w:r w:rsidRPr="00FA2990">
        <w:t xml:space="preserve"> Les approches d’intervention utilisées par les agences d’exécution et les ONG locales ont été globalement dictées par le souci de recherche d’efficience dans l’utilisation des ressources. La stratégie du faire-faire de </w:t>
      </w:r>
      <w:r w:rsidR="00A1311B">
        <w:t>constitue un facteur d’efficience</w:t>
      </w:r>
      <w:r w:rsidR="00CA6B9A">
        <w:t> ;</w:t>
      </w:r>
      <w:r w:rsidR="00E64469">
        <w:t xml:space="preserve"> les coûts de transaction (recherche d’information</w:t>
      </w:r>
      <w:r w:rsidR="00CA6B9A">
        <w:t>s</w:t>
      </w:r>
      <w:r w:rsidR="00E64469">
        <w:t xml:space="preserve"> </w:t>
      </w:r>
      <w:r w:rsidR="00CA6B9A">
        <w:t xml:space="preserve">sur les ONG partenaires et de négociation </w:t>
      </w:r>
      <w:r w:rsidR="00AD2C94">
        <w:t>contractuelle</w:t>
      </w:r>
      <w:r w:rsidR="00CA6B9A">
        <w:t>)</w:t>
      </w:r>
      <w:r w:rsidR="00E64469">
        <w:t xml:space="preserve"> </w:t>
      </w:r>
      <w:r w:rsidR="009123B5">
        <w:t>étant estimés</w:t>
      </w:r>
      <w:r w:rsidR="00CA6B9A">
        <w:t xml:space="preserve"> inférieurs aux co</w:t>
      </w:r>
      <w:r w:rsidR="00AD2C94">
        <w:t>û</w:t>
      </w:r>
      <w:r w:rsidR="00CA6B9A">
        <w:t xml:space="preserve">ts organisationnels et de supervision </w:t>
      </w:r>
      <w:r w:rsidR="000D4802">
        <w:t xml:space="preserve">à supporter </w:t>
      </w:r>
      <w:r w:rsidR="00CA6B9A">
        <w:t>dans l</w:t>
      </w:r>
      <w:r w:rsidR="000D4802">
        <w:t>e</w:t>
      </w:r>
      <w:r w:rsidR="00CA6B9A">
        <w:t xml:space="preserve"> cas d’une intervention directe</w:t>
      </w:r>
      <w:r w:rsidR="000D4802">
        <w:t xml:space="preserve">. Par ailleurs, </w:t>
      </w:r>
      <w:r w:rsidR="006724FE">
        <w:t>le recours aux ONG locales présente un avantage économique</w:t>
      </w:r>
      <w:r w:rsidR="00CA6B9A">
        <w:t xml:space="preserve"> </w:t>
      </w:r>
      <w:r w:rsidR="009123B5">
        <w:t xml:space="preserve">en </w:t>
      </w:r>
      <w:r w:rsidR="00405CA6" w:rsidRPr="00405CA6">
        <w:t xml:space="preserve">matière de maitrise de la zone d’intervention et de facilité à atteindre les bénéficiaires directs mais aussi </w:t>
      </w:r>
      <w:r w:rsidR="006724FE">
        <w:t>d</w:t>
      </w:r>
      <w:r w:rsidR="00405CA6" w:rsidRPr="00405CA6">
        <w:t>’utilisation d’une expertise locale et de proximité</w:t>
      </w:r>
      <w:r w:rsidR="006724FE">
        <w:t xml:space="preserve"> par ces ONG locales</w:t>
      </w:r>
      <w:r w:rsidRPr="00FA2990">
        <w:t>. Toutefois, la planification conjointe et les supervisions conjointes prévues dans les mécanismes de coordination n’ont pas été pleinement exploités par les agences d’exécution pour promouvoir l’utilisation efficiente des ressources financières, matérielles et humaines.</w:t>
      </w:r>
    </w:p>
    <w:p w14:paraId="469CDEF8" w14:textId="1D208E6F" w:rsidR="00FA2990" w:rsidRDefault="00FA2990" w:rsidP="00FA2990">
      <w:pPr>
        <w:pStyle w:val="Paragraphedeliste"/>
        <w:numPr>
          <w:ilvl w:val="0"/>
          <w:numId w:val="76"/>
        </w:numPr>
        <w:spacing w:line="276" w:lineRule="auto"/>
      </w:pPr>
      <w:r w:rsidRPr="00FA2990">
        <w:rPr>
          <w:b/>
          <w:bCs/>
        </w:rPr>
        <w:t>Constat 12</w:t>
      </w:r>
      <w:r>
        <w:t xml:space="preserve"> : Plusieurs changements positifs (intentionnels sont intervenus dans la zone d’intervention du projet. Ces changements auxquels ce projet a contribué portent principalement sur :</w:t>
      </w:r>
    </w:p>
    <w:p w14:paraId="48FBC10D" w14:textId="77777777" w:rsidR="00FA2990" w:rsidRDefault="00FA2990" w:rsidP="00FA2990">
      <w:pPr>
        <w:pStyle w:val="Paragraphedeliste"/>
        <w:numPr>
          <w:ilvl w:val="0"/>
          <w:numId w:val="98"/>
        </w:numPr>
        <w:spacing w:line="276" w:lineRule="auto"/>
      </w:pPr>
      <w:r>
        <w:t xml:space="preserve">L’implication accrue des femmes et des jeunes dans les mécanismes communautaires de prévention et de gestion des conflits ; </w:t>
      </w:r>
    </w:p>
    <w:p w14:paraId="750CC61D" w14:textId="05991993" w:rsidR="00FA2990" w:rsidRDefault="00FA2990" w:rsidP="00FA2990">
      <w:pPr>
        <w:pStyle w:val="Paragraphedeliste"/>
        <w:numPr>
          <w:ilvl w:val="0"/>
          <w:numId w:val="98"/>
        </w:numPr>
        <w:spacing w:line="276" w:lineRule="auto"/>
      </w:pPr>
      <w:r>
        <w:t>L’amélioration de la confiance entre les populations, les FDS et les ACP avec toutefois une collaboration limitée ;</w:t>
      </w:r>
    </w:p>
    <w:p w14:paraId="1A0029A0" w14:textId="77777777" w:rsidR="00FA2990" w:rsidRDefault="00FA2990" w:rsidP="00FA2990">
      <w:pPr>
        <w:pStyle w:val="Paragraphedeliste"/>
        <w:numPr>
          <w:ilvl w:val="0"/>
          <w:numId w:val="98"/>
        </w:numPr>
        <w:spacing w:line="276" w:lineRule="auto"/>
      </w:pPr>
      <w:r>
        <w:t>La prise d’initiatives individuelles et collectives en faveur de la paix et de la cohésion sociale ;</w:t>
      </w:r>
    </w:p>
    <w:p w14:paraId="05F12C7B" w14:textId="77777777" w:rsidR="00FA2990" w:rsidRDefault="00FA2990" w:rsidP="00FA2990">
      <w:pPr>
        <w:pStyle w:val="Paragraphedeliste"/>
        <w:numPr>
          <w:ilvl w:val="0"/>
          <w:numId w:val="98"/>
        </w:numPr>
        <w:spacing w:line="276" w:lineRule="auto"/>
      </w:pPr>
      <w:r>
        <w:t xml:space="preserve">La réduction des conflits communautaires avec toutefois une persistance des attaques à caractère terroriste ; </w:t>
      </w:r>
    </w:p>
    <w:p w14:paraId="1882D8D0" w14:textId="36911139" w:rsidR="00FA2990" w:rsidRDefault="00FA2990" w:rsidP="00FA2990">
      <w:pPr>
        <w:pStyle w:val="Paragraphedeliste"/>
        <w:numPr>
          <w:ilvl w:val="0"/>
          <w:numId w:val="98"/>
        </w:numPr>
        <w:spacing w:line="276" w:lineRule="auto"/>
      </w:pPr>
      <w:r>
        <w:t>L’amélioration de la connaissance des populations sur les droits humains et les voies de recours.</w:t>
      </w:r>
      <w:r w:rsidR="007068E8">
        <w:t xml:space="preserve"> </w:t>
      </w:r>
      <w:r>
        <w:t>L’usage effectif de ces voies de recours est resté pourtant limité ;</w:t>
      </w:r>
    </w:p>
    <w:p w14:paraId="55876F5C" w14:textId="77777777" w:rsidR="00FA2990" w:rsidRDefault="00FA2990" w:rsidP="00FA2990">
      <w:pPr>
        <w:pStyle w:val="Paragraphedeliste"/>
        <w:numPr>
          <w:ilvl w:val="0"/>
          <w:numId w:val="98"/>
        </w:numPr>
        <w:spacing w:line="276" w:lineRule="auto"/>
      </w:pPr>
      <w:r>
        <w:t xml:space="preserve">Le partage d’expériences et de bonnes pratiques sur les mécanismes de prévention et de gestion des conflits. </w:t>
      </w:r>
    </w:p>
    <w:p w14:paraId="48DF389F" w14:textId="1865BE25" w:rsidR="00FA2990" w:rsidRDefault="00FA2990" w:rsidP="00FA2990">
      <w:pPr>
        <w:pStyle w:val="Paragraphedeliste"/>
        <w:numPr>
          <w:ilvl w:val="0"/>
          <w:numId w:val="98"/>
        </w:numPr>
        <w:spacing w:line="276" w:lineRule="auto"/>
      </w:pPr>
      <w:r>
        <w:t>Des effets négatifs imputables au projet n’ont pas été formellement identifiés par l’évaluateur</w:t>
      </w:r>
      <w:r w:rsidR="006C7DCB">
        <w:t>. Toutefois,</w:t>
      </w:r>
      <w:r>
        <w:t xml:space="preserve"> il ressort des entretiens et de la revue documentaire que le dialogue entre les populations et les FDS </w:t>
      </w:r>
      <w:r w:rsidR="006C7DCB">
        <w:t xml:space="preserve">ont pu </w:t>
      </w:r>
      <w:r w:rsidR="00CD5D26">
        <w:t>expos</w:t>
      </w:r>
      <w:r w:rsidR="00042B49">
        <w:t>er</w:t>
      </w:r>
      <w:r w:rsidR="00CD5D26">
        <w:t xml:space="preserve"> </w:t>
      </w:r>
      <w:r>
        <w:t>ces acteurs à des risques de représailles de la part des mouvement</w:t>
      </w:r>
      <w:r w:rsidR="00705605">
        <w:t>s</w:t>
      </w:r>
      <w:r>
        <w:t xml:space="preserve"> terroristes</w:t>
      </w:r>
      <w:r w:rsidR="006C7DCB">
        <w:t>,</w:t>
      </w:r>
      <w:r w:rsidR="006C7DCB" w:rsidRPr="006C7DCB">
        <w:t xml:space="preserve"> malgré les efforts du projet pour réduire ce risque</w:t>
      </w:r>
      <w:r>
        <w:t>.</w:t>
      </w:r>
      <w:r w:rsidR="007068E8">
        <w:t xml:space="preserve"> </w:t>
      </w:r>
    </w:p>
    <w:p w14:paraId="30AF3182" w14:textId="26DAA180" w:rsidR="00FA2990" w:rsidRDefault="00FA2990" w:rsidP="00FA2990">
      <w:pPr>
        <w:pStyle w:val="Paragraphedeliste"/>
        <w:numPr>
          <w:ilvl w:val="0"/>
          <w:numId w:val="76"/>
        </w:numPr>
        <w:spacing w:line="276" w:lineRule="auto"/>
      </w:pPr>
      <w:r w:rsidRPr="00FA2990">
        <w:rPr>
          <w:b/>
          <w:bCs/>
        </w:rPr>
        <w:t>Constat 13</w:t>
      </w:r>
      <w:r w:rsidRPr="00FA2990">
        <w:t xml:space="preserve"> : Le projet a adopté une approche participative et de responsabilisation vis-à-vis des départements ministériels en charge de la défense et de la sécurité et de la promotion </w:t>
      </w:r>
      <w:r w:rsidR="00FF179C">
        <w:t>des femmes</w:t>
      </w:r>
      <w:r w:rsidRPr="00FA2990">
        <w:t>. Ces départements ont vu leurs capacités renforcées et prennent désormais en compte les questions de droits humains et de genre dans leurs missions.</w:t>
      </w:r>
    </w:p>
    <w:p w14:paraId="0AAF40B5" w14:textId="7C0988B3" w:rsidR="00FA2990" w:rsidRDefault="00FA2990" w:rsidP="00FA2990">
      <w:pPr>
        <w:pStyle w:val="Paragraphedeliste"/>
        <w:numPr>
          <w:ilvl w:val="0"/>
          <w:numId w:val="76"/>
        </w:numPr>
        <w:spacing w:line="276" w:lineRule="auto"/>
      </w:pPr>
      <w:r w:rsidRPr="00FA2990">
        <w:rPr>
          <w:b/>
          <w:bCs/>
        </w:rPr>
        <w:t>Constat 14 :</w:t>
      </w:r>
      <w:r w:rsidRPr="00FA2990">
        <w:t xml:space="preserve"> Les capacités des femmes et des jeunes, des acteurs communautaires et de la société civile ont été renforcées sur diverses thématiques du projet. L’ensemble des bénéficiaires déclarent être engagés pour la continuité des initiatives mises en place et la pérennisation des acquis du projet.</w:t>
      </w:r>
    </w:p>
    <w:p w14:paraId="14CE3E28" w14:textId="0BFB3AA0" w:rsidR="00FA2990" w:rsidRDefault="00FA2990" w:rsidP="00FA2990">
      <w:pPr>
        <w:pStyle w:val="Paragraphedeliste"/>
        <w:numPr>
          <w:ilvl w:val="0"/>
          <w:numId w:val="76"/>
        </w:numPr>
        <w:spacing w:line="276" w:lineRule="auto"/>
      </w:pPr>
      <w:r w:rsidRPr="00FA2990">
        <w:rPr>
          <w:b/>
          <w:bCs/>
        </w:rPr>
        <w:t>Constat 15 :</w:t>
      </w:r>
      <w:r w:rsidRPr="00FA2990">
        <w:t xml:space="preserve"> Les considérations de genre ont été prises en compte dans la conception, la mise en œuvre des activités et le suivi des résultats du projet. Par contre, la composition de l’équipe de projet au sens large n’intègre que 25% de femmes.</w:t>
      </w:r>
    </w:p>
    <w:p w14:paraId="457CDA17" w14:textId="72A82783" w:rsidR="00E932CA" w:rsidRDefault="00FA2990" w:rsidP="00E932CA">
      <w:pPr>
        <w:pStyle w:val="Paragraphedeliste"/>
        <w:numPr>
          <w:ilvl w:val="0"/>
          <w:numId w:val="76"/>
        </w:numPr>
        <w:spacing w:line="276" w:lineRule="auto"/>
      </w:pPr>
      <w:r w:rsidRPr="00FA2990">
        <w:rPr>
          <w:b/>
          <w:bCs/>
        </w:rPr>
        <w:t>Constat 16 :</w:t>
      </w:r>
      <w:r w:rsidRPr="00FA2990">
        <w:t xml:space="preserve"> Les formations dont ont bénéficié les femmes et les jeunes ainsi que leur intégration dans les MCPGC leur ont permis d’accroitre leur leadership en matière de prévention et de gestion des conflits, mais aussi de contribuer à un changement de perception de leur place et rôle dans la communauté.</w:t>
      </w:r>
    </w:p>
    <w:p w14:paraId="3800BA49" w14:textId="3C13FE96" w:rsidR="00FA2990" w:rsidRDefault="00FA2990" w:rsidP="00E932CA">
      <w:pPr>
        <w:pStyle w:val="Paragraphedeliste"/>
        <w:numPr>
          <w:ilvl w:val="0"/>
          <w:numId w:val="76"/>
        </w:numPr>
        <w:spacing w:line="276" w:lineRule="auto"/>
      </w:pPr>
      <w:r w:rsidRPr="00FA2990">
        <w:rPr>
          <w:b/>
          <w:bCs/>
        </w:rPr>
        <w:t>Constat 17 :</w:t>
      </w:r>
      <w:r w:rsidRPr="00FA2990">
        <w:t xml:space="preserve"> Les personnes handicapées n’ont pas bénéficié d’activités spécifiques de la part du projet. Près de la moitié soit 49% des bénéficiaires directs interrogés estiment que le projet n’a pas pris en compte </w:t>
      </w:r>
      <w:r w:rsidR="00A524C5">
        <w:t>les</w:t>
      </w:r>
      <w:r w:rsidR="00A524C5" w:rsidRPr="00FA2990">
        <w:t xml:space="preserve"> </w:t>
      </w:r>
      <w:r w:rsidRPr="00FA2990">
        <w:t>priorités</w:t>
      </w:r>
      <w:r w:rsidR="00A524C5">
        <w:t xml:space="preserve"> des personnes handicapées</w:t>
      </w:r>
      <w:r w:rsidRPr="00FA2990">
        <w:t xml:space="preserve">. </w:t>
      </w:r>
      <w:r w:rsidR="00A524C5">
        <w:t>L</w:t>
      </w:r>
      <w:r w:rsidRPr="00FA2990">
        <w:t>es personnes</w:t>
      </w:r>
      <w:r w:rsidR="00A524C5">
        <w:t xml:space="preserve"> handicapées</w:t>
      </w:r>
      <w:r w:rsidRPr="00FA2990">
        <w:t xml:space="preserve"> sont confrontées à plusieurs contraintes qui limitent leur inclusion dans les projets.</w:t>
      </w:r>
      <w:r w:rsidR="007068E8">
        <w:t xml:space="preserve"> </w:t>
      </w:r>
    </w:p>
    <w:p w14:paraId="0D5EE9B8" w14:textId="0D38EBEC" w:rsidR="00FA6CA3" w:rsidRDefault="00FA6CA3" w:rsidP="00991DA8">
      <w:pPr>
        <w:spacing w:line="276" w:lineRule="auto"/>
        <w:rPr>
          <w:rFonts w:ascii="CenturyGothic" w:eastAsia="Times New Roman" w:hAnsi="CenturyGothic" w:cs="Times New Roman"/>
          <w:color w:val="000000"/>
        </w:rPr>
      </w:pPr>
    </w:p>
    <w:p w14:paraId="5BBF796D" w14:textId="5D358B67" w:rsidR="00FA6CA3" w:rsidRPr="00FA6CA3"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Principales conclusions</w:t>
      </w:r>
    </w:p>
    <w:p w14:paraId="1C3E4005" w14:textId="0E33461E" w:rsidR="004A75FF" w:rsidRPr="00F564A4" w:rsidRDefault="004A75FF" w:rsidP="00F564A4">
      <w:pPr>
        <w:pStyle w:val="Paragraphedeliste"/>
        <w:numPr>
          <w:ilvl w:val="0"/>
          <w:numId w:val="76"/>
        </w:numPr>
        <w:spacing w:line="276" w:lineRule="auto"/>
        <w:rPr>
          <w:rFonts w:cs="Times New Roman"/>
          <w:bCs/>
        </w:rPr>
      </w:pPr>
      <w:r w:rsidRPr="00F564A4">
        <w:rPr>
          <w:b/>
          <w:bCs/>
        </w:rPr>
        <w:t xml:space="preserve">Conclusion 1 </w:t>
      </w:r>
      <w:r w:rsidR="00F564A4" w:rsidRPr="00F564A4">
        <w:rPr>
          <w:b/>
          <w:bCs/>
        </w:rPr>
        <w:t>–</w:t>
      </w:r>
      <w:r w:rsidRPr="00F564A4">
        <w:rPr>
          <w:b/>
          <w:bCs/>
        </w:rPr>
        <w:t xml:space="preserve"> Pertinence</w:t>
      </w:r>
      <w:r w:rsidR="00F564A4" w:rsidRPr="00F564A4">
        <w:rPr>
          <w:b/>
          <w:bCs/>
        </w:rPr>
        <w:t xml:space="preserve"> : </w:t>
      </w:r>
      <w:r w:rsidRPr="00F564A4">
        <w:rPr>
          <w:rFonts w:cs="Times New Roman"/>
          <w:bCs/>
        </w:rPr>
        <w:t xml:space="preserve">Le Projet est pertinent au regard de son alignement sur les objectifs nationaux et sur les référentiels internationaux en matière de consolidation de la paix. La pertinence du projet tient aussi à la cohérence des activités mises en œuvre avec les domaines d’intervention de PBF, de ONU Femmes et de ONUDC </w:t>
      </w:r>
      <w:r w:rsidRPr="00F564A4">
        <w:rPr>
          <w:rFonts w:cs="Times New Roman"/>
          <w:b/>
          <w:i/>
          <w:iCs/>
        </w:rPr>
        <w:t>(Constat 1).</w:t>
      </w:r>
      <w:r w:rsidRPr="00F564A4">
        <w:rPr>
          <w:rFonts w:cs="Times New Roman"/>
          <w:bCs/>
        </w:rPr>
        <w:t xml:space="preserve"> Du point de vue des besoins des communautés d’intervention, l’adéquation des activités du projet est également avérée. Les activités mises en œuvre sont identifiées de façon participative et adressent une réponse aux défis de cohésion sociale, d’implication accrue des femmes et des jeunes dans la prévention et la gestion des conflits, de prise en compte du genre et des droits humains dans les missions des FDS et des ACP ainsi que le rétablissement de la confiance entre les communautés et ces derniers </w:t>
      </w:r>
      <w:r w:rsidRPr="00F564A4">
        <w:rPr>
          <w:rFonts w:cs="Times New Roman"/>
          <w:b/>
          <w:i/>
          <w:iCs/>
        </w:rPr>
        <w:t>(Constat 2).</w:t>
      </w:r>
      <w:r w:rsidRPr="00F564A4">
        <w:rPr>
          <w:rFonts w:cs="Times New Roman"/>
          <w:bCs/>
        </w:rPr>
        <w:t xml:space="preserve"> Enfin, à travers la reformulation de certaines activités pour accompagner les initiatives gouvernementales de riposte à la pandémie de la COVID 19, le projet s’est voulu sensible et réactif vis-à-vis de l’évolution du contexte liée à l’avènement de la pandémie </w:t>
      </w:r>
      <w:r w:rsidRPr="00F564A4">
        <w:rPr>
          <w:rFonts w:cs="Times New Roman"/>
          <w:b/>
          <w:i/>
          <w:iCs/>
        </w:rPr>
        <w:t>(Constat 3)</w:t>
      </w:r>
      <w:r w:rsidRPr="00F564A4">
        <w:rPr>
          <w:rFonts w:cs="Times New Roman"/>
          <w:bCs/>
        </w:rPr>
        <w:t xml:space="preserve">. Néanmoins, l’évaluation estime que la démarche participative mérite d’être approfondie dans les interventions futures en termes de prise en compte des besoins essentiels des populations en matière de résilience économique d’une part, et d’implication des acteurs pertinents sur la question transfrontalière. </w:t>
      </w:r>
      <w:r w:rsidRPr="00F564A4">
        <w:rPr>
          <w:rFonts w:cs="Times New Roman"/>
        </w:rPr>
        <w:t>Relativement à l’implication des acteurs, il est important de souligner que quelques acteurs pertinents sur la question transfrontalière comme l’ALG, la C3Sahel, et les GLCT de la zone d’intervention du projet.</w:t>
      </w:r>
      <w:r w:rsidRPr="006033D3">
        <w:t xml:space="preserve"> </w:t>
      </w:r>
      <w:r>
        <w:t xml:space="preserve">La non-implication </w:t>
      </w:r>
      <w:r w:rsidRPr="00F564A4">
        <w:rPr>
          <w:rFonts w:cs="Times New Roman"/>
        </w:rPr>
        <w:t xml:space="preserve">de ces acteurs représente une opportunité manquée en termes d’orientation sur la conception des activités transfrontalières ou de facilitation de la mise en œuvre de ces activités. </w:t>
      </w:r>
    </w:p>
    <w:p w14:paraId="76312614" w14:textId="44A3C9F7" w:rsidR="004A75FF" w:rsidRPr="00A868BC" w:rsidRDefault="004A75FF" w:rsidP="00F564A4">
      <w:pPr>
        <w:pStyle w:val="Paragraphedeliste"/>
        <w:numPr>
          <w:ilvl w:val="0"/>
          <w:numId w:val="76"/>
        </w:numPr>
        <w:spacing w:line="276" w:lineRule="auto"/>
      </w:pPr>
      <w:r w:rsidRPr="00F564A4">
        <w:rPr>
          <w:b/>
          <w:bCs/>
        </w:rPr>
        <w:t>Conclusion 2 – Pertinence</w:t>
      </w:r>
      <w:r w:rsidR="00F564A4" w:rsidRPr="00F564A4">
        <w:rPr>
          <w:b/>
          <w:bCs/>
        </w:rPr>
        <w:t xml:space="preserve"> : </w:t>
      </w:r>
      <w:r w:rsidRPr="00F564A4">
        <w:rPr>
          <w:rFonts w:cs="Times New Roman"/>
          <w:bCs/>
        </w:rPr>
        <w:t>La théorie de changement du projet démontre une articulation claire et logique des liens de cause à effet. Le cadre de résultats du projet qui décline les activités, les produits et les résultats attendus, ainsi que les indicateurs et les moyens de vérification de ces indicateurs, est fidèle à cette théorie de changement.</w:t>
      </w:r>
      <w:r w:rsidRPr="00113299">
        <w:t xml:space="preserve"> </w:t>
      </w:r>
      <w:r>
        <w:t xml:space="preserve">La robustesse de la théorie de changement aurait dû être renforcée par la prise en compte du </w:t>
      </w:r>
      <w:r w:rsidRPr="008E2D54">
        <w:t xml:space="preserve">renforcement de la résilience économique des </w:t>
      </w:r>
      <w:r>
        <w:t>ménages notamment des personnes vulnérables.</w:t>
      </w:r>
      <w:r w:rsidRPr="008E2D54">
        <w:t xml:space="preserve"> </w:t>
      </w:r>
      <w:r>
        <w:t xml:space="preserve">Dans un contexte où la </w:t>
      </w:r>
      <w:r w:rsidRPr="00113299">
        <w:t xml:space="preserve">compétition pour l’accès aux ressources d’une part et </w:t>
      </w:r>
      <w:r w:rsidRPr="00F564A4">
        <w:rPr>
          <w:rFonts w:cs="Times New Roman"/>
          <w:bCs/>
        </w:rPr>
        <w:t>où la vulnérabilité économique d’autre part, sont identifiées et documentés comme des causes structurelles des conflits communautaires, le renforcement des moyens d’existence des couches vulnérables constitue un puissant facteur de résilience</w:t>
      </w:r>
      <w:r>
        <w:t xml:space="preserve">. L’intégration d’une composante résilience économique des ménages dans les projets de consolidation de la paix et le changement de comportement souhaité au niveau communautaire implique une durée relativement longue des interventions sur le terrain. En conséquence, le mécanisme de financement PRF de PBF pourrait se révéler moins restrictif en temps comparativement au mécanisme IRF qui a prévalu dans le cadre de ce projet. Par ailleurs, la présentation des </w:t>
      </w:r>
      <w:r w:rsidRPr="00A868BC">
        <w:t xml:space="preserve">hypothèses </w:t>
      </w:r>
      <w:r>
        <w:t xml:space="preserve">auraient permis de comprendre et de suivre les conditions de succès du projet </w:t>
      </w:r>
      <w:r w:rsidRPr="00F564A4">
        <w:rPr>
          <w:rFonts w:cs="Times New Roman"/>
          <w:b/>
          <w:i/>
          <w:iCs/>
        </w:rPr>
        <w:t>(Constat 4)</w:t>
      </w:r>
      <w:r w:rsidRPr="00F564A4">
        <w:rPr>
          <w:rFonts w:cs="Times New Roman"/>
          <w:bCs/>
        </w:rPr>
        <w:t>.</w:t>
      </w:r>
      <w:r w:rsidRPr="006440BD">
        <w:t xml:space="preserve"> </w:t>
      </w:r>
      <w:r>
        <w:t>Au-delà la précision des hypothèses dans le narratif de la théorie de changement, c’est la question du rôle de la théorie de changement comme outil de pilotage du projet qui est posée. Ce rôle gagnerait à être mieux valorisé dans les interventions futures à travers l’appropriation de la théorie de changement par les acteurs de mise en œuvre du projet (y compris les ONG partenaires), le suivi des hypothèses au regard du contexte de mise en œuvre et la révision de la théorie de changement si l’évolution du contexte l’exige.</w:t>
      </w:r>
    </w:p>
    <w:p w14:paraId="568EB890" w14:textId="77777777" w:rsidR="004A75FF" w:rsidRPr="009D216B" w:rsidRDefault="004A75FF" w:rsidP="004A75FF">
      <w:pPr>
        <w:spacing w:after="0" w:line="276" w:lineRule="auto"/>
        <w:rPr>
          <w:rFonts w:cs="Times New Roman"/>
          <w:bCs/>
          <w:sz w:val="12"/>
          <w:szCs w:val="12"/>
        </w:rPr>
      </w:pPr>
    </w:p>
    <w:p w14:paraId="2F701099" w14:textId="15716F06" w:rsidR="004A75FF" w:rsidRDefault="004A75FF" w:rsidP="00F564A4">
      <w:pPr>
        <w:pStyle w:val="Paragraphedeliste"/>
        <w:numPr>
          <w:ilvl w:val="0"/>
          <w:numId w:val="76"/>
        </w:numPr>
        <w:spacing w:line="276" w:lineRule="auto"/>
      </w:pPr>
      <w:r w:rsidRPr="00F564A4">
        <w:rPr>
          <w:b/>
          <w:bCs/>
        </w:rPr>
        <w:t>Conclusion 3 – Efficacité</w:t>
      </w:r>
      <w:r w:rsidR="00F564A4" w:rsidRPr="00F564A4">
        <w:rPr>
          <w:b/>
          <w:bCs/>
        </w:rPr>
        <w:t xml:space="preserve"> : </w:t>
      </w:r>
      <w:r w:rsidRPr="006E78BC">
        <w:t>La performance du projet est globalement appréciable</w:t>
      </w:r>
      <w:r>
        <w:t xml:space="preserve">, malgré le contexte difficile essentiellement </w:t>
      </w:r>
      <w:r w:rsidRPr="0013001A">
        <w:t>marqué par la d</w:t>
      </w:r>
      <w:r>
        <w:t>égradation</w:t>
      </w:r>
      <w:r w:rsidRPr="0013001A">
        <w:t xml:space="preserve"> du contexte sécuritaire, la pandémie de la COVID-19, </w:t>
      </w:r>
      <w:r>
        <w:t xml:space="preserve">et quelques </w:t>
      </w:r>
      <w:r w:rsidRPr="0013001A">
        <w:t>troubles socio-politiques.</w:t>
      </w:r>
      <w:r w:rsidRPr="006E78BC">
        <w:t xml:space="preserve"> Le taux moyen de réalisation (atteinte) des indicateurs de résultats et de produits est de 72%. Le taux de réalisation des </w:t>
      </w:r>
      <w:r w:rsidRPr="00F564A4">
        <w:rPr>
          <w:rFonts w:cs="Times New Roman"/>
          <w:bCs/>
        </w:rPr>
        <w:t>indicateurs</w:t>
      </w:r>
      <w:r w:rsidRPr="006E78BC">
        <w:t xml:space="preserve"> de résultats est de 54% et celui des indicateurs de produits est de 83%. </w:t>
      </w:r>
      <w:r>
        <w:t xml:space="preserve">Le </w:t>
      </w:r>
      <w:r w:rsidRPr="00F564A4">
        <w:rPr>
          <w:i/>
          <w:iCs/>
        </w:rPr>
        <w:t>Résultat 1</w:t>
      </w:r>
      <w:r>
        <w:t xml:space="preserve"> relatif au renforcement des </w:t>
      </w:r>
      <w:r w:rsidRPr="00E90CF8">
        <w:t xml:space="preserve">MCPGC </w:t>
      </w:r>
      <w:r>
        <w:t xml:space="preserve">et le </w:t>
      </w:r>
      <w:r w:rsidRPr="00F564A4">
        <w:rPr>
          <w:i/>
          <w:iCs/>
        </w:rPr>
        <w:t>Résultat 2</w:t>
      </w:r>
      <w:r>
        <w:t xml:space="preserve"> portant sur les relations de confiance entre communautés, FDS et ACP ont enregistré les taux d’atteinte des cibles les plus élevés (respectivement 75% et 81%). Quant au </w:t>
      </w:r>
      <w:r w:rsidRPr="00F564A4">
        <w:rPr>
          <w:i/>
          <w:iCs/>
        </w:rPr>
        <w:t>Résultat 3</w:t>
      </w:r>
      <w:r>
        <w:t xml:space="preserve"> relatif </w:t>
      </w:r>
      <w:r w:rsidRPr="00A16E9D">
        <w:t>à la mise en réseau et la promotion du partage d’expériences et de bonnes pratiques au niveau transfrontalier</w:t>
      </w:r>
      <w:r>
        <w:t xml:space="preserve">, il a connu un faible taux de réalisation en raison de l’insécurité qui a empêché l’exécution des activités transfrontalières </w:t>
      </w:r>
      <w:r w:rsidRPr="00F564A4">
        <w:rPr>
          <w:b/>
          <w:bCs/>
          <w:i/>
          <w:iCs/>
        </w:rPr>
        <w:t>(Constat 5).</w:t>
      </w:r>
      <w:r>
        <w:t xml:space="preserve"> Les besoins des communautés ont trouvé réponse dans les activités mises en œuvre, comme l’indique l’appréciation positive livrée par la plupart des bénéficiaires directs interrogés (81%). Ces activités s’attaquaient aux </w:t>
      </w:r>
      <w:r w:rsidRPr="00F07C14">
        <w:t xml:space="preserve">questions de sécurité et de cohésion sociale à travers </w:t>
      </w:r>
      <w:r>
        <w:t xml:space="preserve">l’implication accrue des femmes et des jeunes dans les MCPGC, </w:t>
      </w:r>
      <w:r w:rsidRPr="00F07C14">
        <w:t>la promotion du genre et des droits humains</w:t>
      </w:r>
      <w:r>
        <w:t xml:space="preserve"> dans les missions des FDS et des ACP, le rétablissement de la confiance entre les communautés et ces derniers ainsi que la riposte contre la COVID-19 </w:t>
      </w:r>
      <w:r w:rsidRPr="00F564A4">
        <w:rPr>
          <w:b/>
          <w:bCs/>
          <w:i/>
          <w:iCs/>
        </w:rPr>
        <w:t>(Constat 6)</w:t>
      </w:r>
      <w:r w:rsidRPr="00F07C14">
        <w:t>.</w:t>
      </w:r>
      <w:r>
        <w:t xml:space="preserve"> Le dynamisme des femmes et des jeunes dans le cadre de ce projet aura permis de confirmer la pertinence de leur implication comme levier de l’efficacité des </w:t>
      </w:r>
      <w:r w:rsidRPr="009023A1">
        <w:t>MCPGC</w:t>
      </w:r>
      <w:r>
        <w:t xml:space="preserve"> et du changement des </w:t>
      </w:r>
      <w:r w:rsidRPr="009023A1">
        <w:t>mentalités</w:t>
      </w:r>
      <w:r>
        <w:t xml:space="preserve"> vis-à-vis</w:t>
      </w:r>
      <w:r w:rsidRPr="009023A1">
        <w:t xml:space="preserve"> </w:t>
      </w:r>
      <w:r>
        <w:t xml:space="preserve">de la place </w:t>
      </w:r>
      <w:r w:rsidRPr="009023A1">
        <w:t xml:space="preserve">de la femme </w:t>
      </w:r>
      <w:r>
        <w:t>en matière de paix et de cohésion sociale</w:t>
      </w:r>
      <w:r w:rsidRPr="009023A1">
        <w:t>.</w:t>
      </w:r>
      <w:r>
        <w:t xml:space="preserve"> L’implication des femmes et des jeunes apparait de ce fait comme une bonne pratique à capitaliser.</w:t>
      </w:r>
    </w:p>
    <w:p w14:paraId="7939965E" w14:textId="77777777" w:rsidR="004A75FF" w:rsidRDefault="004A75FF" w:rsidP="004A75FF">
      <w:pPr>
        <w:pStyle w:val="Paragraphedeliste"/>
        <w:spacing w:before="240" w:after="0" w:line="276" w:lineRule="auto"/>
        <w:ind w:left="360"/>
      </w:pPr>
    </w:p>
    <w:p w14:paraId="71C82E97" w14:textId="1994BEE4" w:rsidR="00F564A4" w:rsidRPr="00F564A4" w:rsidRDefault="004A75FF" w:rsidP="00F564A4">
      <w:pPr>
        <w:pStyle w:val="Paragraphedeliste"/>
        <w:numPr>
          <w:ilvl w:val="0"/>
          <w:numId w:val="76"/>
        </w:numPr>
        <w:spacing w:line="276" w:lineRule="auto"/>
        <w:rPr>
          <w:b/>
          <w:caps/>
          <w:color w:val="000000"/>
          <w:sz w:val="24"/>
        </w:rPr>
      </w:pPr>
      <w:r w:rsidRPr="00F564A4">
        <w:rPr>
          <w:b/>
          <w:bCs/>
          <w:i/>
          <w:iCs/>
        </w:rPr>
        <w:t>Conclusion 4 – Efficacité</w:t>
      </w:r>
      <w:r w:rsidR="00F564A4" w:rsidRPr="00F564A4">
        <w:rPr>
          <w:b/>
          <w:bCs/>
          <w:i/>
          <w:iCs/>
        </w:rPr>
        <w:t xml:space="preserve"> : </w:t>
      </w:r>
      <w:r w:rsidRPr="00F564A4">
        <w:rPr>
          <w:color w:val="000000"/>
        </w:rPr>
        <w:t xml:space="preserve">Partant du </w:t>
      </w:r>
      <w:r w:rsidRPr="00F564A4">
        <w:rPr>
          <w:b/>
          <w:bCs/>
          <w:i/>
          <w:iCs/>
        </w:rPr>
        <w:t>Constat 7</w:t>
      </w:r>
      <w:r w:rsidRPr="00F564A4">
        <w:rPr>
          <w:color w:val="000000"/>
        </w:rPr>
        <w:t xml:space="preserve">, il est possible de conclure que le suivi-évaluation et la coordination ont été les maillons faibles du projet. En effet, l’absence du plan de suivi-évaluation conjoint a affecté négativement la qualité du suivi et la mesure des indicateurs. La non-harmonisation de la définition et du mode de calcul des indicateurs, la non-disponibilité d’une base de données centralisées des bénéficiaires, la non-réalisation des enquêtes de perception devant servir de moyens de vérification de certains indicateurs du cadre de résultats et quelques cas d’incohérence de données dans les rapports de progrès, sont les insuffisances notées dans le suivi-évaluation du projet. Par ailleurs, le projet n’a pas bénéficié des effets synergiques du partenariat entre ONU Femmes et ONUDC en raison des difficultés de communication et de coordination. La réalisation de l’évaluation aurait un avantage à être faite avant la clôture du projet, de sorte à ce que les résultats soient disponibles pour être pris en compte dans le rapport final de projet. Cela permettrait aussi la prise en compte des leçons apprises et des recommandations dans les interventions commençant immédiatement après ce projet.    La coordination entre les ONG partenaires de mise en œuvre au niveau national et transfrontalière d’une part, ainsi que la collaboration entre ce projet et les autres projets financés par PBF dans la zone d’intervention d’autre part, ont aussi été limitées </w:t>
      </w:r>
      <w:r w:rsidRPr="00F564A4">
        <w:rPr>
          <w:b/>
          <w:bCs/>
          <w:i/>
          <w:iCs/>
        </w:rPr>
        <w:t xml:space="preserve">(Constat 8). </w:t>
      </w:r>
      <w:r w:rsidRPr="00F564A4">
        <w:rPr>
          <w:rFonts w:cs="Times New Roman"/>
        </w:rPr>
        <w:t>Avec la mise en place du comité technique de coordination</w:t>
      </w:r>
      <w:r w:rsidRPr="00A866F3">
        <w:t xml:space="preserve"> </w:t>
      </w:r>
      <w:r>
        <w:t xml:space="preserve">composé du personnel des deux agences et qui devait se tenir </w:t>
      </w:r>
      <w:r w:rsidRPr="00F564A4">
        <w:rPr>
          <w:rFonts w:cs="Times New Roman"/>
        </w:rPr>
        <w:t xml:space="preserve">une fois par trimestre de façon tournante entre le Mali et le Niger, le projet a émis l’hypothèse implicite d’une bonne communication entre les acteurs. Cette hypothèse n’ayant pas été confirmée dans la pratique, l’évaluateur estime qu’il est nécessaire d’aller plus loin en définissant un cadre formel de communication interne entre les acteurs.  </w:t>
      </w:r>
    </w:p>
    <w:p w14:paraId="44B0CB4D" w14:textId="426B2C77" w:rsidR="004A75FF" w:rsidRPr="00F564A4" w:rsidRDefault="004A75FF" w:rsidP="00F564A4">
      <w:pPr>
        <w:pStyle w:val="Paragraphedeliste"/>
        <w:numPr>
          <w:ilvl w:val="0"/>
          <w:numId w:val="76"/>
        </w:numPr>
        <w:spacing w:line="276" w:lineRule="auto"/>
        <w:rPr>
          <w:b/>
          <w:caps/>
          <w:color w:val="000000"/>
          <w:sz w:val="24"/>
        </w:rPr>
      </w:pPr>
      <w:r w:rsidRPr="00F564A4">
        <w:rPr>
          <w:b/>
          <w:bCs/>
        </w:rPr>
        <w:t>Conclusion 5 – Efficience</w:t>
      </w:r>
      <w:r w:rsidR="00F564A4" w:rsidRPr="00F564A4">
        <w:rPr>
          <w:b/>
          <w:bCs/>
        </w:rPr>
        <w:t xml:space="preserve"> : </w:t>
      </w:r>
      <w:r w:rsidRPr="00F564A4">
        <w:rPr>
          <w:color w:val="000000"/>
        </w:rPr>
        <w:t xml:space="preserve">Le niveau d’exécution financière du projet est jugé </w:t>
      </w:r>
      <w:r w:rsidR="00CD5D26">
        <w:rPr>
          <w:color w:val="000000"/>
        </w:rPr>
        <w:t>satisfaisant</w:t>
      </w:r>
      <w:r w:rsidR="00CD5D26" w:rsidRPr="00F564A4">
        <w:rPr>
          <w:color w:val="000000"/>
        </w:rPr>
        <w:t xml:space="preserve"> </w:t>
      </w:r>
      <w:r w:rsidRPr="00F564A4">
        <w:rPr>
          <w:color w:val="000000"/>
        </w:rPr>
        <w:t>(</w:t>
      </w:r>
      <w:r w:rsidR="00CD5D26">
        <w:rPr>
          <w:color w:val="000000"/>
        </w:rPr>
        <w:t>95,2</w:t>
      </w:r>
      <w:r w:rsidRPr="00F564A4">
        <w:rPr>
          <w:color w:val="000000"/>
        </w:rPr>
        <w:t xml:space="preserve">%).  L’utilisation des ressources s’est faite conformément aux procédures des agences d’exécution et aucun incident n’a été signalé </w:t>
      </w:r>
      <w:r w:rsidRPr="00F564A4">
        <w:rPr>
          <w:b/>
          <w:i/>
          <w:color w:val="000000"/>
        </w:rPr>
        <w:t>(Constat 10)</w:t>
      </w:r>
      <w:r w:rsidRPr="00F564A4">
        <w:rPr>
          <w:color w:val="000000"/>
        </w:rPr>
        <w:t xml:space="preserve">. Les ressources humaines et matérielles mobilisées ont aussi été employées pour la réalisation effective des activités programmées suivant deux approches d’intervention comprenant la stratégie du faire-faire (adopté par ONU Femmes) et l’intervention directe (adoptée par ONUDC). L’efficience du projet aurait été meilleure si l’équipe de projet avait réussi à relever le défi de la planification conjointe et des supervisions conjointes comme initialement prévus </w:t>
      </w:r>
      <w:r w:rsidRPr="00F564A4">
        <w:rPr>
          <w:b/>
          <w:i/>
          <w:color w:val="000000"/>
        </w:rPr>
        <w:t>(Constat 11)</w:t>
      </w:r>
      <w:r w:rsidRPr="00F564A4">
        <w:rPr>
          <w:color w:val="000000"/>
        </w:rPr>
        <w:t>.</w:t>
      </w:r>
    </w:p>
    <w:p w14:paraId="78887857" w14:textId="7F8BAE3E" w:rsidR="004A75FF" w:rsidRPr="000A6255" w:rsidRDefault="004A75FF" w:rsidP="00F564A4">
      <w:pPr>
        <w:pStyle w:val="Paragraphedeliste"/>
        <w:numPr>
          <w:ilvl w:val="0"/>
          <w:numId w:val="76"/>
        </w:numPr>
        <w:spacing w:line="276" w:lineRule="auto"/>
        <w:rPr>
          <w:color w:val="000000"/>
        </w:rPr>
      </w:pPr>
      <w:r w:rsidRPr="000A6255">
        <w:rPr>
          <w:b/>
          <w:bCs/>
        </w:rPr>
        <w:t>Conclusion 6 – Impact</w:t>
      </w:r>
      <w:r w:rsidR="000A6255" w:rsidRPr="000A6255">
        <w:rPr>
          <w:b/>
          <w:bCs/>
        </w:rPr>
        <w:t xml:space="preserve"> : </w:t>
      </w:r>
      <w:r w:rsidRPr="000A6255">
        <w:rPr>
          <w:color w:val="000000"/>
        </w:rPr>
        <w:t xml:space="preserve">Plusieurs changements positifs sont aujourd’hui visibles dans la zone d’intervention du projet grâce aux activités menées par le projet mais aussi à plusieurs autres interventions mises en œuvre sur la période couverte dans la même zone d’intervention </w:t>
      </w:r>
      <w:r w:rsidRPr="000A6255">
        <w:rPr>
          <w:b/>
          <w:i/>
          <w:color w:val="000000"/>
        </w:rPr>
        <w:t>(Constat 9).</w:t>
      </w:r>
      <w:r w:rsidRPr="000A6255">
        <w:rPr>
          <w:color w:val="000000"/>
        </w:rPr>
        <w:t xml:space="preserve"> Ces changements sont entre autres :</w:t>
      </w:r>
    </w:p>
    <w:p w14:paraId="267D8E2E"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L’implication accrue des femmes et des jeunes dans les MCPGC ; </w:t>
      </w:r>
    </w:p>
    <w:p w14:paraId="39C435D4"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L’amélioration de la confiance entre les populations, les FDS et les ACP avec toutefois une collaboration limitée en raison de la crainte des représailles ;</w:t>
      </w:r>
    </w:p>
    <w:p w14:paraId="3751EBEB"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 prise d’initiatives individuelles et collectives en faveur de la paix et de la cohésion sociale ;</w:t>
      </w:r>
    </w:p>
    <w:p w14:paraId="5CD47168"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La réduction des conflits communautaires avec toutefois une persistance des attaques à caractère terroriste ; </w:t>
      </w:r>
    </w:p>
    <w:p w14:paraId="5D0F9738"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L’amélioration de la connaissance des populations sur les droits humains et les voies de recours. L’usage effectif de ces voies de recours est resté pourtant limité ;</w:t>
      </w:r>
    </w:p>
    <w:p w14:paraId="3A292386"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Le partage d’expériences et de bonnes pratiques sur les MCPGC. </w:t>
      </w:r>
    </w:p>
    <w:p w14:paraId="57449FE6" w14:textId="1AE531F1" w:rsidR="004A75FF" w:rsidRPr="0060123A" w:rsidRDefault="004A75FF" w:rsidP="000A6255">
      <w:pPr>
        <w:pStyle w:val="Paragraphedeliste"/>
        <w:spacing w:before="240" w:after="0" w:line="276" w:lineRule="auto"/>
        <w:ind w:left="360"/>
        <w:rPr>
          <w:color w:val="000000"/>
        </w:rPr>
      </w:pPr>
      <w:r w:rsidRPr="0060123A">
        <w:rPr>
          <w:color w:val="000000"/>
        </w:rPr>
        <w:t>Pour les femmes et les filles, ces différents effets du projet ont permis de contribuer à l’amélioration de leur qualité de vie et de réunir des conditions essentielles à la réalisation de leurs droits fondamentaux. Concrètement, le projet a contribué à apporter plus d’acceptation et de valorisation de la place des femmes et des filles en matière de promotion de la paix et de la cohésion sociale, plus</w:t>
      </w:r>
      <w:r w:rsidRPr="0062156D">
        <w:t xml:space="preserve"> de protection contre les violences physiques et sexuelles et contre la dégradation de leur situation économique et sanitaire liées aux conflits et à la COVID-19.</w:t>
      </w:r>
      <w:r>
        <w:t xml:space="preserve"> </w:t>
      </w:r>
      <w:r w:rsidRPr="0060123A">
        <w:rPr>
          <w:color w:val="000000"/>
        </w:rPr>
        <w:t xml:space="preserve">Aucun effet négatif imputable au projet n’a été enregistré par l’évaluation. Toutefois, les rencontres et collaborations entre les populations et les FDS </w:t>
      </w:r>
      <w:r w:rsidR="008969F6">
        <w:rPr>
          <w:color w:val="000000"/>
        </w:rPr>
        <w:t>exposent à des risques</w:t>
      </w:r>
      <w:r w:rsidRPr="0060123A">
        <w:rPr>
          <w:color w:val="000000"/>
        </w:rPr>
        <w:t xml:space="preserve"> de représailles de la part des mouvement terroristes</w:t>
      </w:r>
      <w:r w:rsidR="008969F6">
        <w:rPr>
          <w:color w:val="000000"/>
        </w:rPr>
        <w:t>, malgré les précautions prises par le projet.</w:t>
      </w:r>
      <w:r w:rsidRPr="0060123A">
        <w:rPr>
          <w:color w:val="000000"/>
        </w:rPr>
        <w:t xml:space="preserve"> </w:t>
      </w:r>
      <w:r w:rsidRPr="0060123A">
        <w:rPr>
          <w:b/>
          <w:i/>
          <w:color w:val="000000"/>
        </w:rPr>
        <w:t>(Constat 12)</w:t>
      </w:r>
      <w:r w:rsidRPr="0060123A">
        <w:rPr>
          <w:color w:val="000000"/>
        </w:rPr>
        <w:t xml:space="preserve">. </w:t>
      </w:r>
    </w:p>
    <w:p w14:paraId="7EB71AAF" w14:textId="77777777" w:rsidR="004A75FF" w:rsidRPr="0060123A" w:rsidRDefault="004A75FF" w:rsidP="004A75FF">
      <w:pPr>
        <w:pStyle w:val="Paragraphedeliste"/>
        <w:spacing w:before="240" w:after="0" w:line="276" w:lineRule="auto"/>
        <w:ind w:left="360"/>
        <w:rPr>
          <w:color w:val="000000"/>
        </w:rPr>
      </w:pPr>
    </w:p>
    <w:p w14:paraId="5D17E024" w14:textId="5BBD4E70" w:rsidR="004A75FF" w:rsidRPr="000A6255" w:rsidRDefault="004A75FF" w:rsidP="00F564A4">
      <w:pPr>
        <w:pStyle w:val="Paragraphedeliste"/>
        <w:numPr>
          <w:ilvl w:val="0"/>
          <w:numId w:val="76"/>
        </w:numPr>
        <w:spacing w:line="276" w:lineRule="auto"/>
        <w:rPr>
          <w:color w:val="000000"/>
        </w:rPr>
      </w:pPr>
      <w:r w:rsidRPr="000A6255">
        <w:rPr>
          <w:b/>
          <w:bCs/>
        </w:rPr>
        <w:t>Conclusion 7 – Durabilité</w:t>
      </w:r>
      <w:r w:rsidR="000A6255" w:rsidRPr="000A6255">
        <w:rPr>
          <w:b/>
          <w:bCs/>
        </w:rPr>
        <w:t xml:space="preserve"> : </w:t>
      </w:r>
      <w:r w:rsidRPr="000A6255">
        <w:rPr>
          <w:color w:val="000000"/>
        </w:rPr>
        <w:t xml:space="preserve">Les effets du projet précités sont susceptibles d’être pérennisés au regard des approches d’intervention utilisées qui sont favorables à l’appropriation par les différents acteurs concernés et du niveau d’engagement déclaré par les bénéficiaires directs. Les conditions à réunir pour renforcer cette durabilité sont entre autres, le maintien du dynamisme des femmes et des jeunes, la poursuite des sensibilisations et des formations, la mise en place de mécanismes de suivi des MCPGC ainsi que le rehaussement de la représentativité des femmes dans les effectifs des FDS et des ACP. </w:t>
      </w:r>
      <w:r w:rsidR="006D4DC7">
        <w:rPr>
          <w:color w:val="000000"/>
        </w:rPr>
        <w:t>L’implication</w:t>
      </w:r>
      <w:r w:rsidR="006D4DC7" w:rsidRPr="006D4DC7">
        <w:t xml:space="preserve"> </w:t>
      </w:r>
      <w:r w:rsidR="006D4DC7">
        <w:t xml:space="preserve">des </w:t>
      </w:r>
      <w:r w:rsidR="006D4DC7" w:rsidRPr="006D4DC7">
        <w:rPr>
          <w:color w:val="000000"/>
        </w:rPr>
        <w:t>FDS et ACP du Burkina Faso</w:t>
      </w:r>
      <w:r w:rsidR="006D4DC7">
        <w:rPr>
          <w:color w:val="000000"/>
        </w:rPr>
        <w:t xml:space="preserve"> aux activités transfrontalières avec leurs collègues du Mali et du Niger ainsi que la création du groupe WhatsApp réunissant les FDS et ACP de ces trois pays </w:t>
      </w:r>
      <w:r w:rsidR="00BC5F26">
        <w:rPr>
          <w:color w:val="000000"/>
        </w:rPr>
        <w:t>donnent des gages de durabilité en matière de collaboration entre ces acteurs. Toutefois,</w:t>
      </w:r>
      <w:r w:rsidR="006D4DC7">
        <w:rPr>
          <w:color w:val="000000"/>
        </w:rPr>
        <w:t xml:space="preserve"> </w:t>
      </w:r>
      <w:r w:rsidR="00BC5F26">
        <w:rPr>
          <w:color w:val="000000"/>
        </w:rPr>
        <w:t>l</w:t>
      </w:r>
      <w:r w:rsidR="00BC5F26" w:rsidRPr="000A6255">
        <w:rPr>
          <w:color w:val="000000"/>
        </w:rPr>
        <w:t xml:space="preserve">’implication </w:t>
      </w:r>
      <w:r w:rsidRPr="000A6255">
        <w:rPr>
          <w:color w:val="000000"/>
        </w:rPr>
        <w:t xml:space="preserve">de l’ALG aurait permis de créer une synergie avec les interventions similaires de cet acteur majeur dans les questions transfrontalière dans la zone d’intervention du projet et partant de générer des effets plus importants et plus durables </w:t>
      </w:r>
      <w:r w:rsidRPr="000A6255">
        <w:rPr>
          <w:b/>
          <w:i/>
          <w:color w:val="000000"/>
        </w:rPr>
        <w:t>(Constat 13 et 14)</w:t>
      </w:r>
      <w:r w:rsidRPr="000A6255">
        <w:rPr>
          <w:color w:val="000000"/>
        </w:rPr>
        <w:t xml:space="preserve">. </w:t>
      </w:r>
    </w:p>
    <w:p w14:paraId="77FE9A58" w14:textId="77777777" w:rsidR="004A75FF" w:rsidRPr="00013A0F" w:rsidRDefault="004A75FF" w:rsidP="004A75FF">
      <w:pPr>
        <w:pStyle w:val="Paragraphedeliste"/>
        <w:spacing w:before="240" w:after="0" w:line="276" w:lineRule="auto"/>
        <w:ind w:left="360"/>
      </w:pPr>
    </w:p>
    <w:p w14:paraId="69A09721" w14:textId="3677B7EE" w:rsidR="004A75FF" w:rsidRDefault="004A75FF" w:rsidP="00F564A4">
      <w:pPr>
        <w:pStyle w:val="Paragraphedeliste"/>
        <w:numPr>
          <w:ilvl w:val="0"/>
          <w:numId w:val="76"/>
        </w:numPr>
        <w:spacing w:line="276" w:lineRule="auto"/>
      </w:pPr>
      <w:r w:rsidRPr="000A6255">
        <w:rPr>
          <w:b/>
          <w:bCs/>
        </w:rPr>
        <w:t>Conclusion 8 – Egalité de sexe, genre et droits humains</w:t>
      </w:r>
      <w:r w:rsidR="000A6255" w:rsidRPr="000A6255">
        <w:rPr>
          <w:b/>
          <w:bCs/>
        </w:rPr>
        <w:t xml:space="preserve"> : </w:t>
      </w:r>
      <w:r w:rsidRPr="00013A0F">
        <w:t xml:space="preserve">Les considérations de genre ont été prises en compte </w:t>
      </w:r>
      <w:r>
        <w:t>dans toutes les phases du projet</w:t>
      </w:r>
      <w:r w:rsidRPr="00013A0F">
        <w:t>. Le</w:t>
      </w:r>
      <w:r>
        <w:t xml:space="preserve"> projet a été sensible au genre avec une représentativité de </w:t>
      </w:r>
      <w:r w:rsidRPr="00013A0F">
        <w:t xml:space="preserve">60% </w:t>
      </w:r>
      <w:r>
        <w:t xml:space="preserve">de </w:t>
      </w:r>
      <w:r w:rsidRPr="00013A0F">
        <w:t xml:space="preserve">femmes </w:t>
      </w:r>
      <w:r>
        <w:t xml:space="preserve">parmi les </w:t>
      </w:r>
      <w:r w:rsidRPr="00013A0F">
        <w:t xml:space="preserve">bénéficiaires du projet et </w:t>
      </w:r>
      <w:r>
        <w:t xml:space="preserve">une parte de </w:t>
      </w:r>
      <w:r w:rsidRPr="00013A0F">
        <w:t>51%</w:t>
      </w:r>
      <w:r>
        <w:t xml:space="preserve"> du budget dédiées aux activités liées</w:t>
      </w:r>
      <w:r w:rsidRPr="00013A0F">
        <w:t xml:space="preserve"> à l’égalité entre les sexes/le renforcement des capacités des femmes</w:t>
      </w:r>
      <w:r>
        <w:t xml:space="preserve">. </w:t>
      </w:r>
      <w:r w:rsidRPr="00013A0F">
        <w:t>Par contre, la composition de l’équipe de gestion du projet intègre faiblement le principe d’équilibre de genre tant au niveau des Agences d’exécution qu’au niveau des ONG partenaires</w:t>
      </w:r>
      <w:r>
        <w:t xml:space="preserve"> </w:t>
      </w:r>
      <w:r w:rsidRPr="000A6255">
        <w:rPr>
          <w:b/>
          <w:bCs/>
          <w:i/>
          <w:iCs/>
        </w:rPr>
        <w:t>(Constat 15)</w:t>
      </w:r>
      <w:r w:rsidRPr="00013A0F">
        <w:t>.</w:t>
      </w:r>
      <w:r w:rsidRPr="002F7F13">
        <w:t xml:space="preserve"> </w:t>
      </w:r>
      <w:r>
        <w:t xml:space="preserve">Les acquis en termes de renforcement de capacités des femmes et les effets produits </w:t>
      </w:r>
      <w:r w:rsidRPr="002F7F13">
        <w:t xml:space="preserve">dans la zone d’intervention </w:t>
      </w:r>
      <w:r>
        <w:t>en matière d</w:t>
      </w:r>
      <w:r w:rsidRPr="002F7F13">
        <w:t xml:space="preserve">’apaisement des conflits communautaires, l’affirmation du leadership des femmes, </w:t>
      </w:r>
      <w:r>
        <w:t>le</w:t>
      </w:r>
      <w:r w:rsidRPr="002F7F13">
        <w:t xml:space="preserve"> changement de perception sur la femme dans le dialogue social et la prise en compte des droits humains par les FDS et les ACP dans leurs missions</w:t>
      </w:r>
      <w:r>
        <w:t xml:space="preserve">, ont contribué à améliorer </w:t>
      </w:r>
      <w:r w:rsidRPr="002F7F13">
        <w:t>la qualité de vie de</w:t>
      </w:r>
      <w:r>
        <w:t xml:space="preserve"> ces</w:t>
      </w:r>
      <w:r w:rsidRPr="002F7F13">
        <w:t xml:space="preserve"> femmes</w:t>
      </w:r>
      <w:r>
        <w:t xml:space="preserve">. Cette amélioration de la qualité s’exprime concrètement en termes </w:t>
      </w:r>
      <w:r w:rsidRPr="0062156D">
        <w:t xml:space="preserve">d’estime de soi, de protection contre les violences physiques et sexuelles et contre la dégradation de leur situation économique et sanitaire liées aux conflits et à la COVID-19. </w:t>
      </w:r>
      <w:r>
        <w:t xml:space="preserve">Par ailleurs, </w:t>
      </w:r>
      <w:r w:rsidRPr="0062156D">
        <w:t>la prévention des conflits et de la pandémie de la COVID-19</w:t>
      </w:r>
      <w:r>
        <w:t xml:space="preserve"> grâce aux actions du projet sont autant de </w:t>
      </w:r>
      <w:r w:rsidRPr="0062156D">
        <w:t xml:space="preserve">vies sauvées et </w:t>
      </w:r>
      <w:r>
        <w:t>des</w:t>
      </w:r>
      <w:r w:rsidRPr="0062156D">
        <w:t xml:space="preserve"> moyens d’existence sauvegardé</w:t>
      </w:r>
      <w:r>
        <w:t xml:space="preserve">s. Tous ces effets contribuent à créer un environnement propice à la réalisation des droits fondamentaux de la femme et de la jeune fille, particulièrement ceux relatifs à la sécurité et à la protection, à l’égalité des sexes, à la participation à la vie publique et politique, à l’éducation et à un niveau de vie décent </w:t>
      </w:r>
      <w:r w:rsidRPr="000A6255">
        <w:rPr>
          <w:b/>
          <w:bCs/>
          <w:i/>
          <w:iCs/>
        </w:rPr>
        <w:t>(Constat 16)</w:t>
      </w:r>
      <w:r>
        <w:t xml:space="preserve">. </w:t>
      </w:r>
    </w:p>
    <w:p w14:paraId="50D2B1C4" w14:textId="77777777" w:rsidR="004A75FF" w:rsidRPr="0041767C" w:rsidRDefault="004A75FF" w:rsidP="004A75FF">
      <w:pPr>
        <w:pStyle w:val="Paragraphedeliste"/>
        <w:spacing w:before="240" w:after="0" w:line="276" w:lineRule="auto"/>
        <w:ind w:left="360"/>
      </w:pPr>
    </w:p>
    <w:p w14:paraId="50B8715D" w14:textId="4D8487CE" w:rsidR="004A75FF" w:rsidRPr="00C354DD" w:rsidRDefault="004A75FF" w:rsidP="00317006">
      <w:pPr>
        <w:pStyle w:val="Paragraphedeliste"/>
        <w:numPr>
          <w:ilvl w:val="0"/>
          <w:numId w:val="76"/>
        </w:numPr>
        <w:spacing w:line="276" w:lineRule="auto"/>
      </w:pPr>
      <w:r w:rsidRPr="000A6255">
        <w:rPr>
          <w:b/>
          <w:bCs/>
        </w:rPr>
        <w:t>Conclusion 9 – Inclusion des personnes handicapées</w:t>
      </w:r>
      <w:r w:rsidR="000A6255" w:rsidRPr="000A6255">
        <w:rPr>
          <w:b/>
          <w:bCs/>
        </w:rPr>
        <w:t xml:space="preserve"> : </w:t>
      </w:r>
      <w:r w:rsidRPr="00C354DD">
        <w:t>L’implication et la prise en compte des priorités des personnes handicapées dans la conception et la mise en œuvre du projet ont été</w:t>
      </w:r>
      <w:r w:rsidRPr="000A6255">
        <w:t xml:space="preserve"> limitées</w:t>
      </w:r>
      <w:r w:rsidRPr="00C354DD">
        <w:t xml:space="preserve">. Ces personnes n’ont pas bénéficié d’activités spécifiques de la part du projet et sont encore confrontées à plusieurs contraintes. </w:t>
      </w:r>
      <w:r>
        <w:t xml:space="preserve">Ces contraintes sont principalement : </w:t>
      </w:r>
      <w:r w:rsidRPr="00EF1BF3">
        <w:t>la persistance d’une perception négative sur le handicap, le manque d’</w:t>
      </w:r>
      <w:r>
        <w:t>associations</w:t>
      </w:r>
      <w:r w:rsidRPr="00EF1BF3">
        <w:t xml:space="preserve"> des personnes handicapées</w:t>
      </w:r>
      <w:r>
        <w:t xml:space="preserve"> capables de défendre efficacement leur cause</w:t>
      </w:r>
      <w:r w:rsidRPr="00EF1BF3">
        <w:t xml:space="preserve">, le manque d’estime et de confiance en soi conduisant à l’auto-exclusion, la faiblesse de la législation sur l’inclusion des personnes handicapées ainsi que le manque d’attention des projets vis-à-vis des personnes handicapées. </w:t>
      </w:r>
    </w:p>
    <w:p w14:paraId="6A31D8F7" w14:textId="155D60D0" w:rsidR="00FA6CA3" w:rsidRDefault="00FA6CA3" w:rsidP="00991DA8">
      <w:pPr>
        <w:spacing w:line="276" w:lineRule="auto"/>
        <w:rPr>
          <w:rFonts w:ascii="CenturyGothic" w:eastAsia="Times New Roman" w:hAnsi="CenturyGothic" w:cs="Times New Roman"/>
          <w:color w:val="000000"/>
        </w:rPr>
      </w:pPr>
    </w:p>
    <w:p w14:paraId="5BA6E8E4" w14:textId="38FA2A65" w:rsidR="00142CCB"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Principales recommandations</w:t>
      </w:r>
    </w:p>
    <w:p w14:paraId="70393310" w14:textId="37147A7F" w:rsidR="001207E6" w:rsidRDefault="003135D1" w:rsidP="00991DA8">
      <w:pPr>
        <w:spacing w:line="276" w:lineRule="auto"/>
        <w:rPr>
          <w:rFonts w:eastAsia="Times New Roman" w:cs="Times New Roman"/>
          <w:b/>
          <w:bCs/>
          <w:color w:val="0070C0"/>
        </w:rPr>
      </w:pPr>
      <w:r>
        <w:t xml:space="preserve">Quatre (04) </w:t>
      </w:r>
      <w:r w:rsidR="00A72208">
        <w:t xml:space="preserve">recommandations </w:t>
      </w:r>
      <w:r>
        <w:t xml:space="preserve">principales </w:t>
      </w:r>
      <w:r w:rsidR="00A72208">
        <w:t xml:space="preserve">sont formulées à l’endroit des utilisateurs de l’évaluation. </w:t>
      </w:r>
      <w:r w:rsidR="006E4386">
        <w:t>C</w:t>
      </w:r>
      <w:r w:rsidR="00A72208">
        <w:t>es recommandations</w:t>
      </w:r>
      <w:r w:rsidR="006E4386">
        <w:t xml:space="preserve"> procèdent des</w:t>
      </w:r>
      <w:r w:rsidR="00A72208">
        <w:t xml:space="preserve"> conclusions de l’évaluation et</w:t>
      </w:r>
      <w:r w:rsidR="006E4386">
        <w:t xml:space="preserve"> d’un processus participatif </w:t>
      </w:r>
      <w:r w:rsidR="00A72208">
        <w:t xml:space="preserve">de proposition, de discussions et de validation </w:t>
      </w:r>
      <w:r w:rsidR="006E4386">
        <w:t>entre l’équipe d’évaluation, le groupe de gestion et le groupe de référence de</w:t>
      </w:r>
      <w:r w:rsidR="00A72208">
        <w:t xml:space="preserve"> l</w:t>
      </w:r>
      <w:r w:rsidR="001207E6">
        <w:t>’évaluation</w:t>
      </w:r>
      <w:r w:rsidR="006E4386">
        <w:t>.</w:t>
      </w:r>
      <w:r w:rsidR="001207E6">
        <w:t xml:space="preserve"> </w:t>
      </w:r>
      <w:r w:rsidR="00AD1B1D">
        <w:t xml:space="preserve">Chaque recommandation est </w:t>
      </w:r>
      <w:r>
        <w:t>affectée</w:t>
      </w:r>
      <w:r w:rsidR="00AD1B1D">
        <w:t xml:space="preserve"> d’un niveau de priorité </w:t>
      </w:r>
      <w:r w:rsidR="001207E6">
        <w:t xml:space="preserve">(faible, moyenne </w:t>
      </w:r>
      <w:r w:rsidR="00AD1B1D">
        <w:t xml:space="preserve">ou </w:t>
      </w:r>
      <w:r w:rsidR="001207E6">
        <w:t xml:space="preserve">haute) </w:t>
      </w:r>
      <w:r w:rsidR="00AD1B1D">
        <w:t>suivant son importance</w:t>
      </w:r>
      <w:r>
        <w:t xml:space="preserve"> stratégique</w:t>
      </w:r>
      <w:r w:rsidR="00AD1B1D">
        <w:t xml:space="preserve">, avec pour critère d’appréciation, </w:t>
      </w:r>
      <w:r w:rsidR="001207E6">
        <w:t>la criticité du risque de non atteinte des résultats attendus d’une intervention similaire sous l’hypothèse d’une non prise en compte de la recommandation</w:t>
      </w:r>
      <w:r>
        <w:t>.</w:t>
      </w:r>
    </w:p>
    <w:p w14:paraId="6FC7E8ED" w14:textId="3C242B2F" w:rsidR="0021681D" w:rsidRDefault="0021681D" w:rsidP="00A7753B">
      <w:pPr>
        <w:pStyle w:val="Paragraphedeliste"/>
        <w:numPr>
          <w:ilvl w:val="0"/>
          <w:numId w:val="76"/>
        </w:numPr>
        <w:spacing w:after="0" w:line="276" w:lineRule="auto"/>
      </w:pPr>
      <w:r w:rsidRPr="00F62689">
        <w:rPr>
          <w:b/>
          <w:color w:val="000000"/>
        </w:rPr>
        <w:t>Recommandation 1 :</w:t>
      </w:r>
      <w:r w:rsidRPr="00F62689">
        <w:rPr>
          <w:color w:val="000000"/>
        </w:rPr>
        <w:t xml:space="preserve"> </w:t>
      </w:r>
      <w:r>
        <w:t xml:space="preserve">Prendre en compte dans la théorie de changement des projets de consolidation de la paix et de la cohésion sociale, le renforcement de la résilience économique des communautés </w:t>
      </w:r>
      <w:r w:rsidR="00156D7B">
        <w:t>notamment des groupes vulnérables</w:t>
      </w:r>
      <w:r>
        <w:t>. Il s’agit d’inclure des activités de renforcement des moyens d’existence à travers des formations professionnelles, le financement d’activités génératrices de revenu ou de microprojets communautaires.</w:t>
      </w:r>
      <w:r w:rsidR="007068E8">
        <w:t xml:space="preserve"> </w:t>
      </w:r>
    </w:p>
    <w:p w14:paraId="633FD0A5"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2</w:t>
      </w:r>
    </w:p>
    <w:p w14:paraId="22343038"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472AABDC" w14:textId="77777777" w:rsidR="0021681D"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Moyenne</w:t>
      </w:r>
      <w:r>
        <w:rPr>
          <w:rStyle w:val="Appelnotedebasdep"/>
          <w:i/>
          <w:iCs/>
          <w:sz w:val="20"/>
          <w:szCs w:val="20"/>
        </w:rPr>
        <w:footnoteReference w:id="2"/>
      </w:r>
    </w:p>
    <w:p w14:paraId="4B0FF6C1" w14:textId="3389EB62" w:rsidR="0021681D" w:rsidRDefault="0021681D" w:rsidP="00A7753B">
      <w:pPr>
        <w:pStyle w:val="Paragraphedeliste"/>
        <w:numPr>
          <w:ilvl w:val="0"/>
          <w:numId w:val="76"/>
        </w:numPr>
        <w:spacing w:before="0" w:after="0" w:line="276" w:lineRule="auto"/>
      </w:pPr>
      <w:r w:rsidRPr="00F62689">
        <w:rPr>
          <w:b/>
          <w:color w:val="000000"/>
        </w:rPr>
        <w:t>Recommandation 2 :</w:t>
      </w:r>
      <w:r>
        <w:t xml:space="preserve"> Veiller à l’élaboration et à la disponibilité du plan de suivi-évaluation </w:t>
      </w:r>
      <w:r w:rsidR="00F93115">
        <w:t xml:space="preserve">conjoint </w:t>
      </w:r>
      <w:r>
        <w:t xml:space="preserve">du projet dès le démarrage. Il est question de disposer dès le démarrage, d’un plan de suivi-évaluation </w:t>
      </w:r>
      <w:r w:rsidR="00F93115">
        <w:t xml:space="preserve">conjoint </w:t>
      </w:r>
      <w:r>
        <w:t xml:space="preserve">complet qui définit clairement entre autres, les indicateurs et leur mode de calcul, les activités de suivi, le circuit de collecte et de compilation des données ainsi que les rôles et responsabilité des acteurs sur la chaine. Cet outil essentiel (à inclure dans la liste de vérification pour le lancement du projet) devra être partagé avec le </w:t>
      </w:r>
      <w:r w:rsidR="00A30FF7">
        <w:t>partenaire financier</w:t>
      </w:r>
      <w:r>
        <w:t xml:space="preserve">. </w:t>
      </w:r>
    </w:p>
    <w:p w14:paraId="3E7A302B"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4</w:t>
      </w:r>
    </w:p>
    <w:p w14:paraId="7096A43B"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5E2757A1"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2659A06B" w14:textId="1358DE03" w:rsidR="0021681D" w:rsidRDefault="0021681D" w:rsidP="00A7753B">
      <w:pPr>
        <w:pStyle w:val="Paragraphedeliste"/>
        <w:numPr>
          <w:ilvl w:val="0"/>
          <w:numId w:val="76"/>
        </w:numPr>
        <w:spacing w:before="0" w:after="0" w:line="276" w:lineRule="auto"/>
      </w:pPr>
      <w:r w:rsidRPr="00F62689">
        <w:rPr>
          <w:b/>
          <w:color w:val="000000"/>
        </w:rPr>
        <w:t>Recommandation 3 :</w:t>
      </w:r>
      <w:r>
        <w:t xml:space="preserve"> Elaborer des plans de travail conjoints et intégrés </w:t>
      </w:r>
      <w:r w:rsidR="00156D7B">
        <w:t>pour tout projet mis en œuvre conjointement par au moins deux agences d’exécution</w:t>
      </w:r>
      <w:r>
        <w:t>. L’approche de planification conjointe et intégrée vise à</w:t>
      </w:r>
      <w:r w:rsidRPr="00854E5A">
        <w:t xml:space="preserve"> </w:t>
      </w:r>
      <w:r>
        <w:t xml:space="preserve">renforcer la synergie d’action entre les agences d’exécution partenaires en mettant en </w:t>
      </w:r>
      <w:r w:rsidRPr="00854E5A">
        <w:t xml:space="preserve">évidence les activités qui peuvent </w:t>
      </w:r>
      <w:r>
        <w:t xml:space="preserve">/doivent </w:t>
      </w:r>
      <w:r w:rsidRPr="00854E5A">
        <w:t>être mise</w:t>
      </w:r>
      <w:r>
        <w:t>s</w:t>
      </w:r>
      <w:r w:rsidRPr="00854E5A">
        <w:t xml:space="preserve"> en œuvre ensemble </w:t>
      </w:r>
      <w:r>
        <w:t>(conjointement).</w:t>
      </w:r>
      <w:r w:rsidR="00A94CA2">
        <w:rPr>
          <w:rFonts w:cs="Times New Roman"/>
        </w:rPr>
        <w:t xml:space="preserve">  </w:t>
      </w:r>
      <w:r w:rsidR="00A94CA2">
        <w:t xml:space="preserve">Il faudrait aussi </w:t>
      </w:r>
      <w:r w:rsidR="00A94CA2" w:rsidRPr="00A30FF7">
        <w:rPr>
          <w:rFonts w:cs="Times New Roman"/>
        </w:rPr>
        <w:t>veiller à d</w:t>
      </w:r>
      <w:r w:rsidR="00A94CA2" w:rsidRPr="00043F26">
        <w:rPr>
          <w:rFonts w:cs="Times New Roman"/>
        </w:rPr>
        <w:t>éfinir un cadr</w:t>
      </w:r>
      <w:r w:rsidR="00A94CA2">
        <w:rPr>
          <w:rFonts w:cs="Times New Roman"/>
        </w:rPr>
        <w:t xml:space="preserve">e formel de communication interne entre les acteurs.  </w:t>
      </w:r>
    </w:p>
    <w:p w14:paraId="576BF60C"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4</w:t>
      </w:r>
    </w:p>
    <w:p w14:paraId="63CB07A5"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7EF1243F"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3C3EF3A3" w14:textId="6DEA1A2D" w:rsidR="00A30FF7" w:rsidRPr="0022379E" w:rsidRDefault="0021681D" w:rsidP="00A30FF7">
      <w:pPr>
        <w:pStyle w:val="Paragraphedeliste"/>
        <w:numPr>
          <w:ilvl w:val="0"/>
          <w:numId w:val="76"/>
        </w:numPr>
        <w:spacing w:before="0" w:after="0" w:line="276" w:lineRule="auto"/>
      </w:pPr>
      <w:r w:rsidRPr="00F62689">
        <w:rPr>
          <w:b/>
          <w:color w:val="000000"/>
        </w:rPr>
        <w:t xml:space="preserve">Recommandation </w:t>
      </w:r>
      <w:r w:rsidR="00A7753B" w:rsidRPr="00F62689">
        <w:rPr>
          <w:b/>
          <w:color w:val="000000"/>
        </w:rPr>
        <w:t>4</w:t>
      </w:r>
      <w:r w:rsidRPr="00F62689">
        <w:rPr>
          <w:b/>
          <w:color w:val="000000"/>
        </w:rPr>
        <w:t xml:space="preserve"> :</w:t>
      </w:r>
      <w:r w:rsidRPr="0022379E">
        <w:t xml:space="preserve"> </w:t>
      </w:r>
      <w:r w:rsidR="00A30FF7">
        <w:t xml:space="preserve">Améliorer l’inclusion des personnes handicapées dans la conception et la mise en œuvre. Prévoir dans la planification des activités spécifiques en leur faveur dans les interventions futures. Dans la mise en œuvre, il s’agira </w:t>
      </w:r>
      <w:r w:rsidR="00007B82">
        <w:t xml:space="preserve">idéalement </w:t>
      </w:r>
      <w:r w:rsidR="00A30FF7">
        <w:t>de mobiliser une expertise locale dans le domaine pour accompagner la mise en œuvre de ces activités</w:t>
      </w:r>
      <w:r w:rsidR="00007B82">
        <w:t>, toute chose qui faciliterait l’identification et la mobilisation des personnes handicapées</w:t>
      </w:r>
      <w:r w:rsidR="00A30FF7">
        <w:t xml:space="preserve">. </w:t>
      </w:r>
    </w:p>
    <w:p w14:paraId="562B91FF" w14:textId="60627AB2"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sidR="00522779">
        <w:rPr>
          <w:i/>
          <w:iCs/>
          <w:sz w:val="20"/>
          <w:szCs w:val="20"/>
        </w:rPr>
        <w:t>9</w:t>
      </w:r>
    </w:p>
    <w:p w14:paraId="608CD42D" w14:textId="70CDDE2B"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sidR="0076102D">
        <w:rPr>
          <w:i/>
          <w:iCs/>
          <w:sz w:val="20"/>
          <w:szCs w:val="20"/>
        </w:rPr>
        <w:t xml:space="preserve">PBF, ONU Femmes et </w:t>
      </w:r>
      <w:r w:rsidRPr="00C015FA">
        <w:rPr>
          <w:i/>
          <w:iCs/>
          <w:sz w:val="20"/>
          <w:szCs w:val="20"/>
        </w:rPr>
        <w:t>ONUDC</w:t>
      </w:r>
    </w:p>
    <w:p w14:paraId="15B4BBCF" w14:textId="2987B581" w:rsidR="0021681D"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564AE510" w14:textId="3DF00D53" w:rsidR="00F564A4" w:rsidRDefault="00F564A4" w:rsidP="00A7753B">
      <w:pPr>
        <w:spacing w:before="0" w:after="0" w:line="276" w:lineRule="auto"/>
        <w:ind w:left="709"/>
        <w:rPr>
          <w:i/>
          <w:iCs/>
          <w:sz w:val="20"/>
          <w:szCs w:val="20"/>
        </w:rPr>
      </w:pPr>
    </w:p>
    <w:p w14:paraId="4A7A998C" w14:textId="77777777" w:rsidR="007277D8" w:rsidRDefault="00F564A4">
      <w:pPr>
        <w:spacing w:before="0" w:after="160" w:line="259" w:lineRule="auto"/>
        <w:jc w:val="left"/>
        <w:rPr>
          <w:i/>
          <w:iCs/>
          <w:sz w:val="20"/>
          <w:szCs w:val="20"/>
        </w:rPr>
        <w:sectPr w:rsidR="007277D8" w:rsidSect="007277D8">
          <w:footerReference w:type="default" r:id="rId21"/>
          <w:footerReference w:type="first" r:id="rId22"/>
          <w:pgSz w:w="11906" w:h="16838"/>
          <w:pgMar w:top="1417" w:right="1417" w:bottom="1276" w:left="1417" w:header="708" w:footer="708" w:gutter="0"/>
          <w:pgNumType w:fmt="lowerRoman" w:start="1"/>
          <w:cols w:space="708"/>
          <w:titlePg/>
          <w:docGrid w:linePitch="360"/>
        </w:sectPr>
      </w:pPr>
      <w:r>
        <w:rPr>
          <w:i/>
          <w:iCs/>
          <w:sz w:val="20"/>
          <w:szCs w:val="20"/>
        </w:rPr>
        <w:br w:type="page"/>
      </w:r>
    </w:p>
    <w:p w14:paraId="2C8B4F07" w14:textId="7E100241" w:rsidR="006575B9" w:rsidRDefault="00CB6D6E" w:rsidP="0024178E">
      <w:pPr>
        <w:pStyle w:val="Titre1"/>
        <w:numPr>
          <w:ilvl w:val="0"/>
          <w:numId w:val="81"/>
        </w:numPr>
      </w:pPr>
      <w:bookmarkStart w:id="10" w:name="_Toc95451843"/>
      <w:bookmarkStart w:id="11" w:name="_Toc39563189"/>
      <w:r>
        <w:t xml:space="preserve">DESCRIPTIF DE L’OBJET DE L’EVALUATION ET DE SON </w:t>
      </w:r>
      <w:r w:rsidR="00F478F3">
        <w:t>CONTEXTE</w:t>
      </w:r>
      <w:bookmarkEnd w:id="10"/>
      <w:r w:rsidR="00F478F3">
        <w:t xml:space="preserve"> </w:t>
      </w:r>
      <w:bookmarkEnd w:id="11"/>
    </w:p>
    <w:p w14:paraId="60061E4C" w14:textId="77777777" w:rsidR="004260D0" w:rsidRPr="00854502" w:rsidRDefault="004260D0" w:rsidP="00854502">
      <w:pPr>
        <w:spacing w:after="0"/>
        <w:rPr>
          <w:rFonts w:ascii="Times New Roman" w:hAnsi="Times New Roman" w:cs="Times New Roman"/>
          <w:b/>
          <w:sz w:val="18"/>
        </w:rPr>
      </w:pPr>
    </w:p>
    <w:p w14:paraId="75C5660B" w14:textId="69DAD071" w:rsidR="00CB6D6E" w:rsidRDefault="00CB6D6E" w:rsidP="00820BBD">
      <w:pPr>
        <w:pStyle w:val="Titre2"/>
        <w:numPr>
          <w:ilvl w:val="1"/>
          <w:numId w:val="81"/>
        </w:numPr>
      </w:pPr>
      <w:bookmarkStart w:id="12" w:name="_Toc95451844"/>
      <w:bookmarkStart w:id="13" w:name="_Toc39563190"/>
      <w:r>
        <w:t>Préambule</w:t>
      </w:r>
      <w:bookmarkEnd w:id="12"/>
      <w:r>
        <w:t xml:space="preserve"> </w:t>
      </w:r>
    </w:p>
    <w:p w14:paraId="0EEB5357" w14:textId="18BCD5CB" w:rsidR="00CB6D6E" w:rsidRPr="000363D4" w:rsidRDefault="00CB6D6E" w:rsidP="00CB6D6E">
      <w:pPr>
        <w:pStyle w:val="Paragraphedeliste"/>
        <w:numPr>
          <w:ilvl w:val="0"/>
          <w:numId w:val="23"/>
        </w:numPr>
        <w:spacing w:line="276" w:lineRule="auto"/>
      </w:pPr>
      <w:r w:rsidRPr="000363D4">
        <w:t xml:space="preserve">Le présent document constitue le </w:t>
      </w:r>
      <w:r w:rsidRPr="000363D4">
        <w:rPr>
          <w:b/>
          <w:bCs/>
        </w:rPr>
        <w:t>Rapport provisoire d’évaluation</w:t>
      </w:r>
      <w:r>
        <w:rPr>
          <w:b/>
          <w:bCs/>
        </w:rPr>
        <w:t xml:space="preserve"> finale</w:t>
      </w:r>
      <w:r w:rsidRPr="00CB6D6E">
        <w:t xml:space="preserve"> du projet « Appui aux initiatives transfrontalières de dialogue communautaire avec les acteurs du secteur de la sécurité et de la justice pour la consolidation de la paix au Mali et au Niger ».</w:t>
      </w:r>
      <w:r w:rsidRPr="000363D4">
        <w:t xml:space="preserve"> Le rapport est organisé en </w:t>
      </w:r>
      <w:r w:rsidR="00906B26">
        <w:t>huit</w:t>
      </w:r>
      <w:r w:rsidR="00906B26" w:rsidRPr="000363D4">
        <w:t xml:space="preserve"> </w:t>
      </w:r>
      <w:r w:rsidRPr="000363D4">
        <w:t xml:space="preserve">parties. </w:t>
      </w:r>
      <w:r>
        <w:t xml:space="preserve">La première partie décrit d’abord l’objet d’évaluation et son contexte. </w:t>
      </w:r>
      <w:r w:rsidRPr="000363D4">
        <w:t>Le but</w:t>
      </w:r>
      <w:r w:rsidR="00906B26">
        <w:t xml:space="preserve"> et</w:t>
      </w:r>
      <w:r w:rsidRPr="000363D4">
        <w:t xml:space="preserve"> les objectifs</w:t>
      </w:r>
      <w:r w:rsidR="00B97E19">
        <w:t xml:space="preserve"> </w:t>
      </w:r>
      <w:r w:rsidRPr="000363D4">
        <w:t xml:space="preserve">de l’évaluation sont </w:t>
      </w:r>
      <w:r w:rsidR="00761B43">
        <w:t>exposés</w:t>
      </w:r>
      <w:r w:rsidR="00761B43" w:rsidRPr="000363D4">
        <w:t xml:space="preserve"> </w:t>
      </w:r>
      <w:r w:rsidRPr="000363D4">
        <w:t xml:space="preserve">dans la </w:t>
      </w:r>
      <w:r w:rsidR="00F9181F">
        <w:t>deuxième partie</w:t>
      </w:r>
      <w:r w:rsidR="00906B26">
        <w:t xml:space="preserve"> suivi d’une présentation du champ, des critères et des questions clés d’évaluation </w:t>
      </w:r>
      <w:r w:rsidR="00761B43">
        <w:t>dans la partie 3</w:t>
      </w:r>
      <w:r w:rsidR="008D359A">
        <w:t xml:space="preserve"> à l</w:t>
      </w:r>
      <w:r w:rsidRPr="000363D4">
        <w:t xml:space="preserve">a </w:t>
      </w:r>
      <w:r w:rsidR="00761B43">
        <w:t>quatrième</w:t>
      </w:r>
      <w:r w:rsidR="00906B26" w:rsidRPr="000363D4">
        <w:t xml:space="preserve"> </w:t>
      </w:r>
      <w:r w:rsidRPr="000363D4">
        <w:t>partie est consacrée à la méthodologie de l’évaluation </w:t>
      </w:r>
      <w:r w:rsidR="00761B43">
        <w:t xml:space="preserve">où </w:t>
      </w:r>
      <w:r w:rsidRPr="000363D4">
        <w:t xml:space="preserve"> sont abordés </w:t>
      </w:r>
      <w:r w:rsidR="00761B43">
        <w:t>l’approche globale d’évaluation</w:t>
      </w:r>
      <w:r w:rsidRPr="000363D4">
        <w:t>, les méthodes et outils de collecte, les cibles, l’échantillon et l’échantillonnage, la stratégie de formation des équipes terrain, le dispositif de mise en œuvre de l’évaluation et les considérations éthiques.</w:t>
      </w:r>
      <w:r>
        <w:t xml:space="preserve"> </w:t>
      </w:r>
      <w:r w:rsidR="00761B43">
        <w:t xml:space="preserve">Les autres parties </w:t>
      </w:r>
      <w:r w:rsidR="00F37665">
        <w:t xml:space="preserve">analysent </w:t>
      </w:r>
      <w:r w:rsidR="009A424E">
        <w:t>les</w:t>
      </w:r>
      <w:r w:rsidRPr="000363D4">
        <w:t xml:space="preserve"> principaux constats</w:t>
      </w:r>
      <w:r w:rsidR="00761B43">
        <w:t xml:space="preserve"> (Partie </w:t>
      </w:r>
      <w:r w:rsidR="00D90A05">
        <w:t>5</w:t>
      </w:r>
      <w:r w:rsidR="00761B43">
        <w:t>)</w:t>
      </w:r>
      <w:r w:rsidR="00F37665">
        <w:t xml:space="preserve">, </w:t>
      </w:r>
      <w:r w:rsidR="009A424E">
        <w:t>livrent</w:t>
      </w:r>
      <w:r w:rsidR="007970C8">
        <w:t xml:space="preserve"> les</w:t>
      </w:r>
      <w:r w:rsidR="007970C8" w:rsidRPr="000363D4">
        <w:t xml:space="preserve"> conclusions</w:t>
      </w:r>
      <w:r w:rsidRPr="000363D4">
        <w:t xml:space="preserve"> et recommandations qui en </w:t>
      </w:r>
      <w:r w:rsidR="00761B43" w:rsidRPr="000363D4">
        <w:t>découle</w:t>
      </w:r>
      <w:r w:rsidR="00761B43">
        <w:t>nt</w:t>
      </w:r>
      <w:r w:rsidR="00761B43" w:rsidRPr="000363D4">
        <w:t xml:space="preserve"> </w:t>
      </w:r>
      <w:r w:rsidR="007970C8">
        <w:t>(</w:t>
      </w:r>
      <w:r w:rsidR="00D90A05">
        <w:t>Partie 6</w:t>
      </w:r>
      <w:r w:rsidR="007970C8">
        <w:t xml:space="preserve">) </w:t>
      </w:r>
      <w:r w:rsidR="00D90A05">
        <w:t xml:space="preserve">ainsi que les </w:t>
      </w:r>
      <w:r w:rsidR="00D90A05" w:rsidRPr="000363D4">
        <w:t xml:space="preserve">enseignements tirés </w:t>
      </w:r>
      <w:r w:rsidR="00D90A05">
        <w:t>(Partie 7).</w:t>
      </w:r>
      <w:r w:rsidRPr="000363D4">
        <w:t xml:space="preserve"> Les </w:t>
      </w:r>
      <w:r w:rsidR="00754F1D">
        <w:t xml:space="preserve">annexes </w:t>
      </w:r>
      <w:r w:rsidRPr="000363D4">
        <w:t>sont présenté</w:t>
      </w:r>
      <w:r w:rsidR="004350B9">
        <w:t>e</w:t>
      </w:r>
      <w:r w:rsidRPr="000363D4">
        <w:t>s dans la dernière partie.</w:t>
      </w:r>
    </w:p>
    <w:p w14:paraId="2EBDD253" w14:textId="77777777" w:rsidR="00CB6D6E" w:rsidRPr="00CB6D6E" w:rsidRDefault="00CB6D6E" w:rsidP="00CB6D6E"/>
    <w:p w14:paraId="39D4FC2B" w14:textId="4D272BA0" w:rsidR="00057599" w:rsidRPr="008E12B8" w:rsidRDefault="00057599" w:rsidP="00820BBD">
      <w:pPr>
        <w:pStyle w:val="Titre2"/>
        <w:numPr>
          <w:ilvl w:val="1"/>
          <w:numId w:val="81"/>
        </w:numPr>
      </w:pPr>
      <w:bookmarkStart w:id="14" w:name="_Toc95451845"/>
      <w:r>
        <w:t>Historique et c</w:t>
      </w:r>
      <w:r w:rsidRPr="003A030E">
        <w:t xml:space="preserve">ontexte </w:t>
      </w:r>
      <w:r>
        <w:t>du projet</w:t>
      </w:r>
      <w:r w:rsidR="005D78A9">
        <w:t xml:space="preserve"> objet d’évaluation</w:t>
      </w:r>
      <w:bookmarkEnd w:id="14"/>
    </w:p>
    <w:p w14:paraId="3ADADF8E" w14:textId="77777777" w:rsidR="00057599" w:rsidRDefault="00057599" w:rsidP="00057599">
      <w:pPr>
        <w:pStyle w:val="Paragraphedeliste"/>
        <w:numPr>
          <w:ilvl w:val="0"/>
          <w:numId w:val="80"/>
        </w:numPr>
        <w:spacing w:line="276" w:lineRule="auto"/>
      </w:pPr>
      <w:r w:rsidRPr="00922D9F">
        <w:t>Le Sahel apparait comme une vaste terre d'opportunités mais aussi de défis environnementaux, politiques et sécuritaires qui affectent la prospérité et la paix durable de la région</w:t>
      </w:r>
      <w:r>
        <w:t xml:space="preserve">. Les zones frontalières entre le Mali et le Niger qui partagent en commun </w:t>
      </w:r>
      <w:r w:rsidRPr="00247E73">
        <w:t>la culture, la langue</w:t>
      </w:r>
      <w:r>
        <w:t xml:space="preserve"> et</w:t>
      </w:r>
      <w:r w:rsidRPr="00247E73">
        <w:t xml:space="preserve"> la religion</w:t>
      </w:r>
      <w:r>
        <w:t xml:space="preserve">, ne sont pas en marge de ces défis dont la mauvaise gestion se solde par de nombreux conflits. </w:t>
      </w:r>
    </w:p>
    <w:p w14:paraId="79BF0D92" w14:textId="18F76318" w:rsidR="00057599" w:rsidRDefault="00057599" w:rsidP="009527EA">
      <w:pPr>
        <w:pStyle w:val="Paragraphedeliste"/>
        <w:numPr>
          <w:ilvl w:val="0"/>
          <w:numId w:val="23"/>
        </w:numPr>
        <w:spacing w:line="276" w:lineRule="auto"/>
      </w:pPr>
      <w:r>
        <w:t>Au plan environnemental, les communautés frontalières sont exposées aux effets des changements climatiques notamment le stress hydrique, les inondations, la réduction des rendements agricoles et l</w:t>
      </w:r>
      <w:r w:rsidRPr="00E27033">
        <w:t xml:space="preserve">a raréfaction des ressources naturelles </w:t>
      </w:r>
      <w:r>
        <w:t xml:space="preserve">(agro-pastorales) </w:t>
      </w:r>
      <w:r w:rsidRPr="00E27033">
        <w:t>pour le pâturage et la transhumance</w:t>
      </w:r>
      <w:r>
        <w:t xml:space="preserve">. Ces effets combinés à la forte pression démographique entrainent des conséquences socio-économiques en termes de dégradation des moyens d’existence essentiellement basés sur l’agriculture, l’élevage, la pêche ainsi que l’aggravation de la situation de pauvreté et d’insécurité alimentaire. En 2019, la pauvreté touchait par exemple 40,8% des populations nigériennes pour un seuil de pauvreté de </w:t>
      </w:r>
      <w:r w:rsidRPr="004552D6">
        <w:t xml:space="preserve">181 782 </w:t>
      </w:r>
      <w:r>
        <w:t>FCFA/an et 42</w:t>
      </w:r>
      <w:r w:rsidRPr="00C807BD">
        <w:t>,</w:t>
      </w:r>
      <w:r>
        <w:t xml:space="preserve">1% des populations maliennes pour un seuil de pauvreté de </w:t>
      </w:r>
      <w:r w:rsidRPr="004552D6">
        <w:t>269</w:t>
      </w:r>
      <w:r w:rsidR="00A43DE7">
        <w:t> </w:t>
      </w:r>
      <w:r w:rsidRPr="004552D6">
        <w:t>485</w:t>
      </w:r>
      <w:r>
        <w:t xml:space="preserve"> FCFA/an</w:t>
      </w:r>
      <w:r>
        <w:rPr>
          <w:rStyle w:val="Appelnotedebasdep"/>
        </w:rPr>
        <w:footnoteReference w:id="3"/>
      </w:r>
      <w:r>
        <w:t xml:space="preserve">. </w:t>
      </w:r>
      <w:r w:rsidR="00B13989">
        <w:t xml:space="preserve">L’indice de développement du genre, qui </w:t>
      </w:r>
      <w:r w:rsidR="009527EA">
        <w:t>représente</w:t>
      </w:r>
      <w:r w:rsidR="00B13989">
        <w:t xml:space="preserve"> le ratio des valeurs de l’IDH </w:t>
      </w:r>
      <w:r w:rsidR="009527EA">
        <w:t xml:space="preserve">des </w:t>
      </w:r>
      <w:r w:rsidR="00B13989">
        <w:t>femmes</w:t>
      </w:r>
      <w:r w:rsidR="009527EA">
        <w:t xml:space="preserve"> sur celui des </w:t>
      </w:r>
      <w:r w:rsidR="00B13989">
        <w:t xml:space="preserve">hommes, était estimé à </w:t>
      </w:r>
      <w:r w:rsidR="009527EA">
        <w:t xml:space="preserve">0,65 au Niger et à </w:t>
      </w:r>
      <w:r w:rsidR="00B13989">
        <w:t>0,</w:t>
      </w:r>
      <w:r w:rsidR="009527EA">
        <w:t>671 au Mali</w:t>
      </w:r>
      <w:r w:rsidR="00B13989">
        <w:t xml:space="preserve"> </w:t>
      </w:r>
      <w:r w:rsidR="009527EA">
        <w:t>en 2019</w:t>
      </w:r>
      <w:r w:rsidR="00230AD4">
        <w:rPr>
          <w:rStyle w:val="Appelnotedebasdep"/>
        </w:rPr>
        <w:footnoteReference w:id="4"/>
      </w:r>
      <w:r w:rsidR="00B13989">
        <w:t xml:space="preserve">. </w:t>
      </w:r>
      <w:r>
        <w:t>Relativement à l’insécurité alimentaire, elle était vécue en 2017 par 46,9%</w:t>
      </w:r>
      <w:r>
        <w:rPr>
          <w:rStyle w:val="Appelnotedebasdep"/>
        </w:rPr>
        <w:footnoteReference w:id="5"/>
      </w:r>
      <w:r>
        <w:t xml:space="preserve"> des ménages ruraux du Niger et 25,6%</w:t>
      </w:r>
      <w:r>
        <w:rPr>
          <w:rStyle w:val="Appelnotedebasdep"/>
        </w:rPr>
        <w:footnoteReference w:id="6"/>
      </w:r>
      <w:r>
        <w:t xml:space="preserve"> des ménages du Mali. </w:t>
      </w:r>
    </w:p>
    <w:p w14:paraId="317882B7" w14:textId="77777777" w:rsidR="00057599" w:rsidRDefault="00057599" w:rsidP="00057599">
      <w:pPr>
        <w:pStyle w:val="Paragraphedeliste"/>
        <w:numPr>
          <w:ilvl w:val="0"/>
          <w:numId w:val="23"/>
        </w:numPr>
        <w:spacing w:line="276" w:lineRule="auto"/>
      </w:pPr>
      <w:r>
        <w:t>La dégradation des niveaux de vie ravive à son tour les conflits intra et intercommunautaires sur fond d’affirmations identitaires et de compétition pour l’accès aux ressources naturelles et foncières (Igarapé Institute, 2021</w:t>
      </w:r>
      <w:r>
        <w:rPr>
          <w:rStyle w:val="Appelnotedebasdep"/>
        </w:rPr>
        <w:footnoteReference w:id="7"/>
      </w:r>
      <w:r>
        <w:t>). Les conflits les plus récurrents sont ceux opposant les communautés Touaregs Iboguilitan de Ménaka et les Touaregs Idourfane de Gao, les Touaregs Daoussaks et les Peuls de Ménaka,</w:t>
      </w:r>
      <w:r w:rsidRPr="00841B2F">
        <w:t xml:space="preserve"> les Zarma</w:t>
      </w:r>
      <w:r>
        <w:t xml:space="preserve"> (</w:t>
      </w:r>
      <w:r w:rsidRPr="00841B2F">
        <w:t>agriculteurs sédentaires</w:t>
      </w:r>
      <w:r>
        <w:t>)</w:t>
      </w:r>
      <w:r w:rsidRPr="00841B2F">
        <w:t>, et les Peul</w:t>
      </w:r>
      <w:r>
        <w:t xml:space="preserve">h et </w:t>
      </w:r>
      <w:r w:rsidRPr="00167D7C">
        <w:t>Touaregs Daoussaks</w:t>
      </w:r>
      <w:r>
        <w:t xml:space="preserve"> (</w:t>
      </w:r>
      <w:r w:rsidRPr="00841B2F">
        <w:t>éleveurs semi-nomades)</w:t>
      </w:r>
      <w:r>
        <w:rPr>
          <w:rStyle w:val="Appelnotedebasdep"/>
        </w:rPr>
        <w:footnoteReference w:id="8"/>
      </w:r>
      <w:r>
        <w:t xml:space="preserve">. </w:t>
      </w:r>
    </w:p>
    <w:p w14:paraId="773B76E0" w14:textId="77777777" w:rsidR="00057599" w:rsidRDefault="00057599" w:rsidP="00057599">
      <w:pPr>
        <w:pStyle w:val="Paragraphedeliste"/>
        <w:numPr>
          <w:ilvl w:val="0"/>
          <w:numId w:val="23"/>
        </w:numPr>
        <w:spacing w:line="276" w:lineRule="auto"/>
      </w:pPr>
      <w:r>
        <w:t>Avec la crise malienne de 2012 et la montée en puissance des mouvements séparatistes et extrémistes/terroristes, les conflits locaux liés aux changements climatiques et à la pression foncière sont davantage instrumentalisés avec le sentiment de marginalisation des populations rurales en général et des jeunes en particulier. On assiste à une escalade de la violence (tueries, vols de bétails, etc.) qui vient exacerber les vulnérabilités déjà existantes en matière d’inégalités entre hommes et femmes mais aussi de violation des droits humains</w:t>
      </w:r>
      <w:r>
        <w:rPr>
          <w:rStyle w:val="Appelnotedebasdep"/>
        </w:rPr>
        <w:footnoteReference w:id="9"/>
      </w:r>
      <w:r>
        <w:t xml:space="preserve">. Du point de vue des inégalités, il ressort que sur 162 pays évalués en 2019 par le </w:t>
      </w:r>
      <w:r w:rsidRPr="00EF340E">
        <w:t xml:space="preserve">Programme des Nations Unies pour le Développement </w:t>
      </w:r>
      <w:r>
        <w:t>(PNUD) selon l’indice d’inégalité des sexes, le Mali se classait au 158</w:t>
      </w:r>
      <w:r w:rsidRPr="00E5322E">
        <w:rPr>
          <w:vertAlign w:val="superscript"/>
        </w:rPr>
        <w:t>ème</w:t>
      </w:r>
      <w:r>
        <w:t xml:space="preserve"> rang avec un indice de 0,671 et le Niger au 154</w:t>
      </w:r>
      <w:r w:rsidRPr="00E5322E">
        <w:rPr>
          <w:vertAlign w:val="superscript"/>
        </w:rPr>
        <w:t>ème</w:t>
      </w:r>
      <w:r>
        <w:t xml:space="preserve"> rang avec un indice de 0,642</w:t>
      </w:r>
      <w:r>
        <w:rPr>
          <w:rStyle w:val="Appelnotedebasdep"/>
        </w:rPr>
        <w:footnoteReference w:id="10"/>
      </w:r>
      <w:r>
        <w:t xml:space="preserve">. Certes, ces inégalités touchent la dimension sociale (faible accès </w:t>
      </w:r>
      <w:r w:rsidRPr="00167D7C">
        <w:t>à l’éducation et à la santé reproductive</w:t>
      </w:r>
      <w:r>
        <w:t>), mais elles</w:t>
      </w:r>
      <w:r w:rsidRPr="00167D7C">
        <w:t xml:space="preserve"> </w:t>
      </w:r>
      <w:r>
        <w:t>sont plus criardes dans les dimensions économiques (faible accès et contrôle des ressources) et de représentation politique et institutionnelle (faible implication dans la prise de décision) suivant la désagrégation de l’indice d’égalité des genres proposée par la Banque africaine de développement (BAD</w:t>
      </w:r>
      <w:r>
        <w:rPr>
          <w:rStyle w:val="Appelnotedebasdep"/>
        </w:rPr>
        <w:footnoteReference w:id="11"/>
      </w:r>
      <w:r>
        <w:t>). En janvier 2019, le Mali comptait seulement 8,8% de femmes au Parlement, et le Niger comptait à peine 17% selon les données de</w:t>
      </w:r>
      <w:r w:rsidRPr="00E720D4">
        <w:t xml:space="preserve"> l'Union interparlementaire</w:t>
      </w:r>
      <w:r>
        <w:rPr>
          <w:rStyle w:val="Appelnotedebasdep"/>
        </w:rPr>
        <w:footnoteReference w:id="12"/>
      </w:r>
      <w:r>
        <w:t xml:space="preserve">. </w:t>
      </w:r>
    </w:p>
    <w:p w14:paraId="3F4C6BC2" w14:textId="1E0A29F9" w:rsidR="00057599" w:rsidRDefault="00057599" w:rsidP="000F04F1">
      <w:pPr>
        <w:pStyle w:val="Paragraphedeliste"/>
        <w:numPr>
          <w:ilvl w:val="0"/>
          <w:numId w:val="23"/>
        </w:numPr>
        <w:spacing w:line="276" w:lineRule="auto"/>
      </w:pPr>
      <w:r>
        <w:t>En ce qui concerne la violation des droits humains, il faut signaler que</w:t>
      </w:r>
      <w:r w:rsidRPr="003C640B">
        <w:t xml:space="preserve"> </w:t>
      </w:r>
      <w:r>
        <w:t xml:space="preserve">les dommages causés par les </w:t>
      </w:r>
      <w:r w:rsidRPr="003C640B">
        <w:t xml:space="preserve">conflits </w:t>
      </w:r>
      <w:r>
        <w:t>sont énormes</w:t>
      </w:r>
      <w:r w:rsidRPr="003C640B">
        <w:t xml:space="preserve"> sur les femmes et les jeunes filles</w:t>
      </w:r>
      <w:r>
        <w:t>. Beaucoup d’entre elles sont victimes de violences physiques et sexuelles (flagellations, viols et mariages forcés à des membres des groupes armés).</w:t>
      </w:r>
      <w:r w:rsidRPr="00690C12">
        <w:t xml:space="preserve"> </w:t>
      </w:r>
      <w:r>
        <w:t>Dans la région de Tillabéry par exemple, 28 allégations de viols ont été signalées et 22 cas de mariage d’enfants ont été rapportés entre janvier et août 2018</w:t>
      </w:r>
      <w:r>
        <w:rPr>
          <w:rStyle w:val="Appelnotedebasdep"/>
        </w:rPr>
        <w:footnoteReference w:id="13"/>
      </w:r>
      <w:r>
        <w:t xml:space="preserve">. Par crainte de la stigmatisation de la part de la communauté, certaines survivantes de ces violences </w:t>
      </w:r>
      <w:r w:rsidRPr="00690C12">
        <w:t>se déplace</w:t>
      </w:r>
      <w:r>
        <w:t>nt</w:t>
      </w:r>
      <w:r w:rsidRPr="00690C12">
        <w:t xml:space="preserve"> avec le</w:t>
      </w:r>
      <w:r>
        <w:t>ur</w:t>
      </w:r>
      <w:r w:rsidRPr="00690C12">
        <w:t>s enfants, dans les régions sécurisées à l’intérieur et à l’extérieur du pays avec comme conséquence immédiate des difficultés d’hébergement et de nourriture</w:t>
      </w:r>
      <w:r>
        <w:rPr>
          <w:rStyle w:val="Appelnotedebasdep"/>
        </w:rPr>
        <w:footnoteReference w:id="14"/>
      </w:r>
      <w:r>
        <w:t>. Les violences et les déplacements qu’elles engendrent sont aussi pour les femmes une source de dégradation de leur situation économique de par la perte de leurs activités et moyens d’existence ou le changement de statut</w:t>
      </w:r>
      <w:r w:rsidR="007F3AD6">
        <w:t xml:space="preserve">. En effet, suite à la disparition de leurs maris, beaucoup de femmes deviennent </w:t>
      </w:r>
      <w:r>
        <w:t>chef de ménage avec des enfants à charge</w:t>
      </w:r>
      <w:r w:rsidR="007F3AD6">
        <w:t xml:space="preserve"> et souvent sont contraintes d’adopter des stratégies d’adaptation négatives comme la mendicité ou la </w:t>
      </w:r>
      <w:r w:rsidR="0064311D">
        <w:t>prostitution pour survivre.</w:t>
      </w:r>
      <w:r w:rsidR="007760A2">
        <w:t xml:space="preserve"> </w:t>
      </w:r>
      <w:r>
        <w:t xml:space="preserve">Pour les enfants et les filles en particulier, l’impact direct est </w:t>
      </w:r>
      <w:r w:rsidR="008D4F83">
        <w:t xml:space="preserve">la </w:t>
      </w:r>
      <w:r>
        <w:t>déscolarisation du fait de la fermeture des écoles et du déplacement</w:t>
      </w:r>
      <w:r w:rsidR="00E1690A">
        <w:t xml:space="preserve"> forcé et du décès des parents</w:t>
      </w:r>
      <w:r>
        <w:t xml:space="preserve">. </w:t>
      </w:r>
      <w:r w:rsidR="00E1690A">
        <w:t>Cette déscolarisation qui hypothèque leur avenir à long terme, les expose aussi à court terme au mariage précoce, à la prostitution</w:t>
      </w:r>
      <w:r w:rsidR="00190ADB">
        <w:t xml:space="preserve">, </w:t>
      </w:r>
      <w:r w:rsidR="00E1690A">
        <w:t>à la délinquance</w:t>
      </w:r>
      <w:r w:rsidR="00190ADB">
        <w:t xml:space="preserve"> ou à l’enrôlement par les mouvement</w:t>
      </w:r>
      <w:r w:rsidR="00F06425">
        <w:t>s</w:t>
      </w:r>
      <w:r w:rsidR="00190ADB">
        <w:t xml:space="preserve"> armés</w:t>
      </w:r>
      <w:r w:rsidR="00190ADB">
        <w:rPr>
          <w:rStyle w:val="Appelnotedebasdep"/>
        </w:rPr>
        <w:footnoteReference w:id="15"/>
      </w:r>
      <w:r w:rsidR="00994E95">
        <w:t>.</w:t>
      </w:r>
      <w:r>
        <w:t xml:space="preserve"> </w:t>
      </w:r>
      <w:r w:rsidR="000F04F1">
        <w:t>Enfin, le contrôle des zones en conflits par les groupes armés rebelles ou terroristes s’accompagnent souvent</w:t>
      </w:r>
      <w:r w:rsidR="000F04F1" w:rsidRPr="000F04F1">
        <w:t xml:space="preserve"> </w:t>
      </w:r>
      <w:r w:rsidR="000F04F1">
        <w:t>de « l’imposition violente de normes concernant les codes vestimentaires, notamment en matière de pudeur des femmes</w:t>
      </w:r>
      <w:r w:rsidR="00D15F0E">
        <w:t xml:space="preserve"> </w:t>
      </w:r>
      <w:r w:rsidR="000F04F1">
        <w:t>; les entraves à la mobilité des femmes et la ségrégation des hommes et des femmes dans l’espace public »</w:t>
      </w:r>
      <w:r w:rsidR="00D15F0E">
        <w:rPr>
          <w:rStyle w:val="Appelnotedebasdep"/>
        </w:rPr>
        <w:footnoteReference w:id="16"/>
      </w:r>
      <w:r w:rsidR="000F04F1">
        <w:t>.</w:t>
      </w:r>
      <w:r w:rsidR="007760A2">
        <w:t xml:space="preserve"> </w:t>
      </w:r>
      <w:r>
        <w:t xml:space="preserve">Malgré ce lourd tribut qu’elles payent et leurs compétences en matière de négociation et de médiation, les femmes et les jeunes filles restent marginalisées dans les mécanismes communautaires de prévention et de gestion de conflits. </w:t>
      </w:r>
    </w:p>
    <w:p w14:paraId="71CEB908" w14:textId="642BB795" w:rsidR="00057599" w:rsidRDefault="00057599" w:rsidP="00CE1419">
      <w:pPr>
        <w:pStyle w:val="Paragraphedeliste"/>
        <w:numPr>
          <w:ilvl w:val="0"/>
          <w:numId w:val="23"/>
        </w:numPr>
        <w:spacing w:line="276" w:lineRule="auto"/>
      </w:pPr>
      <w:r>
        <w:t>A toutes ces causes structurelles viennent s’ajouter d’autres facteurs non moins importants. Les plus cités sont notamment la mauvaise administration de la justice, le dysfonctionnement du secteur de la sécurité, la crise identitaire, l’</w:t>
      </w:r>
      <w:r w:rsidRPr="00454000">
        <w:t>érosion du pouvoir de gestion des conflits par les chefs traditionnels</w:t>
      </w:r>
      <w:r>
        <w:t xml:space="preserve"> ainsi que la méfiance entre </w:t>
      </w:r>
      <w:r w:rsidRPr="007B0D7F">
        <w:t>les communautés locales</w:t>
      </w:r>
      <w:r>
        <w:t xml:space="preserve">, </w:t>
      </w:r>
      <w:r w:rsidRPr="007B0D7F">
        <w:t>les forces de défense et de sécurité (FDS)</w:t>
      </w:r>
      <w:r>
        <w:t xml:space="preserve"> et les acteurs de la chaine pénale (ACP)</w:t>
      </w:r>
      <w:r>
        <w:rPr>
          <w:rStyle w:val="Appelnotedebasdep"/>
        </w:rPr>
        <w:footnoteReference w:id="17"/>
      </w:r>
      <w:r>
        <w:t xml:space="preserve">. </w:t>
      </w:r>
      <w:r w:rsidR="006B2947">
        <w:t>Cette méfiance est entretenue p</w:t>
      </w:r>
      <w:r w:rsidR="00BB1C8A">
        <w:t xml:space="preserve">ar une défaillance du système judiciaire qui laisse impunis des FDS accusés de violations de droits de l’homme.  </w:t>
      </w:r>
      <w:r w:rsidR="00A6081E">
        <w:t>Par exemple, les allégations de</w:t>
      </w:r>
      <w:r w:rsidR="00D16120">
        <w:t xml:space="preserve"> Human Rights Watch</w:t>
      </w:r>
      <w:r w:rsidR="00A6081E">
        <w:t xml:space="preserve"> sur l’</w:t>
      </w:r>
      <w:r w:rsidR="00A6081E" w:rsidRPr="00D16120">
        <w:t xml:space="preserve">exécution extrajudiciaire de près de 50 </w:t>
      </w:r>
      <w:r w:rsidR="00A6081E">
        <w:t xml:space="preserve">civils </w:t>
      </w:r>
      <w:r w:rsidR="00A6081E" w:rsidRPr="00D16120">
        <w:t xml:space="preserve">à Diourra, Boulikessi et Nantaka en 2018 </w:t>
      </w:r>
      <w:r w:rsidR="00A6081E">
        <w:t xml:space="preserve">par les FAMA ont donné lieu à des </w:t>
      </w:r>
      <w:r w:rsidR="00D16120" w:rsidRPr="00D16120">
        <w:t xml:space="preserve">enquêtes </w:t>
      </w:r>
      <w:r w:rsidR="00895196">
        <w:t>conduites par le tribunal militaire, mais le dossier n’a pas encore connu de jugement</w:t>
      </w:r>
      <w:r w:rsidR="00D32BDA">
        <w:rPr>
          <w:rStyle w:val="Appelnotedebasdep"/>
        </w:rPr>
        <w:footnoteReference w:id="18"/>
      </w:r>
      <w:r w:rsidR="00895196">
        <w:t xml:space="preserve">. </w:t>
      </w:r>
      <w:r w:rsidR="000E40F1">
        <w:t>De même, au</w:t>
      </w:r>
      <w:r w:rsidR="000E40F1" w:rsidRPr="001E6E07">
        <w:t xml:space="preserve"> Niger</w:t>
      </w:r>
      <w:r w:rsidR="000E40F1">
        <w:t xml:space="preserve"> le Rapport de la </w:t>
      </w:r>
      <w:r w:rsidR="000E40F1" w:rsidRPr="001E6E07">
        <w:t>Commission nationale des Droits humains publié le 2 septembre 2020 sur le massacre de 102 personnes à Inatès</w:t>
      </w:r>
      <w:r w:rsidR="000E40F1">
        <w:t xml:space="preserve"> </w:t>
      </w:r>
      <w:r w:rsidR="00497CD3">
        <w:t>incrimine les</w:t>
      </w:r>
      <w:r w:rsidR="000E40F1" w:rsidRPr="001E6E07">
        <w:t xml:space="preserve"> FDS dans ce massacre, </w:t>
      </w:r>
      <w:r w:rsidR="00497CD3">
        <w:t>« </w:t>
      </w:r>
      <w:r w:rsidR="000E40F1" w:rsidRPr="001E6E07">
        <w:t>ce que le ministre nigérien de la Défense a réfuté</w:t>
      </w:r>
      <w:r w:rsidR="000E40F1">
        <w:t> ».</w:t>
      </w:r>
      <w:r w:rsidR="00E41A9B">
        <w:t xml:space="preserve"> </w:t>
      </w:r>
      <w:r>
        <w:t xml:space="preserve">Comme le soutient Ursu (2018), « les mécanismes de justice formelle et traditionnelle se sont souvent avérés incapables de servir de médiateur efficace dans les conflits et de rendre justice aux victimes. La justice formelle est généralement perçue comme coûteuse, longue, corrompue, ignorante des normes et dynamiques locales et abusive. La justice coutumière manque souvent de pouvoir d'exécution et du soutien nécessaire de l'État pour appliquer les décisions qui pourraient empêcher l'escalade des conflits ». </w:t>
      </w:r>
    </w:p>
    <w:p w14:paraId="229D53A8" w14:textId="53BFF70C" w:rsidR="00057599" w:rsidRDefault="00057599" w:rsidP="00057599">
      <w:pPr>
        <w:pStyle w:val="Paragraphedeliste"/>
        <w:numPr>
          <w:ilvl w:val="0"/>
          <w:numId w:val="23"/>
        </w:numPr>
        <w:spacing w:line="276" w:lineRule="auto"/>
      </w:pPr>
      <w:r>
        <w:t>Une étude de l’Autorité du Liptako-Gourma (ALG) précise qu’au Niger, « </w:t>
      </w:r>
      <w:r w:rsidRPr="4722FC5D">
        <w:rPr>
          <w:i/>
          <w:iCs/>
        </w:rPr>
        <w:t>c’est souvent le manque d’Etat qui est fustigé notamment par certains citant comme motif de frustration l’impunité et l’iniquité en matière de justice. Par ailleurs, la proximité affichée par les autorités à l’égard de certaines milices renforce la méfiance des populations qui n’y sont pas représentées, d’autant plus que ces milices sont, elles aussi souvent taxées de violations des droits humains</w:t>
      </w:r>
      <w:r>
        <w:t> ». Enfin, le faible niveau de compréhension mutuelle du mandat et des règles de procédures des ACP et des FDS, de même que les situations de relaxe de prévenus cités dans certaines affaires de banditisme et de terrorisme contribuent à altérer la relation entre FDS et ACP et à détériorer la confiance des communautés vis-à-vis de ces acteurs. Chez les jeunes, l’état de chômage et de précarité financière, le manque de perspectives économiques ainsi que les sentiments de révolte sont autant de facteurs pouvant inciter à l’enrôlement au sein des groupes rebelles ou extrémistes.</w:t>
      </w:r>
    </w:p>
    <w:p w14:paraId="089F0F4E" w14:textId="4663B947" w:rsidR="00057599" w:rsidRDefault="00057599" w:rsidP="00057599">
      <w:pPr>
        <w:pStyle w:val="Paragraphedeliste"/>
        <w:numPr>
          <w:ilvl w:val="0"/>
          <w:numId w:val="23"/>
        </w:numPr>
        <w:spacing w:line="276" w:lineRule="auto"/>
      </w:pPr>
      <w:r>
        <w:t>La combinaison de ces facteurs cré</w:t>
      </w:r>
      <w:r w:rsidR="00EB1484">
        <w:t>e</w:t>
      </w:r>
      <w:r>
        <w:t xml:space="preserve"> ainsi un « cocktail explosif</w:t>
      </w:r>
      <w:r>
        <w:rPr>
          <w:rStyle w:val="Appelnotedebasdep"/>
        </w:rPr>
        <w:footnoteReference w:id="19"/>
      </w:r>
      <w:r>
        <w:t> »</w:t>
      </w:r>
      <w:r w:rsidRPr="00DC5CDB">
        <w:rPr>
          <w:rStyle w:val="Appelnotedebasdep"/>
        </w:rPr>
        <w:t xml:space="preserve"> </w:t>
      </w:r>
      <w:r>
        <w:t xml:space="preserve">qui non seulement menace le développement et le vivre ensemble dans la région, mais aussi appelle à un changement d’approche. Ainsi, </w:t>
      </w:r>
      <w:r w:rsidRPr="007B0D7F">
        <w:t>au-delà de la réponse sécuritaire qui est apportée</w:t>
      </w:r>
      <w:r>
        <w:t xml:space="preserve"> à travers notamment la </w:t>
      </w:r>
      <w:r w:rsidRPr="007B0D7F">
        <w:t xml:space="preserve">forte présence des </w:t>
      </w:r>
      <w:r>
        <w:t xml:space="preserve">forces de défense et de sécurité </w:t>
      </w:r>
      <w:r w:rsidRPr="007B0D7F">
        <w:t>nationales</w:t>
      </w:r>
      <w:r>
        <w:t xml:space="preserve"> et </w:t>
      </w:r>
      <w:r w:rsidRPr="007B0D7F">
        <w:t>du G5 Sahel, la Mission multidimensionnelle intégrée des Nations Unies pour la stabilisation au Mali (MINUSMA) et des forces internationales (</w:t>
      </w:r>
      <w:r>
        <w:t xml:space="preserve">Opération </w:t>
      </w:r>
      <w:r w:rsidRPr="007B0D7F">
        <w:t>Barkhane), il apparait nécessaire d'envisager une approche multisectorielle afin de restaurer la paix et le développement pour les populations locales.</w:t>
      </w:r>
      <w:r>
        <w:t xml:space="preserve"> Les questions de participation des femmes et des jeunes dans la prévention et la résolution des conflits, de même que la promotion et le respect des droits humains (spécifiquement les droits des femmes et des filles) par les ACP et les FDS devraient être au cœur de cette nouvelle approche.</w:t>
      </w:r>
    </w:p>
    <w:p w14:paraId="5E4C863A" w14:textId="77777777" w:rsidR="00057599" w:rsidRDefault="00057599" w:rsidP="00057599">
      <w:pPr>
        <w:pStyle w:val="Paragraphedeliste"/>
        <w:spacing w:line="276" w:lineRule="auto"/>
        <w:ind w:left="360"/>
      </w:pPr>
    </w:p>
    <w:p w14:paraId="613A5F45" w14:textId="57629E36" w:rsidR="00F9181F" w:rsidRPr="001B78C5" w:rsidRDefault="00F9181F" w:rsidP="00820BBD">
      <w:pPr>
        <w:pStyle w:val="Titre2"/>
        <w:numPr>
          <w:ilvl w:val="1"/>
          <w:numId w:val="81"/>
        </w:numPr>
      </w:pPr>
      <w:bookmarkStart w:id="15" w:name="_Toc95451846"/>
      <w:r>
        <w:t>Descriptif du projet</w:t>
      </w:r>
      <w:bookmarkEnd w:id="15"/>
      <w:r w:rsidR="004D5ACE">
        <w:t xml:space="preserve"> </w:t>
      </w:r>
    </w:p>
    <w:p w14:paraId="73297637" w14:textId="389F2EAD" w:rsidR="0013503D" w:rsidRDefault="00057599" w:rsidP="00057599">
      <w:pPr>
        <w:pStyle w:val="Paragraphedeliste"/>
        <w:numPr>
          <w:ilvl w:val="0"/>
          <w:numId w:val="23"/>
        </w:numPr>
        <w:spacing w:line="276" w:lineRule="auto"/>
      </w:pPr>
      <w:bookmarkStart w:id="16" w:name="_Hlk74909132"/>
      <w:r>
        <w:t>Pour</w:t>
      </w:r>
      <w:r w:rsidR="007760A2">
        <w:t xml:space="preserve"> </w:t>
      </w:r>
      <w:r>
        <w:t>répondre aux différents</w:t>
      </w:r>
      <w:r w:rsidR="001B3D51">
        <w:t xml:space="preserve"> </w:t>
      </w:r>
      <w:r>
        <w:t xml:space="preserve">défis décrits plus haut, ONU Femmes et ONUDC ont initié un projet transfrontalier intitulé : </w:t>
      </w:r>
      <w:r w:rsidRPr="003A717B">
        <w:rPr>
          <w:i/>
          <w:iCs/>
        </w:rPr>
        <w:t>« Appui aux initiatives transfrontalières de dialogue communautaire avec les acteurs du secteur de la sécurité et de la justice pour la consolidation de la paix au Mali et au Niger ».</w:t>
      </w:r>
      <w:r>
        <w:t xml:space="preserve"> </w:t>
      </w:r>
      <w:r w:rsidR="00804F60">
        <w:t xml:space="preserve">D’un budget global de </w:t>
      </w:r>
      <w:r w:rsidR="00804F60" w:rsidRPr="00FB5EA5">
        <w:t>3</w:t>
      </w:r>
      <w:r w:rsidR="00804F60">
        <w:t xml:space="preserve"> </w:t>
      </w:r>
      <w:r w:rsidR="00804F60" w:rsidRPr="00FB5EA5">
        <w:t>014</w:t>
      </w:r>
      <w:r w:rsidR="00804F60">
        <w:t> </w:t>
      </w:r>
      <w:r w:rsidR="00804F60" w:rsidRPr="00FB5EA5">
        <w:t>164</w:t>
      </w:r>
      <w:r w:rsidR="00804F60">
        <w:t xml:space="preserve"> US</w:t>
      </w:r>
      <w:r w:rsidR="00804F60" w:rsidRPr="00FB5EA5">
        <w:t>$</w:t>
      </w:r>
      <w:r w:rsidR="00804F60">
        <w:t xml:space="preserve">, le projet est financé par le </w:t>
      </w:r>
      <w:r w:rsidR="00804F60" w:rsidRPr="00FB5EA5">
        <w:t>Fonds de Consolidation de la Paix (PBF)</w:t>
      </w:r>
      <w:r w:rsidR="00804F60">
        <w:t xml:space="preserve">, et a été </w:t>
      </w:r>
      <w:r w:rsidR="002228B4">
        <w:t xml:space="preserve">conjointement </w:t>
      </w:r>
      <w:r w:rsidR="00804F60">
        <w:t xml:space="preserve">mis en œuvre par ONU Femmes et ONUDC, ainsi que </w:t>
      </w:r>
      <w:r w:rsidR="002228B4">
        <w:t>quatre ONG locales partenaires de ONU Femmes. Ce sont les ONG CRADE, CAR.D, REPSFECO et ADL</w:t>
      </w:r>
      <w:r w:rsidR="00804F60">
        <w:t>.</w:t>
      </w:r>
      <w:r w:rsidR="00804F60" w:rsidRPr="00FB5EA5">
        <w:t xml:space="preserve"> </w:t>
      </w:r>
    </w:p>
    <w:p w14:paraId="2018DE09" w14:textId="77777777" w:rsidR="0010094E" w:rsidRDefault="0013503D" w:rsidP="00967F69">
      <w:pPr>
        <w:pStyle w:val="Paragraphedeliste"/>
        <w:numPr>
          <w:ilvl w:val="0"/>
          <w:numId w:val="23"/>
        </w:numPr>
        <w:spacing w:line="276" w:lineRule="auto"/>
      </w:pPr>
      <w:r w:rsidRPr="0001620B">
        <w:rPr>
          <w:b/>
          <w:bCs/>
        </w:rPr>
        <w:t>Objectif :</w:t>
      </w:r>
      <w:r>
        <w:t xml:space="preserve"> L’objectif du projet est de favoriser le rétablissement de la confiance, entre les communautés vulnérables de ces zones, les FDS et les acteurs de la chaîne pénale, à travers une approche genre. Il valorise les initiatives de dialogue transfrontalier, les mécanismes pacifiques de règlement des différends, l'accès au droit, la sensibilisation aux droits de l'Homme et à la procédure pénale, ainsi que les mécanismes d'alerte précoce, tout en ciblant particulièrement les femmes et les jeunes comme principaux acteurs du retour à la paix dans la zone transfrontalière. Le projet a aussi développé une approche transfrontalière à travers des rencontres </w:t>
      </w:r>
      <w:r w:rsidR="0001620B" w:rsidRPr="0001620B">
        <w:t>de mise en réseau des OSC engagées sur les questions de femmes, paix et sécurité d’une part, et d’autre part, des rencontres de partage d’expériences et de bonnes pratiques sur l’implication accrue des femmes et des jeunes dans les mécanismes communautaires de prévention et de gestion des conflits.</w:t>
      </w:r>
      <w:r w:rsidR="007760A2">
        <w:t xml:space="preserve"> </w:t>
      </w:r>
      <w:r w:rsidR="0001620B" w:rsidRPr="0001620B">
        <w:t xml:space="preserve">Ces rencontres ont regroupé les femmes et jeunes leaders des OSC, les FDS, les ACP et les acteurs étatiques des deux pays. </w:t>
      </w:r>
    </w:p>
    <w:p w14:paraId="42283D4A" w14:textId="4FC3A835" w:rsidR="00057599" w:rsidRDefault="0013503D" w:rsidP="00967F69">
      <w:pPr>
        <w:pStyle w:val="Paragraphedeliste"/>
        <w:numPr>
          <w:ilvl w:val="0"/>
          <w:numId w:val="23"/>
        </w:numPr>
        <w:spacing w:line="276" w:lineRule="auto"/>
      </w:pPr>
      <w:r w:rsidRPr="0001620B">
        <w:rPr>
          <w:b/>
          <w:bCs/>
        </w:rPr>
        <w:t>Période de mise en œuvre :</w:t>
      </w:r>
      <w:r>
        <w:t xml:space="preserve"> </w:t>
      </w:r>
      <w:r w:rsidR="00057599" w:rsidRPr="000532D3">
        <w:t>Démarré</w:t>
      </w:r>
      <w:r w:rsidR="00057599" w:rsidRPr="0001620B">
        <w:rPr>
          <w:rFonts w:ascii="Verdana" w:hAnsi="Verdana"/>
          <w:color w:val="000000"/>
          <w:sz w:val="19"/>
          <w:szCs w:val="19"/>
          <w:shd w:val="clear" w:color="auto" w:fill="FFFFFF"/>
        </w:rPr>
        <w:t xml:space="preserve"> </w:t>
      </w:r>
      <w:r w:rsidR="00057599" w:rsidRPr="000532D3">
        <w:t>en janvier 2019 grâce au financement du Fonds de Consolidation de la Paix (PBF) pour une durée de 18 mois, le projet a connu une prolongation sans coût (no cost extension) de 9 mois, soit jusqu’au 31 mars 2021. Cette extension</w:t>
      </w:r>
      <w:r w:rsidR="00057599">
        <w:t xml:space="preserve"> a été justifiée par la détérioration du contexte sécuritaire dans la zone d’intervention et des conséquences du COVID-19 qui ont considérablement limité et retardé les capacités opérationnelles d’implémentation des activités initialement prévues dans le projet</w:t>
      </w:r>
      <w:bookmarkEnd w:id="16"/>
      <w:r w:rsidR="00057599" w:rsidRPr="007B0D7F">
        <w:t>.</w:t>
      </w:r>
      <w:r w:rsidR="00057599">
        <w:t xml:space="preserve"> Elle a aussi permis </w:t>
      </w:r>
      <w:r w:rsidR="00057599" w:rsidRPr="00FB0975">
        <w:t xml:space="preserve">d’intégrer une dimension </w:t>
      </w:r>
      <w:r w:rsidR="00057599">
        <w:t xml:space="preserve">COVID-19 </w:t>
      </w:r>
      <w:r w:rsidR="00057599" w:rsidRPr="00FB0975">
        <w:t>dans le p</w:t>
      </w:r>
      <w:r w:rsidR="00057599">
        <w:t>rojet à travers notamment la reformulation de certaines activités pour accompagner les initiatives gouvernementales de riposte.</w:t>
      </w:r>
    </w:p>
    <w:p w14:paraId="7518F1F3" w14:textId="2A3F5902" w:rsidR="0013503D" w:rsidRPr="005403C5" w:rsidRDefault="0013503D" w:rsidP="005403C5">
      <w:pPr>
        <w:pStyle w:val="Paragraphedeliste"/>
        <w:numPr>
          <w:ilvl w:val="0"/>
          <w:numId w:val="23"/>
        </w:numPr>
        <w:spacing w:line="276" w:lineRule="auto"/>
        <w:rPr>
          <w:color w:val="000000"/>
        </w:rPr>
      </w:pPr>
      <w:r w:rsidRPr="005403C5">
        <w:rPr>
          <w:b/>
          <w:bCs/>
        </w:rPr>
        <w:t>Zone d’intervention :</w:t>
      </w:r>
      <w:r>
        <w:t xml:space="preserve"> </w:t>
      </w:r>
      <w:r w:rsidRPr="005403C5">
        <w:rPr>
          <w:color w:val="000000"/>
        </w:rPr>
        <w:t xml:space="preserve">La </w:t>
      </w:r>
      <w:r w:rsidRPr="007007C9">
        <w:t>zone</w:t>
      </w:r>
      <w:r w:rsidRPr="005403C5">
        <w:rPr>
          <w:color w:val="000000"/>
        </w:rPr>
        <w:t xml:space="preserve"> géographique couverte par le projet est la zone frontalière entre le Mali et le Niger. Le projet a ciblé prioritairement huit (8) communes transfrontalières situées dans les régions de Ménaka et Gao au Mali et de Tillabéry au Niger. </w:t>
      </w:r>
      <w:r w:rsidR="005403C5" w:rsidRPr="005403C5">
        <w:rPr>
          <w:color w:val="000000"/>
        </w:rPr>
        <w:t>Le choix des 8 communes a été validé lors des consultations et des ateliers de conception à Niamey</w:t>
      </w:r>
      <w:r w:rsidR="005403C5">
        <w:rPr>
          <w:color w:val="000000"/>
        </w:rPr>
        <w:t xml:space="preserve"> </w:t>
      </w:r>
      <w:r w:rsidR="005403C5" w:rsidRPr="005403C5">
        <w:rPr>
          <w:color w:val="000000"/>
        </w:rPr>
        <w:t>et Bamak</w:t>
      </w:r>
      <w:r w:rsidR="005403C5">
        <w:rPr>
          <w:color w:val="000000"/>
        </w:rPr>
        <w:t>o. Il a été fait sur la base des critères comme</w:t>
      </w:r>
      <w:r w:rsidR="00B13952">
        <w:rPr>
          <w:color w:val="000000"/>
        </w:rPr>
        <w:t xml:space="preserve"> la f</w:t>
      </w:r>
      <w:r w:rsidR="00B13952" w:rsidRPr="00B13952">
        <w:rPr>
          <w:color w:val="000000"/>
        </w:rPr>
        <w:t>acilité d’accès aux zones et aux cibles</w:t>
      </w:r>
      <w:r w:rsidR="00B13952">
        <w:rPr>
          <w:color w:val="000000"/>
        </w:rPr>
        <w:t xml:space="preserve">, une présence </w:t>
      </w:r>
      <w:r w:rsidR="00027372">
        <w:rPr>
          <w:color w:val="000000"/>
        </w:rPr>
        <w:t>minimale de l’Etat dans la localité, l</w:t>
      </w:r>
      <w:r w:rsidR="00B13952">
        <w:rPr>
          <w:color w:val="000000"/>
        </w:rPr>
        <w:t>’existence de concertations transfrontalières et intercommunales</w:t>
      </w:r>
      <w:r w:rsidR="00027372">
        <w:rPr>
          <w:color w:val="000000"/>
        </w:rPr>
        <w:t>.</w:t>
      </w:r>
      <w:r w:rsidR="00B13952">
        <w:rPr>
          <w:color w:val="000000"/>
        </w:rPr>
        <w:t xml:space="preserve"> </w:t>
      </w:r>
      <w:r w:rsidR="00027372">
        <w:rPr>
          <w:color w:val="000000"/>
        </w:rPr>
        <w:t>Les communes d’intervention</w:t>
      </w:r>
      <w:r w:rsidR="00027372" w:rsidRPr="005403C5">
        <w:rPr>
          <w:color w:val="000000"/>
        </w:rPr>
        <w:t xml:space="preserve"> </w:t>
      </w:r>
      <w:r w:rsidRPr="005403C5">
        <w:rPr>
          <w:color w:val="000000"/>
        </w:rPr>
        <w:t xml:space="preserve">sont précisément : </w:t>
      </w:r>
    </w:p>
    <w:p w14:paraId="5906EEF0" w14:textId="77777777" w:rsidR="0013503D" w:rsidRPr="00360F1B" w:rsidRDefault="0013503D" w:rsidP="0013503D">
      <w:pPr>
        <w:numPr>
          <w:ilvl w:val="0"/>
          <w:numId w:val="8"/>
        </w:numPr>
        <w:spacing w:line="276" w:lineRule="auto"/>
        <w:rPr>
          <w:rFonts w:eastAsia="Calibri" w:cs="Times New Roman"/>
        </w:rPr>
      </w:pPr>
      <w:r w:rsidRPr="0010094E">
        <w:rPr>
          <w:b/>
          <w:i/>
          <w:color w:val="000000"/>
        </w:rPr>
        <w:t>Au Mali,</w:t>
      </w:r>
      <w:r w:rsidRPr="0010094E">
        <w:rPr>
          <w:color w:val="000000"/>
        </w:rPr>
        <w:t xml:space="preserve"> dans les régions de Ménaka (Cercle d’Anderaboukane : Commune d’Anderaboukane, Cercle de Ménaka : Commune de Ménaka) et Gao (Cercle d’Ansongo : Communes de Ouatagouna et Tessit) ; </w:t>
      </w:r>
    </w:p>
    <w:p w14:paraId="7A094A2C" w14:textId="77777777" w:rsidR="0013503D" w:rsidRPr="00360F1B" w:rsidRDefault="0013503D" w:rsidP="0013503D">
      <w:pPr>
        <w:numPr>
          <w:ilvl w:val="0"/>
          <w:numId w:val="8"/>
        </w:numPr>
        <w:spacing w:line="276" w:lineRule="auto"/>
        <w:rPr>
          <w:rFonts w:eastAsia="Calibri" w:cs="Times New Roman"/>
        </w:rPr>
      </w:pPr>
      <w:r w:rsidRPr="0010094E">
        <w:rPr>
          <w:b/>
          <w:i/>
          <w:color w:val="000000"/>
        </w:rPr>
        <w:t xml:space="preserve">Au Niger, </w:t>
      </w:r>
      <w:r w:rsidRPr="0010094E">
        <w:rPr>
          <w:color w:val="000000"/>
        </w:rPr>
        <w:t>dans la région de Tillabéry (Département de Téra : Commune de Gorool, Département de Bankilaré : Commune de Bankilaré, Département de Banibangou : Commune de Banibangou, Département de Ayerou : commune de Ayerou</w:t>
      </w:r>
      <w:r w:rsidRPr="00E90CC8">
        <w:rPr>
          <w:color w:val="000000"/>
          <w:vertAlign w:val="superscript"/>
        </w:rPr>
        <w:footnoteReference w:id="20"/>
      </w:r>
      <w:r w:rsidRPr="00E90CC8">
        <w:rPr>
          <w:color w:val="000000"/>
        </w:rPr>
        <w:t xml:space="preserve">). </w:t>
      </w:r>
    </w:p>
    <w:p w14:paraId="516F63C8" w14:textId="77777777" w:rsidR="0013503D" w:rsidRPr="00E90CC8" w:rsidRDefault="0013503D" w:rsidP="0013503D">
      <w:pPr>
        <w:spacing w:after="0" w:line="276" w:lineRule="auto"/>
        <w:ind w:left="360"/>
        <w:rPr>
          <w:color w:val="000000"/>
        </w:rPr>
      </w:pPr>
      <w:r w:rsidRPr="00E90CC8">
        <w:rPr>
          <w:color w:val="000000"/>
        </w:rPr>
        <w:t xml:space="preserve">Dans le cadre de cette évaluation, toutes les 8 communes d’intervention ont été couvertes. </w:t>
      </w:r>
    </w:p>
    <w:p w14:paraId="3953DBC7" w14:textId="77777777" w:rsidR="0013503D" w:rsidRPr="00E90CC8" w:rsidRDefault="0013503D" w:rsidP="0013503D">
      <w:pPr>
        <w:spacing w:line="276" w:lineRule="auto"/>
        <w:rPr>
          <w:color w:val="000000"/>
        </w:rPr>
      </w:pPr>
      <w:r w:rsidRPr="00E90CC8">
        <w:rPr>
          <w:color w:val="000000"/>
        </w:rPr>
        <w:t>La zone d’intervention est représentée dans la carte géographique ci-après.</w:t>
      </w:r>
    </w:p>
    <w:p w14:paraId="61233F40" w14:textId="77777777" w:rsidR="0013503D" w:rsidRPr="0094211F" w:rsidRDefault="0013503D" w:rsidP="0013503D">
      <w:pPr>
        <w:pStyle w:val="TM8"/>
        <w:rPr>
          <w:i/>
        </w:rPr>
      </w:pPr>
      <w:bookmarkStart w:id="17" w:name="_Toc92262124"/>
      <w:r w:rsidRPr="00DC4522">
        <w:t xml:space="preserve">Schéma </w:t>
      </w:r>
      <w:r>
        <w:fldChar w:fldCharType="begin"/>
      </w:r>
      <w:r>
        <w:instrText>SEQ Schéma \* ARABIC</w:instrText>
      </w:r>
      <w:r>
        <w:fldChar w:fldCharType="separate"/>
      </w:r>
      <w:r>
        <w:rPr>
          <w:noProof/>
        </w:rPr>
        <w:t>1</w:t>
      </w:r>
      <w:r>
        <w:fldChar w:fldCharType="end"/>
      </w:r>
      <w:r w:rsidRPr="00DC4522">
        <w:t xml:space="preserve"> : Carte de la zone d'intervention du pro</w:t>
      </w:r>
      <w:r>
        <w:t>jet</w:t>
      </w:r>
      <w:bookmarkEnd w:id="17"/>
      <w:r>
        <w:t xml:space="preserve"> </w:t>
      </w:r>
    </w:p>
    <w:p w14:paraId="203E71EA" w14:textId="638D5802" w:rsidR="0013503D" w:rsidRPr="00E90CC8" w:rsidRDefault="00F26DC5" w:rsidP="0013503D">
      <w:pPr>
        <w:keepNext/>
        <w:keepLines/>
        <w:spacing w:before="0"/>
        <w:rPr>
          <w:i/>
          <w:color w:val="000000"/>
          <w:sz w:val="20"/>
        </w:rPr>
      </w:pPr>
      <w:r>
        <w:rPr>
          <w:noProof/>
        </w:rPr>
        <w:pict w14:anchorId="6C2E6577">
          <v:shape id="Image 10" o:spid="_x0000_i1025" type="#_x0000_t75" alt="" style="width:453.5pt;height:202.5pt;visibility:visible;mso-width-percent:0;mso-height-percent:0;mso-width-percent:0;mso-height-percent:0">
            <v:imagedata r:id="rId23" o:title=""/>
          </v:shape>
        </w:pict>
      </w:r>
      <w:r w:rsidR="0013503D" w:rsidRPr="00E90CC8">
        <w:rPr>
          <w:i/>
          <w:color w:val="000000"/>
          <w:sz w:val="20"/>
        </w:rPr>
        <w:t>Source : Auteur</w:t>
      </w:r>
    </w:p>
    <w:p w14:paraId="436E8235" w14:textId="7B061642" w:rsidR="00F9181F" w:rsidRDefault="0001620B" w:rsidP="00F9181F">
      <w:pPr>
        <w:pStyle w:val="Paragraphedeliste"/>
        <w:numPr>
          <w:ilvl w:val="0"/>
          <w:numId w:val="23"/>
        </w:numPr>
        <w:spacing w:line="276" w:lineRule="auto"/>
      </w:pPr>
      <w:r w:rsidRPr="0001620B">
        <w:rPr>
          <w:b/>
          <w:bCs/>
        </w:rPr>
        <w:t>Complémentarité aux autres projets financés par PBF :</w:t>
      </w:r>
      <w:r>
        <w:t xml:space="preserve"> </w:t>
      </w:r>
      <w:r w:rsidR="00F9181F">
        <w:t>Ce projet est complémentaire à d’autres interventions soutenues par le PBF dans la zone d’intervention. Ce sont notamment les projets</w:t>
      </w:r>
      <w:r w:rsidR="003F7348">
        <w:t> :</w:t>
      </w:r>
      <w:r w:rsidR="00F9181F">
        <w:t xml:space="preserve"> </w:t>
      </w:r>
    </w:p>
    <w:p w14:paraId="01861030" w14:textId="77777777" w:rsidR="00F9181F" w:rsidRDefault="00F9181F" w:rsidP="00F9181F">
      <w:pPr>
        <w:pStyle w:val="Paragraphedeliste"/>
        <w:numPr>
          <w:ilvl w:val="0"/>
          <w:numId w:val="69"/>
        </w:numPr>
        <w:spacing w:line="276" w:lineRule="auto"/>
      </w:pPr>
      <w:r>
        <w:t xml:space="preserve">PBF/IRF-182 : « </w:t>
      </w:r>
      <w:r w:rsidRPr="000D1694">
        <w:rPr>
          <w:i/>
          <w:iCs/>
        </w:rPr>
        <w:t>Promotion de la sécurité communautaire et de la cohésion sociale dans la région Liptako-Gourma - Cross-border Initiative (Burkina, Mali, Niger)</w:t>
      </w:r>
      <w:r>
        <w:t xml:space="preserve"> » mis en œuvre par le PNUD ; </w:t>
      </w:r>
    </w:p>
    <w:p w14:paraId="0F27A841" w14:textId="77777777" w:rsidR="00F9181F" w:rsidRDefault="00F9181F" w:rsidP="00F9181F">
      <w:pPr>
        <w:pStyle w:val="Paragraphedeliste"/>
        <w:numPr>
          <w:ilvl w:val="0"/>
          <w:numId w:val="69"/>
        </w:numPr>
        <w:spacing w:line="276" w:lineRule="auto"/>
      </w:pPr>
      <w:r>
        <w:t xml:space="preserve">PBF/IRF-158 : « </w:t>
      </w:r>
      <w:r w:rsidRPr="000D1694">
        <w:rPr>
          <w:i/>
          <w:iCs/>
        </w:rPr>
        <w:t>Femmes, Défense et Sécurité. Participation des Femmes à la Réforme du Secteur de la sécurité et au renforcement de la confiance entre les populations et Forces de défense et de sécurité au Mali</w:t>
      </w:r>
      <w:r>
        <w:t xml:space="preserve"> » mis en œuvre par Interpeace, </w:t>
      </w:r>
    </w:p>
    <w:p w14:paraId="7F6E7C89" w14:textId="20D4DAE6" w:rsidR="00F9181F" w:rsidRDefault="00F9181F" w:rsidP="00F9181F">
      <w:pPr>
        <w:pStyle w:val="Paragraphedeliste"/>
        <w:numPr>
          <w:ilvl w:val="0"/>
          <w:numId w:val="69"/>
        </w:numPr>
        <w:spacing w:line="276" w:lineRule="auto"/>
      </w:pPr>
      <w:r>
        <w:t xml:space="preserve">« </w:t>
      </w:r>
      <w:r w:rsidRPr="000D1694">
        <w:rPr>
          <w:i/>
          <w:iCs/>
        </w:rPr>
        <w:t>Appui au renforcement de la cohésion sociale dans les communes de Bosso, Toumour, Kablewa, Gueskerou, Chetimari la région de Diff</w:t>
      </w:r>
      <w:r>
        <w:t>a » (PNUD</w:t>
      </w:r>
      <w:r w:rsidR="00B21292">
        <w:t xml:space="preserve"> ; </w:t>
      </w:r>
      <w:r>
        <w:t xml:space="preserve">UNHCR), et </w:t>
      </w:r>
    </w:p>
    <w:p w14:paraId="75FC9906" w14:textId="77777777" w:rsidR="00B21292" w:rsidRDefault="00F9181F" w:rsidP="00B21292">
      <w:pPr>
        <w:pStyle w:val="Paragraphedeliste"/>
        <w:spacing w:line="276" w:lineRule="auto"/>
        <w:ind w:left="1080"/>
      </w:pPr>
      <w:r>
        <w:t xml:space="preserve"> « </w:t>
      </w:r>
      <w:r w:rsidRPr="000D1694">
        <w:rPr>
          <w:i/>
          <w:iCs/>
        </w:rPr>
        <w:t>Implication des jeunes et des femmes dans la résolution pacifique des conflits communautaires dans la zone nord Tillabery</w:t>
      </w:r>
      <w:r>
        <w:t xml:space="preserve"> » UNHCR-UNICEF -UNFPA</w:t>
      </w:r>
      <w:r w:rsidR="009F2C94">
        <w:t> ;</w:t>
      </w:r>
    </w:p>
    <w:p w14:paraId="2F490F69" w14:textId="0A7CEF7F" w:rsidR="009F2C94" w:rsidRDefault="009F2C94" w:rsidP="009F5BDE">
      <w:pPr>
        <w:pStyle w:val="Paragraphedeliste"/>
        <w:numPr>
          <w:ilvl w:val="0"/>
          <w:numId w:val="69"/>
        </w:numPr>
        <w:spacing w:line="276" w:lineRule="auto"/>
      </w:pPr>
      <w:r>
        <w:t>Projet PBF/IRFF : « Femmes et gestion des conflits liés aux ressources naturelles – Approche basée sur l’implication des femmes et la résilience aux effets des changements climatiques pour la réduction des conflits communautaires et transfrontaliers liés aux ressources naturelles »</w:t>
      </w:r>
      <w:r w:rsidR="00B21292">
        <w:t xml:space="preserve"> (Mis en œuvre par PNUD et ONU Femmes)</w:t>
      </w:r>
    </w:p>
    <w:p w14:paraId="127EE5D8" w14:textId="77777777" w:rsidR="00C72EF7" w:rsidRDefault="00C72EF7" w:rsidP="00820BBD">
      <w:pPr>
        <w:pStyle w:val="Titre2"/>
        <w:numPr>
          <w:ilvl w:val="1"/>
          <w:numId w:val="81"/>
        </w:numPr>
      </w:pPr>
      <w:bookmarkStart w:id="18" w:name="_Toc95451847"/>
      <w:bookmarkEnd w:id="13"/>
      <w:r>
        <w:t>Théorie de changement et cadre de résultat du projet</w:t>
      </w:r>
      <w:bookmarkEnd w:id="18"/>
    </w:p>
    <w:p w14:paraId="29443D7A" w14:textId="4B62F9F5" w:rsidR="00C72EF7" w:rsidRPr="00E90CC8" w:rsidRDefault="00C72EF7" w:rsidP="00C72EF7">
      <w:pPr>
        <w:pStyle w:val="Paragraphedeliste"/>
        <w:numPr>
          <w:ilvl w:val="0"/>
          <w:numId w:val="23"/>
        </w:numPr>
        <w:spacing w:line="276" w:lineRule="auto"/>
        <w:rPr>
          <w:color w:val="000000"/>
        </w:rPr>
      </w:pPr>
      <w:r w:rsidRPr="00B53107">
        <w:rPr>
          <w:b/>
          <w:bCs/>
        </w:rPr>
        <w:t>Théorie de changement</w:t>
      </w:r>
      <w:r w:rsidR="008B7452">
        <w:rPr>
          <w:b/>
          <w:bCs/>
        </w:rPr>
        <w:t xml:space="preserve"> </w:t>
      </w:r>
      <w:r w:rsidRPr="00B53107">
        <w:rPr>
          <w:b/>
          <w:bCs/>
        </w:rPr>
        <w:t xml:space="preserve">: </w:t>
      </w:r>
      <w:r w:rsidRPr="00E90CC8">
        <w:rPr>
          <w:color w:val="000000"/>
        </w:rPr>
        <w:t xml:space="preserve">La théorie de changement énoncée dans le document de projet stipule que : </w:t>
      </w:r>
    </w:p>
    <w:p w14:paraId="39F73907"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mécanismes de prévention et de gestion des conflits sont renforcés et sensibilisés sur l’intégration des questions de genre, et mis en relation à travers la frontière entre le Mali et le Niger ;</w:t>
      </w:r>
    </w:p>
    <w:p w14:paraId="5C5394DD"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organisations communautaires et de femmes sont mobilisées, outillées et mises en réseau autour de la gestion, prévention des conflits, et informées sur leurs droits et recours ;</w:t>
      </w:r>
    </w:p>
    <w:p w14:paraId="0D82BB87"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capacités des FDS et des acteurs de la chaîne pénale sont renforcées pour davantage adopter une approche centrée sur les droits humains et le genre ;</w:t>
      </w:r>
    </w:p>
    <w:p w14:paraId="6B60EA54"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des espaces de dialogue sont facilités entre ces derniers acteurs au niveau local et transfrontalier ;</w:t>
      </w:r>
    </w:p>
    <w:p w14:paraId="000A92E1"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ALORS</w:t>
      </w:r>
      <w:r w:rsidRPr="00E90CC8">
        <w:rPr>
          <w:color w:val="000000"/>
        </w:rPr>
        <w:t xml:space="preserve"> un climat de confiance mutuel entre les communautés, les forces de sécurité et les acteurs de la chaine pénale sera développé et une réponse communautaire transfrontalière aux conflits sera plus conséquente.</w:t>
      </w:r>
    </w:p>
    <w:p w14:paraId="6D208033" w14:textId="5028DD9F" w:rsidR="008B7452" w:rsidRDefault="008B7452" w:rsidP="008B7452">
      <w:pPr>
        <w:pStyle w:val="Paragraphedeliste"/>
        <w:numPr>
          <w:ilvl w:val="0"/>
          <w:numId w:val="23"/>
        </w:numPr>
        <w:spacing w:line="276" w:lineRule="auto"/>
      </w:pPr>
      <w:r>
        <w:rPr>
          <w:b/>
          <w:bCs/>
        </w:rPr>
        <w:t xml:space="preserve">Résultats et </w:t>
      </w:r>
      <w:r w:rsidR="00C72EF7" w:rsidRPr="006A5F56">
        <w:rPr>
          <w:b/>
          <w:bCs/>
        </w:rPr>
        <w:t>Indicateurs de mesure des résultats :</w:t>
      </w:r>
      <w:r w:rsidR="00C72EF7">
        <w:t xml:space="preserve"> </w:t>
      </w:r>
      <w:r w:rsidR="00C72EF7" w:rsidRPr="00EB19B6">
        <w:t xml:space="preserve">Trois principaux résultats ont guidé la mise en œuvre du projet. </w:t>
      </w:r>
      <w:r w:rsidRPr="00EB19B6">
        <w:t>Ces trois résultats portent sur les questions (i) de renforcement de</w:t>
      </w:r>
      <w:r>
        <w:t>s</w:t>
      </w:r>
      <w:r w:rsidRPr="00EB19B6">
        <w:t xml:space="preserve"> mécanismes </w:t>
      </w:r>
      <w:r>
        <w:t>communautaires de prévention et de</w:t>
      </w:r>
      <w:r w:rsidRPr="00EB19B6">
        <w:t xml:space="preserve"> gestion de conflits</w:t>
      </w:r>
      <w:r>
        <w:t xml:space="preserve"> (MCPGC) </w:t>
      </w:r>
      <w:r w:rsidRPr="00EB19B6">
        <w:t xml:space="preserve">dans la zone d’intervention pour adresser les causes structurelles de conflits locaux et transfrontaliers, (ii) les relations entre les FDS, les acteurs de la chaîne pénale et les communautés et enfin (iii) la mise en réseau et la promotion du partage d’expériences et de bonnes </w:t>
      </w:r>
      <w:r>
        <w:t xml:space="preserve">pratiques </w:t>
      </w:r>
      <w:r w:rsidRPr="00EB19B6">
        <w:t xml:space="preserve">liées à la restauration de la confiance entre les acteurs. </w:t>
      </w:r>
      <w:r>
        <w:t xml:space="preserve">Ce sont : </w:t>
      </w:r>
    </w:p>
    <w:p w14:paraId="473456B8" w14:textId="77777777" w:rsidR="008B7452" w:rsidRDefault="008B7452" w:rsidP="008B7452">
      <w:pPr>
        <w:pStyle w:val="Paragraphedeliste"/>
        <w:numPr>
          <w:ilvl w:val="0"/>
          <w:numId w:val="111"/>
        </w:numPr>
        <w:spacing w:line="276" w:lineRule="auto"/>
      </w:pPr>
      <w:r>
        <w:t>Résultat 1 : D’ici la fin du projet, les mécanismes et structures étatiques et non-étatiques de prévention et de gestion de conflits dans les zones du projet intégrant les femmes et les jeunes, préviennent et résolvent de manière efficiente les conflits au niveau local</w:t>
      </w:r>
    </w:p>
    <w:p w14:paraId="503E9D2E" w14:textId="77777777" w:rsidR="008B7452" w:rsidRDefault="008B7452" w:rsidP="008B7452">
      <w:pPr>
        <w:pStyle w:val="Paragraphedeliste"/>
        <w:numPr>
          <w:ilvl w:val="0"/>
          <w:numId w:val="111"/>
        </w:numPr>
        <w:spacing w:line="276" w:lineRule="auto"/>
      </w:pPr>
      <w:r>
        <w:t xml:space="preserve">Résultat 2 : 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w:t>
      </w:r>
    </w:p>
    <w:p w14:paraId="247BCBDB" w14:textId="062839D0" w:rsidR="008B7452" w:rsidRDefault="008B7452" w:rsidP="00223100">
      <w:pPr>
        <w:pStyle w:val="Paragraphedeliste"/>
        <w:numPr>
          <w:ilvl w:val="0"/>
          <w:numId w:val="111"/>
        </w:numPr>
        <w:spacing w:line="276" w:lineRule="auto"/>
      </w:pPr>
      <w:r>
        <w:t>Résultat 3 : Le partage d’expériences et de bonnes pratiques ainsi que le plaidoyer sur les thématiques du projet sont promus par une approche transfrontalière et sous régionale</w:t>
      </w:r>
    </w:p>
    <w:p w14:paraId="30B166AE" w14:textId="17237EC1" w:rsidR="00C72EF7" w:rsidRDefault="00C72EF7" w:rsidP="00967F69">
      <w:pPr>
        <w:pStyle w:val="Paragraphedeliste"/>
        <w:numPr>
          <w:ilvl w:val="0"/>
          <w:numId w:val="23"/>
        </w:numPr>
        <w:spacing w:line="276" w:lineRule="auto"/>
      </w:pPr>
      <w:r w:rsidRPr="00EB19B6">
        <w:t xml:space="preserve">Chacun </w:t>
      </w:r>
      <w:r w:rsidR="008B7452">
        <w:t>de ces</w:t>
      </w:r>
      <w:r w:rsidR="008B7452" w:rsidRPr="00EB19B6">
        <w:t xml:space="preserve"> </w:t>
      </w:r>
      <w:r w:rsidRPr="00EB19B6">
        <w:t xml:space="preserve">trois </w:t>
      </w:r>
      <w:r>
        <w:t>résultats</w:t>
      </w:r>
      <w:r w:rsidRPr="00EB19B6">
        <w:t xml:space="preserve"> est assorti de produits et d’indicateurs de </w:t>
      </w:r>
      <w:r>
        <w:t>performance</w:t>
      </w:r>
      <w:r w:rsidR="008B7452">
        <w:t xml:space="preserve"> comme présentés dans le cadre de résultats</w:t>
      </w:r>
      <w:r>
        <w:t xml:space="preserve"> (voir annexe </w:t>
      </w:r>
      <w:r w:rsidR="008B7452">
        <w:t>3</w:t>
      </w:r>
      <w:r>
        <w:t>)</w:t>
      </w:r>
      <w:r w:rsidRPr="00EB19B6">
        <w:t>.</w:t>
      </w:r>
    </w:p>
    <w:p w14:paraId="20BCE9BF" w14:textId="77777777" w:rsidR="00C72EF7" w:rsidRDefault="00C72EF7" w:rsidP="00C72EF7">
      <w:pPr>
        <w:spacing w:before="0" w:after="0" w:line="276" w:lineRule="auto"/>
      </w:pPr>
    </w:p>
    <w:p w14:paraId="79571316" w14:textId="77777777" w:rsidR="00C72EF7" w:rsidRPr="00FF0F21" w:rsidRDefault="00C72EF7" w:rsidP="00820BBD">
      <w:pPr>
        <w:pStyle w:val="Titre2"/>
        <w:numPr>
          <w:ilvl w:val="1"/>
          <w:numId w:val="81"/>
        </w:numPr>
      </w:pPr>
      <w:bookmarkStart w:id="19" w:name="_Toc95451848"/>
      <w:r>
        <w:t>Analyse des parties prenantes</w:t>
      </w:r>
      <w:bookmarkEnd w:id="19"/>
      <w:r>
        <w:t xml:space="preserve"> </w:t>
      </w:r>
    </w:p>
    <w:p w14:paraId="1C843E96" w14:textId="31B5E625" w:rsidR="00C72EF7" w:rsidRPr="0032234B" w:rsidRDefault="00706872" w:rsidP="00C72EF7">
      <w:pPr>
        <w:pStyle w:val="Paragraphedeliste"/>
        <w:numPr>
          <w:ilvl w:val="0"/>
          <w:numId w:val="23"/>
        </w:numPr>
        <w:spacing w:line="276" w:lineRule="auto"/>
      </w:pPr>
      <w:r>
        <w:t>U</w:t>
      </w:r>
      <w:r w:rsidR="00C72EF7">
        <w:t>ne diversité d’acteurs ont été associés à la mise en œuvre du projet. Les principales parties prenantes peuvent être regroupées comme suit</w:t>
      </w:r>
      <w:r w:rsidR="00C72EF7" w:rsidRPr="0032234B">
        <w:t xml:space="preserve"> : </w:t>
      </w:r>
    </w:p>
    <w:p w14:paraId="1861C342" w14:textId="77777777" w:rsidR="00C72EF7" w:rsidRPr="006A3C9C" w:rsidRDefault="00C72EF7" w:rsidP="00C72EF7">
      <w:pPr>
        <w:numPr>
          <w:ilvl w:val="0"/>
          <w:numId w:val="4"/>
        </w:numPr>
        <w:spacing w:before="0" w:after="0" w:line="276" w:lineRule="auto"/>
        <w:ind w:left="426" w:hanging="284"/>
      </w:pPr>
      <w:r>
        <w:rPr>
          <w:b/>
          <w:bCs/>
          <w:i/>
          <w:iCs/>
        </w:rPr>
        <w:t xml:space="preserve">Bailleur de fonds : </w:t>
      </w:r>
      <w:r w:rsidRPr="006A3C9C">
        <w:t>le partenaire</w:t>
      </w:r>
      <w:r>
        <w:t xml:space="preserve"> financier est le Fonds de consolidation de la paix des nations unies (PBF). Il met à disposition les ressources financières à travers des décaissements progressifs sur la base de l’état d’avancement physique et financier ;</w:t>
      </w:r>
    </w:p>
    <w:p w14:paraId="798C6861" w14:textId="7F1F39E8" w:rsidR="00C72EF7" w:rsidRDefault="00C72EF7" w:rsidP="00C72EF7">
      <w:pPr>
        <w:numPr>
          <w:ilvl w:val="0"/>
          <w:numId w:val="4"/>
        </w:numPr>
        <w:spacing w:before="0" w:after="0" w:line="276" w:lineRule="auto"/>
        <w:ind w:left="426" w:hanging="284"/>
      </w:pPr>
      <w:r w:rsidRPr="00532054">
        <w:rPr>
          <w:b/>
          <w:bCs/>
          <w:i/>
          <w:iCs/>
        </w:rPr>
        <w:t>A</w:t>
      </w:r>
      <w:r>
        <w:rPr>
          <w:b/>
          <w:bCs/>
          <w:i/>
          <w:iCs/>
        </w:rPr>
        <w:t>gences</w:t>
      </w:r>
      <w:r w:rsidRPr="00532054">
        <w:rPr>
          <w:b/>
          <w:i/>
        </w:rPr>
        <w:t xml:space="preserve"> de mise en œuvre</w:t>
      </w:r>
      <w:r w:rsidRPr="00B87143">
        <w:t xml:space="preserve"> : </w:t>
      </w:r>
      <w:r>
        <w:t xml:space="preserve">Ce sont ONU Femmes et ONUDC au Mali et au Niger. Bénéficiaires des fonds mis à disposition par le PBF, elles sont co-responsables de la coordination et de la gestion administrative, financière et technique du projet. ONU Femmes Mali assure le lead de cette coordination. </w:t>
      </w:r>
      <w:r w:rsidR="00E54BED">
        <w:t xml:space="preserve">Selon la répartition du travail pour la mise en œuvre du projet, ONU Femmes était responsable de la réalisation du Résultat 1 et ONUDC était responsable de la réalisation du résultat 2. </w:t>
      </w:r>
      <w:r w:rsidR="00A87692">
        <w:t xml:space="preserve">Les deux agences étaient </w:t>
      </w:r>
      <w:r w:rsidR="00042B49">
        <w:t>solidairement</w:t>
      </w:r>
      <w:r w:rsidR="00A87692">
        <w:t xml:space="preserve"> </w:t>
      </w:r>
      <w:r w:rsidR="00042B49">
        <w:t>responsables</w:t>
      </w:r>
      <w:r w:rsidR="00A87692">
        <w:t xml:space="preserve"> du résultat 3.</w:t>
      </w:r>
    </w:p>
    <w:p w14:paraId="4BA48037" w14:textId="0161EDBE" w:rsidR="00653140" w:rsidRDefault="00C72EF7" w:rsidP="00042B49">
      <w:pPr>
        <w:numPr>
          <w:ilvl w:val="0"/>
          <w:numId w:val="4"/>
        </w:numPr>
        <w:spacing w:before="0" w:after="0" w:line="276" w:lineRule="auto"/>
        <w:ind w:left="426" w:hanging="284"/>
      </w:pPr>
      <w:r w:rsidRPr="009635D2">
        <w:rPr>
          <w:b/>
          <w:bCs/>
          <w:i/>
          <w:iCs/>
        </w:rPr>
        <w:t>ONG locales partenaires de mise en œuvre </w:t>
      </w:r>
      <w:r w:rsidRPr="00C3046E">
        <w:t>:</w:t>
      </w:r>
      <w:r>
        <w:t xml:space="preserve"> ce sont d’une part les ONG CAR.D et CRADE au Mali et d’autre part </w:t>
      </w:r>
      <w:r w:rsidRPr="00C3046E">
        <w:t>REPSFEC</w:t>
      </w:r>
      <w:r>
        <w:t>O et ADL au Niger. Recrutées par ONU Femmes Mali et Niger dans le cadre d’une stratégie de faire-faire, ces ONG ont eu pour mandat l’exécution financière et physique d’un paquet d’activités du projet au niveau local</w:t>
      </w:r>
      <w:r w:rsidR="00806112">
        <w:t>. Ces ONG ont été recrutées au regard de leur expérience et leur connaissance du contexte de la zone d’intervention</w:t>
      </w:r>
      <w:r w:rsidR="00653140">
        <w:t xml:space="preserve">. </w:t>
      </w:r>
      <w:r w:rsidR="005838E2">
        <w:t xml:space="preserve">Hormis le REPSFECO dont le domaine d’intervention est spécifiquement axé sur « le </w:t>
      </w:r>
      <w:r w:rsidR="005838E2" w:rsidRPr="005838E2">
        <w:t>rôle et les initiatives des femmes dans la prévention des conflits, le maintien de la paix, de la sécurité et la promotion des droits humains</w:t>
      </w:r>
      <w:r w:rsidR="005838E2">
        <w:t xml:space="preserve"> » </w:t>
      </w:r>
      <w:r w:rsidR="005838E2" w:rsidRPr="005838E2">
        <w:t>dans l’espace CEDEAO</w:t>
      </w:r>
      <w:r w:rsidR="005838E2">
        <w:t>, les autres ONG (</w:t>
      </w:r>
      <w:r w:rsidR="005838E2" w:rsidRPr="005838E2">
        <w:t>CAR.D</w:t>
      </w:r>
      <w:r w:rsidR="005838E2">
        <w:t xml:space="preserve">, </w:t>
      </w:r>
      <w:r w:rsidR="005838E2" w:rsidRPr="005838E2">
        <w:t xml:space="preserve">CRADE </w:t>
      </w:r>
      <w:r w:rsidR="005838E2">
        <w:t xml:space="preserve">et ADL) </w:t>
      </w:r>
      <w:r w:rsidR="00A63E4F">
        <w:t>interviennent dans la mise en œuvre d’</w:t>
      </w:r>
      <w:r w:rsidR="00653140">
        <w:t>actions de développement</w:t>
      </w:r>
      <w:r w:rsidR="00A63E4F">
        <w:t xml:space="preserve"> couvrant </w:t>
      </w:r>
      <w:r w:rsidR="00653140">
        <w:t>une diversité de domaines et secteurs</w:t>
      </w:r>
      <w:r w:rsidR="00A63E4F">
        <w:t>. Ce sont notamment</w:t>
      </w:r>
      <w:r w:rsidR="009635D2">
        <w:t xml:space="preserve"> l’éducation, la santé et la nutrition, l’agriculture et la sécurité alimentaire, le genre et l’autonomisation des femmes, les VBG, les droits humains et l’accès à la justice, la gouvernance et la décentralisation, la mobilisation sociale </w:t>
      </w:r>
      <w:r w:rsidR="00A63E4F">
        <w:t xml:space="preserve">et </w:t>
      </w:r>
      <w:r w:rsidR="009635D2">
        <w:t>le renforcement de la résilience communautaire</w:t>
      </w:r>
      <w:r w:rsidR="00A63E4F">
        <w:t xml:space="preserve">. </w:t>
      </w:r>
      <w:r w:rsidR="000D74AE">
        <w:t>Le paquet d’activité</w:t>
      </w:r>
      <w:r w:rsidR="00B406B0">
        <w:t>s</w:t>
      </w:r>
      <w:r w:rsidR="000D74AE">
        <w:t xml:space="preserve"> </w:t>
      </w:r>
      <w:r w:rsidR="00B406B0">
        <w:t xml:space="preserve">réalisés par les 4 ONG recrutées a porté sur les 3 résultats du projet. </w:t>
      </w:r>
      <w:r w:rsidR="009635D2">
        <w:t xml:space="preserve"> </w:t>
      </w:r>
    </w:p>
    <w:p w14:paraId="3AE768E2" w14:textId="7DAE1307" w:rsidR="00C72EF7" w:rsidRDefault="00C72EF7" w:rsidP="00B24326">
      <w:pPr>
        <w:numPr>
          <w:ilvl w:val="0"/>
          <w:numId w:val="4"/>
        </w:numPr>
        <w:spacing w:before="0" w:after="0" w:line="276" w:lineRule="auto"/>
        <w:ind w:left="426" w:hanging="284"/>
      </w:pPr>
      <w:r>
        <w:t> </w:t>
      </w:r>
      <w:r w:rsidRPr="00B24326">
        <w:rPr>
          <w:b/>
          <w:bCs/>
          <w:i/>
          <w:iCs/>
        </w:rPr>
        <w:t>Partie</w:t>
      </w:r>
      <w:r w:rsidRPr="00B24326">
        <w:rPr>
          <w:rFonts w:eastAsiaTheme="minorEastAsia"/>
          <w:b/>
          <w:bCs/>
          <w:i/>
          <w:iCs/>
        </w:rPr>
        <w:t xml:space="preserve"> étatique</w:t>
      </w:r>
      <w:r>
        <w:t xml:space="preserve"> : Il s’agit des représentants des départements ministériels (services déconcentrés) et des institutions nationales et sous-régionales impliqués ainsi que les collectivités territoriales. </w:t>
      </w:r>
      <w:r w:rsidR="005411A4">
        <w:t>Outre leur participation au comité d’orientation stratégique du projet, ces acteurs ont facilité le ciblage et la mobilisation des FDS et des ACP </w:t>
      </w:r>
      <w:r w:rsidR="00B23888">
        <w:t xml:space="preserve">en vue des activités du projet </w:t>
      </w:r>
      <w:r w:rsidR="005411A4">
        <w:t>ainsi que la gestion des conflits</w:t>
      </w:r>
      <w:r w:rsidR="00B23888">
        <w:t>.</w:t>
      </w:r>
      <w:r w:rsidR="005411A4">
        <w:t xml:space="preserve"> Les acteurs étatiques </w:t>
      </w:r>
      <w:r w:rsidR="000E7677">
        <w:t>notamment ceux des</w:t>
      </w:r>
      <w:r w:rsidR="000E7677" w:rsidRPr="000E7677">
        <w:t xml:space="preserve"> départements ministériels en charge de la défense et de la sécurité et de la promotion féminine</w:t>
      </w:r>
      <w:r w:rsidR="000E7677">
        <w:t xml:space="preserve"> ont été consultés lors de la conception du projet</w:t>
      </w:r>
      <w:r w:rsidR="000E7677" w:rsidRPr="000E7677">
        <w:t>.</w:t>
      </w:r>
      <w:r w:rsidR="001C5897">
        <w:t xml:space="preserve"> </w:t>
      </w:r>
      <w:r w:rsidR="000E7677">
        <w:t xml:space="preserve">Ils ont également pris part </w:t>
      </w:r>
      <w:r w:rsidR="00531C99">
        <w:t>à certaines formations et rencontres d’échanges</w:t>
      </w:r>
      <w:r w:rsidR="000E7677">
        <w:t xml:space="preserve"> </w:t>
      </w:r>
      <w:r w:rsidR="00531C99">
        <w:t>comme les fora nationaux entre les FDS et les ACP sur les complémentarités de leurs mandats et rôles respectifs dans le cadre de leur mission.</w:t>
      </w:r>
      <w:r w:rsidR="000E7677" w:rsidRPr="000E7677">
        <w:t xml:space="preserve"> </w:t>
      </w:r>
      <w:r w:rsidR="00A36747">
        <w:t>Les</w:t>
      </w:r>
      <w:r w:rsidR="00B23888">
        <w:t xml:space="preserve"> acteurs étatiques impliqués dans le projet </w:t>
      </w:r>
      <w:r>
        <w:t xml:space="preserve">sont précisément : </w:t>
      </w:r>
    </w:p>
    <w:p w14:paraId="5AAF8350" w14:textId="77777777" w:rsidR="00C72EF7" w:rsidRDefault="00C72EF7" w:rsidP="00C72EF7">
      <w:pPr>
        <w:numPr>
          <w:ilvl w:val="0"/>
          <w:numId w:val="10"/>
        </w:numPr>
        <w:spacing w:before="0" w:after="0" w:line="276" w:lineRule="auto"/>
        <w:ind w:left="1134" w:hanging="425"/>
      </w:pPr>
      <w:r>
        <w:t>Le M</w:t>
      </w:r>
      <w:r w:rsidRPr="00532054">
        <w:t xml:space="preserve">inistère </w:t>
      </w:r>
      <w:r>
        <w:t>de la D</w:t>
      </w:r>
      <w:r w:rsidRPr="00532054">
        <w:t>éfense</w:t>
      </w:r>
      <w:r>
        <w:t xml:space="preserve"> et des anciens Combattants (MDC-Mali)</w:t>
      </w:r>
      <w:r>
        <w:rPr>
          <w:rStyle w:val="Appelnotedebasdep"/>
        </w:rPr>
        <w:footnoteReference w:id="21"/>
      </w:r>
      <w:r>
        <w:t xml:space="preserve"> ; </w:t>
      </w:r>
    </w:p>
    <w:p w14:paraId="1A4D6C68" w14:textId="77777777" w:rsidR="00C72EF7" w:rsidRDefault="00C72EF7" w:rsidP="00C72EF7">
      <w:pPr>
        <w:numPr>
          <w:ilvl w:val="0"/>
          <w:numId w:val="10"/>
        </w:numPr>
        <w:spacing w:before="0" w:after="0" w:line="276" w:lineRule="auto"/>
        <w:ind w:left="1134" w:hanging="425"/>
      </w:pPr>
      <w:r>
        <w:t>Le Ministère de la S</w:t>
      </w:r>
      <w:r w:rsidRPr="00532054">
        <w:t>écurité</w:t>
      </w:r>
      <w:r>
        <w:t xml:space="preserve"> et de la Protection civile (MSP-Mali) ;</w:t>
      </w:r>
      <w:r w:rsidRPr="00532054">
        <w:t xml:space="preserve"> </w:t>
      </w:r>
    </w:p>
    <w:p w14:paraId="27448B2E" w14:textId="77777777" w:rsidR="00C72EF7" w:rsidRDefault="00C72EF7" w:rsidP="00C72EF7">
      <w:pPr>
        <w:numPr>
          <w:ilvl w:val="0"/>
          <w:numId w:val="10"/>
        </w:numPr>
        <w:spacing w:before="0" w:after="0" w:line="276" w:lineRule="auto"/>
        <w:ind w:left="1134" w:hanging="425"/>
      </w:pPr>
      <w:r>
        <w:t>Le Ministère la P</w:t>
      </w:r>
      <w:r w:rsidRPr="00532054">
        <w:t>romotion de la Femme</w:t>
      </w:r>
      <w:r>
        <w:t>, de l’Enfant et de la Famille (MPFEF-Mali) ;</w:t>
      </w:r>
      <w:r w:rsidRPr="00532054">
        <w:t xml:space="preserve"> </w:t>
      </w:r>
    </w:p>
    <w:p w14:paraId="0B9C1C6F" w14:textId="77777777" w:rsidR="00C72EF7" w:rsidRDefault="00C72EF7" w:rsidP="00C72EF7">
      <w:pPr>
        <w:numPr>
          <w:ilvl w:val="0"/>
          <w:numId w:val="10"/>
        </w:numPr>
        <w:spacing w:before="0" w:after="0" w:line="276" w:lineRule="auto"/>
        <w:ind w:left="1134" w:hanging="425"/>
      </w:pPr>
      <w:r>
        <w:t>Le Ministère de la J</w:t>
      </w:r>
      <w:r w:rsidRPr="00532054">
        <w:t>ustice</w:t>
      </w:r>
      <w:r>
        <w:t xml:space="preserve"> et des Droits de l’Homme, Garde des Sceaux (MJDH-GS Mali) ;</w:t>
      </w:r>
      <w:r w:rsidRPr="00532054">
        <w:t xml:space="preserve"> </w:t>
      </w:r>
    </w:p>
    <w:p w14:paraId="7EFB950E" w14:textId="77777777" w:rsidR="00C72EF7" w:rsidRDefault="00C72EF7" w:rsidP="00C72EF7">
      <w:pPr>
        <w:numPr>
          <w:ilvl w:val="0"/>
          <w:numId w:val="10"/>
        </w:numPr>
        <w:spacing w:before="0" w:after="0" w:line="276" w:lineRule="auto"/>
        <w:ind w:left="1134" w:hanging="425"/>
      </w:pPr>
      <w:r>
        <w:t>Le Ministère de l’A</w:t>
      </w:r>
      <w:r w:rsidRPr="00532054">
        <w:t xml:space="preserve">dministration </w:t>
      </w:r>
      <w:r>
        <w:t>T</w:t>
      </w:r>
      <w:r w:rsidRPr="00532054">
        <w:t xml:space="preserve">erritoriale </w:t>
      </w:r>
      <w:r>
        <w:t xml:space="preserve">et de la Décentralisation </w:t>
      </w:r>
      <w:r w:rsidRPr="00532054">
        <w:t>(</w:t>
      </w:r>
      <w:r>
        <w:t>MATD-</w:t>
      </w:r>
      <w:r w:rsidRPr="00532054">
        <w:t>Mali)</w:t>
      </w:r>
      <w:r>
        <w:t> ;</w:t>
      </w:r>
      <w:r w:rsidRPr="00532054">
        <w:t xml:space="preserve"> </w:t>
      </w:r>
    </w:p>
    <w:p w14:paraId="149225E9" w14:textId="77777777" w:rsidR="00C72EF7" w:rsidRDefault="00C72EF7" w:rsidP="00C72EF7">
      <w:pPr>
        <w:numPr>
          <w:ilvl w:val="0"/>
          <w:numId w:val="10"/>
        </w:numPr>
        <w:spacing w:before="0" w:after="0" w:line="276" w:lineRule="auto"/>
        <w:ind w:left="1134" w:hanging="425"/>
      </w:pPr>
      <w:r>
        <w:t>Le Ministère de la Co</w:t>
      </w:r>
      <w:r w:rsidRPr="00532054">
        <w:t>hésion social</w:t>
      </w:r>
      <w:r>
        <w:t>e, de la P</w:t>
      </w:r>
      <w:r w:rsidRPr="00532054">
        <w:t xml:space="preserve">aix </w:t>
      </w:r>
      <w:r>
        <w:t xml:space="preserve">et de la Réconciliation nationale </w:t>
      </w:r>
      <w:r w:rsidRPr="00532054">
        <w:t>(</w:t>
      </w:r>
      <w:r>
        <w:t>MCPR-</w:t>
      </w:r>
      <w:r w:rsidRPr="00532054">
        <w:t>Mali</w:t>
      </w:r>
      <w:r>
        <w:t xml:space="preserve">) ; </w:t>
      </w:r>
    </w:p>
    <w:p w14:paraId="45C51DCE" w14:textId="77777777" w:rsidR="00C72EF7" w:rsidRDefault="00C72EF7" w:rsidP="00C72EF7">
      <w:pPr>
        <w:numPr>
          <w:ilvl w:val="0"/>
          <w:numId w:val="10"/>
        </w:numPr>
        <w:spacing w:before="0" w:after="0" w:line="276" w:lineRule="auto"/>
        <w:ind w:left="1134" w:hanging="425"/>
      </w:pPr>
      <w:r>
        <w:t>Le Ministère de l’I</w:t>
      </w:r>
      <w:r w:rsidRPr="00532054">
        <w:t>ntérieur</w:t>
      </w:r>
      <w:r>
        <w:t>, de la Sécurité publique, de la Décentralisation et des Affaires Coutumières et Religieuses</w:t>
      </w:r>
      <w:r w:rsidRPr="00532054">
        <w:t xml:space="preserve"> (</w:t>
      </w:r>
      <w:r>
        <w:t>MISDACR-</w:t>
      </w:r>
      <w:r w:rsidRPr="00532054">
        <w:t>Niger)</w:t>
      </w:r>
      <w:r>
        <w:t> ;</w:t>
      </w:r>
    </w:p>
    <w:p w14:paraId="36155096" w14:textId="77777777" w:rsidR="00C72EF7" w:rsidRDefault="00C72EF7" w:rsidP="00C72EF7">
      <w:pPr>
        <w:numPr>
          <w:ilvl w:val="0"/>
          <w:numId w:val="10"/>
        </w:numPr>
        <w:spacing w:before="0" w:after="0" w:line="276" w:lineRule="auto"/>
        <w:ind w:left="1134" w:hanging="425"/>
      </w:pPr>
      <w:r>
        <w:t>Le</w:t>
      </w:r>
      <w:r w:rsidRPr="00532054">
        <w:t xml:space="preserve"> </w:t>
      </w:r>
      <w:r w:rsidRPr="00295D13">
        <w:t>Ministère de la Promotion de la Femme et de la Protection de l’Enfant</w:t>
      </w:r>
      <w:r>
        <w:t xml:space="preserve"> (MPFPE-Niger)</w:t>
      </w:r>
    </w:p>
    <w:p w14:paraId="6AC161C8" w14:textId="66359426" w:rsidR="00C72EF7" w:rsidRDefault="00C72EF7" w:rsidP="00C72EF7">
      <w:pPr>
        <w:numPr>
          <w:ilvl w:val="0"/>
          <w:numId w:val="10"/>
        </w:numPr>
        <w:spacing w:before="0" w:after="0" w:line="276" w:lineRule="auto"/>
        <w:ind w:left="1134" w:hanging="425"/>
      </w:pPr>
      <w:r>
        <w:t xml:space="preserve">Les institutions comprennent la </w:t>
      </w:r>
      <w:r w:rsidRPr="00532054">
        <w:t xml:space="preserve">Commission mixte Mali/Niger, </w:t>
      </w:r>
      <w:r>
        <w:t xml:space="preserve">la </w:t>
      </w:r>
      <w:r w:rsidRPr="00532054">
        <w:t xml:space="preserve">Haute Autorité à la Consolidation de la Paix (Niger), </w:t>
      </w:r>
      <w:r>
        <w:t xml:space="preserve">le </w:t>
      </w:r>
      <w:r w:rsidRPr="00532054">
        <w:t xml:space="preserve">Conseil National </w:t>
      </w:r>
      <w:r>
        <w:t xml:space="preserve">pour </w:t>
      </w:r>
      <w:r w:rsidRPr="00532054">
        <w:t>la Réforme du Secteur de Sécurité (CNRSS</w:t>
      </w:r>
      <w:r>
        <w:t xml:space="preserve"> au Mali</w:t>
      </w:r>
      <w:r w:rsidRPr="00532054">
        <w:t xml:space="preserve">), </w:t>
      </w:r>
      <w:r>
        <w:t xml:space="preserve">les </w:t>
      </w:r>
      <w:r w:rsidRPr="00532054">
        <w:t>Assemblées nationales</w:t>
      </w:r>
      <w:r>
        <w:t xml:space="preserve"> du Mali et du Niger</w:t>
      </w:r>
      <w:r w:rsidRPr="00532054">
        <w:t xml:space="preserve">, </w:t>
      </w:r>
      <w:r>
        <w:t xml:space="preserve">les </w:t>
      </w:r>
      <w:r w:rsidRPr="00532054">
        <w:t>Commission</w:t>
      </w:r>
      <w:r>
        <w:t>s</w:t>
      </w:r>
      <w:r w:rsidRPr="00532054">
        <w:t xml:space="preserve"> Nationale</w:t>
      </w:r>
      <w:r>
        <w:t>s</w:t>
      </w:r>
      <w:r w:rsidRPr="00532054">
        <w:t xml:space="preserve"> des Droits de l’Homme (CNDH)</w:t>
      </w:r>
      <w:r>
        <w:t xml:space="preserve"> au Mali et au Niger, les</w:t>
      </w:r>
      <w:r w:rsidRPr="00532054">
        <w:t xml:space="preserve"> Bureaux des Médiateurs</w:t>
      </w:r>
      <w:r w:rsidRPr="002A6E53">
        <w:t xml:space="preserve"> </w:t>
      </w:r>
      <w:r>
        <w:t>au Mali et au Niger</w:t>
      </w:r>
      <w:r w:rsidRPr="00532054">
        <w:t xml:space="preserve">, </w:t>
      </w:r>
      <w:r>
        <w:t xml:space="preserve">le </w:t>
      </w:r>
      <w:r w:rsidRPr="00532054">
        <w:t>Secrétariat Permanent du G5 Sahel</w:t>
      </w:r>
      <w:r>
        <w:t xml:space="preserve">. Les gouverneurs, les préfets/sous-préfets et les maires ont été aussi impliqués. </w:t>
      </w:r>
    </w:p>
    <w:p w14:paraId="30816154" w14:textId="1B85687A" w:rsidR="00B956C4" w:rsidRDefault="00B956C4" w:rsidP="00EE1A66">
      <w:pPr>
        <w:numPr>
          <w:ilvl w:val="0"/>
          <w:numId w:val="4"/>
        </w:numPr>
        <w:spacing w:before="0" w:after="0" w:line="276" w:lineRule="auto"/>
        <w:ind w:left="426" w:hanging="284"/>
      </w:pPr>
      <w:r w:rsidRPr="00905857">
        <w:rPr>
          <w:b/>
          <w:bCs/>
        </w:rPr>
        <w:t>Forces de défense et de sécurité (FDS) et Acteurs de la chaine pénale (ACP)</w:t>
      </w:r>
      <w:r w:rsidR="00905857">
        <w:t xml:space="preserve"> : ces acteurs </w:t>
      </w:r>
      <w:r w:rsidR="00F840DC">
        <w:t xml:space="preserve">ciblés essentiellement dans le cadre du Résultat 2, </w:t>
      </w:r>
      <w:r w:rsidR="00905857">
        <w:t>ont été des bénéficiaires du projet</w:t>
      </w:r>
      <w:r w:rsidR="00F840DC">
        <w:t xml:space="preserve">. Leurs capacités en matière de connaissance et d’intégration des questions de genre et de droits humains dans leurs procédures opérationnelles ont été renforcées. Des cadres de rencontres entre </w:t>
      </w:r>
      <w:r w:rsidR="00364016">
        <w:t>ACP et FDS</w:t>
      </w:r>
      <w:r w:rsidR="00F840DC">
        <w:t xml:space="preserve"> </w:t>
      </w:r>
      <w:r w:rsidR="00364016">
        <w:t xml:space="preserve">d’une part et d’autre part entre ces acteurs </w:t>
      </w:r>
      <w:r w:rsidR="00F840DC">
        <w:t xml:space="preserve">et les populations locales ont été aussi tenues en vue de </w:t>
      </w:r>
      <w:r w:rsidR="00364016">
        <w:t>restaurer et consolider les relations de confiance entre les différentes parties.</w:t>
      </w:r>
      <w:r w:rsidR="007760A2">
        <w:t xml:space="preserve"> </w:t>
      </w:r>
    </w:p>
    <w:p w14:paraId="17D126F3" w14:textId="241084E5" w:rsidR="00C72EF7" w:rsidRDefault="00C72EF7" w:rsidP="00EE1A66">
      <w:pPr>
        <w:numPr>
          <w:ilvl w:val="0"/>
          <w:numId w:val="4"/>
        </w:numPr>
        <w:spacing w:before="0" w:after="0" w:line="276" w:lineRule="auto"/>
        <w:ind w:left="426" w:hanging="284"/>
      </w:pPr>
      <w:r>
        <w:rPr>
          <w:b/>
          <w:bCs/>
          <w:i/>
          <w:iCs/>
        </w:rPr>
        <w:t>Organisations de la société civile</w:t>
      </w:r>
      <w:r w:rsidRPr="6959F86D">
        <w:t xml:space="preserve"> </w:t>
      </w:r>
      <w:r w:rsidRPr="004E4D44">
        <w:t xml:space="preserve">œuvrant en matière de paix, </w:t>
      </w:r>
      <w:r>
        <w:t xml:space="preserve">de </w:t>
      </w:r>
      <w:r w:rsidRPr="004E4D44">
        <w:t xml:space="preserve">sécurité et </w:t>
      </w:r>
      <w:r>
        <w:t xml:space="preserve">de </w:t>
      </w:r>
      <w:r w:rsidRPr="004E4D44">
        <w:t>participation des femmes</w:t>
      </w:r>
      <w:r>
        <w:t>. Elles comprennent les organisations et groupements de femmes et de jeunes intervenant dans les régions ciblées. Ces organisations ont été à la fois bénéficiaires (</w:t>
      </w:r>
      <w:r w:rsidR="009018B7">
        <w:t xml:space="preserve">par les </w:t>
      </w:r>
      <w:r>
        <w:t>renforcement</w:t>
      </w:r>
      <w:r w:rsidR="009018B7">
        <w:t>s</w:t>
      </w:r>
      <w:r>
        <w:t xml:space="preserve"> de capacités</w:t>
      </w:r>
      <w:r w:rsidR="009018B7">
        <w:t xml:space="preserve"> dont ont bénéficié les responsables et les membres</w:t>
      </w:r>
      <w:r>
        <w:t>) et actrices du projet (</w:t>
      </w:r>
      <w:r w:rsidR="009018B7">
        <w:t>à travers l’</w:t>
      </w:r>
      <w:r>
        <w:t>aide</w:t>
      </w:r>
      <w:r w:rsidR="009018B7">
        <w:t xml:space="preserve"> de ses organisations </w:t>
      </w:r>
      <w:r>
        <w:t xml:space="preserve">à </w:t>
      </w:r>
      <w:r w:rsidR="009018B7">
        <w:t xml:space="preserve">la </w:t>
      </w:r>
      <w:r>
        <w:t xml:space="preserve">mobilisation </w:t>
      </w:r>
      <w:r w:rsidR="009018B7">
        <w:t xml:space="preserve">des membres en vue des activités </w:t>
      </w:r>
      <w:r>
        <w:t xml:space="preserve">et </w:t>
      </w:r>
      <w:r w:rsidR="009018B7">
        <w:t xml:space="preserve">ou à la </w:t>
      </w:r>
      <w:r>
        <w:t xml:space="preserve">sensibilisation des membres) ; </w:t>
      </w:r>
    </w:p>
    <w:p w14:paraId="4DD00454" w14:textId="77777777" w:rsidR="00C72EF7" w:rsidRDefault="00C72EF7" w:rsidP="00EE1A66">
      <w:pPr>
        <w:numPr>
          <w:ilvl w:val="0"/>
          <w:numId w:val="4"/>
        </w:numPr>
        <w:spacing w:before="0" w:after="0" w:line="276" w:lineRule="auto"/>
        <w:ind w:left="426" w:hanging="284"/>
      </w:pPr>
      <w:r w:rsidRPr="6959F86D">
        <w:rPr>
          <w:b/>
          <w:bCs/>
          <w:i/>
          <w:iCs/>
        </w:rPr>
        <w:t>Acteurs communautaires</w:t>
      </w:r>
      <w:r>
        <w:rPr>
          <w:b/>
          <w:bCs/>
          <w:i/>
          <w:iCs/>
        </w:rPr>
        <w:t xml:space="preserve"> </w:t>
      </w:r>
      <w:r w:rsidRPr="6959F86D">
        <w:t xml:space="preserve">: les acteurs communautaires sont constitués des femmes </w:t>
      </w:r>
      <w:r>
        <w:t xml:space="preserve">et jeunes </w:t>
      </w:r>
      <w:r w:rsidRPr="6959F86D">
        <w:t xml:space="preserve">leaders, des leaders communautaires </w:t>
      </w:r>
      <w:r>
        <w:t>(chefs coutumiers et religieux, communicateurs traditionnels), mais aussi les radios communautaires.</w:t>
      </w:r>
      <w:r w:rsidRPr="6959F86D">
        <w:t xml:space="preserve"> </w:t>
      </w:r>
      <w:r>
        <w:t xml:space="preserve">Leurs capacités ont été renforcées et ils ont joué un rôle d’influence et de diffusion des messages de paix et de cohésion sociale au sein des communautés ; </w:t>
      </w:r>
    </w:p>
    <w:p w14:paraId="4042F25E" w14:textId="77777777" w:rsidR="00C72EF7" w:rsidRDefault="00C72EF7" w:rsidP="008D2E1A">
      <w:pPr>
        <w:numPr>
          <w:ilvl w:val="0"/>
          <w:numId w:val="4"/>
        </w:numPr>
        <w:spacing w:before="0" w:after="0" w:line="276" w:lineRule="auto"/>
        <w:ind w:left="426" w:hanging="284"/>
      </w:pPr>
      <w:r w:rsidRPr="00F73B23">
        <w:rPr>
          <w:b/>
          <w:bCs/>
          <w:i/>
          <w:iCs/>
        </w:rPr>
        <w:t>Communautés </w:t>
      </w:r>
      <w:r w:rsidRPr="001F63E9">
        <w:t>:</w:t>
      </w:r>
      <w:r>
        <w:t xml:space="preserve"> Elles comprennent les communautés de la zone d’intervention dans son ensemble en particulier les femmes et les jeunes. Il s’agit des femmes et jeunes appartenant à des organisations. Ces femmes et jeunes ont bénéficié des activités de sensibilisations grand public (théâtres fora ou radios communautaires) ou à travers les associations locales ou des comités de veille.</w:t>
      </w:r>
    </w:p>
    <w:p w14:paraId="6358D08B" w14:textId="27F9B8AC" w:rsidR="00C72EF7" w:rsidRDefault="00C72EF7" w:rsidP="00C72EF7">
      <w:pPr>
        <w:pStyle w:val="Paragraphedeliste"/>
        <w:numPr>
          <w:ilvl w:val="0"/>
          <w:numId w:val="23"/>
        </w:numPr>
        <w:spacing w:line="276" w:lineRule="auto"/>
      </w:pPr>
      <w:r>
        <w:t xml:space="preserve">Au </w:t>
      </w:r>
      <w:r w:rsidRPr="005125B0">
        <w:rPr>
          <w:color w:val="000000"/>
        </w:rPr>
        <w:t>total</w:t>
      </w:r>
      <w:r>
        <w:t>, le projet a ciblé 7476 bénéficiaires directs et 22 428 bénéficiaires indirects. Le tableau ci-après fournit la répartition de ces bénéficiaires par sexe et par pays.</w:t>
      </w:r>
    </w:p>
    <w:p w14:paraId="614560E0" w14:textId="64BF02E9" w:rsidR="00C72EF7" w:rsidRPr="009D2A75" w:rsidRDefault="007760A2" w:rsidP="00C72EF7">
      <w:pPr>
        <w:pStyle w:val="TM8"/>
      </w:pPr>
      <w:r>
        <w:t xml:space="preserve"> </w:t>
      </w:r>
      <w:bookmarkStart w:id="20" w:name="_Toc92262102"/>
      <w:r w:rsidR="00C72EF7" w:rsidRPr="00971805">
        <w:t xml:space="preserve">Tableau </w:t>
      </w:r>
      <w:r w:rsidR="00C72EF7" w:rsidRPr="009D2A75">
        <w:fldChar w:fldCharType="begin"/>
      </w:r>
      <w:r w:rsidR="00C72EF7" w:rsidRPr="00971805">
        <w:instrText xml:space="preserve"> SEQ Tableau \* ARABIC </w:instrText>
      </w:r>
      <w:r w:rsidR="00C72EF7" w:rsidRPr="009D2A75">
        <w:fldChar w:fldCharType="separate"/>
      </w:r>
      <w:r w:rsidR="0046716F">
        <w:rPr>
          <w:noProof/>
        </w:rPr>
        <w:t>1</w:t>
      </w:r>
      <w:r w:rsidR="00C72EF7" w:rsidRPr="009D2A75">
        <w:fldChar w:fldCharType="end"/>
      </w:r>
      <w:r w:rsidR="00C72EF7" w:rsidRPr="00971805">
        <w:t xml:space="preserve"> : Répartition des bénéficiaires du projet selon le sexe</w:t>
      </w:r>
      <w:bookmarkEnd w:id="20"/>
    </w:p>
    <w:tbl>
      <w:tblPr>
        <w:tblW w:w="4768" w:type="pct"/>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72"/>
        <w:gridCol w:w="2226"/>
        <w:gridCol w:w="2273"/>
        <w:gridCol w:w="2271"/>
      </w:tblGrid>
      <w:tr w:rsidR="00C72EF7" w:rsidRPr="00A3730E" w14:paraId="58D84E7D" w14:textId="77777777" w:rsidTr="005125B0">
        <w:trPr>
          <w:trHeight w:val="57"/>
          <w:tblHeader/>
        </w:trPr>
        <w:tc>
          <w:tcPr>
            <w:tcW w:w="1083" w:type="pct"/>
            <w:shd w:val="clear" w:color="auto" w:fill="auto"/>
          </w:tcPr>
          <w:p w14:paraId="3DA25F4C" w14:textId="77777777" w:rsidR="00C72EF7" w:rsidRPr="007007C9" w:rsidRDefault="00C72EF7" w:rsidP="00967F69">
            <w:pPr>
              <w:spacing w:before="0" w:after="0" w:line="276" w:lineRule="auto"/>
              <w:rPr>
                <w:b/>
                <w:bCs/>
              </w:rPr>
            </w:pPr>
            <w:r w:rsidRPr="007007C9">
              <w:rPr>
                <w:b/>
                <w:bCs/>
              </w:rPr>
              <w:t>Bénéficiaires</w:t>
            </w:r>
          </w:p>
        </w:tc>
        <w:tc>
          <w:tcPr>
            <w:tcW w:w="1288" w:type="pct"/>
            <w:shd w:val="clear" w:color="auto" w:fill="auto"/>
          </w:tcPr>
          <w:p w14:paraId="192EABFF" w14:textId="77777777" w:rsidR="00C72EF7" w:rsidRPr="007007C9" w:rsidRDefault="00C72EF7" w:rsidP="00967F69">
            <w:pPr>
              <w:spacing w:before="0" w:after="0" w:line="276" w:lineRule="auto"/>
              <w:rPr>
                <w:b/>
                <w:bCs/>
              </w:rPr>
            </w:pPr>
            <w:r w:rsidRPr="007007C9">
              <w:rPr>
                <w:b/>
                <w:bCs/>
              </w:rPr>
              <w:t>Mali</w:t>
            </w:r>
          </w:p>
        </w:tc>
        <w:tc>
          <w:tcPr>
            <w:tcW w:w="1315" w:type="pct"/>
            <w:shd w:val="clear" w:color="auto" w:fill="auto"/>
          </w:tcPr>
          <w:p w14:paraId="2E8910C2" w14:textId="77777777" w:rsidR="00C72EF7" w:rsidRPr="007007C9" w:rsidRDefault="00C72EF7" w:rsidP="00967F69">
            <w:pPr>
              <w:spacing w:before="0" w:after="0" w:line="276" w:lineRule="auto"/>
              <w:rPr>
                <w:b/>
                <w:bCs/>
              </w:rPr>
            </w:pPr>
            <w:r w:rsidRPr="007007C9">
              <w:rPr>
                <w:b/>
                <w:bCs/>
              </w:rPr>
              <w:t xml:space="preserve">Niger </w:t>
            </w:r>
          </w:p>
        </w:tc>
        <w:tc>
          <w:tcPr>
            <w:tcW w:w="1314" w:type="pct"/>
            <w:shd w:val="clear" w:color="auto" w:fill="auto"/>
          </w:tcPr>
          <w:p w14:paraId="5B54A204" w14:textId="77777777" w:rsidR="00C72EF7" w:rsidRPr="007007C9" w:rsidRDefault="00C72EF7" w:rsidP="00967F69">
            <w:pPr>
              <w:spacing w:before="0" w:after="0" w:line="276" w:lineRule="auto"/>
              <w:rPr>
                <w:b/>
                <w:bCs/>
              </w:rPr>
            </w:pPr>
            <w:r w:rsidRPr="007007C9">
              <w:rPr>
                <w:b/>
                <w:bCs/>
              </w:rPr>
              <w:t xml:space="preserve">Total </w:t>
            </w:r>
          </w:p>
        </w:tc>
      </w:tr>
      <w:tr w:rsidR="00C72EF7" w:rsidRPr="00A3730E" w14:paraId="7F032FD4" w14:textId="77777777" w:rsidTr="005125B0">
        <w:trPr>
          <w:trHeight w:val="57"/>
        </w:trPr>
        <w:tc>
          <w:tcPr>
            <w:tcW w:w="1083" w:type="pct"/>
            <w:shd w:val="clear" w:color="auto" w:fill="auto"/>
          </w:tcPr>
          <w:p w14:paraId="7D4805D8" w14:textId="77777777" w:rsidR="00C72EF7" w:rsidRPr="007007C9" w:rsidRDefault="00C72EF7" w:rsidP="00967F69">
            <w:pPr>
              <w:spacing w:before="0" w:after="0" w:line="276" w:lineRule="auto"/>
              <w:rPr>
                <w:b/>
                <w:bCs/>
              </w:rPr>
            </w:pPr>
            <w:r w:rsidRPr="007007C9">
              <w:rPr>
                <w:b/>
                <w:bCs/>
              </w:rPr>
              <w:t>Directs</w:t>
            </w:r>
          </w:p>
        </w:tc>
        <w:tc>
          <w:tcPr>
            <w:tcW w:w="1288" w:type="pct"/>
            <w:shd w:val="clear" w:color="auto" w:fill="auto"/>
          </w:tcPr>
          <w:p w14:paraId="4F153A03" w14:textId="77777777" w:rsidR="00C72EF7" w:rsidRPr="007007C9" w:rsidRDefault="00C72EF7" w:rsidP="00967F69">
            <w:pPr>
              <w:spacing w:before="0" w:after="0" w:line="276" w:lineRule="auto"/>
              <w:rPr>
                <w:b/>
                <w:bCs/>
              </w:rPr>
            </w:pPr>
          </w:p>
        </w:tc>
        <w:tc>
          <w:tcPr>
            <w:tcW w:w="1315" w:type="pct"/>
            <w:shd w:val="clear" w:color="auto" w:fill="auto"/>
          </w:tcPr>
          <w:p w14:paraId="7C5F5961" w14:textId="77777777" w:rsidR="00C72EF7" w:rsidRPr="007007C9" w:rsidRDefault="00C72EF7" w:rsidP="00967F69">
            <w:pPr>
              <w:spacing w:before="0" w:after="0" w:line="276" w:lineRule="auto"/>
              <w:rPr>
                <w:b/>
                <w:bCs/>
              </w:rPr>
            </w:pPr>
          </w:p>
        </w:tc>
        <w:tc>
          <w:tcPr>
            <w:tcW w:w="1314" w:type="pct"/>
            <w:shd w:val="clear" w:color="auto" w:fill="auto"/>
          </w:tcPr>
          <w:p w14:paraId="70F4EBB3" w14:textId="77777777" w:rsidR="00C72EF7" w:rsidRPr="00A3730E" w:rsidRDefault="00C72EF7" w:rsidP="00967F69">
            <w:pPr>
              <w:spacing w:before="0" w:after="0" w:line="276" w:lineRule="auto"/>
              <w:jc w:val="center"/>
              <w:rPr>
                <w:b/>
                <w:bCs/>
              </w:rPr>
            </w:pPr>
            <w:bookmarkStart w:id="21" w:name="_Hlk95302523"/>
            <w:r w:rsidRPr="00A3730E">
              <w:rPr>
                <w:b/>
                <w:bCs/>
              </w:rPr>
              <w:t>7476</w:t>
            </w:r>
            <w:bookmarkEnd w:id="21"/>
          </w:p>
        </w:tc>
      </w:tr>
      <w:tr w:rsidR="00C72EF7" w:rsidRPr="00A3730E" w14:paraId="68739444" w14:textId="77777777" w:rsidTr="005125B0">
        <w:trPr>
          <w:trHeight w:val="57"/>
        </w:trPr>
        <w:tc>
          <w:tcPr>
            <w:tcW w:w="1083" w:type="pct"/>
            <w:shd w:val="clear" w:color="auto" w:fill="auto"/>
          </w:tcPr>
          <w:p w14:paraId="384ED752" w14:textId="77777777" w:rsidR="00C72EF7" w:rsidRPr="00A3730E" w:rsidRDefault="00C72EF7" w:rsidP="00967F69">
            <w:pPr>
              <w:spacing w:before="0" w:after="0" w:line="276" w:lineRule="auto"/>
              <w:jc w:val="right"/>
            </w:pPr>
            <w:r w:rsidRPr="00A3730E">
              <w:t>Hommes</w:t>
            </w:r>
          </w:p>
        </w:tc>
        <w:tc>
          <w:tcPr>
            <w:tcW w:w="1288" w:type="pct"/>
            <w:shd w:val="clear" w:color="auto" w:fill="auto"/>
          </w:tcPr>
          <w:p w14:paraId="43A72FA4" w14:textId="77777777" w:rsidR="00C72EF7" w:rsidRPr="00A3730E" w:rsidRDefault="00C72EF7" w:rsidP="00967F69">
            <w:pPr>
              <w:spacing w:before="0" w:after="0" w:line="276" w:lineRule="auto"/>
              <w:jc w:val="center"/>
            </w:pPr>
            <w:r w:rsidRPr="00A3730E">
              <w:t>1866</w:t>
            </w:r>
          </w:p>
        </w:tc>
        <w:tc>
          <w:tcPr>
            <w:tcW w:w="1315" w:type="pct"/>
            <w:shd w:val="clear" w:color="auto" w:fill="auto"/>
          </w:tcPr>
          <w:p w14:paraId="7FDB9206" w14:textId="77777777" w:rsidR="00C72EF7" w:rsidRPr="00A3730E" w:rsidRDefault="00C72EF7" w:rsidP="00967F69">
            <w:pPr>
              <w:spacing w:before="0" w:after="0" w:line="276" w:lineRule="auto"/>
              <w:jc w:val="center"/>
            </w:pPr>
            <w:r w:rsidRPr="00A3730E">
              <w:t>1638</w:t>
            </w:r>
          </w:p>
        </w:tc>
        <w:tc>
          <w:tcPr>
            <w:tcW w:w="1314" w:type="pct"/>
            <w:shd w:val="clear" w:color="auto" w:fill="auto"/>
            <w:vAlign w:val="bottom"/>
          </w:tcPr>
          <w:p w14:paraId="257DDC27" w14:textId="77777777" w:rsidR="00C72EF7" w:rsidRPr="00A3730E" w:rsidRDefault="00C72EF7" w:rsidP="00967F69">
            <w:pPr>
              <w:spacing w:before="0" w:after="0" w:line="276" w:lineRule="auto"/>
              <w:jc w:val="center"/>
            </w:pPr>
            <w:r w:rsidRPr="007007C9">
              <w:rPr>
                <w:rFonts w:cs="Calibri"/>
                <w:color w:val="000000"/>
              </w:rPr>
              <w:t>3504</w:t>
            </w:r>
          </w:p>
        </w:tc>
      </w:tr>
      <w:tr w:rsidR="00C72EF7" w:rsidRPr="00A3730E" w14:paraId="1BDCBB05" w14:textId="77777777" w:rsidTr="005125B0">
        <w:trPr>
          <w:trHeight w:val="57"/>
        </w:trPr>
        <w:tc>
          <w:tcPr>
            <w:tcW w:w="1083" w:type="pct"/>
            <w:shd w:val="clear" w:color="auto" w:fill="auto"/>
          </w:tcPr>
          <w:p w14:paraId="350BD536" w14:textId="77777777" w:rsidR="00C72EF7" w:rsidRPr="00A3730E" w:rsidRDefault="00C72EF7" w:rsidP="00967F69">
            <w:pPr>
              <w:spacing w:before="0" w:after="0" w:line="276" w:lineRule="auto"/>
              <w:jc w:val="right"/>
            </w:pPr>
            <w:r w:rsidRPr="00A3730E">
              <w:t>Femmes</w:t>
            </w:r>
          </w:p>
        </w:tc>
        <w:tc>
          <w:tcPr>
            <w:tcW w:w="1288" w:type="pct"/>
            <w:shd w:val="clear" w:color="auto" w:fill="auto"/>
          </w:tcPr>
          <w:p w14:paraId="21FF50A9" w14:textId="77777777" w:rsidR="00C72EF7" w:rsidRPr="00A3730E" w:rsidRDefault="00C72EF7" w:rsidP="00967F69">
            <w:pPr>
              <w:spacing w:before="0" w:after="0" w:line="276" w:lineRule="auto"/>
              <w:jc w:val="center"/>
            </w:pPr>
            <w:r w:rsidRPr="00A3730E">
              <w:t>1422</w:t>
            </w:r>
          </w:p>
        </w:tc>
        <w:tc>
          <w:tcPr>
            <w:tcW w:w="1315" w:type="pct"/>
            <w:shd w:val="clear" w:color="auto" w:fill="auto"/>
          </w:tcPr>
          <w:p w14:paraId="5AC62747" w14:textId="77777777" w:rsidR="00C72EF7" w:rsidRPr="00A3730E" w:rsidRDefault="00C72EF7" w:rsidP="00967F69">
            <w:pPr>
              <w:spacing w:before="0" w:after="0" w:line="276" w:lineRule="auto"/>
              <w:jc w:val="center"/>
            </w:pPr>
            <w:r w:rsidRPr="00A3730E">
              <w:t>1241</w:t>
            </w:r>
          </w:p>
        </w:tc>
        <w:tc>
          <w:tcPr>
            <w:tcW w:w="1314" w:type="pct"/>
            <w:shd w:val="clear" w:color="auto" w:fill="auto"/>
            <w:vAlign w:val="bottom"/>
          </w:tcPr>
          <w:p w14:paraId="7EDDBE5C" w14:textId="77777777" w:rsidR="00C72EF7" w:rsidRPr="00A3730E" w:rsidRDefault="00C72EF7" w:rsidP="00967F69">
            <w:pPr>
              <w:spacing w:before="0" w:after="0" w:line="276" w:lineRule="auto"/>
              <w:jc w:val="center"/>
            </w:pPr>
            <w:r w:rsidRPr="007007C9">
              <w:rPr>
                <w:rFonts w:cs="Calibri"/>
                <w:color w:val="000000"/>
              </w:rPr>
              <w:t>2663</w:t>
            </w:r>
          </w:p>
        </w:tc>
      </w:tr>
      <w:tr w:rsidR="00C72EF7" w:rsidRPr="00A3730E" w14:paraId="26B4A0CB" w14:textId="77777777" w:rsidTr="005125B0">
        <w:trPr>
          <w:trHeight w:val="57"/>
        </w:trPr>
        <w:tc>
          <w:tcPr>
            <w:tcW w:w="1083" w:type="pct"/>
            <w:shd w:val="clear" w:color="auto" w:fill="auto"/>
          </w:tcPr>
          <w:p w14:paraId="7DFF825C" w14:textId="77777777" w:rsidR="00C72EF7" w:rsidRPr="00A3730E" w:rsidRDefault="00C72EF7" w:rsidP="00967F69">
            <w:pPr>
              <w:spacing w:before="0" w:after="0" w:line="276" w:lineRule="auto"/>
              <w:jc w:val="right"/>
            </w:pPr>
            <w:r w:rsidRPr="00A3730E">
              <w:t>Jeunes</w:t>
            </w:r>
            <w:r>
              <w:rPr>
                <w:rStyle w:val="Appelnotedebasdep"/>
              </w:rPr>
              <w:footnoteReference w:id="22"/>
            </w:r>
            <w:r w:rsidRPr="00A3730E">
              <w:t xml:space="preserve"> </w:t>
            </w:r>
          </w:p>
        </w:tc>
        <w:tc>
          <w:tcPr>
            <w:tcW w:w="1288" w:type="pct"/>
            <w:shd w:val="clear" w:color="auto" w:fill="auto"/>
          </w:tcPr>
          <w:p w14:paraId="4E38F191" w14:textId="77777777" w:rsidR="00C72EF7" w:rsidRPr="00A3730E" w:rsidRDefault="00C72EF7" w:rsidP="00967F69">
            <w:pPr>
              <w:spacing w:before="0" w:after="0" w:line="276" w:lineRule="auto"/>
              <w:jc w:val="center"/>
            </w:pPr>
            <w:r w:rsidRPr="00A3730E">
              <w:t>607</w:t>
            </w:r>
          </w:p>
        </w:tc>
        <w:tc>
          <w:tcPr>
            <w:tcW w:w="1315" w:type="pct"/>
            <w:shd w:val="clear" w:color="auto" w:fill="auto"/>
          </w:tcPr>
          <w:p w14:paraId="7998221C" w14:textId="77777777" w:rsidR="00C72EF7" w:rsidRPr="00A3730E" w:rsidRDefault="00C72EF7" w:rsidP="00967F69">
            <w:pPr>
              <w:spacing w:before="0" w:after="0" w:line="276" w:lineRule="auto"/>
              <w:jc w:val="center"/>
            </w:pPr>
            <w:r w:rsidRPr="00A3730E">
              <w:t>702</w:t>
            </w:r>
          </w:p>
        </w:tc>
        <w:tc>
          <w:tcPr>
            <w:tcW w:w="1314" w:type="pct"/>
            <w:shd w:val="clear" w:color="auto" w:fill="auto"/>
            <w:vAlign w:val="bottom"/>
          </w:tcPr>
          <w:p w14:paraId="5C619597" w14:textId="77777777" w:rsidR="00C72EF7" w:rsidRPr="00A3730E" w:rsidRDefault="00C72EF7" w:rsidP="00967F69">
            <w:pPr>
              <w:spacing w:before="0" w:after="0" w:line="276" w:lineRule="auto"/>
              <w:jc w:val="center"/>
            </w:pPr>
            <w:r w:rsidRPr="007007C9">
              <w:rPr>
                <w:rFonts w:cs="Calibri"/>
                <w:color w:val="000000"/>
              </w:rPr>
              <w:t>1309</w:t>
            </w:r>
          </w:p>
        </w:tc>
      </w:tr>
      <w:tr w:rsidR="00C72EF7" w:rsidRPr="00A3730E" w14:paraId="0355E032" w14:textId="77777777" w:rsidTr="005125B0">
        <w:trPr>
          <w:trHeight w:val="57"/>
        </w:trPr>
        <w:tc>
          <w:tcPr>
            <w:tcW w:w="1083" w:type="pct"/>
            <w:shd w:val="clear" w:color="auto" w:fill="auto"/>
          </w:tcPr>
          <w:p w14:paraId="7A89448A" w14:textId="77777777" w:rsidR="00C72EF7" w:rsidRPr="007007C9" w:rsidRDefault="00C72EF7" w:rsidP="00967F69">
            <w:pPr>
              <w:spacing w:before="0" w:after="0" w:line="276" w:lineRule="auto"/>
              <w:rPr>
                <w:b/>
                <w:bCs/>
              </w:rPr>
            </w:pPr>
            <w:r w:rsidRPr="007007C9">
              <w:rPr>
                <w:b/>
                <w:bCs/>
              </w:rPr>
              <w:t xml:space="preserve">Indirects </w:t>
            </w:r>
          </w:p>
        </w:tc>
        <w:tc>
          <w:tcPr>
            <w:tcW w:w="1288" w:type="pct"/>
            <w:shd w:val="clear" w:color="auto" w:fill="auto"/>
          </w:tcPr>
          <w:p w14:paraId="7F175631" w14:textId="77777777" w:rsidR="00C72EF7" w:rsidRPr="007007C9" w:rsidRDefault="00C72EF7" w:rsidP="00967F69">
            <w:pPr>
              <w:spacing w:before="0" w:after="0" w:line="276" w:lineRule="auto"/>
              <w:jc w:val="center"/>
              <w:rPr>
                <w:b/>
                <w:bCs/>
              </w:rPr>
            </w:pPr>
          </w:p>
        </w:tc>
        <w:tc>
          <w:tcPr>
            <w:tcW w:w="1315" w:type="pct"/>
            <w:shd w:val="clear" w:color="auto" w:fill="auto"/>
          </w:tcPr>
          <w:p w14:paraId="3D52A3F1" w14:textId="77777777" w:rsidR="00C72EF7" w:rsidRPr="007007C9" w:rsidRDefault="00C72EF7" w:rsidP="00967F69">
            <w:pPr>
              <w:spacing w:before="0" w:after="0" w:line="276" w:lineRule="auto"/>
              <w:jc w:val="center"/>
              <w:rPr>
                <w:b/>
                <w:bCs/>
              </w:rPr>
            </w:pPr>
          </w:p>
        </w:tc>
        <w:tc>
          <w:tcPr>
            <w:tcW w:w="1314" w:type="pct"/>
            <w:shd w:val="clear" w:color="auto" w:fill="auto"/>
            <w:vAlign w:val="bottom"/>
          </w:tcPr>
          <w:p w14:paraId="26681E0F" w14:textId="77777777" w:rsidR="00C72EF7" w:rsidRPr="00A3730E" w:rsidRDefault="00C72EF7" w:rsidP="00967F69">
            <w:pPr>
              <w:spacing w:before="0" w:after="0" w:line="276" w:lineRule="auto"/>
              <w:jc w:val="center"/>
              <w:rPr>
                <w:b/>
                <w:bCs/>
              </w:rPr>
            </w:pPr>
            <w:r w:rsidRPr="00A3730E">
              <w:rPr>
                <w:b/>
                <w:bCs/>
              </w:rPr>
              <w:t>22428</w:t>
            </w:r>
          </w:p>
        </w:tc>
      </w:tr>
      <w:tr w:rsidR="00C72EF7" w:rsidRPr="00A3730E" w14:paraId="0BF92E58" w14:textId="77777777" w:rsidTr="005125B0">
        <w:trPr>
          <w:trHeight w:val="57"/>
        </w:trPr>
        <w:tc>
          <w:tcPr>
            <w:tcW w:w="1083" w:type="pct"/>
            <w:shd w:val="clear" w:color="auto" w:fill="auto"/>
          </w:tcPr>
          <w:p w14:paraId="1086A13A" w14:textId="77777777" w:rsidR="00C72EF7" w:rsidRPr="00A3730E" w:rsidRDefault="00C72EF7" w:rsidP="00967F69">
            <w:pPr>
              <w:spacing w:before="0" w:after="0" w:line="276" w:lineRule="auto"/>
              <w:jc w:val="right"/>
            </w:pPr>
            <w:r w:rsidRPr="00A3730E">
              <w:t>Hommes</w:t>
            </w:r>
          </w:p>
        </w:tc>
        <w:tc>
          <w:tcPr>
            <w:tcW w:w="1288" w:type="pct"/>
            <w:shd w:val="clear" w:color="auto" w:fill="auto"/>
          </w:tcPr>
          <w:p w14:paraId="17E3F75A" w14:textId="77777777" w:rsidR="00C72EF7" w:rsidRPr="00A3730E" w:rsidRDefault="00C72EF7" w:rsidP="00967F69">
            <w:pPr>
              <w:spacing w:before="0" w:after="0" w:line="276" w:lineRule="auto"/>
              <w:jc w:val="center"/>
            </w:pPr>
            <w:r w:rsidRPr="00A3730E">
              <w:t>5598</w:t>
            </w:r>
          </w:p>
        </w:tc>
        <w:tc>
          <w:tcPr>
            <w:tcW w:w="1315" w:type="pct"/>
            <w:shd w:val="clear" w:color="auto" w:fill="auto"/>
          </w:tcPr>
          <w:p w14:paraId="1F9503E6" w14:textId="77777777" w:rsidR="00C72EF7" w:rsidRPr="00A3730E" w:rsidRDefault="00C72EF7" w:rsidP="00967F69">
            <w:pPr>
              <w:spacing w:before="0" w:after="0" w:line="276" w:lineRule="auto"/>
              <w:jc w:val="center"/>
            </w:pPr>
            <w:r w:rsidRPr="00A3730E">
              <w:t>4914</w:t>
            </w:r>
          </w:p>
        </w:tc>
        <w:tc>
          <w:tcPr>
            <w:tcW w:w="1314" w:type="pct"/>
            <w:shd w:val="clear" w:color="auto" w:fill="auto"/>
            <w:vAlign w:val="bottom"/>
          </w:tcPr>
          <w:p w14:paraId="32C35DFB" w14:textId="77777777" w:rsidR="00C72EF7" w:rsidRPr="00A3730E" w:rsidRDefault="00C72EF7" w:rsidP="00967F69">
            <w:pPr>
              <w:spacing w:before="0" w:after="0" w:line="276" w:lineRule="auto"/>
              <w:jc w:val="center"/>
            </w:pPr>
            <w:r w:rsidRPr="007007C9">
              <w:rPr>
                <w:rFonts w:cs="Calibri"/>
                <w:color w:val="000000"/>
              </w:rPr>
              <w:t>10512</w:t>
            </w:r>
          </w:p>
        </w:tc>
      </w:tr>
      <w:tr w:rsidR="00C72EF7" w:rsidRPr="00A3730E" w14:paraId="38383E67" w14:textId="77777777" w:rsidTr="005125B0">
        <w:trPr>
          <w:trHeight w:val="57"/>
        </w:trPr>
        <w:tc>
          <w:tcPr>
            <w:tcW w:w="1083" w:type="pct"/>
            <w:shd w:val="clear" w:color="auto" w:fill="auto"/>
          </w:tcPr>
          <w:p w14:paraId="7173965F" w14:textId="77777777" w:rsidR="00C72EF7" w:rsidRPr="00A3730E" w:rsidRDefault="00C72EF7" w:rsidP="00967F69">
            <w:pPr>
              <w:spacing w:before="0" w:after="0" w:line="276" w:lineRule="auto"/>
              <w:jc w:val="right"/>
            </w:pPr>
            <w:r w:rsidRPr="00A3730E">
              <w:t>Femmes</w:t>
            </w:r>
          </w:p>
        </w:tc>
        <w:tc>
          <w:tcPr>
            <w:tcW w:w="1288" w:type="pct"/>
            <w:shd w:val="clear" w:color="auto" w:fill="auto"/>
          </w:tcPr>
          <w:p w14:paraId="7A5CA163" w14:textId="77777777" w:rsidR="00C72EF7" w:rsidRPr="00A3730E" w:rsidRDefault="00C72EF7" w:rsidP="00967F69">
            <w:pPr>
              <w:spacing w:before="0" w:after="0" w:line="276" w:lineRule="auto"/>
              <w:jc w:val="center"/>
            </w:pPr>
            <w:r w:rsidRPr="00A3730E">
              <w:t>4266</w:t>
            </w:r>
          </w:p>
        </w:tc>
        <w:tc>
          <w:tcPr>
            <w:tcW w:w="1315" w:type="pct"/>
            <w:shd w:val="clear" w:color="auto" w:fill="auto"/>
          </w:tcPr>
          <w:p w14:paraId="4EA83BF0" w14:textId="77777777" w:rsidR="00C72EF7" w:rsidRPr="00A3730E" w:rsidRDefault="00C72EF7" w:rsidP="00967F69">
            <w:pPr>
              <w:spacing w:before="0" w:after="0" w:line="276" w:lineRule="auto"/>
              <w:jc w:val="center"/>
            </w:pPr>
            <w:r w:rsidRPr="00A3730E">
              <w:t>3723</w:t>
            </w:r>
          </w:p>
        </w:tc>
        <w:tc>
          <w:tcPr>
            <w:tcW w:w="1314" w:type="pct"/>
            <w:shd w:val="clear" w:color="auto" w:fill="auto"/>
            <w:vAlign w:val="bottom"/>
          </w:tcPr>
          <w:p w14:paraId="27105276" w14:textId="77777777" w:rsidR="00C72EF7" w:rsidRPr="00A3730E" w:rsidRDefault="00C72EF7" w:rsidP="00967F69">
            <w:pPr>
              <w:spacing w:before="0" w:after="0" w:line="276" w:lineRule="auto"/>
              <w:jc w:val="center"/>
            </w:pPr>
            <w:r w:rsidRPr="007007C9">
              <w:rPr>
                <w:rFonts w:cs="Calibri"/>
                <w:color w:val="000000"/>
              </w:rPr>
              <w:t>7989</w:t>
            </w:r>
          </w:p>
        </w:tc>
      </w:tr>
      <w:tr w:rsidR="00C72EF7" w:rsidRPr="00A3730E" w14:paraId="4E029EED" w14:textId="77777777" w:rsidTr="005125B0">
        <w:trPr>
          <w:trHeight w:val="57"/>
        </w:trPr>
        <w:tc>
          <w:tcPr>
            <w:tcW w:w="1083" w:type="pct"/>
            <w:shd w:val="clear" w:color="auto" w:fill="auto"/>
          </w:tcPr>
          <w:p w14:paraId="60BEBE79" w14:textId="77777777" w:rsidR="00C72EF7" w:rsidRPr="00A3730E" w:rsidRDefault="00C72EF7" w:rsidP="00967F69">
            <w:pPr>
              <w:spacing w:before="0" w:after="0" w:line="276" w:lineRule="auto"/>
              <w:jc w:val="right"/>
            </w:pPr>
            <w:r w:rsidRPr="00A3730E">
              <w:t xml:space="preserve">Jeunes </w:t>
            </w:r>
          </w:p>
        </w:tc>
        <w:tc>
          <w:tcPr>
            <w:tcW w:w="1288" w:type="pct"/>
            <w:shd w:val="clear" w:color="auto" w:fill="auto"/>
          </w:tcPr>
          <w:p w14:paraId="109E059F" w14:textId="77777777" w:rsidR="00C72EF7" w:rsidRPr="00A3730E" w:rsidRDefault="00C72EF7" w:rsidP="00967F69">
            <w:pPr>
              <w:spacing w:before="0" w:after="0" w:line="276" w:lineRule="auto"/>
              <w:jc w:val="center"/>
            </w:pPr>
            <w:r w:rsidRPr="00A3730E">
              <w:t>1821</w:t>
            </w:r>
          </w:p>
        </w:tc>
        <w:tc>
          <w:tcPr>
            <w:tcW w:w="1315" w:type="pct"/>
            <w:shd w:val="clear" w:color="auto" w:fill="auto"/>
          </w:tcPr>
          <w:p w14:paraId="194A5A30" w14:textId="77777777" w:rsidR="00C72EF7" w:rsidRPr="00A3730E" w:rsidRDefault="00C72EF7" w:rsidP="00967F69">
            <w:pPr>
              <w:spacing w:before="0" w:after="0" w:line="276" w:lineRule="auto"/>
              <w:jc w:val="center"/>
            </w:pPr>
            <w:r w:rsidRPr="00A3730E">
              <w:t>2106</w:t>
            </w:r>
          </w:p>
        </w:tc>
        <w:tc>
          <w:tcPr>
            <w:tcW w:w="1314" w:type="pct"/>
            <w:shd w:val="clear" w:color="auto" w:fill="auto"/>
            <w:vAlign w:val="bottom"/>
          </w:tcPr>
          <w:p w14:paraId="5472AA78" w14:textId="77777777" w:rsidR="00C72EF7" w:rsidRPr="00A3730E" w:rsidRDefault="00C72EF7" w:rsidP="00967F69">
            <w:pPr>
              <w:spacing w:before="0" w:after="0" w:line="276" w:lineRule="auto"/>
              <w:jc w:val="center"/>
            </w:pPr>
            <w:r w:rsidRPr="007007C9">
              <w:rPr>
                <w:rFonts w:cs="Calibri"/>
                <w:color w:val="000000"/>
              </w:rPr>
              <w:t>3927</w:t>
            </w:r>
          </w:p>
        </w:tc>
      </w:tr>
    </w:tbl>
    <w:p w14:paraId="5597C210" w14:textId="77777777" w:rsidR="00C72EF7" w:rsidRPr="00FA2D1A" w:rsidRDefault="00C72EF7" w:rsidP="00C72EF7">
      <w:pPr>
        <w:spacing w:before="0" w:after="0" w:line="276" w:lineRule="auto"/>
        <w:ind w:firstLine="360"/>
      </w:pPr>
      <w:r w:rsidRPr="007007C9">
        <w:rPr>
          <w:sz w:val="20"/>
          <w:szCs w:val="20"/>
        </w:rPr>
        <w:t xml:space="preserve">Source : Auteur </w:t>
      </w:r>
    </w:p>
    <w:p w14:paraId="39FCC318" w14:textId="77777777" w:rsidR="00C72EF7" w:rsidRDefault="00C72EF7" w:rsidP="00C72EF7">
      <w:pPr>
        <w:spacing w:before="0" w:after="0" w:line="276" w:lineRule="auto"/>
        <w:ind w:left="426"/>
      </w:pPr>
    </w:p>
    <w:p w14:paraId="30D53D0C" w14:textId="77777777" w:rsidR="00C72EF7" w:rsidRDefault="00C72EF7" w:rsidP="00C72EF7">
      <w:pPr>
        <w:pStyle w:val="Paragraphedeliste"/>
        <w:numPr>
          <w:ilvl w:val="0"/>
          <w:numId w:val="23"/>
        </w:numPr>
        <w:spacing w:line="276" w:lineRule="auto"/>
      </w:pPr>
      <w:r>
        <w:t>Afin d’assurer la coordination, le pilotage et le suivi du projet, trois instances ont été mises en place. Ce sont :</w:t>
      </w:r>
    </w:p>
    <w:p w14:paraId="7F93BA37" w14:textId="77777777" w:rsidR="00C72EF7" w:rsidRDefault="00C72EF7" w:rsidP="00C72EF7">
      <w:pPr>
        <w:pStyle w:val="Paragraphedeliste"/>
        <w:numPr>
          <w:ilvl w:val="0"/>
          <w:numId w:val="70"/>
        </w:numPr>
        <w:spacing w:after="0" w:line="276" w:lineRule="auto"/>
      </w:pPr>
      <w:r w:rsidRPr="003B1997">
        <w:rPr>
          <w:i/>
          <w:iCs/>
        </w:rPr>
        <w:t>Le Comité de Pilotage</w:t>
      </w:r>
      <w:r>
        <w:t> : réunissant les Coordinatrices Résidentes des Nations Unies des 2 pays, il permet de suivre les progrès enregistrés et de donner des orientations sur la mise en œuvre et la stratégie.</w:t>
      </w:r>
    </w:p>
    <w:p w14:paraId="615BCD69" w14:textId="77777777" w:rsidR="00C72EF7" w:rsidRDefault="00C72EF7" w:rsidP="00C72EF7">
      <w:pPr>
        <w:pStyle w:val="Paragraphedeliste"/>
        <w:numPr>
          <w:ilvl w:val="0"/>
          <w:numId w:val="70"/>
        </w:numPr>
        <w:spacing w:after="0" w:line="276" w:lineRule="auto"/>
      </w:pPr>
      <w:r w:rsidRPr="003B1997">
        <w:rPr>
          <w:i/>
          <w:iCs/>
        </w:rPr>
        <w:t>Le Comité d’orientation stratégique</w:t>
      </w:r>
      <w:r>
        <w:t> :</w:t>
      </w:r>
      <w:r w:rsidRPr="00707F62">
        <w:t xml:space="preserve"> </w:t>
      </w:r>
      <w:r>
        <w:t xml:space="preserve">son rôle est d’assurer une </w:t>
      </w:r>
      <w:r w:rsidRPr="00707F62">
        <w:t>revue semestrielle du projet</w:t>
      </w:r>
      <w:r>
        <w:t xml:space="preserve"> et ce, de façon rotative dans les deux pays.</w:t>
      </w:r>
    </w:p>
    <w:p w14:paraId="19E411AF" w14:textId="77777777" w:rsidR="00C72EF7" w:rsidRDefault="00C72EF7" w:rsidP="00C72EF7">
      <w:pPr>
        <w:pStyle w:val="Paragraphedeliste"/>
        <w:numPr>
          <w:ilvl w:val="0"/>
          <w:numId w:val="70"/>
        </w:numPr>
        <w:spacing w:after="0" w:line="276" w:lineRule="auto"/>
      </w:pPr>
      <w:r w:rsidRPr="003B1997">
        <w:rPr>
          <w:i/>
          <w:iCs/>
        </w:rPr>
        <w:t>Le Comité technique de coordination</w:t>
      </w:r>
      <w:r>
        <w:t xml:space="preserve"> : Il est composé du personnel d’ONU Femmes et d’ONUDC et réunit en session trimestrielle dans les deux pays de manière rotative. </w:t>
      </w:r>
    </w:p>
    <w:p w14:paraId="5D872690" w14:textId="5390B56A" w:rsidR="00C72EF7" w:rsidRDefault="00C72EF7" w:rsidP="00C72EF7">
      <w:pPr>
        <w:pStyle w:val="Paragraphedeliste"/>
        <w:numPr>
          <w:ilvl w:val="0"/>
          <w:numId w:val="23"/>
        </w:numPr>
        <w:spacing w:line="276" w:lineRule="auto"/>
        <w:rPr>
          <w:rFonts w:cs="Times New Roman"/>
        </w:rPr>
      </w:pPr>
      <w:r w:rsidRPr="00171A3E">
        <w:t>L</w:t>
      </w:r>
      <w:r w:rsidRPr="003551E4">
        <w:t>es</w:t>
      </w:r>
      <w:r w:rsidRPr="0082559F">
        <w:rPr>
          <w:rFonts w:cs="Times New Roman"/>
        </w:rPr>
        <w:t xml:space="preserve"> parties </w:t>
      </w:r>
      <w:r>
        <w:rPr>
          <w:rFonts w:cs="Times New Roman"/>
        </w:rPr>
        <w:t>prenantes décrites plus haut le sont aussi bien pour la mise en œuvre des activités que pour l’évaluation finale indépendante. En effet, en plus de leur rôle d’orientation et de facilitation de l’évaluation (à travers le groupe de gestion et le groupe de référence de l’évaluation), les parties prenantes constituent aussi des s</w:t>
      </w:r>
      <w:r w:rsidRPr="00AA7336">
        <w:rPr>
          <w:rFonts w:cs="Times New Roman"/>
        </w:rPr>
        <w:t>ources</w:t>
      </w:r>
      <w:r>
        <w:rPr>
          <w:rFonts w:cs="Times New Roman"/>
        </w:rPr>
        <w:t xml:space="preserve"> </w:t>
      </w:r>
      <w:r w:rsidRPr="00AA7336">
        <w:rPr>
          <w:rFonts w:cs="Times New Roman"/>
        </w:rPr>
        <w:t xml:space="preserve">d’informations </w:t>
      </w:r>
      <w:r>
        <w:rPr>
          <w:rFonts w:cs="Times New Roman"/>
        </w:rPr>
        <w:t xml:space="preserve">pertinentes pour la collecte et l’analyse des critères d’évaluation (constats, conclusions, recommandations). L’analyse de l’intérêt de l’implication de chaque partie dans l’évaluation est présentée en annexe </w:t>
      </w:r>
      <w:r w:rsidR="00883CB4">
        <w:rPr>
          <w:rFonts w:cs="Times New Roman"/>
        </w:rPr>
        <w:t>4</w:t>
      </w:r>
      <w:r>
        <w:rPr>
          <w:rFonts w:cs="Times New Roman"/>
        </w:rPr>
        <w:t>.</w:t>
      </w:r>
    </w:p>
    <w:p w14:paraId="656E8422" w14:textId="77777777" w:rsidR="008D2E1A" w:rsidRDefault="008D2E1A" w:rsidP="008D2E1A">
      <w:pPr>
        <w:pStyle w:val="Paragraphedeliste"/>
        <w:spacing w:line="276" w:lineRule="auto"/>
        <w:ind w:left="360"/>
        <w:rPr>
          <w:rFonts w:cs="Times New Roman"/>
        </w:rPr>
      </w:pPr>
    </w:p>
    <w:p w14:paraId="03CAD799" w14:textId="5E266E7B" w:rsidR="00501DF5" w:rsidRDefault="00F9181F" w:rsidP="0024178E">
      <w:pPr>
        <w:pStyle w:val="Titre1"/>
        <w:numPr>
          <w:ilvl w:val="0"/>
          <w:numId w:val="81"/>
        </w:numPr>
      </w:pPr>
      <w:bookmarkStart w:id="22" w:name="_Toc95451849"/>
      <w:r>
        <w:t xml:space="preserve">BUT ET </w:t>
      </w:r>
      <w:r w:rsidR="00F478F3">
        <w:t>OBJE</w:t>
      </w:r>
      <w:r>
        <w:t>CTIFS</w:t>
      </w:r>
      <w:r w:rsidR="00F478F3">
        <w:t xml:space="preserve"> DE L’EVALUATION</w:t>
      </w:r>
      <w:bookmarkEnd w:id="22"/>
    </w:p>
    <w:p w14:paraId="7A5FE336" w14:textId="77777777" w:rsidR="001B78C5" w:rsidRDefault="001B78C5" w:rsidP="001B78C5">
      <w:pPr>
        <w:spacing w:line="276" w:lineRule="auto"/>
      </w:pPr>
    </w:p>
    <w:p w14:paraId="78AAE189" w14:textId="0F1091AE" w:rsidR="00C72EF7" w:rsidRDefault="00C72EF7" w:rsidP="00820BBD">
      <w:pPr>
        <w:pStyle w:val="Titre2"/>
        <w:numPr>
          <w:ilvl w:val="1"/>
          <w:numId w:val="81"/>
        </w:numPr>
      </w:pPr>
      <w:bookmarkStart w:id="23" w:name="_Toc95451850"/>
      <w:bookmarkStart w:id="24" w:name="_Toc39563191"/>
      <w:r>
        <w:t>Contexte de l’évaluation</w:t>
      </w:r>
      <w:bookmarkEnd w:id="23"/>
    </w:p>
    <w:p w14:paraId="33EC26D7" w14:textId="58CC3F9E" w:rsidR="00C72EF7" w:rsidRPr="000363D4" w:rsidRDefault="003E745B" w:rsidP="00C72EF7">
      <w:pPr>
        <w:pStyle w:val="Paragraphedeliste"/>
        <w:numPr>
          <w:ilvl w:val="0"/>
          <w:numId w:val="23"/>
        </w:numPr>
        <w:spacing w:line="276" w:lineRule="auto"/>
      </w:pPr>
      <w:r>
        <w:t>La présente évaluation intervient a</w:t>
      </w:r>
      <w:r w:rsidR="00C72EF7" w:rsidRPr="000363D4">
        <w:t xml:space="preserve">u terme de la mise en œuvre du projet </w:t>
      </w:r>
      <w:r w:rsidRPr="003E745B">
        <w:rPr>
          <w:i/>
          <w:iCs/>
        </w:rPr>
        <w:t>« Appui aux initiatives transfrontalières de dialogue communautaire avec les acteurs du secteur de la sécurité et de la justice pour la consolidation de la paix au Mali et au Niger »</w:t>
      </w:r>
      <w:r>
        <w:rPr>
          <w:i/>
          <w:iCs/>
        </w:rPr>
        <w:t>.</w:t>
      </w:r>
      <w:r>
        <w:t xml:space="preserve"> Elle </w:t>
      </w:r>
      <w:r w:rsidRPr="000363D4">
        <w:t xml:space="preserve">a été lancée </w:t>
      </w:r>
      <w:r w:rsidR="00C72EF7" w:rsidRPr="000363D4">
        <w:t xml:space="preserve">conformément au dispositif de </w:t>
      </w:r>
      <w:r w:rsidR="009F5BDE" w:rsidRPr="000363D4">
        <w:t>Suivi-</w:t>
      </w:r>
      <w:r w:rsidR="00E03F4E">
        <w:t>é</w:t>
      </w:r>
      <w:r w:rsidR="009F5BDE" w:rsidRPr="000363D4">
        <w:t>valuation</w:t>
      </w:r>
      <w:r w:rsidR="00C72EF7" w:rsidRPr="000363D4">
        <w:t xml:space="preserve"> du projet, afin de connaitre les niveaux d’atteinte des résultats ainsi que l’impact sur le terrain.</w:t>
      </w:r>
      <w:r w:rsidR="00C72EF7">
        <w:t xml:space="preserve"> </w:t>
      </w:r>
      <w:r w:rsidR="00C72EF7" w:rsidRPr="000363D4">
        <w:t xml:space="preserve">Le cabinet d’études AMD </w:t>
      </w:r>
      <w:r>
        <w:t>I</w:t>
      </w:r>
      <w:r w:rsidR="00C72EF7" w:rsidRPr="000363D4">
        <w:t xml:space="preserve">nternational a été mandaté pour réaliser cette évaluation finale qui a débuté le 20 mai 2021, </w:t>
      </w:r>
      <w:r>
        <w:t xml:space="preserve">et </w:t>
      </w:r>
      <w:r w:rsidR="00C72EF7" w:rsidRPr="000363D4">
        <w:t xml:space="preserve">est prévue s’achever le 13 décembre 2021. </w:t>
      </w:r>
    </w:p>
    <w:p w14:paraId="13580CB5" w14:textId="77777777" w:rsidR="00C72EF7" w:rsidRPr="00C72EF7" w:rsidRDefault="00C72EF7" w:rsidP="00EE1A66"/>
    <w:p w14:paraId="19C89FF4" w14:textId="2B12509A" w:rsidR="00F9181F" w:rsidRDefault="00F9181F" w:rsidP="00820BBD">
      <w:pPr>
        <w:pStyle w:val="Titre2"/>
        <w:numPr>
          <w:ilvl w:val="1"/>
          <w:numId w:val="81"/>
        </w:numPr>
      </w:pPr>
      <w:bookmarkStart w:id="25" w:name="_Toc95451851"/>
      <w:r>
        <w:t>But et objectifs de l’évaluation</w:t>
      </w:r>
      <w:bookmarkEnd w:id="25"/>
    </w:p>
    <w:p w14:paraId="40AD1042" w14:textId="53B8451A" w:rsidR="00F9181F" w:rsidRDefault="00F9181F" w:rsidP="00F9181F">
      <w:pPr>
        <w:pStyle w:val="Paragraphedeliste"/>
        <w:numPr>
          <w:ilvl w:val="0"/>
          <w:numId w:val="23"/>
        </w:numPr>
        <w:spacing w:line="276" w:lineRule="auto"/>
      </w:pPr>
      <w:r>
        <w:t>L</w:t>
      </w:r>
      <w:r w:rsidRPr="00DF1E28">
        <w:t>e but de cette évaluation est d’apprécier les résultats obtenus de la mise en œuvre du projet et de tirer les leçons pour la consolidation des acquis et les interventions futures.</w:t>
      </w:r>
      <w:r>
        <w:t xml:space="preserve"> Les conclusions et recommandations de l’évaluation devront permettre à ONU Femmes, à ONUDC et au PBF d’affiner leurs approches en matière de renforcement de la connaissance et du respect des droits humains et sur fond de consolidation de la paix au Mali et au Niger, particulièrement au niveau des zones transfrontalières.</w:t>
      </w:r>
    </w:p>
    <w:p w14:paraId="4A558BCB" w14:textId="77777777" w:rsidR="00F9181F" w:rsidRPr="00DF1E28" w:rsidRDefault="00F9181F" w:rsidP="00F9181F">
      <w:pPr>
        <w:pStyle w:val="Paragraphedeliste"/>
        <w:numPr>
          <w:ilvl w:val="0"/>
          <w:numId w:val="23"/>
        </w:numPr>
        <w:spacing w:line="276" w:lineRule="auto"/>
        <w:rPr>
          <w:rFonts w:cs="Times New Roman"/>
        </w:rPr>
      </w:pPr>
      <w:r>
        <w:t>Les objectifs spécifiques de l’évaluation sont les suivants :</w:t>
      </w:r>
    </w:p>
    <w:p w14:paraId="4EE0C017" w14:textId="77777777" w:rsidR="00F9181F" w:rsidRDefault="00F9181F" w:rsidP="00F9181F">
      <w:pPr>
        <w:numPr>
          <w:ilvl w:val="0"/>
          <w:numId w:val="1"/>
        </w:numPr>
        <w:spacing w:before="0" w:after="0" w:line="276" w:lineRule="auto"/>
      </w:pPr>
      <w:r>
        <w:t>Établir un bilan du projet en vue d’identifier les points forts et les points faibles de l’intervention ;</w:t>
      </w:r>
    </w:p>
    <w:p w14:paraId="1F3607ED" w14:textId="77777777" w:rsidR="00F9181F" w:rsidRDefault="00F9181F" w:rsidP="00F9181F">
      <w:pPr>
        <w:numPr>
          <w:ilvl w:val="0"/>
          <w:numId w:val="1"/>
        </w:numPr>
        <w:spacing w:before="0" w:after="0" w:line="276" w:lineRule="auto"/>
      </w:pPr>
      <w:r>
        <w:t>Faire l’état des lieux sur les résultats atteints et leurs contributions à la réalisation des objectifs de consolidation de la paix au Mali et au Niger en général et en particulier des zones du projet ;</w:t>
      </w:r>
    </w:p>
    <w:p w14:paraId="76DAD334" w14:textId="77777777" w:rsidR="00F9181F" w:rsidRDefault="00F9181F" w:rsidP="00F9181F">
      <w:pPr>
        <w:numPr>
          <w:ilvl w:val="0"/>
          <w:numId w:val="1"/>
        </w:numPr>
        <w:spacing w:before="0" w:after="0" w:line="276" w:lineRule="auto"/>
      </w:pPr>
      <w:r>
        <w:t>Dégager des mesures éventuelles à prendre pour assurer une pérennisation des actions ;</w:t>
      </w:r>
    </w:p>
    <w:p w14:paraId="43E5765D" w14:textId="77777777" w:rsidR="00F9181F" w:rsidRDefault="00F9181F" w:rsidP="00F9181F">
      <w:pPr>
        <w:numPr>
          <w:ilvl w:val="0"/>
          <w:numId w:val="1"/>
        </w:numPr>
        <w:spacing w:before="0" w:after="0" w:line="276" w:lineRule="auto"/>
      </w:pPr>
      <w:r>
        <w:t>Tirer les leçons apprises qui puissent contribuer à mieux orienter et éclairer la conception/mise en œuvre des interventions futures.</w:t>
      </w:r>
    </w:p>
    <w:p w14:paraId="2FCC6D7D" w14:textId="77777777" w:rsidR="00F9181F" w:rsidRPr="0065130C" w:rsidRDefault="00F9181F" w:rsidP="00F9181F">
      <w:pPr>
        <w:spacing w:line="276" w:lineRule="auto"/>
      </w:pPr>
    </w:p>
    <w:p w14:paraId="2A63209A" w14:textId="208B3EAB" w:rsidR="00C72EF7" w:rsidRPr="00DE5C16" w:rsidRDefault="00C72EF7" w:rsidP="00820BBD">
      <w:pPr>
        <w:pStyle w:val="Titre2"/>
        <w:numPr>
          <w:ilvl w:val="1"/>
          <w:numId w:val="81"/>
        </w:numPr>
      </w:pPr>
      <w:bookmarkStart w:id="26" w:name="_Toc95451852"/>
      <w:bookmarkEnd w:id="24"/>
      <w:r w:rsidRPr="00DE5C16">
        <w:t>Utilisation et utilisateurs des résultats de l’évaluation</w:t>
      </w:r>
      <w:bookmarkEnd w:id="26"/>
    </w:p>
    <w:p w14:paraId="37E66DA4" w14:textId="77777777" w:rsidR="00C72EF7" w:rsidRDefault="00C72EF7" w:rsidP="00C72EF7">
      <w:pPr>
        <w:pStyle w:val="Paragraphedeliste"/>
        <w:numPr>
          <w:ilvl w:val="0"/>
          <w:numId w:val="23"/>
        </w:numPr>
        <w:spacing w:line="276" w:lineRule="auto"/>
      </w:pPr>
      <w:r w:rsidRPr="00FA2D1A">
        <w:t xml:space="preserve">Les </w:t>
      </w:r>
      <w:r>
        <w:t>résultats de</w:t>
      </w:r>
      <w:r w:rsidRPr="00FA2D1A">
        <w:t xml:space="preserve"> l’évaluation seront utilisés par les différentes parties prenantes </w:t>
      </w:r>
      <w:r>
        <w:t xml:space="preserve">du projet notamment les partenaires de mise en œuvre (ONU Femmes et ONUDC) et le bailleur de fonds (PBF) </w:t>
      </w:r>
      <w:r w:rsidRPr="00FA2D1A">
        <w:t>pour :</w:t>
      </w:r>
    </w:p>
    <w:p w14:paraId="1E09012D" w14:textId="77777777" w:rsidR="00C72EF7" w:rsidRPr="00FA2D1A" w:rsidRDefault="00C72EF7" w:rsidP="00C72EF7">
      <w:pPr>
        <w:numPr>
          <w:ilvl w:val="0"/>
          <w:numId w:val="10"/>
        </w:numPr>
        <w:spacing w:before="0" w:after="0" w:line="276" w:lineRule="auto"/>
      </w:pPr>
      <w:bookmarkStart w:id="27" w:name="_Hlk92188718"/>
      <w:r w:rsidRPr="00FA2D1A">
        <w:t xml:space="preserve">Contribuer à l’élaboration de stratégies efficaces pour améliorer la participation des femmes dans les initiatives communautaires de dialogues et les </w:t>
      </w:r>
      <w:r>
        <w:t>MCPGC</w:t>
      </w:r>
      <w:r w:rsidRPr="00FA2D1A">
        <w:t xml:space="preserve"> </w:t>
      </w:r>
      <w:r>
        <w:t>y compris au niveau des espaces transfrontaliers</w:t>
      </w:r>
      <w:r w:rsidRPr="00FA2D1A">
        <w:t xml:space="preserve"> ;</w:t>
      </w:r>
    </w:p>
    <w:p w14:paraId="5A7ED198" w14:textId="77777777" w:rsidR="00C72EF7" w:rsidRPr="00FA2D1A" w:rsidRDefault="00C72EF7" w:rsidP="00C72EF7">
      <w:pPr>
        <w:numPr>
          <w:ilvl w:val="0"/>
          <w:numId w:val="10"/>
        </w:numPr>
        <w:spacing w:before="0" w:after="0" w:line="276" w:lineRule="auto"/>
      </w:pPr>
      <w:r w:rsidRPr="00FA2D1A">
        <w:t xml:space="preserve">Améliorer la mise en œuvre des normes et standards en matière de </w:t>
      </w:r>
      <w:r>
        <w:t xml:space="preserve">respect des droits humains, de </w:t>
      </w:r>
      <w:r w:rsidRPr="00FA2D1A">
        <w:t>paix et sécurité dans le processus de paix au Mali et au Niger ;</w:t>
      </w:r>
    </w:p>
    <w:p w14:paraId="4E3BA18A" w14:textId="77777777" w:rsidR="00C72EF7" w:rsidRPr="00FA2D1A" w:rsidRDefault="00C72EF7" w:rsidP="00C72EF7">
      <w:pPr>
        <w:numPr>
          <w:ilvl w:val="0"/>
          <w:numId w:val="10"/>
        </w:numPr>
        <w:spacing w:before="0" w:after="0" w:line="276" w:lineRule="auto"/>
      </w:pPr>
      <w:r w:rsidRPr="00FA2D1A">
        <w:t>Contribuer à la prise en compte de la perspective genre dans les mécanismes de paix</w:t>
      </w:r>
      <w:r>
        <w:t>. C</w:t>
      </w:r>
      <w:r w:rsidRPr="00FA2D1A">
        <w:t>ela inclut la représentation des femmes et des jeunes ;</w:t>
      </w:r>
    </w:p>
    <w:p w14:paraId="60B1057F" w14:textId="77777777" w:rsidR="00C72EF7" w:rsidRDefault="00C72EF7" w:rsidP="00C72EF7">
      <w:pPr>
        <w:numPr>
          <w:ilvl w:val="0"/>
          <w:numId w:val="10"/>
        </w:numPr>
        <w:spacing w:before="0" w:after="0" w:line="276" w:lineRule="auto"/>
      </w:pPr>
      <w:r w:rsidRPr="00FA2D1A">
        <w:t xml:space="preserve">Améliorer l’accès des femmes et des jeunes au sein des mécanismes </w:t>
      </w:r>
      <w:r>
        <w:t xml:space="preserve">locaux (formels et informels) et </w:t>
      </w:r>
      <w:r w:rsidRPr="00FA2D1A">
        <w:t>communautaires de prévention et de gestion des conflits transfrontaliers</w:t>
      </w:r>
      <w:r>
        <w:t> ;</w:t>
      </w:r>
    </w:p>
    <w:p w14:paraId="022CB53A" w14:textId="77777777" w:rsidR="00C72EF7" w:rsidRDefault="00C72EF7" w:rsidP="00C72EF7">
      <w:pPr>
        <w:numPr>
          <w:ilvl w:val="0"/>
          <w:numId w:val="10"/>
        </w:numPr>
        <w:spacing w:before="0" w:after="0" w:line="276" w:lineRule="auto"/>
      </w:pPr>
      <w:r>
        <w:t>Orienter la prise de décisions stratégique en matière de financement des projets transfrontaliers de consolidation de la paix</w:t>
      </w:r>
    </w:p>
    <w:bookmarkEnd w:id="27"/>
    <w:p w14:paraId="08312E9E" w14:textId="77777777" w:rsidR="00C72EF7" w:rsidRDefault="00C72EF7" w:rsidP="00C72EF7">
      <w:pPr>
        <w:spacing w:before="0" w:after="0" w:line="276" w:lineRule="auto"/>
      </w:pPr>
      <w:r>
        <w:t>Le tableau suivant résume les utilisateurs et les principales utilisations de l’évaluation.</w:t>
      </w:r>
    </w:p>
    <w:p w14:paraId="61D60DE2" w14:textId="1B5750CD" w:rsidR="00C72EF7" w:rsidRPr="005125B0" w:rsidRDefault="00C72EF7" w:rsidP="00C72EF7">
      <w:pPr>
        <w:pStyle w:val="TM8"/>
        <w:rPr>
          <w:b w:val="0"/>
          <w:i/>
          <w:color w:val="000000"/>
        </w:rPr>
      </w:pPr>
      <w:bookmarkStart w:id="28" w:name="_Toc92262103"/>
      <w:r>
        <w:t xml:space="preserve">Tableau </w:t>
      </w:r>
      <w:r>
        <w:fldChar w:fldCharType="begin"/>
      </w:r>
      <w:r>
        <w:instrText>SEQ Tableau \* ARABIC</w:instrText>
      </w:r>
      <w:r>
        <w:fldChar w:fldCharType="separate"/>
      </w:r>
      <w:r w:rsidR="0046716F">
        <w:rPr>
          <w:noProof/>
        </w:rPr>
        <w:t>2</w:t>
      </w:r>
      <w:r>
        <w:fldChar w:fldCharType="end"/>
      </w:r>
      <w:r>
        <w:rPr>
          <w:noProof/>
        </w:rPr>
        <w:t xml:space="preserve"> </w:t>
      </w:r>
      <w:r>
        <w:t xml:space="preserve">: </w:t>
      </w:r>
      <w:r w:rsidRPr="00C159E5">
        <w:t>Utilisateurs et utilisations de l’évaluation</w:t>
      </w:r>
      <w:bookmarkEnd w:id="28"/>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83"/>
        <w:gridCol w:w="2376"/>
        <w:gridCol w:w="1985"/>
        <w:gridCol w:w="2318"/>
      </w:tblGrid>
      <w:tr w:rsidR="00F54B3A" w14:paraId="2672540B" w14:textId="77777777" w:rsidTr="0020372B">
        <w:trPr>
          <w:tblHeader/>
        </w:trPr>
        <w:tc>
          <w:tcPr>
            <w:tcW w:w="1315" w:type="pct"/>
            <w:vMerge w:val="restar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37EEC349"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Utilisateurs</w:t>
            </w:r>
          </w:p>
          <w:p w14:paraId="5DC69512" w14:textId="77777777" w:rsidR="00F54B3A" w:rsidRPr="007007C9" w:rsidRDefault="00F54B3A" w:rsidP="0020372B">
            <w:pPr>
              <w:spacing w:after="0" w:line="240" w:lineRule="auto"/>
              <w:jc w:val="center"/>
              <w:rPr>
                <w:rFonts w:eastAsia="Times New Roman" w:cs="Times New Roman"/>
                <w:b/>
                <w:bCs/>
                <w:i/>
                <w:iCs/>
                <w:sz w:val="20"/>
                <w:szCs w:val="20"/>
              </w:rPr>
            </w:pPr>
            <w:r w:rsidRPr="007007C9">
              <w:rPr>
                <w:rFonts w:eastAsia="Times New Roman" w:cs="Times New Roman"/>
                <w:b/>
                <w:bCs/>
                <w:i/>
                <w:iCs/>
                <w:sz w:val="20"/>
                <w:szCs w:val="20"/>
              </w:rPr>
              <w:t xml:space="preserve">(Rôles) </w:t>
            </w:r>
          </w:p>
        </w:tc>
        <w:tc>
          <w:tcPr>
            <w:tcW w:w="3685" w:type="pct"/>
            <w:gridSpan w:val="3"/>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2651AD4E"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Utilisations</w:t>
            </w:r>
          </w:p>
        </w:tc>
      </w:tr>
      <w:tr w:rsidR="00F54B3A" w:rsidRPr="002F28C2" w14:paraId="2AFC0691" w14:textId="77777777" w:rsidTr="0020372B">
        <w:trPr>
          <w:trHeight w:val="463"/>
          <w:tblHeader/>
        </w:trPr>
        <w:tc>
          <w:tcPr>
            <w:tcW w:w="1315" w:type="pct"/>
            <w:vMerge/>
            <w:tcBorders>
              <w:top w:val="single" w:sz="4" w:space="0" w:color="0070C0"/>
              <w:left w:val="single" w:sz="4" w:space="0" w:color="0070C0"/>
              <w:bottom w:val="single" w:sz="4" w:space="0" w:color="0070C0"/>
              <w:right w:val="single" w:sz="4" w:space="0" w:color="0070C0"/>
            </w:tcBorders>
            <w:vAlign w:val="center"/>
            <w:hideMark/>
          </w:tcPr>
          <w:p w14:paraId="0B0EE126" w14:textId="77777777" w:rsidR="00F54B3A" w:rsidRDefault="00F54B3A" w:rsidP="0020372B">
            <w:pPr>
              <w:spacing w:before="0" w:after="0" w:line="256" w:lineRule="auto"/>
              <w:jc w:val="left"/>
              <w:rPr>
                <w:rFonts w:eastAsia="Times New Roman" w:cs="Times New Roman"/>
                <w:b/>
                <w:bCs/>
                <w:sz w:val="20"/>
                <w:szCs w:val="20"/>
              </w:rPr>
            </w:pPr>
          </w:p>
        </w:tc>
        <w:tc>
          <w:tcPr>
            <w:tcW w:w="1311"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54E0164A"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Apprentissage et amélioration de la prise de décision</w:t>
            </w:r>
          </w:p>
        </w:tc>
        <w:tc>
          <w:tcPr>
            <w:tcW w:w="1095"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33C40A85"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Responsabilité / Redevabilité</w:t>
            </w:r>
          </w:p>
        </w:tc>
        <w:tc>
          <w:tcPr>
            <w:tcW w:w="1279"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tcPr>
          <w:p w14:paraId="02D470E7"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 xml:space="preserve">Mobilisation des parties prenantes nationales </w:t>
            </w:r>
          </w:p>
        </w:tc>
      </w:tr>
      <w:tr w:rsidR="00F54B3A" w:rsidRPr="001B60DD" w14:paraId="564B1058" w14:textId="77777777" w:rsidTr="0020372B">
        <w:trPr>
          <w:trHeight w:val="1337"/>
        </w:trPr>
        <w:tc>
          <w:tcPr>
            <w:tcW w:w="1315" w:type="pct"/>
            <w:tcBorders>
              <w:top w:val="single" w:sz="4" w:space="0" w:color="0070C0"/>
              <w:left w:val="single" w:sz="4" w:space="0" w:color="0070C0"/>
              <w:bottom w:val="single" w:sz="4" w:space="0" w:color="0070C0"/>
              <w:right w:val="single" w:sz="4" w:space="0" w:color="0070C0"/>
            </w:tcBorders>
            <w:vAlign w:val="center"/>
            <w:hideMark/>
          </w:tcPr>
          <w:p w14:paraId="2194A872"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Bureaux pays et bureaux régionaux de l’ONU Femmes et de ONUDC</w:t>
            </w:r>
          </w:p>
          <w:p w14:paraId="5F0ED7A2"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w:t>
            </w:r>
          </w:p>
        </w:tc>
        <w:tc>
          <w:tcPr>
            <w:tcW w:w="1311" w:type="pct"/>
            <w:tcBorders>
              <w:top w:val="single" w:sz="4" w:space="0" w:color="0070C0"/>
              <w:left w:val="single" w:sz="4" w:space="0" w:color="0070C0"/>
              <w:bottom w:val="single" w:sz="4" w:space="0" w:color="0070C0"/>
              <w:right w:val="single" w:sz="4" w:space="0" w:color="0070C0"/>
            </w:tcBorders>
            <w:hideMark/>
          </w:tcPr>
          <w:p w14:paraId="577340DC"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7B8C1E0C" w14:textId="77777777" w:rsidR="00F54B3A" w:rsidRPr="007007C9"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969A24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74844C32"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w:t>
            </w:r>
          </w:p>
        </w:tc>
        <w:tc>
          <w:tcPr>
            <w:tcW w:w="1279" w:type="pct"/>
            <w:tcBorders>
              <w:top w:val="single" w:sz="4" w:space="0" w:color="0070C0"/>
              <w:left w:val="single" w:sz="4" w:space="0" w:color="0070C0"/>
              <w:bottom w:val="single" w:sz="4" w:space="0" w:color="0070C0"/>
              <w:right w:val="single" w:sz="4" w:space="0" w:color="0070C0"/>
            </w:tcBorders>
          </w:tcPr>
          <w:p w14:paraId="126C0D68"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effets positifs au niveau communautaire et institutionnel induits par projet </w:t>
            </w:r>
          </w:p>
        </w:tc>
      </w:tr>
      <w:tr w:rsidR="00F54B3A" w:rsidRPr="001B60DD" w14:paraId="2B95F221"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18BED756"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 xml:space="preserve">Gouvernement &amp; Institutions </w:t>
            </w:r>
            <w:r>
              <w:rPr>
                <w:rFonts w:eastAsia="Times New Roman" w:cs="Times New Roman"/>
                <w:sz w:val="20"/>
                <w:szCs w:val="20"/>
              </w:rPr>
              <w:br/>
              <w:t>au niveau central et régional</w:t>
            </w:r>
          </w:p>
          <w:p w14:paraId="6C57D023"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 et de responsabilités)</w:t>
            </w:r>
          </w:p>
        </w:tc>
        <w:tc>
          <w:tcPr>
            <w:tcW w:w="1311" w:type="pct"/>
            <w:tcBorders>
              <w:top w:val="single" w:sz="4" w:space="0" w:color="0070C0"/>
              <w:left w:val="single" w:sz="4" w:space="0" w:color="0070C0"/>
              <w:bottom w:val="single" w:sz="4" w:space="0" w:color="0070C0"/>
              <w:right w:val="single" w:sz="4" w:space="0" w:color="0070C0"/>
            </w:tcBorders>
            <w:hideMark/>
          </w:tcPr>
          <w:p w14:paraId="7FD8BD01"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38D7DDF4"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C6AA697"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3285DD9A"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w:t>
            </w:r>
          </w:p>
        </w:tc>
        <w:tc>
          <w:tcPr>
            <w:tcW w:w="1279" w:type="pct"/>
            <w:tcBorders>
              <w:top w:val="single" w:sz="4" w:space="0" w:color="0070C0"/>
              <w:left w:val="single" w:sz="4" w:space="0" w:color="0070C0"/>
              <w:bottom w:val="single" w:sz="4" w:space="0" w:color="0070C0"/>
              <w:right w:val="single" w:sz="4" w:space="0" w:color="0070C0"/>
            </w:tcBorders>
          </w:tcPr>
          <w:p w14:paraId="54932241"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effets positifs au niveau communautaire et institutionnel induits par projet</w:t>
            </w:r>
          </w:p>
        </w:tc>
      </w:tr>
      <w:tr w:rsidR="00F54B3A" w:rsidRPr="00DD4F76" w14:paraId="2FE19AC4"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tcPr>
          <w:p w14:paraId="32769FA6"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Bailleurs de fonds (PBF)</w:t>
            </w:r>
          </w:p>
          <w:p w14:paraId="0BD77DF9"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w:t>
            </w:r>
          </w:p>
          <w:p w14:paraId="650864B0" w14:textId="77777777" w:rsidR="00F54B3A" w:rsidRDefault="00F54B3A" w:rsidP="0020372B">
            <w:pPr>
              <w:spacing w:after="0" w:line="240" w:lineRule="auto"/>
              <w:rPr>
                <w:rFonts w:eastAsia="Times New Roman" w:cs="Times New Roman"/>
                <w:sz w:val="20"/>
                <w:szCs w:val="20"/>
              </w:rPr>
            </w:pPr>
          </w:p>
        </w:tc>
        <w:tc>
          <w:tcPr>
            <w:tcW w:w="1311" w:type="pct"/>
            <w:tcBorders>
              <w:top w:val="single" w:sz="4" w:space="0" w:color="0070C0"/>
              <w:left w:val="single" w:sz="4" w:space="0" w:color="0070C0"/>
              <w:bottom w:val="single" w:sz="4" w:space="0" w:color="0070C0"/>
              <w:right w:val="single" w:sz="4" w:space="0" w:color="0070C0"/>
            </w:tcBorders>
            <w:hideMark/>
          </w:tcPr>
          <w:p w14:paraId="0E0BACBA"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70EE078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p w14:paraId="76A49DF6"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Priorités stratégiques de financement </w:t>
            </w:r>
          </w:p>
        </w:tc>
        <w:tc>
          <w:tcPr>
            <w:tcW w:w="1095" w:type="pct"/>
            <w:tcBorders>
              <w:top w:val="single" w:sz="4" w:space="0" w:color="0070C0"/>
              <w:left w:val="single" w:sz="4" w:space="0" w:color="0070C0"/>
              <w:bottom w:val="single" w:sz="4" w:space="0" w:color="0070C0"/>
              <w:right w:val="single" w:sz="4" w:space="0" w:color="0070C0"/>
            </w:tcBorders>
          </w:tcPr>
          <w:p w14:paraId="244CDC62"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33AF5260" w14:textId="77777777" w:rsidR="00F54B3A" w:rsidRPr="002F28C2" w:rsidRDefault="00F54B3A" w:rsidP="0020372B">
            <w:pPr>
              <w:numPr>
                <w:ilvl w:val="0"/>
                <w:numId w:val="24"/>
              </w:numPr>
              <w:spacing w:after="0" w:line="240" w:lineRule="auto"/>
              <w:ind w:left="89" w:hanging="142"/>
              <w:rPr>
                <w:rFonts w:eastAsia="Times New Roman" w:cs="Times New Roman"/>
                <w:sz w:val="20"/>
                <w:szCs w:val="20"/>
              </w:rPr>
            </w:pPr>
            <w:r>
              <w:rPr>
                <w:rFonts w:eastAsia="Times New Roman" w:cs="Times New Roman"/>
                <w:sz w:val="20"/>
                <w:szCs w:val="20"/>
              </w:rPr>
              <w:t>Niveau de participation et d’inclusion</w:t>
            </w:r>
          </w:p>
        </w:tc>
        <w:tc>
          <w:tcPr>
            <w:tcW w:w="1279" w:type="pct"/>
            <w:tcBorders>
              <w:top w:val="single" w:sz="4" w:space="0" w:color="0070C0"/>
              <w:left w:val="single" w:sz="4" w:space="0" w:color="0070C0"/>
              <w:bottom w:val="single" w:sz="4" w:space="0" w:color="0070C0"/>
              <w:right w:val="single" w:sz="4" w:space="0" w:color="0070C0"/>
            </w:tcBorders>
          </w:tcPr>
          <w:p w14:paraId="67F7FE3F" w14:textId="77777777" w:rsidR="00F54B3A" w:rsidRPr="002F28C2" w:rsidRDefault="00F54B3A" w:rsidP="0020372B">
            <w:pPr>
              <w:numPr>
                <w:ilvl w:val="0"/>
                <w:numId w:val="24"/>
              </w:numPr>
              <w:spacing w:after="0" w:line="240" w:lineRule="auto"/>
              <w:ind w:left="89" w:hanging="142"/>
              <w:rPr>
                <w:rFonts w:eastAsia="Times New Roman" w:cs="Times New Roman"/>
                <w:sz w:val="20"/>
                <w:szCs w:val="20"/>
              </w:rPr>
            </w:pPr>
            <w:r>
              <w:rPr>
                <w:rFonts w:eastAsia="Times New Roman" w:cs="Times New Roman"/>
                <w:sz w:val="20"/>
                <w:szCs w:val="20"/>
              </w:rPr>
              <w:t>Les effets positifs au niveau communautaire et institutionnel induits par projet</w:t>
            </w:r>
          </w:p>
        </w:tc>
      </w:tr>
      <w:tr w:rsidR="00F54B3A" w:rsidRPr="001B60DD" w14:paraId="3CB4454B"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7CFB2FE9"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Société civile</w:t>
            </w:r>
          </w:p>
          <w:p w14:paraId="4B69EE43" w14:textId="77777777" w:rsidR="00F54B3A" w:rsidRPr="007007C9" w:rsidRDefault="00F54B3A" w:rsidP="0020372B">
            <w:pPr>
              <w:spacing w:after="0" w:line="240" w:lineRule="auto"/>
              <w:jc w:val="left"/>
              <w:rPr>
                <w:rFonts w:eastAsia="Times New Roman" w:cs="Times New Roman"/>
                <w:i/>
                <w:iCs/>
                <w:sz w:val="20"/>
                <w:szCs w:val="20"/>
              </w:rPr>
            </w:pPr>
            <w:r w:rsidRPr="007007C9">
              <w:rPr>
                <w:rFonts w:eastAsia="Times New Roman" w:cs="Times New Roman"/>
                <w:i/>
                <w:iCs/>
                <w:sz w:val="20"/>
                <w:szCs w:val="20"/>
              </w:rPr>
              <w:t>(Titulaires de responsabilités)</w:t>
            </w:r>
          </w:p>
        </w:tc>
        <w:tc>
          <w:tcPr>
            <w:tcW w:w="1311" w:type="pct"/>
            <w:tcBorders>
              <w:top w:val="single" w:sz="4" w:space="0" w:color="0070C0"/>
              <w:left w:val="single" w:sz="4" w:space="0" w:color="0070C0"/>
              <w:bottom w:val="single" w:sz="4" w:space="0" w:color="0070C0"/>
              <w:right w:val="single" w:sz="4" w:space="0" w:color="0070C0"/>
            </w:tcBorders>
            <w:hideMark/>
          </w:tcPr>
          <w:p w14:paraId="39E65A7B"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5529E7D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3B0F88E"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773C2F4E"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des femmes &amp; jeunes </w:t>
            </w:r>
          </w:p>
        </w:tc>
        <w:tc>
          <w:tcPr>
            <w:tcW w:w="1279" w:type="pct"/>
            <w:tcBorders>
              <w:top w:val="single" w:sz="4" w:space="0" w:color="0070C0"/>
              <w:left w:val="single" w:sz="4" w:space="0" w:color="0070C0"/>
              <w:bottom w:val="single" w:sz="4" w:space="0" w:color="0070C0"/>
              <w:right w:val="single" w:sz="4" w:space="0" w:color="0070C0"/>
            </w:tcBorders>
          </w:tcPr>
          <w:p w14:paraId="5AEFCDBA" w14:textId="77777777" w:rsidR="00F54B3A" w:rsidRDefault="00F54B3A" w:rsidP="0020372B">
            <w:pPr>
              <w:pStyle w:val="Paragraphedeliste"/>
              <w:spacing w:before="0" w:after="0" w:line="240" w:lineRule="auto"/>
              <w:ind w:left="89"/>
              <w:jc w:val="left"/>
              <w:rPr>
                <w:rFonts w:eastAsia="Times New Roman" w:cs="Times New Roman"/>
                <w:sz w:val="20"/>
                <w:szCs w:val="20"/>
              </w:rPr>
            </w:pPr>
          </w:p>
        </w:tc>
      </w:tr>
      <w:tr w:rsidR="00F54B3A" w:rsidRPr="00DD4F76" w14:paraId="5FD5C702"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6AD31739" w14:textId="77777777" w:rsidR="00F54B3A" w:rsidRDefault="00F54B3A" w:rsidP="0020372B">
            <w:pPr>
              <w:spacing w:after="0" w:line="240" w:lineRule="auto"/>
              <w:rPr>
                <w:rFonts w:eastAsia="Times New Roman" w:cs="Times New Roman"/>
                <w:color w:val="000000"/>
                <w:sz w:val="20"/>
                <w:szCs w:val="20"/>
              </w:rPr>
            </w:pPr>
            <w:r>
              <w:rPr>
                <w:rFonts w:eastAsia="Times New Roman" w:cs="Times New Roman"/>
                <w:color w:val="000000"/>
                <w:sz w:val="20"/>
                <w:szCs w:val="20"/>
              </w:rPr>
              <w:t>Associations de femmes et de jeunes</w:t>
            </w:r>
          </w:p>
          <w:p w14:paraId="3F2EE2C3" w14:textId="77777777" w:rsidR="00F54B3A" w:rsidRPr="007007C9" w:rsidRDefault="00F54B3A" w:rsidP="0020372B">
            <w:pPr>
              <w:spacing w:after="0" w:line="240" w:lineRule="auto"/>
              <w:rPr>
                <w:rFonts w:eastAsia="Times New Roman" w:cs="Times New Roman"/>
                <w:i/>
                <w:iCs/>
                <w:color w:val="000000"/>
                <w:sz w:val="20"/>
                <w:szCs w:val="20"/>
              </w:rPr>
            </w:pPr>
            <w:r w:rsidRPr="007007C9">
              <w:rPr>
                <w:rFonts w:eastAsia="Times New Roman" w:cs="Times New Roman"/>
                <w:i/>
                <w:iCs/>
                <w:sz w:val="20"/>
                <w:szCs w:val="20"/>
              </w:rPr>
              <w:t>(Titulaires de droits)</w:t>
            </w:r>
          </w:p>
        </w:tc>
        <w:tc>
          <w:tcPr>
            <w:tcW w:w="1311" w:type="pct"/>
            <w:tcBorders>
              <w:top w:val="single" w:sz="4" w:space="0" w:color="0070C0"/>
              <w:left w:val="single" w:sz="4" w:space="0" w:color="0070C0"/>
              <w:bottom w:val="single" w:sz="4" w:space="0" w:color="0070C0"/>
              <w:right w:val="single" w:sz="4" w:space="0" w:color="0070C0"/>
            </w:tcBorders>
            <w:hideMark/>
          </w:tcPr>
          <w:p w14:paraId="04BE32D4"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0FB09648"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tcPr>
          <w:p w14:paraId="04820288" w14:textId="77777777" w:rsidR="00F54B3A" w:rsidRDefault="00F54B3A" w:rsidP="0020372B">
            <w:pPr>
              <w:spacing w:after="0" w:line="240" w:lineRule="auto"/>
              <w:ind w:left="89"/>
              <w:rPr>
                <w:rFonts w:eastAsia="Times New Roman" w:cs="Times New Roman"/>
                <w:sz w:val="20"/>
                <w:szCs w:val="20"/>
              </w:rPr>
            </w:pPr>
          </w:p>
        </w:tc>
        <w:tc>
          <w:tcPr>
            <w:tcW w:w="1279" w:type="pct"/>
            <w:tcBorders>
              <w:top w:val="single" w:sz="4" w:space="0" w:color="0070C0"/>
              <w:left w:val="single" w:sz="4" w:space="0" w:color="0070C0"/>
              <w:bottom w:val="single" w:sz="4" w:space="0" w:color="0070C0"/>
              <w:right w:val="single" w:sz="4" w:space="0" w:color="0070C0"/>
            </w:tcBorders>
          </w:tcPr>
          <w:p w14:paraId="0AA7BBA1" w14:textId="77777777" w:rsidR="00F54B3A" w:rsidRDefault="00F54B3A" w:rsidP="0020372B">
            <w:pPr>
              <w:spacing w:after="0" w:line="240" w:lineRule="auto"/>
              <w:ind w:left="89"/>
              <w:rPr>
                <w:rFonts w:eastAsia="Times New Roman" w:cs="Times New Roman"/>
                <w:sz w:val="20"/>
                <w:szCs w:val="20"/>
              </w:rPr>
            </w:pPr>
          </w:p>
        </w:tc>
      </w:tr>
    </w:tbl>
    <w:p w14:paraId="142FBC44" w14:textId="79558307" w:rsidR="00C72EF7" w:rsidRDefault="00C72EF7" w:rsidP="00C72EF7">
      <w:pPr>
        <w:spacing w:before="0" w:after="0" w:line="276" w:lineRule="auto"/>
        <w:rPr>
          <w:sz w:val="20"/>
          <w:szCs w:val="20"/>
        </w:rPr>
      </w:pPr>
      <w:r w:rsidRPr="007007C9">
        <w:rPr>
          <w:sz w:val="20"/>
          <w:szCs w:val="20"/>
        </w:rPr>
        <w:t xml:space="preserve">Source : Auteur </w:t>
      </w:r>
    </w:p>
    <w:p w14:paraId="065645D6" w14:textId="77777777" w:rsidR="00C72EF7" w:rsidRDefault="00C72EF7" w:rsidP="00C72EF7">
      <w:pPr>
        <w:spacing w:before="0" w:after="0" w:line="276" w:lineRule="auto"/>
        <w:rPr>
          <w:sz w:val="20"/>
          <w:szCs w:val="20"/>
        </w:rPr>
      </w:pPr>
    </w:p>
    <w:p w14:paraId="25B080EE" w14:textId="14A25DF0" w:rsidR="008512DA" w:rsidRPr="009A3CCD" w:rsidRDefault="008512DA" w:rsidP="0024178E">
      <w:pPr>
        <w:pStyle w:val="Titre1"/>
        <w:numPr>
          <w:ilvl w:val="0"/>
          <w:numId w:val="81"/>
        </w:numPr>
      </w:pPr>
      <w:bookmarkStart w:id="29" w:name="_Toc95451853"/>
      <w:r>
        <w:t>CHAMPS D’A</w:t>
      </w:r>
      <w:r w:rsidR="00481CB2">
        <w:t>CTION</w:t>
      </w:r>
      <w:r w:rsidRPr="003A030E">
        <w:t xml:space="preserve"> DE L’EVALUATION</w:t>
      </w:r>
      <w:r w:rsidR="00E673A3">
        <w:t>, CRITERES ET QUESTIONS D’EVALUATION</w:t>
      </w:r>
      <w:bookmarkEnd w:id="29"/>
    </w:p>
    <w:p w14:paraId="390C4CE8" w14:textId="77777777" w:rsidR="007537DE" w:rsidRDefault="007537DE" w:rsidP="0074787C"/>
    <w:p w14:paraId="57390569" w14:textId="71024A77" w:rsidR="007537DE" w:rsidRPr="00FA2D1A" w:rsidRDefault="007537DE" w:rsidP="00820BBD">
      <w:pPr>
        <w:pStyle w:val="Titre2"/>
        <w:numPr>
          <w:ilvl w:val="1"/>
          <w:numId w:val="81"/>
        </w:numPr>
      </w:pPr>
      <w:bookmarkStart w:id="30" w:name="_Toc95451854"/>
      <w:r>
        <w:t>Champ d’action de l’évaluation</w:t>
      </w:r>
      <w:bookmarkEnd w:id="30"/>
    </w:p>
    <w:p w14:paraId="4B94D5A5" w14:textId="77777777" w:rsidR="00EB5EA3" w:rsidRPr="00740445" w:rsidRDefault="00EB5EA3" w:rsidP="00991DA8">
      <w:pPr>
        <w:spacing w:after="0" w:line="276" w:lineRule="auto"/>
        <w:rPr>
          <w:rFonts w:ascii="Times New Roman" w:hAnsi="Times New Roman" w:cs="Times New Roman"/>
          <w:sz w:val="2"/>
          <w:szCs w:val="2"/>
        </w:rPr>
      </w:pPr>
    </w:p>
    <w:p w14:paraId="518EC3E5" w14:textId="5363D0E7" w:rsidR="000C76A5" w:rsidRPr="005125B0" w:rsidRDefault="000C76A5" w:rsidP="000C76A5">
      <w:pPr>
        <w:pStyle w:val="Paragraphedeliste"/>
        <w:numPr>
          <w:ilvl w:val="0"/>
          <w:numId w:val="23"/>
        </w:numPr>
        <w:spacing w:line="276" w:lineRule="auto"/>
        <w:rPr>
          <w:color w:val="000000"/>
        </w:rPr>
      </w:pPr>
      <w:r w:rsidRPr="003C242D">
        <w:rPr>
          <w:b/>
          <w:bCs/>
        </w:rPr>
        <w:t>Champ temporel :</w:t>
      </w:r>
      <w:r>
        <w:rPr>
          <w:b/>
          <w:bCs/>
        </w:rPr>
        <w:t xml:space="preserve"> </w:t>
      </w:r>
      <w:r w:rsidRPr="005125B0">
        <w:rPr>
          <w:color w:val="000000"/>
        </w:rPr>
        <w:t xml:space="preserve">L’évaluation a couvert toute </w:t>
      </w:r>
      <w:r w:rsidR="00E673A3" w:rsidRPr="005125B0">
        <w:rPr>
          <w:color w:val="000000"/>
        </w:rPr>
        <w:t xml:space="preserve">la </w:t>
      </w:r>
      <w:r w:rsidRPr="005125B0">
        <w:rPr>
          <w:color w:val="000000"/>
        </w:rPr>
        <w:t>période de mise en œuvre</w:t>
      </w:r>
      <w:r w:rsidR="00E673A3" w:rsidRPr="005125B0">
        <w:rPr>
          <w:color w:val="000000"/>
        </w:rPr>
        <w:t xml:space="preserve"> du projet</w:t>
      </w:r>
      <w:r w:rsidRPr="005125B0">
        <w:rPr>
          <w:color w:val="000000"/>
        </w:rPr>
        <w:t>.</w:t>
      </w:r>
      <w:r w:rsidR="00E673A3" w:rsidRPr="005125B0">
        <w:rPr>
          <w:color w:val="000000"/>
        </w:rPr>
        <w:t xml:space="preserve"> Cette période s’étend de janvier 2019 à mars 2021, y compris le temps de prolongation sans coût (no cost extension).</w:t>
      </w:r>
      <w:r w:rsidRPr="005125B0">
        <w:rPr>
          <w:color w:val="000000"/>
        </w:rPr>
        <w:t xml:space="preserve"> </w:t>
      </w:r>
    </w:p>
    <w:p w14:paraId="150395DD" w14:textId="2BC2CDCE" w:rsidR="00B65941" w:rsidRPr="005125B0" w:rsidRDefault="000C76A5" w:rsidP="00B65941">
      <w:pPr>
        <w:pStyle w:val="Paragraphedeliste"/>
        <w:numPr>
          <w:ilvl w:val="0"/>
          <w:numId w:val="23"/>
        </w:numPr>
        <w:spacing w:line="276" w:lineRule="auto"/>
        <w:rPr>
          <w:color w:val="000000"/>
        </w:rPr>
      </w:pPr>
      <w:r w:rsidRPr="003C242D">
        <w:rPr>
          <w:b/>
          <w:bCs/>
        </w:rPr>
        <w:t>Champ géographique :</w:t>
      </w:r>
      <w:r>
        <w:rPr>
          <w:b/>
          <w:bCs/>
        </w:rPr>
        <w:t xml:space="preserve"> </w:t>
      </w:r>
      <w:r w:rsidR="00B65941" w:rsidRPr="005125B0">
        <w:rPr>
          <w:color w:val="000000"/>
        </w:rPr>
        <w:t xml:space="preserve">Dans le cadre de cette évaluation, toutes les 8 communes d’intervention du projet ont été couvertes. Il s’agit des communes </w:t>
      </w:r>
      <w:r w:rsidR="00624C09" w:rsidRPr="005125B0">
        <w:rPr>
          <w:color w:val="000000"/>
        </w:rPr>
        <w:t xml:space="preserve">transfronatlières </w:t>
      </w:r>
      <w:r w:rsidR="00B65941" w:rsidRPr="005125B0">
        <w:rPr>
          <w:color w:val="000000"/>
        </w:rPr>
        <w:t>de Ménaka</w:t>
      </w:r>
      <w:r w:rsidR="00624C09" w:rsidRPr="005125B0">
        <w:rPr>
          <w:color w:val="000000"/>
        </w:rPr>
        <w:t>, d’Anderamboukane, de Tessit et de Ouatagouna au Mali et de Gorool, Bankilaré, Ayerou et Banibangou au Niger. Des rencontres se sont aussi tenues au niveau central à Bamako et au Niger avec des acteurs étatiques.</w:t>
      </w:r>
      <w:r w:rsidR="007760A2" w:rsidRPr="005125B0">
        <w:rPr>
          <w:color w:val="000000"/>
        </w:rPr>
        <w:t xml:space="preserve"> </w:t>
      </w:r>
    </w:p>
    <w:p w14:paraId="2762F544" w14:textId="77777777" w:rsidR="000C76A5" w:rsidRPr="005125B0" w:rsidRDefault="000C76A5" w:rsidP="000C76A5">
      <w:pPr>
        <w:pStyle w:val="Paragraphedeliste"/>
        <w:numPr>
          <w:ilvl w:val="0"/>
          <w:numId w:val="23"/>
        </w:numPr>
        <w:spacing w:line="276" w:lineRule="auto"/>
        <w:rPr>
          <w:color w:val="000000"/>
        </w:rPr>
      </w:pPr>
      <w:r w:rsidRPr="003C242D">
        <w:rPr>
          <w:b/>
          <w:bCs/>
        </w:rPr>
        <w:t>Champ thématique :</w:t>
      </w:r>
      <w:r>
        <w:rPr>
          <w:b/>
          <w:bCs/>
        </w:rPr>
        <w:t xml:space="preserve"> </w:t>
      </w:r>
      <w:r w:rsidRPr="005125B0">
        <w:rPr>
          <w:color w:val="000000"/>
        </w:rPr>
        <w:t xml:space="preserve">Le projet comprend principalement quatre volets que sont : </w:t>
      </w:r>
    </w:p>
    <w:p w14:paraId="1A680BD8"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participation des femmes et des jeunes dans la prévention et la résolution des conflits intra et intercommunautaires au sein des MCPGC des communes et des villages y compris au niveau transfrontalier Mali</w:t>
      </w:r>
      <w:r w:rsidRPr="005125B0">
        <w:rPr>
          <w:rFonts w:ascii="Cambria Math" w:hAnsi="Cambria Math"/>
          <w:color w:val="000000"/>
        </w:rPr>
        <w:t>‐</w:t>
      </w:r>
      <w:r w:rsidRPr="005125B0">
        <w:rPr>
          <w:color w:val="000000"/>
        </w:rPr>
        <w:t>Niger ;</w:t>
      </w:r>
    </w:p>
    <w:p w14:paraId="249B24A7"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Le rôle des femmes et des jeunes dans le renforcement de la cohésion sociale et la réconciliation dans les communautés y compris au niveau transfrontalier ;</w:t>
      </w:r>
    </w:p>
    <w:p w14:paraId="6ED9E392"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prise en compte des priorités des femmes et des jeunes dans les initiatives et mécanismes communautaires de paix ;</w:t>
      </w:r>
    </w:p>
    <w:p w14:paraId="37FC4E20"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promotion et le respect des droits humains et spécifiquement les droits des femmes et des filles par les acteurs de la sécurité et de la justice au niveau transfrontalier.</w:t>
      </w:r>
    </w:p>
    <w:p w14:paraId="654E05A7" w14:textId="77777777" w:rsidR="000C76A5" w:rsidRPr="00E4322F" w:rsidRDefault="000C76A5" w:rsidP="000C76A5">
      <w:pPr>
        <w:pStyle w:val="Paragraphedeliste"/>
        <w:numPr>
          <w:ilvl w:val="0"/>
          <w:numId w:val="23"/>
        </w:numPr>
        <w:spacing w:line="276" w:lineRule="auto"/>
        <w:rPr>
          <w:color w:val="000000"/>
        </w:rPr>
      </w:pPr>
      <w:r w:rsidRPr="005125B0">
        <w:rPr>
          <w:color w:val="000000"/>
        </w:rPr>
        <w:t>Tous ces volets</w:t>
      </w:r>
      <w:r>
        <w:t xml:space="preserve"> </w:t>
      </w:r>
      <w:r w:rsidRPr="00E4322F">
        <w:rPr>
          <w:color w:val="000000"/>
        </w:rPr>
        <w:t>du projet y compris la contribution à la réponse à la pandémie de la COVID-19 au niveau local ont constitué le champ thématique de l’évaluation.</w:t>
      </w:r>
    </w:p>
    <w:p w14:paraId="7D3BC450" w14:textId="77777777" w:rsidR="000C76A5" w:rsidRPr="00E4322F" w:rsidRDefault="000C76A5" w:rsidP="000C76A5">
      <w:pPr>
        <w:spacing w:before="0" w:after="0" w:line="276" w:lineRule="auto"/>
        <w:rPr>
          <w:color w:val="000000"/>
          <w:sz w:val="10"/>
        </w:rPr>
      </w:pPr>
    </w:p>
    <w:p w14:paraId="2EE16DE5" w14:textId="6703090E" w:rsidR="00481CB2" w:rsidRPr="00E4322F" w:rsidRDefault="00481CB2" w:rsidP="002520CE">
      <w:pPr>
        <w:spacing w:after="0" w:line="276" w:lineRule="auto"/>
        <w:rPr>
          <w:color w:val="000000"/>
          <w:sz w:val="16"/>
        </w:rPr>
      </w:pPr>
      <w:bookmarkStart w:id="31" w:name="_Toc75190155"/>
      <w:bookmarkStart w:id="32" w:name="_Toc75191351"/>
      <w:bookmarkStart w:id="33" w:name="_Toc75192547"/>
      <w:bookmarkStart w:id="34" w:name="_Toc75193743"/>
      <w:bookmarkStart w:id="35" w:name="_Toc75194941"/>
      <w:bookmarkStart w:id="36" w:name="_Toc75196137"/>
      <w:bookmarkStart w:id="37" w:name="_Toc75197333"/>
      <w:bookmarkStart w:id="38" w:name="_Toc75198529"/>
      <w:bookmarkStart w:id="39" w:name="_Toc75199725"/>
      <w:bookmarkStart w:id="40" w:name="_Toc75200922"/>
      <w:bookmarkStart w:id="41" w:name="_Toc75202119"/>
      <w:bookmarkStart w:id="42" w:name="_Toc75203323"/>
      <w:bookmarkStart w:id="43" w:name="_Toc75204520"/>
      <w:bookmarkStart w:id="44" w:name="_Toc75205731"/>
      <w:bookmarkStart w:id="45" w:name="_Toc75239135"/>
      <w:bookmarkStart w:id="46" w:name="_Toc7524033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2CAB3E4" w14:textId="68B31CB7" w:rsidR="002E6D8C" w:rsidRPr="00A737A3" w:rsidRDefault="00547D8B" w:rsidP="00820BBD">
      <w:pPr>
        <w:pStyle w:val="Titre2"/>
        <w:numPr>
          <w:ilvl w:val="1"/>
          <w:numId w:val="81"/>
        </w:numPr>
      </w:pPr>
      <w:bookmarkStart w:id="47" w:name="_Toc95451855"/>
      <w:r>
        <w:t xml:space="preserve">Critères </w:t>
      </w:r>
      <w:r w:rsidR="00BE283A">
        <w:t>d</w:t>
      </w:r>
      <w:r w:rsidR="004115D4">
        <w:t>’</w:t>
      </w:r>
      <w:r>
        <w:t>évaluation</w:t>
      </w:r>
      <w:bookmarkEnd w:id="47"/>
    </w:p>
    <w:p w14:paraId="536FC502" w14:textId="2EC415E8" w:rsidR="00BC3470" w:rsidRPr="0085708E" w:rsidRDefault="00BC3470" w:rsidP="0074787C">
      <w:pPr>
        <w:pStyle w:val="Paragraphedeliste"/>
        <w:numPr>
          <w:ilvl w:val="0"/>
          <w:numId w:val="23"/>
        </w:numPr>
        <w:spacing w:line="276" w:lineRule="auto"/>
      </w:pPr>
      <w:r w:rsidRPr="0085708E">
        <w:t>La présente évaluation</w:t>
      </w:r>
      <w:r w:rsidR="00155C1F">
        <w:t xml:space="preserve"> a été </w:t>
      </w:r>
      <w:r w:rsidRPr="0085708E">
        <w:t xml:space="preserve">conduite suivant </w:t>
      </w:r>
      <w:r>
        <w:t>s</w:t>
      </w:r>
      <w:r w:rsidR="001829A5">
        <w:t>ix</w:t>
      </w:r>
      <w:r>
        <w:t xml:space="preserve"> (0</w:t>
      </w:r>
      <w:r w:rsidR="001829A5">
        <w:t>6</w:t>
      </w:r>
      <w:r>
        <w:t>)</w:t>
      </w:r>
      <w:r w:rsidRPr="0085708E">
        <w:t xml:space="preserve"> critères d’évaluation</w:t>
      </w:r>
      <w:r>
        <w:t xml:space="preserve"> L’évaluation examine aussi les leçons apprises du projet. Les 7 critères d’évaluation comprennent :</w:t>
      </w:r>
    </w:p>
    <w:p w14:paraId="01E5D312" w14:textId="77777777" w:rsidR="00BC3470" w:rsidRPr="00C62F7E" w:rsidRDefault="00BC3470" w:rsidP="00BC3470">
      <w:pPr>
        <w:pStyle w:val="Paragraphedeliste"/>
        <w:widowControl w:val="0"/>
        <w:numPr>
          <w:ilvl w:val="0"/>
          <w:numId w:val="112"/>
        </w:numPr>
        <w:autoSpaceDE w:val="0"/>
        <w:autoSpaceDN w:val="0"/>
        <w:spacing w:before="0" w:after="0" w:line="276" w:lineRule="auto"/>
        <w:contextualSpacing w:val="0"/>
        <w:rPr>
          <w:rFonts w:asciiTheme="minorHAnsi" w:hAnsiTheme="minorHAnsi"/>
        </w:rPr>
      </w:pPr>
      <w:r w:rsidRPr="0085708E">
        <w:t>5 critères standards préconisés par le Comité d’</w:t>
      </w:r>
      <w:r>
        <w:t>A</w:t>
      </w:r>
      <w:r w:rsidRPr="0085708E">
        <w:t xml:space="preserve">ide au </w:t>
      </w:r>
      <w:r>
        <w:t>D</w:t>
      </w:r>
      <w:r w:rsidRPr="0085708E">
        <w:t>éveloppement de l’Organisation de coopération et de développement économique (</w:t>
      </w:r>
      <w:r>
        <w:t>CAD/</w:t>
      </w:r>
      <w:r w:rsidRPr="0085708E">
        <w:t xml:space="preserve">OCDE) et le Groupe des Nations unies pour l’évaluation (GNUE), à savoir : la pertinence, l’efficacité, l’efficience, l’impact et la durabilité ; et </w:t>
      </w:r>
    </w:p>
    <w:p w14:paraId="68DEF7E2" w14:textId="77777777" w:rsidR="00BC3470" w:rsidRPr="00C62F7E" w:rsidRDefault="00BC3470" w:rsidP="00BC3470">
      <w:pPr>
        <w:pStyle w:val="Paragraphedeliste"/>
        <w:widowControl w:val="0"/>
        <w:numPr>
          <w:ilvl w:val="0"/>
          <w:numId w:val="112"/>
        </w:numPr>
        <w:autoSpaceDE w:val="0"/>
        <w:autoSpaceDN w:val="0"/>
        <w:spacing w:before="0" w:after="0" w:line="276" w:lineRule="auto"/>
        <w:contextualSpacing w:val="0"/>
        <w:rPr>
          <w:rFonts w:asciiTheme="minorHAnsi" w:hAnsiTheme="minorHAnsi"/>
        </w:rPr>
      </w:pPr>
      <w:r>
        <w:t>2</w:t>
      </w:r>
      <w:r w:rsidRPr="0085708E">
        <w:t xml:space="preserve"> critère</w:t>
      </w:r>
      <w:r>
        <w:t>s</w:t>
      </w:r>
      <w:r w:rsidRPr="0085708E">
        <w:t xml:space="preserve"> transversa</w:t>
      </w:r>
      <w:r>
        <w:t>ux</w:t>
      </w:r>
      <w:r w:rsidRPr="0085708E">
        <w:t xml:space="preserve"> portant sur</w:t>
      </w:r>
      <w:r w:rsidRPr="00577227">
        <w:t xml:space="preserve"> </w:t>
      </w:r>
      <w:r>
        <w:t>l’é</w:t>
      </w:r>
      <w:r w:rsidRPr="00577227">
        <w:t xml:space="preserve">galité des sexes et </w:t>
      </w:r>
      <w:r>
        <w:t>les</w:t>
      </w:r>
      <w:r w:rsidRPr="00577227">
        <w:t xml:space="preserve"> droits humains</w:t>
      </w:r>
      <w:r w:rsidRPr="0085708E">
        <w:t xml:space="preserve"> </w:t>
      </w:r>
      <w:r>
        <w:t>ainsi que l’inclusion des personnes handicapée</w:t>
      </w:r>
      <w:r w:rsidRPr="0085708E">
        <w:t>.</w:t>
      </w:r>
    </w:p>
    <w:p w14:paraId="278B342B" w14:textId="5A5CFD35" w:rsidR="00547D8B" w:rsidRDefault="00547D8B" w:rsidP="00547D8B">
      <w:pPr>
        <w:pStyle w:val="Paragraphedeliste"/>
        <w:numPr>
          <w:ilvl w:val="0"/>
          <w:numId w:val="23"/>
        </w:numPr>
        <w:spacing w:line="276" w:lineRule="auto"/>
      </w:pPr>
      <w:r w:rsidRPr="00057160">
        <w:rPr>
          <w:b/>
          <w:bCs/>
        </w:rPr>
        <w:t>Pertinence :</w:t>
      </w:r>
      <w:r>
        <w:rPr>
          <w:b/>
          <w:bCs/>
        </w:rPr>
        <w:t xml:space="preserve"> </w:t>
      </w:r>
      <w:r>
        <w:t>La pertinence du projet</w:t>
      </w:r>
      <w:r w:rsidRPr="00092493">
        <w:t xml:space="preserve"> </w:t>
      </w:r>
      <w:r>
        <w:t>apprécie dans quelle</w:t>
      </w:r>
      <w:r w:rsidRPr="00092493">
        <w:t xml:space="preserve"> mesure </w:t>
      </w:r>
      <w:r>
        <w:t xml:space="preserve">les objectifs envisagés </w:t>
      </w:r>
      <w:r w:rsidRPr="00092493">
        <w:t xml:space="preserve">sont en adéquation avec les problèmes identifiés, les besoins réels et </w:t>
      </w:r>
      <w:r>
        <w:t xml:space="preserve">les </w:t>
      </w:r>
      <w:r w:rsidRPr="00092493">
        <w:t>priorités des groupes cibles et bénéficiaires en tenant compte de l’évolution du contexte politique, économique, social, environnemental et institutionnel.</w:t>
      </w:r>
      <w:r>
        <w:t xml:space="preserve"> La pertinence évalue également l’articulation des objectifs du projet avec les objectifs nationaux et les domaines d’intervention du partenaire financier.</w:t>
      </w:r>
    </w:p>
    <w:p w14:paraId="225D184F" w14:textId="77777777" w:rsidR="00547D8B" w:rsidRDefault="00547D8B" w:rsidP="00547D8B">
      <w:pPr>
        <w:pStyle w:val="Paragraphedeliste"/>
        <w:numPr>
          <w:ilvl w:val="0"/>
          <w:numId w:val="23"/>
        </w:numPr>
        <w:spacing w:line="276" w:lineRule="auto"/>
      </w:pPr>
      <w:r w:rsidRPr="00480AAE">
        <w:rPr>
          <w:b/>
          <w:bCs/>
        </w:rPr>
        <w:t>Efficacité :</w:t>
      </w:r>
      <w:r w:rsidRPr="00913B0B">
        <w:t xml:space="preserve"> </w:t>
      </w:r>
      <w:r>
        <w:t xml:space="preserve">Il s’agira à travers le </w:t>
      </w:r>
      <w:r w:rsidRPr="002205AF">
        <w:t>critère d’efficacité</w:t>
      </w:r>
      <w:r>
        <w:t xml:space="preserve"> d’apprécier dans quelle mesure les objectifs et résultats fixés </w:t>
      </w:r>
      <w:r w:rsidRPr="002205AF">
        <w:t xml:space="preserve">au départ </w:t>
      </w:r>
      <w:r>
        <w:t xml:space="preserve">ont été atteints à l’issue de la mise en œuvre du projet. L’évaluation s’intéressera d’une part aux extrants ou produits réalisés par rapport aux cibles initialement convenues et d’autre part, aux facteurs de succès, les obstacles et contraintes ainsi que </w:t>
      </w:r>
      <w:r w:rsidRPr="003C0F7E">
        <w:t>la valeur ajoutée du</w:t>
      </w:r>
      <w:r w:rsidRPr="001829A5">
        <w:t xml:space="preserve"> partenariat avec les autres organisations du système des Nations Unies</w:t>
      </w:r>
      <w:r w:rsidRPr="003C0F7E">
        <w:t>.</w:t>
      </w:r>
    </w:p>
    <w:p w14:paraId="687A5B80" w14:textId="77777777" w:rsidR="00547D8B" w:rsidRDefault="00547D8B" w:rsidP="00547D8B">
      <w:pPr>
        <w:pStyle w:val="Paragraphedeliste"/>
        <w:numPr>
          <w:ilvl w:val="0"/>
          <w:numId w:val="23"/>
        </w:numPr>
        <w:spacing w:line="276" w:lineRule="auto"/>
      </w:pPr>
      <w:r w:rsidRPr="00956168">
        <w:rPr>
          <w:b/>
          <w:bCs/>
        </w:rPr>
        <w:t>Efficience</w:t>
      </w:r>
      <w:r w:rsidRPr="00370554">
        <w:rPr>
          <w:b/>
          <w:bCs/>
        </w:rPr>
        <w:t> :</w:t>
      </w:r>
      <w:r>
        <w:rPr>
          <w:b/>
          <w:bCs/>
        </w:rPr>
        <w:t xml:space="preserve"> </w:t>
      </w:r>
      <w:r w:rsidRPr="006715C9">
        <w:t>L’efficience</w:t>
      </w:r>
      <w:r>
        <w:t xml:space="preserve"> apprécie l’utilisation des ressources dans le cadre du projet. Il s’agira de voir si </w:t>
      </w:r>
      <w:r w:rsidRPr="006715C9">
        <w:t>les ressources</w:t>
      </w:r>
      <w:r>
        <w:t>/</w:t>
      </w:r>
      <w:r w:rsidRPr="006715C9">
        <w:t xml:space="preserve">intrants </w:t>
      </w:r>
      <w:r>
        <w:t xml:space="preserve">du projet </w:t>
      </w:r>
      <w:r w:rsidRPr="006715C9">
        <w:t xml:space="preserve">(fonds, expertise, temps, etc.) sont converties de façon économe </w:t>
      </w:r>
      <w:r>
        <w:t>de manière à générer les r</w:t>
      </w:r>
      <w:r w:rsidRPr="006715C9">
        <w:t>ésultats</w:t>
      </w:r>
      <w:r>
        <w:t xml:space="preserve"> attendus</w:t>
      </w:r>
      <w:r w:rsidRPr="006715C9">
        <w:t xml:space="preserve">. </w:t>
      </w:r>
      <w:r>
        <w:t>L’analyse de ce critère conduira à</w:t>
      </w:r>
      <w:r w:rsidRPr="006715C9">
        <w:t xml:space="preserve"> comparer des approches alternatives pour atteindre les mêmes résultats et de voir si le processus le plus efficace a été adopté.</w:t>
      </w:r>
    </w:p>
    <w:p w14:paraId="39151E4F" w14:textId="77777777" w:rsidR="00547D8B" w:rsidRDefault="00547D8B" w:rsidP="00547D8B">
      <w:pPr>
        <w:pStyle w:val="Paragraphedeliste"/>
        <w:numPr>
          <w:ilvl w:val="0"/>
          <w:numId w:val="23"/>
        </w:numPr>
        <w:spacing w:line="276" w:lineRule="auto"/>
      </w:pPr>
      <w:r w:rsidRPr="007007C9">
        <w:rPr>
          <w:b/>
          <w:bCs/>
        </w:rPr>
        <w:t>Impact</w:t>
      </w:r>
      <w:r w:rsidRPr="00913B0B">
        <w:rPr>
          <w:b/>
          <w:bCs/>
        </w:rPr>
        <w:t> :</w:t>
      </w:r>
      <w:r>
        <w:t xml:space="preserve"> </w:t>
      </w:r>
      <w:r w:rsidRPr="00676937">
        <w:t>Le critère d’impact met en évidence les changements prévus et imprévus</w:t>
      </w:r>
      <w:r>
        <w:t xml:space="preserve"> réalisés suite à la mise en œuvre du projet</w:t>
      </w:r>
      <w:r w:rsidRPr="00676937">
        <w:t xml:space="preserve">. </w:t>
      </w:r>
      <w:r>
        <w:t>Elle examine ici les</w:t>
      </w:r>
      <w:r w:rsidRPr="00676937">
        <w:t xml:space="preserve"> questions </w:t>
      </w:r>
      <w:r>
        <w:t>permettant</w:t>
      </w:r>
      <w:r w:rsidRPr="00676937">
        <w:t xml:space="preserve"> d’identifier les effets immédiats qui détermineront l’impact </w:t>
      </w:r>
      <w:r>
        <w:t xml:space="preserve">du projet </w:t>
      </w:r>
      <w:r w:rsidRPr="00676937">
        <w:t xml:space="preserve">sur le long terme. </w:t>
      </w:r>
    </w:p>
    <w:p w14:paraId="7A388A3F" w14:textId="43DFB7B0" w:rsidR="00547D8B" w:rsidRDefault="00547D8B" w:rsidP="00547D8B">
      <w:pPr>
        <w:pStyle w:val="Paragraphedeliste"/>
        <w:numPr>
          <w:ilvl w:val="0"/>
          <w:numId w:val="23"/>
        </w:numPr>
        <w:spacing w:line="276" w:lineRule="auto"/>
      </w:pPr>
      <w:r w:rsidRPr="00A70E4D">
        <w:rPr>
          <w:b/>
          <w:bCs/>
        </w:rPr>
        <w:t>Durabilité :</w:t>
      </w:r>
      <w:r>
        <w:t xml:space="preserve"> Le critère de durabilité</w:t>
      </w:r>
      <w:r w:rsidRPr="00A432A0">
        <w:t xml:space="preserve"> </w:t>
      </w:r>
      <w:r>
        <w:t xml:space="preserve">analysera les conditions de pérennisation des activités et des acquis du projet. Il est question de voir si l’approche adoptée par le projet a permis une certaine appropriation par les acteurs, un transfert de compétences et d’attitudes (renforcement des capacités). L’analyse concerne aussi l’intérêt et </w:t>
      </w:r>
      <w:r w:rsidR="003C0F7E">
        <w:t xml:space="preserve">le </w:t>
      </w:r>
      <w:r>
        <w:t>niveau d’engament des acteurs en matière de participation des femmes et des jeunes dans les MCPGC.</w:t>
      </w:r>
    </w:p>
    <w:p w14:paraId="661C9303" w14:textId="425E5737" w:rsidR="00547D8B" w:rsidRDefault="00547D8B" w:rsidP="00547D8B">
      <w:pPr>
        <w:pStyle w:val="Paragraphedeliste"/>
        <w:numPr>
          <w:ilvl w:val="0"/>
          <w:numId w:val="23"/>
        </w:numPr>
        <w:spacing w:line="276" w:lineRule="auto"/>
      </w:pPr>
      <w:r>
        <w:rPr>
          <w:b/>
          <w:bCs/>
        </w:rPr>
        <w:t>E</w:t>
      </w:r>
      <w:r w:rsidRPr="007007C9">
        <w:rPr>
          <w:b/>
          <w:bCs/>
        </w:rPr>
        <w:t xml:space="preserve">galité des sexes et de </w:t>
      </w:r>
      <w:r w:rsidRPr="003D6605">
        <w:rPr>
          <w:b/>
          <w:bCs/>
        </w:rPr>
        <w:t>droits humains</w:t>
      </w:r>
      <w:r>
        <w:rPr>
          <w:b/>
          <w:bCs/>
        </w:rPr>
        <w:t xml:space="preserve"> : </w:t>
      </w:r>
      <w:r>
        <w:t>En ce qui concerne l’égalité des sexes et les droits humains, l’analyse a questionné d’une part la participation</w:t>
      </w:r>
      <w:r w:rsidR="003C0F7E">
        <w:t>,</w:t>
      </w:r>
      <w:r>
        <w:t xml:space="preserve"> c’est-à-dire la place et le rôle réservé et effectivement joué par les femmes et les jeunes dans la conception, la mise en œuvre et le suivi des activités du projet. D’autre part, il s’est agi d’apprécier le niveau de prise en compte de leurs besoins spécifiques et l’intégration des questions de droits humains dans la conception et la mise en œuvre. </w:t>
      </w:r>
    </w:p>
    <w:p w14:paraId="7140CB4E" w14:textId="77777777" w:rsidR="00547D8B" w:rsidRDefault="00547D8B" w:rsidP="00547D8B">
      <w:pPr>
        <w:pStyle w:val="Paragraphedeliste"/>
        <w:numPr>
          <w:ilvl w:val="0"/>
          <w:numId w:val="23"/>
        </w:numPr>
        <w:spacing w:line="276" w:lineRule="auto"/>
      </w:pPr>
      <w:r w:rsidRPr="00794691">
        <w:rPr>
          <w:b/>
          <w:bCs/>
        </w:rPr>
        <w:t>Inclusion du handicap</w:t>
      </w:r>
      <w:r>
        <w:t> : L’inclusion du handicap est également un critère transversal. L’évaluation a apprécié non seulement la mesure dans laquelle les personnes handicapées ont été impliquées dans la conception et la mise en œuvre du projet mais aussi l’effectivité de la prise en compte de leurs intérêts et priorités spécifiques dans l’intervention.</w:t>
      </w:r>
    </w:p>
    <w:p w14:paraId="5DC45AC8" w14:textId="77777777" w:rsidR="00547D8B" w:rsidRPr="00D80452" w:rsidRDefault="00547D8B" w:rsidP="00547D8B">
      <w:pPr>
        <w:pStyle w:val="Paragraphedeliste"/>
        <w:spacing w:after="0" w:line="276" w:lineRule="auto"/>
        <w:ind w:left="360"/>
        <w:rPr>
          <w:sz w:val="12"/>
          <w:szCs w:val="12"/>
        </w:rPr>
      </w:pPr>
    </w:p>
    <w:p w14:paraId="50DB96C7" w14:textId="77777777" w:rsidR="00547D8B" w:rsidRDefault="00547D8B" w:rsidP="00547D8B">
      <w:pPr>
        <w:pStyle w:val="Paragraphedeliste"/>
        <w:numPr>
          <w:ilvl w:val="0"/>
          <w:numId w:val="23"/>
        </w:numPr>
        <w:spacing w:line="276" w:lineRule="auto"/>
      </w:pPr>
      <w:r w:rsidRPr="04F997C7">
        <w:rPr>
          <w:b/>
          <w:bCs/>
        </w:rPr>
        <w:t>Leçons apprises :</w:t>
      </w:r>
      <w:r>
        <w:t xml:space="preserve"> En plus des sept critères précités, l’évaluation s’est intéressée aux leçons apprises du projet. La recherche et l’analyse sur les leçons apprises doivent servir à alimenter l’apprentissage autour de la conception, la gestion et la mise en œuvre du projet. Il s’est agi de mettre en évidence les bonnes pratiques de même que les facteurs ayant limité ou favorisé l’atteinte des résultats.</w:t>
      </w:r>
    </w:p>
    <w:p w14:paraId="13342E42" w14:textId="77777777" w:rsidR="00547D8B" w:rsidRPr="00C55565" w:rsidRDefault="00547D8B" w:rsidP="00547D8B">
      <w:pPr>
        <w:pStyle w:val="Paragraphedeliste"/>
        <w:rPr>
          <w:sz w:val="16"/>
          <w:szCs w:val="16"/>
        </w:rPr>
      </w:pPr>
    </w:p>
    <w:p w14:paraId="02AAC075" w14:textId="2C72F6BC" w:rsidR="00BE283A" w:rsidRDefault="00BE283A" w:rsidP="00820BBD">
      <w:pPr>
        <w:pStyle w:val="Titre2"/>
        <w:numPr>
          <w:ilvl w:val="1"/>
          <w:numId w:val="81"/>
        </w:numPr>
      </w:pPr>
      <w:bookmarkStart w:id="48" w:name="_Toc95451856"/>
      <w:r>
        <w:t>Questions clés de l’évaluation</w:t>
      </w:r>
      <w:bookmarkEnd w:id="48"/>
      <w:r>
        <w:t xml:space="preserve"> </w:t>
      </w:r>
    </w:p>
    <w:p w14:paraId="0F695D4A" w14:textId="142F335B" w:rsidR="00655848" w:rsidRDefault="00655848" w:rsidP="00655848">
      <w:pPr>
        <w:pStyle w:val="Paragraphedeliste"/>
        <w:numPr>
          <w:ilvl w:val="0"/>
          <w:numId w:val="23"/>
        </w:numPr>
        <w:spacing w:line="276" w:lineRule="auto"/>
      </w:pPr>
      <w:r w:rsidRPr="00BE283A">
        <w:t xml:space="preserve">Les questions évaluatives suggérées par les TdR </w:t>
      </w:r>
      <w:r>
        <w:t xml:space="preserve">au nombre de 49 initialement </w:t>
      </w:r>
      <w:r w:rsidRPr="00BE283A">
        <w:t xml:space="preserve">ont été revues </w:t>
      </w:r>
      <w:r>
        <w:t>par l’équipe d’évaluation et discutées avec le groupe de gestion de l’évaluation</w:t>
      </w:r>
      <w:r w:rsidRPr="00BE283A">
        <w:t xml:space="preserve"> durant la phase de démarrage.</w:t>
      </w:r>
      <w:r>
        <w:t xml:space="preserve"> Au final, 41 questions évaluatives ont été retenues</w:t>
      </w:r>
      <w:r w:rsidR="003343A6">
        <w:t xml:space="preserve"> et sont présentées dans le </w:t>
      </w:r>
      <w:r w:rsidR="003343A6" w:rsidRPr="00D515F5">
        <w:t xml:space="preserve">tableau </w:t>
      </w:r>
      <w:r w:rsidR="00D515F5" w:rsidRPr="00D515F5">
        <w:t>3</w:t>
      </w:r>
      <w:r w:rsidR="003343A6" w:rsidRPr="00D515F5">
        <w:t xml:space="preserve"> suivant</w:t>
      </w:r>
      <w:r>
        <w:t>.</w:t>
      </w:r>
      <w:r w:rsidR="007760A2">
        <w:t xml:space="preserve"> </w:t>
      </w:r>
      <w:r>
        <w:t>Ces</w:t>
      </w:r>
      <w:r w:rsidRPr="00655848">
        <w:t xml:space="preserve"> questions évaluatives</w:t>
      </w:r>
      <w:r>
        <w:t xml:space="preserve"> ont été déclinées en </w:t>
      </w:r>
      <w:r w:rsidRPr="00655848">
        <w:t>sous questions</w:t>
      </w:r>
      <w:r>
        <w:t xml:space="preserve"> avec des </w:t>
      </w:r>
      <w:r w:rsidRPr="00655848">
        <w:t xml:space="preserve">indicateurs de mesure, </w:t>
      </w:r>
      <w:r>
        <w:t>d</w:t>
      </w:r>
      <w:r w:rsidRPr="00655848">
        <w:t>es sources des données et les méthodes de collecte de données</w:t>
      </w:r>
      <w:r>
        <w:t xml:space="preserve"> pour y répondre (Voir matrice d’évaluation en Annexe 1)</w:t>
      </w:r>
      <w:r w:rsidRPr="00655848">
        <w:t xml:space="preserve">. </w:t>
      </w:r>
    </w:p>
    <w:p w14:paraId="4BFC3EDF" w14:textId="207B6FAE" w:rsidR="003343A6" w:rsidRPr="005D4D2C" w:rsidRDefault="003343A6" w:rsidP="003343A6">
      <w:pPr>
        <w:pStyle w:val="En-tte"/>
        <w:rPr>
          <w:sz w:val="20"/>
          <w:szCs w:val="20"/>
        </w:rPr>
      </w:pPr>
      <w:bookmarkStart w:id="49" w:name="_Toc92262104"/>
      <w:r w:rsidRPr="005D4D2C">
        <w:t xml:space="preserve">Tableau </w:t>
      </w:r>
      <w:r w:rsidR="00BD0DF0">
        <w:fldChar w:fldCharType="begin"/>
      </w:r>
      <w:r w:rsidR="00BD0DF0">
        <w:instrText xml:space="preserve"> SEQ Tableau</w:instrText>
      </w:r>
      <w:r w:rsidR="00BD0DF0">
        <w:instrText xml:space="preserve"> \* ARABIC </w:instrText>
      </w:r>
      <w:r w:rsidR="00BD0DF0">
        <w:fldChar w:fldCharType="separate"/>
      </w:r>
      <w:r w:rsidR="0046716F">
        <w:rPr>
          <w:noProof/>
        </w:rPr>
        <w:t>3</w:t>
      </w:r>
      <w:r w:rsidR="00BD0DF0">
        <w:rPr>
          <w:noProof/>
        </w:rPr>
        <w:fldChar w:fldCharType="end"/>
      </w:r>
      <w:r w:rsidRPr="005D4D2C">
        <w:t xml:space="preserve"> : Questions évaluatives par critère</w:t>
      </w:r>
      <w:bookmarkEnd w:id="49"/>
    </w:p>
    <w:tbl>
      <w:tblPr>
        <w:tblW w:w="497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22"/>
      </w:tblGrid>
      <w:tr w:rsidR="003343A6" w:rsidRPr="00A63893" w14:paraId="007081A5" w14:textId="77777777" w:rsidTr="00E4322F">
        <w:trPr>
          <w:trHeight w:val="20"/>
          <w:tblHeader/>
        </w:trPr>
        <w:tc>
          <w:tcPr>
            <w:tcW w:w="5000" w:type="pct"/>
            <w:shd w:val="clear" w:color="auto" w:fill="002060"/>
            <w:vAlign w:val="center"/>
          </w:tcPr>
          <w:p w14:paraId="2704DBC9"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Questions clés </w:t>
            </w:r>
          </w:p>
        </w:tc>
      </w:tr>
      <w:tr w:rsidR="003343A6" w:rsidRPr="00A63893" w14:paraId="2ACC4FB0" w14:textId="77777777" w:rsidTr="00E4322F">
        <w:trPr>
          <w:trHeight w:val="20"/>
        </w:trPr>
        <w:tc>
          <w:tcPr>
            <w:tcW w:w="5000" w:type="pct"/>
            <w:shd w:val="clear" w:color="auto" w:fill="F2F2F2"/>
            <w:vAlign w:val="center"/>
          </w:tcPr>
          <w:p w14:paraId="772A3F53" w14:textId="77777777" w:rsidR="003343A6" w:rsidRPr="00A63893" w:rsidRDefault="003343A6" w:rsidP="001635A7">
            <w:pPr>
              <w:spacing w:before="0" w:after="0"/>
              <w:rPr>
                <w:b/>
                <w:bCs/>
                <w:sz w:val="20"/>
                <w:szCs w:val="20"/>
              </w:rPr>
            </w:pPr>
            <w:r w:rsidRPr="00A63893">
              <w:rPr>
                <w:b/>
                <w:bCs/>
                <w:color w:val="00B0F0"/>
                <w:sz w:val="20"/>
                <w:szCs w:val="20"/>
              </w:rPr>
              <w:t>PERTINENCE</w:t>
            </w:r>
          </w:p>
        </w:tc>
      </w:tr>
      <w:tr w:rsidR="003343A6" w:rsidRPr="00A63893" w14:paraId="27F195C4" w14:textId="77777777" w:rsidTr="00E4322F">
        <w:trPr>
          <w:trHeight w:val="245"/>
        </w:trPr>
        <w:tc>
          <w:tcPr>
            <w:tcW w:w="5000" w:type="pct"/>
            <w:vMerge w:val="restart"/>
            <w:vAlign w:val="center"/>
          </w:tcPr>
          <w:p w14:paraId="7B19CD9A" w14:textId="77777777" w:rsidR="003343A6" w:rsidRPr="00A63893" w:rsidRDefault="003343A6" w:rsidP="001635A7">
            <w:pPr>
              <w:spacing w:before="0" w:after="0" w:line="240" w:lineRule="auto"/>
              <w:jc w:val="left"/>
              <w:rPr>
                <w:sz w:val="20"/>
                <w:szCs w:val="20"/>
              </w:rPr>
            </w:pPr>
            <w:r w:rsidRPr="00A63893">
              <w:rPr>
                <w:b/>
                <w:bCs/>
                <w:sz w:val="20"/>
                <w:szCs w:val="20"/>
              </w:rPr>
              <w:t xml:space="preserve">QE1. </w:t>
            </w:r>
            <w:r w:rsidRPr="00A63893">
              <w:rPr>
                <w:sz w:val="20"/>
                <w:szCs w:val="20"/>
              </w:rPr>
              <w:t>Dans quelle mesure l’appui apporté par le projet était</w:t>
            </w:r>
            <w:r w:rsidRPr="00A63893">
              <w:rPr>
                <w:rFonts w:ascii="Cambria Math" w:hAnsi="Cambria Math" w:cs="Cambria Math"/>
                <w:sz w:val="20"/>
                <w:szCs w:val="20"/>
              </w:rPr>
              <w:t>‐</w:t>
            </w:r>
            <w:r w:rsidRPr="00A63893">
              <w:rPr>
                <w:sz w:val="20"/>
                <w:szCs w:val="20"/>
              </w:rPr>
              <w:t>il (i) adapt</w:t>
            </w:r>
            <w:r w:rsidRPr="00A63893">
              <w:rPr>
                <w:rFonts w:cs="Century Gothic"/>
                <w:sz w:val="20"/>
                <w:szCs w:val="20"/>
              </w:rPr>
              <w:t>é</w:t>
            </w:r>
            <w:r w:rsidRPr="00A63893">
              <w:rPr>
                <w:sz w:val="20"/>
                <w:szCs w:val="20"/>
              </w:rPr>
              <w:t xml:space="preserve"> aux besoins des populations cibles concernées ? (ii) compatible avec les objectifs nationaux (au Mali et au Niger) en matière de consolidation de la paix et la cohésion sociale ?</w:t>
            </w:r>
          </w:p>
        </w:tc>
      </w:tr>
      <w:tr w:rsidR="003343A6" w:rsidRPr="00A63893" w14:paraId="1EB2BEE1" w14:textId="77777777" w:rsidTr="00E4322F">
        <w:trPr>
          <w:trHeight w:val="429"/>
        </w:trPr>
        <w:tc>
          <w:tcPr>
            <w:tcW w:w="5000" w:type="pct"/>
            <w:vMerge/>
            <w:vAlign w:val="center"/>
          </w:tcPr>
          <w:p w14:paraId="7A0B4DC0" w14:textId="77777777" w:rsidR="003343A6" w:rsidRPr="00A63893" w:rsidRDefault="003343A6" w:rsidP="001635A7">
            <w:pPr>
              <w:spacing w:before="0" w:after="0" w:line="240" w:lineRule="auto"/>
              <w:jc w:val="left"/>
              <w:rPr>
                <w:b/>
                <w:bCs/>
                <w:sz w:val="20"/>
                <w:szCs w:val="20"/>
              </w:rPr>
            </w:pPr>
          </w:p>
        </w:tc>
      </w:tr>
      <w:tr w:rsidR="003343A6" w:rsidRPr="00A63893" w14:paraId="34F1F44E" w14:textId="77777777" w:rsidTr="00E4322F">
        <w:trPr>
          <w:trHeight w:val="20"/>
        </w:trPr>
        <w:tc>
          <w:tcPr>
            <w:tcW w:w="5000" w:type="pct"/>
            <w:vAlign w:val="center"/>
          </w:tcPr>
          <w:p w14:paraId="4A518897"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 </w:t>
            </w:r>
            <w:r w:rsidRPr="00A63893">
              <w:rPr>
                <w:sz w:val="20"/>
                <w:szCs w:val="20"/>
              </w:rPr>
              <w:t>Dans quelle mesure le projet est-il aligné sur les domaines d’intervention de PBF, ONU Femmes et ONU DC ?</w:t>
            </w:r>
          </w:p>
        </w:tc>
      </w:tr>
      <w:tr w:rsidR="003343A6" w:rsidRPr="00A63893" w14:paraId="538E28F0" w14:textId="77777777" w:rsidTr="00E4322F">
        <w:trPr>
          <w:trHeight w:val="245"/>
        </w:trPr>
        <w:tc>
          <w:tcPr>
            <w:tcW w:w="5000" w:type="pct"/>
            <w:vMerge w:val="restart"/>
            <w:vAlign w:val="center"/>
          </w:tcPr>
          <w:p w14:paraId="413619F2" w14:textId="77777777" w:rsidR="003343A6" w:rsidRPr="00A63893" w:rsidRDefault="003343A6" w:rsidP="001635A7">
            <w:pPr>
              <w:spacing w:before="0" w:after="0" w:line="240" w:lineRule="auto"/>
              <w:jc w:val="left"/>
              <w:rPr>
                <w:sz w:val="20"/>
                <w:szCs w:val="20"/>
              </w:rPr>
            </w:pPr>
            <w:r w:rsidRPr="00A63893">
              <w:rPr>
                <w:b/>
                <w:bCs/>
                <w:sz w:val="20"/>
                <w:szCs w:val="20"/>
              </w:rPr>
              <w:t xml:space="preserve">QE3. </w:t>
            </w:r>
            <w:r w:rsidRPr="00A63893">
              <w:rPr>
                <w:sz w:val="20"/>
                <w:szCs w:val="20"/>
              </w:rPr>
              <w:t>Dans quelle</w:t>
            </w:r>
            <w:r w:rsidRPr="00A63893">
              <w:rPr>
                <w:b/>
                <w:bCs/>
                <w:sz w:val="20"/>
                <w:szCs w:val="20"/>
              </w:rPr>
              <w:t xml:space="preserve"> </w:t>
            </w:r>
            <w:r w:rsidRPr="00A63893">
              <w:rPr>
                <w:sz w:val="20"/>
                <w:szCs w:val="20"/>
              </w:rPr>
              <w:t>mesure le projet a-t-il pris en compte les problèmes de genre et de droits humains identifiés dans le contexte ?</w:t>
            </w:r>
          </w:p>
        </w:tc>
      </w:tr>
      <w:tr w:rsidR="003343A6" w:rsidRPr="00A63893" w14:paraId="20E9B3BC" w14:textId="77777777" w:rsidTr="00E4322F">
        <w:trPr>
          <w:trHeight w:val="245"/>
        </w:trPr>
        <w:tc>
          <w:tcPr>
            <w:tcW w:w="5000" w:type="pct"/>
            <w:vMerge/>
            <w:vAlign w:val="center"/>
          </w:tcPr>
          <w:p w14:paraId="0FC558BB" w14:textId="77777777" w:rsidR="003343A6" w:rsidRPr="00A63893" w:rsidRDefault="003343A6" w:rsidP="001635A7">
            <w:pPr>
              <w:spacing w:before="0" w:after="0" w:line="240" w:lineRule="auto"/>
              <w:jc w:val="left"/>
              <w:rPr>
                <w:b/>
                <w:bCs/>
                <w:sz w:val="20"/>
                <w:szCs w:val="20"/>
              </w:rPr>
            </w:pPr>
          </w:p>
        </w:tc>
      </w:tr>
      <w:tr w:rsidR="003343A6" w:rsidRPr="00A63893" w14:paraId="7A292FEC" w14:textId="77777777" w:rsidTr="00E4322F">
        <w:trPr>
          <w:trHeight w:val="245"/>
        </w:trPr>
        <w:tc>
          <w:tcPr>
            <w:tcW w:w="5000" w:type="pct"/>
            <w:vMerge/>
            <w:vAlign w:val="center"/>
          </w:tcPr>
          <w:p w14:paraId="40A0F6CF" w14:textId="77777777" w:rsidR="003343A6" w:rsidRPr="00A63893" w:rsidRDefault="003343A6" w:rsidP="001635A7">
            <w:pPr>
              <w:spacing w:before="0" w:after="0" w:line="240" w:lineRule="auto"/>
              <w:jc w:val="left"/>
              <w:rPr>
                <w:sz w:val="20"/>
                <w:szCs w:val="20"/>
              </w:rPr>
            </w:pPr>
          </w:p>
        </w:tc>
      </w:tr>
      <w:tr w:rsidR="003343A6" w:rsidRPr="00A63893" w14:paraId="0C9978F0" w14:textId="77777777" w:rsidTr="00E4322F">
        <w:trPr>
          <w:trHeight w:val="245"/>
        </w:trPr>
        <w:tc>
          <w:tcPr>
            <w:tcW w:w="5000" w:type="pct"/>
            <w:vMerge/>
            <w:vAlign w:val="center"/>
          </w:tcPr>
          <w:p w14:paraId="192070F0" w14:textId="77777777" w:rsidR="003343A6" w:rsidRPr="00A63893" w:rsidRDefault="003343A6" w:rsidP="001635A7">
            <w:pPr>
              <w:spacing w:before="0" w:after="0" w:line="240" w:lineRule="auto"/>
              <w:jc w:val="left"/>
              <w:rPr>
                <w:b/>
                <w:bCs/>
                <w:sz w:val="20"/>
                <w:szCs w:val="20"/>
              </w:rPr>
            </w:pPr>
          </w:p>
        </w:tc>
      </w:tr>
      <w:tr w:rsidR="003343A6" w:rsidRPr="00A63893" w14:paraId="70215A2D" w14:textId="77777777" w:rsidTr="00E4322F">
        <w:trPr>
          <w:trHeight w:val="245"/>
        </w:trPr>
        <w:tc>
          <w:tcPr>
            <w:tcW w:w="5000" w:type="pct"/>
            <w:vMerge w:val="restart"/>
            <w:vAlign w:val="center"/>
          </w:tcPr>
          <w:p w14:paraId="76C1492E" w14:textId="77777777" w:rsidR="003343A6" w:rsidRPr="00A63893" w:rsidRDefault="003343A6" w:rsidP="001635A7">
            <w:pPr>
              <w:spacing w:before="0" w:after="0" w:line="240" w:lineRule="auto"/>
              <w:jc w:val="left"/>
              <w:rPr>
                <w:sz w:val="20"/>
                <w:szCs w:val="20"/>
              </w:rPr>
            </w:pPr>
            <w:r w:rsidRPr="00A63893">
              <w:rPr>
                <w:b/>
                <w:bCs/>
                <w:sz w:val="20"/>
                <w:szCs w:val="20"/>
              </w:rPr>
              <w:t>QE4</w:t>
            </w:r>
            <w:r w:rsidRPr="00A63893">
              <w:rPr>
                <w:sz w:val="20"/>
                <w:szCs w:val="20"/>
              </w:rPr>
              <w:t>. En quoi la théorie de changement est</w:t>
            </w:r>
            <w:r w:rsidRPr="00A63893">
              <w:rPr>
                <w:rFonts w:ascii="Cambria Math" w:hAnsi="Cambria Math" w:cs="Cambria Math"/>
                <w:sz w:val="20"/>
                <w:szCs w:val="20"/>
              </w:rPr>
              <w:t>‐</w:t>
            </w:r>
            <w:r w:rsidRPr="00A63893">
              <w:rPr>
                <w:sz w:val="20"/>
                <w:szCs w:val="20"/>
              </w:rPr>
              <w:t>elle valide ?</w:t>
            </w:r>
          </w:p>
        </w:tc>
      </w:tr>
      <w:tr w:rsidR="003343A6" w:rsidRPr="00A63893" w14:paraId="2D187A82" w14:textId="77777777" w:rsidTr="00E4322F">
        <w:trPr>
          <w:trHeight w:val="245"/>
        </w:trPr>
        <w:tc>
          <w:tcPr>
            <w:tcW w:w="5000" w:type="pct"/>
            <w:vMerge/>
            <w:vAlign w:val="center"/>
          </w:tcPr>
          <w:p w14:paraId="4A8D62EA" w14:textId="77777777" w:rsidR="003343A6" w:rsidRPr="00A63893" w:rsidRDefault="003343A6" w:rsidP="001635A7">
            <w:pPr>
              <w:spacing w:before="0" w:after="0" w:line="240" w:lineRule="auto"/>
              <w:jc w:val="left"/>
              <w:rPr>
                <w:b/>
                <w:bCs/>
                <w:sz w:val="20"/>
                <w:szCs w:val="20"/>
              </w:rPr>
            </w:pPr>
          </w:p>
        </w:tc>
      </w:tr>
      <w:tr w:rsidR="003343A6" w:rsidRPr="00A63893" w14:paraId="411AFB57" w14:textId="77777777" w:rsidTr="00E4322F">
        <w:trPr>
          <w:trHeight w:val="20"/>
        </w:trPr>
        <w:tc>
          <w:tcPr>
            <w:tcW w:w="5000" w:type="pct"/>
            <w:shd w:val="clear" w:color="auto" w:fill="F2F2F2"/>
            <w:vAlign w:val="center"/>
          </w:tcPr>
          <w:p w14:paraId="1F209C5A" w14:textId="77777777" w:rsidR="003343A6" w:rsidRPr="00A63893" w:rsidRDefault="003343A6" w:rsidP="001635A7">
            <w:pPr>
              <w:spacing w:before="0" w:after="0"/>
              <w:rPr>
                <w:b/>
                <w:bCs/>
                <w:sz w:val="20"/>
                <w:szCs w:val="20"/>
              </w:rPr>
            </w:pPr>
            <w:r>
              <w:rPr>
                <w:b/>
                <w:bCs/>
                <w:color w:val="00B0F0"/>
                <w:sz w:val="20"/>
                <w:szCs w:val="20"/>
              </w:rPr>
              <w:t>EFFICACITE</w:t>
            </w:r>
          </w:p>
        </w:tc>
      </w:tr>
      <w:tr w:rsidR="003343A6" w:rsidRPr="00A63893" w14:paraId="1BB7F9F0" w14:textId="77777777" w:rsidTr="00E4322F">
        <w:trPr>
          <w:trHeight w:val="245"/>
        </w:trPr>
        <w:tc>
          <w:tcPr>
            <w:tcW w:w="5000" w:type="pct"/>
            <w:vMerge w:val="restart"/>
            <w:vAlign w:val="center"/>
          </w:tcPr>
          <w:p w14:paraId="43291FDB"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QE5. </w:t>
            </w:r>
            <w:r w:rsidRPr="00A63893">
              <w:rPr>
                <w:sz w:val="20"/>
                <w:szCs w:val="20"/>
              </w:rPr>
              <w:t>Quels résultats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permis de r</w:t>
            </w:r>
            <w:r w:rsidRPr="00A63893">
              <w:rPr>
                <w:rFonts w:cs="Century Gothic"/>
                <w:sz w:val="20"/>
                <w:szCs w:val="20"/>
              </w:rPr>
              <w:t>é</w:t>
            </w:r>
            <w:r w:rsidRPr="00A63893">
              <w:rPr>
                <w:sz w:val="20"/>
                <w:szCs w:val="20"/>
              </w:rPr>
              <w:t>aliser ? Quelles sont les valeurs actuelles des indicateurs de produits du projet ?</w:t>
            </w:r>
          </w:p>
        </w:tc>
      </w:tr>
      <w:tr w:rsidR="003343A6" w:rsidRPr="00A63893" w14:paraId="16B5BC20" w14:textId="77777777" w:rsidTr="00E4322F">
        <w:trPr>
          <w:trHeight w:val="245"/>
        </w:trPr>
        <w:tc>
          <w:tcPr>
            <w:tcW w:w="5000" w:type="pct"/>
            <w:vMerge/>
            <w:tcBorders>
              <w:bottom w:val="single" w:sz="4" w:space="0" w:color="0070C0"/>
            </w:tcBorders>
            <w:vAlign w:val="center"/>
          </w:tcPr>
          <w:p w14:paraId="7BFC3CCF" w14:textId="77777777" w:rsidR="003343A6" w:rsidRPr="00A63893" w:rsidRDefault="003343A6" w:rsidP="001635A7">
            <w:pPr>
              <w:spacing w:before="0" w:after="0" w:line="240" w:lineRule="auto"/>
              <w:jc w:val="left"/>
              <w:rPr>
                <w:b/>
                <w:bCs/>
                <w:sz w:val="20"/>
                <w:szCs w:val="20"/>
              </w:rPr>
            </w:pPr>
          </w:p>
        </w:tc>
      </w:tr>
      <w:tr w:rsidR="003343A6" w:rsidRPr="00A63893" w14:paraId="4EED68AB" w14:textId="77777777" w:rsidTr="00E4322F">
        <w:trPr>
          <w:trHeight w:val="245"/>
        </w:trPr>
        <w:tc>
          <w:tcPr>
            <w:tcW w:w="5000" w:type="pct"/>
            <w:vMerge/>
            <w:vAlign w:val="center"/>
          </w:tcPr>
          <w:p w14:paraId="54FED2E4" w14:textId="77777777" w:rsidR="003343A6" w:rsidRPr="00A63893" w:rsidRDefault="003343A6" w:rsidP="001635A7">
            <w:pPr>
              <w:spacing w:before="0" w:after="0" w:line="240" w:lineRule="auto"/>
              <w:jc w:val="left"/>
              <w:rPr>
                <w:b/>
                <w:bCs/>
                <w:sz w:val="20"/>
                <w:szCs w:val="20"/>
              </w:rPr>
            </w:pPr>
          </w:p>
        </w:tc>
      </w:tr>
      <w:tr w:rsidR="003343A6" w:rsidRPr="00A63893" w14:paraId="03421833" w14:textId="77777777" w:rsidTr="00E4322F">
        <w:trPr>
          <w:trHeight w:val="245"/>
        </w:trPr>
        <w:tc>
          <w:tcPr>
            <w:tcW w:w="5000" w:type="pct"/>
            <w:vMerge/>
            <w:vAlign w:val="center"/>
          </w:tcPr>
          <w:p w14:paraId="04D53AEC" w14:textId="77777777" w:rsidR="003343A6" w:rsidRPr="00A63893" w:rsidRDefault="003343A6" w:rsidP="001635A7">
            <w:pPr>
              <w:spacing w:before="0" w:after="0" w:line="240" w:lineRule="auto"/>
              <w:jc w:val="left"/>
              <w:rPr>
                <w:b/>
                <w:bCs/>
                <w:sz w:val="20"/>
                <w:szCs w:val="20"/>
              </w:rPr>
            </w:pPr>
          </w:p>
        </w:tc>
      </w:tr>
      <w:tr w:rsidR="003343A6" w:rsidRPr="00A63893" w14:paraId="399C4259" w14:textId="77777777" w:rsidTr="00E4322F">
        <w:trPr>
          <w:trHeight w:val="245"/>
        </w:trPr>
        <w:tc>
          <w:tcPr>
            <w:tcW w:w="5000" w:type="pct"/>
            <w:vMerge w:val="restart"/>
            <w:vAlign w:val="center"/>
          </w:tcPr>
          <w:p w14:paraId="19A7134D" w14:textId="77777777" w:rsidR="003343A6" w:rsidRPr="00A63893" w:rsidRDefault="003343A6" w:rsidP="001635A7">
            <w:pPr>
              <w:spacing w:before="0" w:after="0" w:line="240" w:lineRule="auto"/>
              <w:jc w:val="left"/>
              <w:rPr>
                <w:b/>
                <w:bCs/>
                <w:sz w:val="20"/>
                <w:szCs w:val="20"/>
              </w:rPr>
            </w:pPr>
            <w:r w:rsidRPr="00A63893">
              <w:rPr>
                <w:b/>
                <w:bCs/>
                <w:sz w:val="20"/>
                <w:szCs w:val="20"/>
              </w:rPr>
              <w:t>QE6.</w:t>
            </w:r>
            <w:r w:rsidRPr="00A63893">
              <w:rPr>
                <w:sz w:val="20"/>
                <w:szCs w:val="20"/>
              </w:rPr>
              <w:t xml:space="preserve"> Quelle était la qualité de la réponse ? (Rapidité et pertinence de la réponse, équilibre entre humanitaire (court terme) et objectifs de développement (moyen et long termes)</w:t>
            </w:r>
          </w:p>
        </w:tc>
      </w:tr>
      <w:tr w:rsidR="003343A6" w:rsidRPr="00A63893" w14:paraId="2C5494D7" w14:textId="77777777" w:rsidTr="00E4322F">
        <w:trPr>
          <w:trHeight w:val="245"/>
        </w:trPr>
        <w:tc>
          <w:tcPr>
            <w:tcW w:w="5000" w:type="pct"/>
            <w:vMerge/>
            <w:vAlign w:val="center"/>
          </w:tcPr>
          <w:p w14:paraId="3AAA24DA" w14:textId="77777777" w:rsidR="003343A6" w:rsidRPr="00A63893" w:rsidRDefault="003343A6" w:rsidP="001635A7">
            <w:pPr>
              <w:spacing w:before="0" w:after="0" w:line="240" w:lineRule="auto"/>
              <w:jc w:val="left"/>
              <w:rPr>
                <w:sz w:val="20"/>
                <w:szCs w:val="20"/>
              </w:rPr>
            </w:pPr>
          </w:p>
        </w:tc>
      </w:tr>
      <w:tr w:rsidR="003343A6" w:rsidRPr="00A63893" w14:paraId="548C3010" w14:textId="77777777" w:rsidTr="00E4322F">
        <w:trPr>
          <w:trHeight w:val="245"/>
        </w:trPr>
        <w:tc>
          <w:tcPr>
            <w:tcW w:w="5000" w:type="pct"/>
            <w:vMerge w:val="restart"/>
            <w:vAlign w:val="center"/>
          </w:tcPr>
          <w:p w14:paraId="43DEC72F" w14:textId="77777777" w:rsidR="003343A6" w:rsidRPr="00A63893" w:rsidRDefault="003343A6" w:rsidP="001635A7">
            <w:pPr>
              <w:spacing w:before="0" w:after="0" w:line="240" w:lineRule="auto"/>
              <w:jc w:val="left"/>
              <w:rPr>
                <w:sz w:val="20"/>
                <w:szCs w:val="20"/>
              </w:rPr>
            </w:pPr>
            <w:r w:rsidRPr="00A63893">
              <w:rPr>
                <w:b/>
                <w:bCs/>
                <w:sz w:val="20"/>
                <w:szCs w:val="20"/>
              </w:rPr>
              <w:t xml:space="preserve">QE7. </w:t>
            </w:r>
            <w:r w:rsidRPr="00A63893">
              <w:rPr>
                <w:sz w:val="20"/>
                <w:szCs w:val="20"/>
              </w:rPr>
              <w:t>En quoi le partenariat entre ONU Femmes et ONU DC d’une part et celui entre l’équipe projet et les autres interventions de PBF dans la zone d’intervention a-t-il fonctionné et facilit</w:t>
            </w:r>
            <w:r w:rsidRPr="00A63893">
              <w:rPr>
                <w:rFonts w:cs="Century Gothic"/>
                <w:sz w:val="20"/>
                <w:szCs w:val="20"/>
              </w:rPr>
              <w:t>é</w:t>
            </w:r>
            <w:r w:rsidRPr="00A63893">
              <w:rPr>
                <w:sz w:val="20"/>
                <w:szCs w:val="20"/>
              </w:rPr>
              <w:t xml:space="preserve"> l</w:t>
            </w:r>
            <w:r w:rsidRPr="00A63893">
              <w:rPr>
                <w:rFonts w:cs="Century Gothic"/>
                <w:sz w:val="20"/>
                <w:szCs w:val="20"/>
              </w:rPr>
              <w:t>’</w:t>
            </w:r>
            <w:r w:rsidRPr="00A63893">
              <w:rPr>
                <w:sz w:val="20"/>
                <w:szCs w:val="20"/>
              </w:rPr>
              <w:t>atteinte des r</w:t>
            </w:r>
            <w:r w:rsidRPr="00A63893">
              <w:rPr>
                <w:rFonts w:cs="Century Gothic"/>
                <w:sz w:val="20"/>
                <w:szCs w:val="20"/>
              </w:rPr>
              <w:t>é</w:t>
            </w:r>
            <w:r w:rsidRPr="00A63893">
              <w:rPr>
                <w:sz w:val="20"/>
                <w:szCs w:val="20"/>
              </w:rPr>
              <w:t>sultats ?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occasionn</w:t>
            </w:r>
            <w:r w:rsidRPr="00A63893">
              <w:rPr>
                <w:rFonts w:cs="Century Gothic"/>
                <w:sz w:val="20"/>
                <w:szCs w:val="20"/>
              </w:rPr>
              <w:t>é</w:t>
            </w:r>
            <w:r w:rsidRPr="00A63893">
              <w:rPr>
                <w:sz w:val="20"/>
                <w:szCs w:val="20"/>
              </w:rPr>
              <w:t xml:space="preserve"> des obstacles ?</w:t>
            </w:r>
          </w:p>
        </w:tc>
      </w:tr>
      <w:tr w:rsidR="003343A6" w:rsidRPr="00A63893" w14:paraId="6568C161" w14:textId="77777777" w:rsidTr="00E4322F">
        <w:trPr>
          <w:trHeight w:val="245"/>
        </w:trPr>
        <w:tc>
          <w:tcPr>
            <w:tcW w:w="5000" w:type="pct"/>
            <w:vMerge/>
            <w:vAlign w:val="center"/>
          </w:tcPr>
          <w:p w14:paraId="211CB56C" w14:textId="77777777" w:rsidR="003343A6" w:rsidRPr="00A63893" w:rsidRDefault="003343A6" w:rsidP="001635A7">
            <w:pPr>
              <w:spacing w:before="0" w:after="0" w:line="240" w:lineRule="auto"/>
              <w:jc w:val="left"/>
              <w:rPr>
                <w:b/>
                <w:bCs/>
                <w:sz w:val="20"/>
                <w:szCs w:val="20"/>
              </w:rPr>
            </w:pPr>
          </w:p>
        </w:tc>
      </w:tr>
      <w:tr w:rsidR="003343A6" w:rsidRPr="00A63893" w14:paraId="7D904179" w14:textId="77777777" w:rsidTr="00E4322F">
        <w:trPr>
          <w:trHeight w:val="245"/>
        </w:trPr>
        <w:tc>
          <w:tcPr>
            <w:tcW w:w="5000" w:type="pct"/>
            <w:vMerge/>
            <w:vAlign w:val="center"/>
          </w:tcPr>
          <w:p w14:paraId="7ECF9B93" w14:textId="77777777" w:rsidR="003343A6" w:rsidRPr="00A63893" w:rsidRDefault="003343A6" w:rsidP="001635A7">
            <w:pPr>
              <w:spacing w:before="0" w:after="0" w:line="240" w:lineRule="auto"/>
              <w:jc w:val="left"/>
              <w:rPr>
                <w:b/>
                <w:bCs/>
                <w:sz w:val="20"/>
                <w:szCs w:val="20"/>
              </w:rPr>
            </w:pPr>
          </w:p>
        </w:tc>
      </w:tr>
      <w:tr w:rsidR="003343A6" w:rsidRPr="00A63893" w14:paraId="2730365A" w14:textId="77777777" w:rsidTr="00E4322F">
        <w:trPr>
          <w:trHeight w:val="245"/>
        </w:trPr>
        <w:tc>
          <w:tcPr>
            <w:tcW w:w="5000" w:type="pct"/>
            <w:vMerge/>
            <w:vAlign w:val="center"/>
          </w:tcPr>
          <w:p w14:paraId="222CAE87" w14:textId="77777777" w:rsidR="003343A6" w:rsidRPr="00A63893" w:rsidRDefault="003343A6" w:rsidP="001635A7">
            <w:pPr>
              <w:spacing w:before="0" w:after="0" w:line="240" w:lineRule="auto"/>
              <w:jc w:val="left"/>
              <w:rPr>
                <w:b/>
                <w:bCs/>
                <w:sz w:val="20"/>
                <w:szCs w:val="20"/>
              </w:rPr>
            </w:pPr>
          </w:p>
        </w:tc>
      </w:tr>
      <w:tr w:rsidR="003343A6" w:rsidRPr="00A63893" w14:paraId="0348DC48" w14:textId="77777777" w:rsidTr="00E4322F">
        <w:trPr>
          <w:trHeight w:val="20"/>
        </w:trPr>
        <w:tc>
          <w:tcPr>
            <w:tcW w:w="5000" w:type="pct"/>
            <w:vAlign w:val="center"/>
          </w:tcPr>
          <w:p w14:paraId="7FA1F535" w14:textId="77777777" w:rsidR="003343A6" w:rsidRPr="00A63893" w:rsidRDefault="003343A6" w:rsidP="001635A7">
            <w:pPr>
              <w:spacing w:before="0" w:after="0" w:line="240" w:lineRule="auto"/>
              <w:jc w:val="left"/>
              <w:rPr>
                <w:sz w:val="20"/>
                <w:szCs w:val="20"/>
              </w:rPr>
            </w:pPr>
            <w:r w:rsidRPr="00A63893">
              <w:rPr>
                <w:b/>
                <w:bCs/>
                <w:sz w:val="20"/>
                <w:szCs w:val="20"/>
              </w:rPr>
              <w:t xml:space="preserve">QE8. </w:t>
            </w:r>
            <w:r w:rsidRPr="00A63893">
              <w:rPr>
                <w:sz w:val="20"/>
                <w:szCs w:val="20"/>
              </w:rPr>
              <w:t>Dans quelle mesure les changements ou les progrès réalisés peuvent</w:t>
            </w:r>
            <w:r w:rsidRPr="00A63893">
              <w:rPr>
                <w:rFonts w:ascii="Cambria Math" w:hAnsi="Cambria Math" w:cs="Cambria Math"/>
                <w:sz w:val="20"/>
                <w:szCs w:val="20"/>
              </w:rPr>
              <w:t>‐</w:t>
            </w:r>
            <w:r w:rsidRPr="00A63893">
              <w:rPr>
                <w:sz w:val="20"/>
                <w:szCs w:val="20"/>
              </w:rPr>
              <w:t xml:space="preserve">ils </w:t>
            </w:r>
            <w:r w:rsidRPr="00A63893">
              <w:rPr>
                <w:rFonts w:cs="Century Gothic"/>
                <w:sz w:val="20"/>
                <w:szCs w:val="20"/>
              </w:rPr>
              <w:t>ê</w:t>
            </w:r>
            <w:r w:rsidRPr="00A63893">
              <w:rPr>
                <w:sz w:val="20"/>
                <w:szCs w:val="20"/>
              </w:rPr>
              <w:t>tre attribu</w:t>
            </w:r>
            <w:r w:rsidRPr="00A63893">
              <w:rPr>
                <w:rFonts w:cs="Century Gothic"/>
                <w:sz w:val="20"/>
                <w:szCs w:val="20"/>
              </w:rPr>
              <w:t>é</w:t>
            </w:r>
            <w:r w:rsidRPr="00A63893">
              <w:rPr>
                <w:sz w:val="20"/>
                <w:szCs w:val="20"/>
              </w:rPr>
              <w:t>s au projet ?</w:t>
            </w:r>
          </w:p>
        </w:tc>
      </w:tr>
      <w:tr w:rsidR="003343A6" w:rsidRPr="00A63893" w14:paraId="71FEBBF9" w14:textId="77777777" w:rsidTr="00E4322F">
        <w:trPr>
          <w:trHeight w:val="20"/>
        </w:trPr>
        <w:tc>
          <w:tcPr>
            <w:tcW w:w="5000" w:type="pct"/>
            <w:vAlign w:val="center"/>
          </w:tcPr>
          <w:p w14:paraId="1D376A89"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QE9. </w:t>
            </w:r>
            <w:r w:rsidRPr="00A63893">
              <w:rPr>
                <w:sz w:val="20"/>
                <w:szCs w:val="20"/>
              </w:rPr>
              <w:t>De quelle façon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contribué à un changement de perception ou de mentalité sur le rôle des femmes dans la prévention et la gestion des conflits ? </w:t>
            </w:r>
          </w:p>
        </w:tc>
      </w:tr>
      <w:tr w:rsidR="003343A6" w:rsidRPr="00A63893" w14:paraId="094CCED2" w14:textId="77777777" w:rsidTr="00E4322F">
        <w:trPr>
          <w:trHeight w:val="245"/>
        </w:trPr>
        <w:tc>
          <w:tcPr>
            <w:tcW w:w="5000" w:type="pct"/>
            <w:vMerge w:val="restart"/>
            <w:vAlign w:val="center"/>
          </w:tcPr>
          <w:p w14:paraId="547E24C2" w14:textId="77777777" w:rsidR="003343A6" w:rsidRPr="00A63893" w:rsidRDefault="003343A6" w:rsidP="001635A7">
            <w:pPr>
              <w:spacing w:before="0" w:after="0" w:line="240" w:lineRule="auto"/>
              <w:jc w:val="left"/>
              <w:rPr>
                <w:sz w:val="20"/>
                <w:szCs w:val="20"/>
              </w:rPr>
            </w:pPr>
            <w:r w:rsidRPr="00A63893">
              <w:rPr>
                <w:b/>
                <w:bCs/>
                <w:sz w:val="20"/>
                <w:szCs w:val="20"/>
              </w:rPr>
              <w:t xml:space="preserve">QE10. </w:t>
            </w:r>
            <w:r w:rsidRPr="00A63893">
              <w:rPr>
                <w:sz w:val="20"/>
                <w:szCs w:val="20"/>
              </w:rPr>
              <w:t>Quelles ont été les contraintes du projet ?</w:t>
            </w:r>
          </w:p>
          <w:p w14:paraId="06551680" w14:textId="77777777" w:rsidR="003343A6" w:rsidRPr="00A63893" w:rsidRDefault="003343A6" w:rsidP="001635A7">
            <w:pPr>
              <w:spacing w:before="0" w:after="0" w:line="240" w:lineRule="auto"/>
              <w:jc w:val="left"/>
              <w:rPr>
                <w:b/>
                <w:bCs/>
                <w:sz w:val="20"/>
                <w:szCs w:val="20"/>
              </w:rPr>
            </w:pPr>
            <w:r w:rsidRPr="00A63893">
              <w:rPr>
                <w:sz w:val="20"/>
                <w:szCs w:val="20"/>
              </w:rPr>
              <w:t>Quels efforts ont été déployés pour surmonter les difficultés ?</w:t>
            </w:r>
          </w:p>
        </w:tc>
      </w:tr>
      <w:tr w:rsidR="003343A6" w:rsidRPr="00A63893" w14:paraId="3D154134" w14:textId="77777777" w:rsidTr="00E4322F">
        <w:trPr>
          <w:trHeight w:val="245"/>
        </w:trPr>
        <w:tc>
          <w:tcPr>
            <w:tcW w:w="5000" w:type="pct"/>
            <w:vMerge/>
            <w:vAlign w:val="center"/>
          </w:tcPr>
          <w:p w14:paraId="62A7091B" w14:textId="77777777" w:rsidR="003343A6" w:rsidRPr="00A63893" w:rsidRDefault="003343A6" w:rsidP="001635A7">
            <w:pPr>
              <w:spacing w:before="0" w:after="0" w:line="240" w:lineRule="auto"/>
              <w:jc w:val="left"/>
              <w:rPr>
                <w:b/>
                <w:bCs/>
                <w:sz w:val="20"/>
                <w:szCs w:val="20"/>
              </w:rPr>
            </w:pPr>
          </w:p>
        </w:tc>
      </w:tr>
      <w:tr w:rsidR="003343A6" w:rsidRPr="00A63893" w14:paraId="2494184D" w14:textId="77777777" w:rsidTr="00E4322F">
        <w:trPr>
          <w:trHeight w:val="20"/>
        </w:trPr>
        <w:tc>
          <w:tcPr>
            <w:tcW w:w="5000" w:type="pct"/>
            <w:vAlign w:val="center"/>
          </w:tcPr>
          <w:p w14:paraId="73732D0C" w14:textId="77777777" w:rsidR="003343A6" w:rsidRPr="00A63893" w:rsidRDefault="003343A6" w:rsidP="001635A7">
            <w:pPr>
              <w:spacing w:before="0" w:after="0" w:line="240" w:lineRule="auto"/>
              <w:jc w:val="left"/>
              <w:rPr>
                <w:sz w:val="20"/>
                <w:szCs w:val="20"/>
                <w:highlight w:val="yellow"/>
              </w:rPr>
            </w:pPr>
            <w:r w:rsidRPr="00A63893">
              <w:rPr>
                <w:b/>
                <w:bCs/>
                <w:sz w:val="20"/>
                <w:szCs w:val="20"/>
              </w:rPr>
              <w:t xml:space="preserve">QE11. </w:t>
            </w:r>
            <w:r w:rsidRPr="00A63893">
              <w:rPr>
                <w:sz w:val="20"/>
                <w:szCs w:val="20"/>
              </w:rPr>
              <w:t>Dans quelle mesure les risques ont</w:t>
            </w:r>
            <w:r w:rsidRPr="00A63893">
              <w:rPr>
                <w:rFonts w:ascii="Cambria Math" w:hAnsi="Cambria Math" w:cs="Cambria Math"/>
                <w:sz w:val="20"/>
                <w:szCs w:val="20"/>
              </w:rPr>
              <w:t>‐</w:t>
            </w:r>
            <w:r w:rsidRPr="00A63893">
              <w:rPr>
                <w:sz w:val="20"/>
                <w:szCs w:val="20"/>
              </w:rPr>
              <w:t xml:space="preserve">ils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g</w:t>
            </w:r>
            <w:r w:rsidRPr="00A63893">
              <w:rPr>
                <w:rFonts w:cs="Century Gothic"/>
                <w:sz w:val="20"/>
                <w:szCs w:val="20"/>
              </w:rPr>
              <w:t>é</w:t>
            </w:r>
            <w:r w:rsidRPr="00A63893">
              <w:rPr>
                <w:sz w:val="20"/>
                <w:szCs w:val="20"/>
              </w:rPr>
              <w:t>r</w:t>
            </w:r>
            <w:r w:rsidRPr="00A63893">
              <w:rPr>
                <w:rFonts w:cs="Century Gothic"/>
                <w:sz w:val="20"/>
                <w:szCs w:val="20"/>
              </w:rPr>
              <w:t>é</w:t>
            </w:r>
            <w:r w:rsidRPr="00A63893">
              <w:rPr>
                <w:sz w:val="20"/>
                <w:szCs w:val="20"/>
              </w:rPr>
              <w:t>s pour atteindre les r</w:t>
            </w:r>
            <w:r w:rsidRPr="00A63893">
              <w:rPr>
                <w:rFonts w:cs="Century Gothic"/>
                <w:sz w:val="20"/>
                <w:szCs w:val="20"/>
              </w:rPr>
              <w:t>é</w:t>
            </w:r>
            <w:r w:rsidRPr="00A63893">
              <w:rPr>
                <w:sz w:val="20"/>
                <w:szCs w:val="20"/>
              </w:rPr>
              <w:t>sultats ?</w:t>
            </w:r>
          </w:p>
        </w:tc>
      </w:tr>
      <w:tr w:rsidR="003343A6" w:rsidRPr="00A63893" w14:paraId="05A7E409" w14:textId="77777777" w:rsidTr="00E4322F">
        <w:trPr>
          <w:trHeight w:val="245"/>
        </w:trPr>
        <w:tc>
          <w:tcPr>
            <w:tcW w:w="5000" w:type="pct"/>
            <w:vMerge w:val="restart"/>
            <w:vAlign w:val="center"/>
          </w:tcPr>
          <w:p w14:paraId="60750E06" w14:textId="77777777" w:rsidR="003343A6" w:rsidRPr="00A63893" w:rsidRDefault="003343A6" w:rsidP="001635A7">
            <w:pPr>
              <w:spacing w:before="0" w:after="0" w:line="240" w:lineRule="auto"/>
              <w:jc w:val="left"/>
              <w:rPr>
                <w:sz w:val="20"/>
                <w:szCs w:val="20"/>
              </w:rPr>
            </w:pPr>
            <w:r w:rsidRPr="00A63893">
              <w:rPr>
                <w:b/>
                <w:bCs/>
                <w:sz w:val="20"/>
                <w:szCs w:val="20"/>
              </w:rPr>
              <w:t xml:space="preserve">QE12. </w:t>
            </w:r>
            <w:r w:rsidRPr="00A63893">
              <w:rPr>
                <w:sz w:val="20"/>
                <w:szCs w:val="20"/>
              </w:rPr>
              <w:t>Un système de gestion axée sur les résultats (GAR)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w:t>
            </w:r>
            <w:r w:rsidRPr="00A63893">
              <w:rPr>
                <w:rFonts w:cs="Century Gothic"/>
                <w:sz w:val="20"/>
                <w:szCs w:val="20"/>
              </w:rPr>
              <w:t>é</w:t>
            </w:r>
            <w:r w:rsidRPr="00A63893">
              <w:rPr>
                <w:sz w:val="20"/>
                <w:szCs w:val="20"/>
              </w:rPr>
              <w:t xml:space="preserve">tabli et mis en </w:t>
            </w:r>
            <w:r w:rsidRPr="00A63893">
              <w:rPr>
                <w:rFonts w:cs="Century Gothic"/>
                <w:sz w:val="20"/>
                <w:szCs w:val="20"/>
              </w:rPr>
              <w:t>œ</w:t>
            </w:r>
            <w:r w:rsidRPr="00A63893">
              <w:rPr>
                <w:sz w:val="20"/>
                <w:szCs w:val="20"/>
              </w:rPr>
              <w:t>uvre en lien avec les systèmes de (GAR) globaux des bureaux pays au Mali et au Niger ?</w:t>
            </w:r>
          </w:p>
        </w:tc>
      </w:tr>
      <w:tr w:rsidR="003343A6" w:rsidRPr="00A63893" w14:paraId="03C7A15C" w14:textId="77777777" w:rsidTr="00E4322F">
        <w:trPr>
          <w:trHeight w:val="245"/>
        </w:trPr>
        <w:tc>
          <w:tcPr>
            <w:tcW w:w="5000" w:type="pct"/>
            <w:vMerge/>
            <w:vAlign w:val="center"/>
          </w:tcPr>
          <w:p w14:paraId="14E3D74F" w14:textId="77777777" w:rsidR="003343A6" w:rsidRPr="00A63893" w:rsidRDefault="003343A6" w:rsidP="001635A7">
            <w:pPr>
              <w:spacing w:before="0" w:after="0" w:line="240" w:lineRule="auto"/>
              <w:jc w:val="left"/>
              <w:rPr>
                <w:b/>
                <w:bCs/>
                <w:sz w:val="20"/>
                <w:szCs w:val="20"/>
              </w:rPr>
            </w:pPr>
          </w:p>
        </w:tc>
      </w:tr>
      <w:tr w:rsidR="003343A6" w:rsidRPr="00A63893" w14:paraId="58135DC8" w14:textId="77777777" w:rsidTr="00E4322F">
        <w:trPr>
          <w:trHeight w:val="20"/>
        </w:trPr>
        <w:tc>
          <w:tcPr>
            <w:tcW w:w="5000" w:type="pct"/>
            <w:vAlign w:val="center"/>
          </w:tcPr>
          <w:p w14:paraId="1C85E79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QE13. </w:t>
            </w:r>
            <w:r w:rsidRPr="00A63893">
              <w:rPr>
                <w:sz w:val="20"/>
                <w:szCs w:val="20"/>
              </w:rPr>
              <w:t>En quoi</w:t>
            </w:r>
            <w:r w:rsidRPr="00A63893">
              <w:rPr>
                <w:b/>
                <w:bCs/>
                <w:sz w:val="20"/>
                <w:szCs w:val="20"/>
              </w:rPr>
              <w:t xml:space="preserve"> </w:t>
            </w:r>
            <w:r w:rsidRPr="00A63893">
              <w:rPr>
                <w:sz w:val="20"/>
                <w:szCs w:val="20"/>
              </w:rPr>
              <w:t>les communaut</w:t>
            </w:r>
            <w:r w:rsidRPr="00A63893">
              <w:rPr>
                <w:rFonts w:cs="Century Gothic"/>
                <w:sz w:val="20"/>
                <w:szCs w:val="20"/>
              </w:rPr>
              <w:t>é</w:t>
            </w:r>
            <w:r w:rsidRPr="00A63893">
              <w:rPr>
                <w:sz w:val="20"/>
                <w:szCs w:val="20"/>
              </w:rPr>
              <w:t>s transfrontali</w:t>
            </w:r>
            <w:r w:rsidRPr="00A63893">
              <w:rPr>
                <w:rFonts w:cs="Century Gothic"/>
                <w:sz w:val="20"/>
                <w:szCs w:val="20"/>
              </w:rPr>
              <w:t>è</w:t>
            </w:r>
            <w:r w:rsidRPr="00A63893">
              <w:rPr>
                <w:sz w:val="20"/>
                <w:szCs w:val="20"/>
              </w:rPr>
              <w:t>res du Mali et du Niger ont appr</w:t>
            </w:r>
            <w:r w:rsidRPr="00A63893">
              <w:rPr>
                <w:rFonts w:cs="Century Gothic"/>
                <w:sz w:val="20"/>
                <w:szCs w:val="20"/>
              </w:rPr>
              <w:t>é</w:t>
            </w:r>
            <w:r w:rsidRPr="00A63893">
              <w:rPr>
                <w:sz w:val="20"/>
                <w:szCs w:val="20"/>
              </w:rPr>
              <w:t>ci</w:t>
            </w:r>
            <w:r w:rsidRPr="00A63893">
              <w:rPr>
                <w:rFonts w:cs="Century Gothic"/>
                <w:sz w:val="20"/>
                <w:szCs w:val="20"/>
              </w:rPr>
              <w:t>é</w:t>
            </w:r>
            <w:r w:rsidRPr="00A63893">
              <w:rPr>
                <w:sz w:val="20"/>
                <w:szCs w:val="20"/>
              </w:rPr>
              <w:t xml:space="preserve"> positivement les actions du projet ?</w:t>
            </w:r>
          </w:p>
        </w:tc>
      </w:tr>
      <w:tr w:rsidR="003343A6" w:rsidRPr="00A63893" w14:paraId="2BDC5B9E" w14:textId="77777777" w:rsidTr="00E4322F">
        <w:trPr>
          <w:trHeight w:val="20"/>
        </w:trPr>
        <w:tc>
          <w:tcPr>
            <w:tcW w:w="5000" w:type="pct"/>
            <w:vAlign w:val="center"/>
          </w:tcPr>
          <w:p w14:paraId="7A01A322"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QE14. </w:t>
            </w:r>
            <w:r w:rsidRPr="00A63893">
              <w:rPr>
                <w:sz w:val="20"/>
                <w:szCs w:val="20"/>
              </w:rPr>
              <w:t>Dans quelle mesure</w:t>
            </w:r>
            <w:r w:rsidRPr="00A63893">
              <w:rPr>
                <w:b/>
                <w:bCs/>
                <w:sz w:val="20"/>
                <w:szCs w:val="20"/>
              </w:rPr>
              <w:t xml:space="preserve"> </w:t>
            </w:r>
            <w:r w:rsidRPr="00A63893">
              <w:rPr>
                <w:sz w:val="20"/>
                <w:szCs w:val="20"/>
              </w:rPr>
              <w:t>les autorités du Mali et du Niger ont-elles accompagné les initiatives communautaires inclusives de paix et de cohésion sociale ?</w:t>
            </w:r>
          </w:p>
        </w:tc>
      </w:tr>
      <w:tr w:rsidR="003343A6" w:rsidRPr="00A63893" w14:paraId="67C571C3" w14:textId="77777777" w:rsidTr="00E4322F">
        <w:trPr>
          <w:trHeight w:val="20"/>
        </w:trPr>
        <w:tc>
          <w:tcPr>
            <w:tcW w:w="5000" w:type="pct"/>
            <w:shd w:val="clear" w:color="auto" w:fill="F2F2F2"/>
            <w:vAlign w:val="center"/>
          </w:tcPr>
          <w:p w14:paraId="3FB39770" w14:textId="77777777" w:rsidR="003343A6" w:rsidRPr="00A63893" w:rsidRDefault="003343A6" w:rsidP="001635A7">
            <w:pPr>
              <w:spacing w:before="0" w:after="0"/>
              <w:rPr>
                <w:b/>
                <w:bCs/>
                <w:sz w:val="20"/>
                <w:szCs w:val="20"/>
              </w:rPr>
            </w:pPr>
            <w:r>
              <w:rPr>
                <w:b/>
                <w:bCs/>
                <w:color w:val="00B0F0"/>
                <w:sz w:val="20"/>
                <w:szCs w:val="20"/>
              </w:rPr>
              <w:t>EFFICIENCE</w:t>
            </w:r>
          </w:p>
        </w:tc>
      </w:tr>
      <w:tr w:rsidR="003343A6" w:rsidRPr="00A63893" w14:paraId="471AD609" w14:textId="77777777" w:rsidTr="00E4322F">
        <w:trPr>
          <w:trHeight w:val="20"/>
        </w:trPr>
        <w:tc>
          <w:tcPr>
            <w:tcW w:w="5000" w:type="pct"/>
            <w:vAlign w:val="center"/>
          </w:tcPr>
          <w:p w14:paraId="1CAA2A05" w14:textId="77777777" w:rsidR="003343A6" w:rsidRPr="00A63893" w:rsidRDefault="003343A6" w:rsidP="001635A7">
            <w:pPr>
              <w:spacing w:before="0" w:after="0" w:line="240" w:lineRule="auto"/>
              <w:jc w:val="left"/>
              <w:rPr>
                <w:sz w:val="20"/>
                <w:szCs w:val="20"/>
              </w:rPr>
            </w:pPr>
            <w:r w:rsidRPr="00A63893">
              <w:rPr>
                <w:b/>
                <w:bCs/>
                <w:sz w:val="20"/>
                <w:szCs w:val="20"/>
              </w:rPr>
              <w:t xml:space="preserve">QE15. </w:t>
            </w:r>
            <w:r w:rsidRPr="00A63893">
              <w:rPr>
                <w:sz w:val="20"/>
                <w:szCs w:val="20"/>
              </w:rPr>
              <w:t>Dans quelle mesure les mécanismes d'intervention (instruments de financement, cadre réglementaire administratif, personnel, calendrier et procédures) ont</w:t>
            </w:r>
            <w:r w:rsidRPr="00A63893">
              <w:rPr>
                <w:rFonts w:ascii="Cambria Math" w:hAnsi="Cambria Math" w:cs="Cambria Math"/>
                <w:sz w:val="20"/>
                <w:szCs w:val="20"/>
              </w:rPr>
              <w:t>‐</w:t>
            </w:r>
            <w:r w:rsidRPr="00A63893">
              <w:rPr>
                <w:sz w:val="20"/>
                <w:szCs w:val="20"/>
              </w:rPr>
              <w:t>ils favoris</w:t>
            </w:r>
            <w:r w:rsidRPr="00A63893">
              <w:rPr>
                <w:rFonts w:cs="Century Gothic"/>
                <w:sz w:val="20"/>
                <w:szCs w:val="20"/>
              </w:rPr>
              <w:t>é</w:t>
            </w:r>
            <w:r w:rsidRPr="00A63893">
              <w:rPr>
                <w:sz w:val="20"/>
                <w:szCs w:val="20"/>
              </w:rPr>
              <w:t xml:space="preserve"> ou entrav</w:t>
            </w:r>
            <w:r w:rsidRPr="00A63893">
              <w:rPr>
                <w:rFonts w:cs="Century Gothic"/>
                <w:sz w:val="20"/>
                <w:szCs w:val="20"/>
              </w:rPr>
              <w:t>é</w:t>
            </w:r>
            <w:r w:rsidRPr="00A63893">
              <w:rPr>
                <w:sz w:val="20"/>
                <w:szCs w:val="20"/>
              </w:rPr>
              <w:t xml:space="preserve"> la r</w:t>
            </w:r>
            <w:r w:rsidRPr="00A63893">
              <w:rPr>
                <w:rFonts w:cs="Century Gothic"/>
                <w:sz w:val="20"/>
                <w:szCs w:val="20"/>
              </w:rPr>
              <w:t>é</w:t>
            </w:r>
            <w:r w:rsidRPr="00A63893">
              <w:rPr>
                <w:sz w:val="20"/>
                <w:szCs w:val="20"/>
              </w:rPr>
              <w:t>alisation des r</w:t>
            </w:r>
            <w:r w:rsidRPr="00A63893">
              <w:rPr>
                <w:rFonts w:cs="Century Gothic"/>
                <w:sz w:val="20"/>
                <w:szCs w:val="20"/>
              </w:rPr>
              <w:t>é</w:t>
            </w:r>
            <w:r w:rsidRPr="00A63893">
              <w:rPr>
                <w:sz w:val="20"/>
                <w:szCs w:val="20"/>
              </w:rPr>
              <w:t>sultats du projet ?</w:t>
            </w:r>
          </w:p>
        </w:tc>
      </w:tr>
      <w:tr w:rsidR="003343A6" w:rsidRPr="00A63893" w14:paraId="59CD05FB" w14:textId="77777777" w:rsidTr="00E4322F">
        <w:trPr>
          <w:trHeight w:val="20"/>
        </w:trPr>
        <w:tc>
          <w:tcPr>
            <w:tcW w:w="5000" w:type="pct"/>
            <w:vAlign w:val="center"/>
          </w:tcPr>
          <w:p w14:paraId="6B91F766" w14:textId="77777777" w:rsidR="003343A6" w:rsidRPr="00A63893" w:rsidRDefault="003343A6" w:rsidP="001635A7">
            <w:pPr>
              <w:spacing w:before="0" w:after="0" w:line="240" w:lineRule="auto"/>
              <w:jc w:val="left"/>
              <w:rPr>
                <w:sz w:val="20"/>
                <w:szCs w:val="20"/>
              </w:rPr>
            </w:pPr>
            <w:r w:rsidRPr="00A63893">
              <w:rPr>
                <w:b/>
                <w:bCs/>
                <w:sz w:val="20"/>
                <w:szCs w:val="20"/>
              </w:rPr>
              <w:t xml:space="preserve">QE16. </w:t>
            </w:r>
            <w:r w:rsidRPr="00A63893">
              <w:rPr>
                <w:sz w:val="20"/>
                <w:szCs w:val="20"/>
              </w:rPr>
              <w:t>En quoi les moyens engag</w:t>
            </w:r>
            <w:r w:rsidRPr="00A63893">
              <w:rPr>
                <w:rFonts w:cs="Century Gothic"/>
                <w:sz w:val="20"/>
                <w:szCs w:val="20"/>
              </w:rPr>
              <w:t>é</w:t>
            </w:r>
            <w:r w:rsidRPr="00A63893">
              <w:rPr>
                <w:sz w:val="20"/>
                <w:szCs w:val="20"/>
              </w:rPr>
              <w:t>s (fonds, compétences, temps …) ont permis de réaliser toutes les activités du projet ?</w:t>
            </w:r>
          </w:p>
        </w:tc>
      </w:tr>
      <w:tr w:rsidR="003343A6" w:rsidRPr="00A63893" w14:paraId="1388E1EC" w14:textId="77777777" w:rsidTr="00E4322F">
        <w:trPr>
          <w:trHeight w:val="245"/>
        </w:trPr>
        <w:tc>
          <w:tcPr>
            <w:tcW w:w="5000" w:type="pct"/>
            <w:vMerge w:val="restart"/>
            <w:vAlign w:val="center"/>
          </w:tcPr>
          <w:p w14:paraId="296B46D3" w14:textId="77777777" w:rsidR="003343A6" w:rsidRPr="00A63893" w:rsidRDefault="003343A6" w:rsidP="001635A7">
            <w:pPr>
              <w:spacing w:before="0" w:after="0" w:line="240" w:lineRule="auto"/>
              <w:jc w:val="left"/>
              <w:rPr>
                <w:sz w:val="20"/>
                <w:szCs w:val="20"/>
              </w:rPr>
            </w:pPr>
            <w:r w:rsidRPr="00A63893">
              <w:rPr>
                <w:b/>
                <w:bCs/>
                <w:sz w:val="20"/>
                <w:szCs w:val="20"/>
              </w:rPr>
              <w:t xml:space="preserve">QE17. </w:t>
            </w:r>
            <w:r w:rsidRPr="00A63893">
              <w:rPr>
                <w:sz w:val="20"/>
                <w:szCs w:val="20"/>
              </w:rPr>
              <w:t>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utilis</w:t>
            </w:r>
            <w:r w:rsidRPr="00A63893">
              <w:rPr>
                <w:rFonts w:cs="Century Gothic"/>
                <w:sz w:val="20"/>
                <w:szCs w:val="20"/>
              </w:rPr>
              <w:t>é</w:t>
            </w:r>
            <w:r w:rsidRPr="00A63893">
              <w:rPr>
                <w:sz w:val="20"/>
                <w:szCs w:val="20"/>
              </w:rPr>
              <w:t xml:space="preserve"> les ressources (financi</w:t>
            </w:r>
            <w:r w:rsidRPr="00A63893">
              <w:rPr>
                <w:rFonts w:cs="Century Gothic"/>
                <w:sz w:val="20"/>
                <w:szCs w:val="20"/>
              </w:rPr>
              <w:t>è</w:t>
            </w:r>
            <w:r w:rsidRPr="00A63893">
              <w:rPr>
                <w:sz w:val="20"/>
                <w:szCs w:val="20"/>
              </w:rPr>
              <w:t>res, humaines, techniques) de la mani</w:t>
            </w:r>
            <w:r w:rsidRPr="00A63893">
              <w:rPr>
                <w:rFonts w:cs="Century Gothic"/>
                <w:sz w:val="20"/>
                <w:szCs w:val="20"/>
              </w:rPr>
              <w:t>è</w:t>
            </w:r>
            <w:r w:rsidRPr="00A63893">
              <w:rPr>
                <w:sz w:val="20"/>
                <w:szCs w:val="20"/>
              </w:rPr>
              <w:t>re la plus économe possible pour atteindre ses objectifs ?</w:t>
            </w:r>
          </w:p>
        </w:tc>
      </w:tr>
      <w:tr w:rsidR="003343A6" w:rsidRPr="00A63893" w14:paraId="65B75079" w14:textId="77777777" w:rsidTr="00E4322F">
        <w:trPr>
          <w:trHeight w:val="245"/>
        </w:trPr>
        <w:tc>
          <w:tcPr>
            <w:tcW w:w="5000" w:type="pct"/>
            <w:vMerge/>
            <w:vAlign w:val="center"/>
          </w:tcPr>
          <w:p w14:paraId="054FE957" w14:textId="77777777" w:rsidR="003343A6" w:rsidRPr="00A63893" w:rsidRDefault="003343A6" w:rsidP="001635A7">
            <w:pPr>
              <w:spacing w:before="0" w:after="0" w:line="240" w:lineRule="auto"/>
              <w:jc w:val="left"/>
              <w:rPr>
                <w:b/>
                <w:bCs/>
                <w:sz w:val="20"/>
                <w:szCs w:val="20"/>
              </w:rPr>
            </w:pPr>
          </w:p>
        </w:tc>
      </w:tr>
      <w:tr w:rsidR="003343A6" w:rsidRPr="00A63893" w14:paraId="7241DC0E" w14:textId="77777777" w:rsidTr="00E4322F">
        <w:trPr>
          <w:trHeight w:val="20"/>
        </w:trPr>
        <w:tc>
          <w:tcPr>
            <w:tcW w:w="5000" w:type="pct"/>
            <w:vAlign w:val="center"/>
          </w:tcPr>
          <w:p w14:paraId="44970FB1" w14:textId="77777777" w:rsidR="003343A6" w:rsidRPr="00A63893" w:rsidRDefault="003343A6" w:rsidP="001635A7">
            <w:pPr>
              <w:spacing w:before="0" w:after="0" w:line="240" w:lineRule="auto"/>
              <w:jc w:val="left"/>
              <w:rPr>
                <w:sz w:val="20"/>
                <w:szCs w:val="20"/>
              </w:rPr>
            </w:pPr>
            <w:r w:rsidRPr="00A63893">
              <w:rPr>
                <w:b/>
                <w:bCs/>
                <w:sz w:val="20"/>
                <w:szCs w:val="20"/>
              </w:rPr>
              <w:t xml:space="preserve">QE18. </w:t>
            </w:r>
            <w:r w:rsidRPr="00A63893">
              <w:rPr>
                <w:sz w:val="20"/>
                <w:szCs w:val="20"/>
              </w:rPr>
              <w:t>Les mécanismes de coordination mis en place pour la mise en œuvre du projet ont</w:t>
            </w:r>
            <w:r w:rsidRPr="00A63893">
              <w:rPr>
                <w:rFonts w:ascii="Cambria Math" w:hAnsi="Cambria Math" w:cs="Cambria Math"/>
                <w:sz w:val="20"/>
                <w:szCs w:val="20"/>
              </w:rPr>
              <w:t>‐</w:t>
            </w:r>
            <w:r w:rsidRPr="00A63893">
              <w:rPr>
                <w:sz w:val="20"/>
                <w:szCs w:val="20"/>
              </w:rPr>
              <w:t>ils permis de promouvoir l'utilisation efficace des ressources financières et humaines ?</w:t>
            </w:r>
          </w:p>
        </w:tc>
      </w:tr>
      <w:tr w:rsidR="003343A6" w:rsidRPr="00A63893" w14:paraId="22FC2135" w14:textId="77777777" w:rsidTr="00E4322F">
        <w:trPr>
          <w:trHeight w:val="20"/>
        </w:trPr>
        <w:tc>
          <w:tcPr>
            <w:tcW w:w="5000" w:type="pct"/>
            <w:vAlign w:val="center"/>
          </w:tcPr>
          <w:p w14:paraId="63A3EE5C" w14:textId="77777777" w:rsidR="003343A6" w:rsidRPr="00A63893" w:rsidRDefault="003343A6" w:rsidP="001635A7">
            <w:pPr>
              <w:spacing w:before="0" w:after="0" w:line="240" w:lineRule="auto"/>
              <w:jc w:val="left"/>
              <w:rPr>
                <w:sz w:val="20"/>
                <w:szCs w:val="20"/>
              </w:rPr>
            </w:pPr>
            <w:r w:rsidRPr="00A63893">
              <w:rPr>
                <w:b/>
                <w:bCs/>
                <w:sz w:val="20"/>
                <w:szCs w:val="20"/>
              </w:rPr>
              <w:t xml:space="preserve">QE19. </w:t>
            </w:r>
            <w:r w:rsidRPr="00A63893">
              <w:rPr>
                <w:sz w:val="20"/>
                <w:szCs w:val="20"/>
              </w:rPr>
              <w:t>Quelles peuvent être les propositions de stratégies plus efficaces pour une utilisation optimale des ressources ?</w:t>
            </w:r>
          </w:p>
        </w:tc>
      </w:tr>
      <w:tr w:rsidR="003343A6" w:rsidRPr="00A63893" w14:paraId="3D8FB1E4" w14:textId="77777777" w:rsidTr="00E4322F">
        <w:trPr>
          <w:trHeight w:val="20"/>
        </w:trPr>
        <w:tc>
          <w:tcPr>
            <w:tcW w:w="5000" w:type="pct"/>
            <w:shd w:val="clear" w:color="auto" w:fill="F2F2F2"/>
            <w:vAlign w:val="center"/>
          </w:tcPr>
          <w:p w14:paraId="3D92A34E" w14:textId="77777777" w:rsidR="003343A6" w:rsidRPr="00A63893" w:rsidRDefault="003343A6" w:rsidP="001635A7">
            <w:pPr>
              <w:spacing w:before="0" w:after="0"/>
              <w:rPr>
                <w:b/>
                <w:bCs/>
                <w:color w:val="00B0F0"/>
                <w:sz w:val="20"/>
                <w:szCs w:val="20"/>
              </w:rPr>
            </w:pPr>
            <w:r w:rsidRPr="00A63893">
              <w:rPr>
                <w:b/>
                <w:bCs/>
                <w:color w:val="00B0F0"/>
                <w:sz w:val="20"/>
                <w:szCs w:val="20"/>
              </w:rPr>
              <w:t>IMPACT</w:t>
            </w:r>
          </w:p>
        </w:tc>
      </w:tr>
      <w:tr w:rsidR="003343A6" w:rsidRPr="00A63893" w14:paraId="6EC81082" w14:textId="77777777" w:rsidTr="00E4322F">
        <w:trPr>
          <w:trHeight w:val="20"/>
        </w:trPr>
        <w:tc>
          <w:tcPr>
            <w:tcW w:w="5000" w:type="pct"/>
            <w:vAlign w:val="center"/>
          </w:tcPr>
          <w:p w14:paraId="4CA84767" w14:textId="77777777" w:rsidR="003343A6" w:rsidRPr="00A63893" w:rsidRDefault="003343A6" w:rsidP="001635A7">
            <w:pPr>
              <w:spacing w:before="0" w:after="0" w:line="240" w:lineRule="auto"/>
              <w:jc w:val="left"/>
              <w:rPr>
                <w:sz w:val="20"/>
                <w:szCs w:val="20"/>
              </w:rPr>
            </w:pPr>
            <w:r w:rsidRPr="00A63893">
              <w:rPr>
                <w:b/>
                <w:bCs/>
                <w:sz w:val="20"/>
                <w:szCs w:val="20"/>
              </w:rPr>
              <w:t xml:space="preserve">QE20. </w:t>
            </w:r>
            <w:r w:rsidRPr="00A63893">
              <w:rPr>
                <w:sz w:val="20"/>
                <w:szCs w:val="20"/>
              </w:rPr>
              <w:t>Quels sont les effets non intentionnels, positifs et négatifs pendant la durée du projet, particulièrement sur les communautés transfrontalières, les femmes et les jeunes ?</w:t>
            </w:r>
          </w:p>
        </w:tc>
      </w:tr>
      <w:tr w:rsidR="003343A6" w:rsidRPr="00A63893" w14:paraId="655E8029" w14:textId="77777777" w:rsidTr="00E4322F">
        <w:trPr>
          <w:trHeight w:val="20"/>
        </w:trPr>
        <w:tc>
          <w:tcPr>
            <w:tcW w:w="5000" w:type="pct"/>
            <w:vAlign w:val="center"/>
          </w:tcPr>
          <w:p w14:paraId="0C2E401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QE21. </w:t>
            </w:r>
            <w:r w:rsidRPr="00A63893">
              <w:rPr>
                <w:sz w:val="20"/>
                <w:szCs w:val="20"/>
              </w:rPr>
              <w:t>Quels sont les effets intentionnels, positifs et négatifs pendant la durée du projet, particulièrement sur les communautés transfrontalières, les femmes et les jeunes ?</w:t>
            </w:r>
          </w:p>
        </w:tc>
      </w:tr>
      <w:tr w:rsidR="003343A6" w:rsidRPr="00A63893" w14:paraId="1FA95622" w14:textId="77777777" w:rsidTr="00E4322F">
        <w:trPr>
          <w:trHeight w:val="20"/>
          <w:tblHeader/>
        </w:trPr>
        <w:tc>
          <w:tcPr>
            <w:tcW w:w="5000" w:type="pct"/>
            <w:shd w:val="clear" w:color="auto" w:fill="F2F2F2"/>
            <w:vAlign w:val="center"/>
          </w:tcPr>
          <w:p w14:paraId="756786BF" w14:textId="77777777" w:rsidR="003343A6" w:rsidRPr="00A63893" w:rsidRDefault="003343A6" w:rsidP="001635A7">
            <w:pPr>
              <w:spacing w:before="0" w:after="0"/>
              <w:rPr>
                <w:b/>
                <w:bCs/>
                <w:sz w:val="20"/>
                <w:szCs w:val="20"/>
              </w:rPr>
            </w:pPr>
            <w:r>
              <w:rPr>
                <w:b/>
                <w:bCs/>
                <w:color w:val="00B0F0"/>
                <w:sz w:val="20"/>
                <w:szCs w:val="20"/>
              </w:rPr>
              <w:t>DURABILITE</w:t>
            </w:r>
          </w:p>
        </w:tc>
      </w:tr>
      <w:tr w:rsidR="003343A6" w:rsidRPr="00A63893" w14:paraId="2211FAD7" w14:textId="77777777" w:rsidTr="00E4322F">
        <w:trPr>
          <w:trHeight w:val="245"/>
        </w:trPr>
        <w:tc>
          <w:tcPr>
            <w:tcW w:w="5000" w:type="pct"/>
            <w:vMerge w:val="restart"/>
            <w:vAlign w:val="center"/>
          </w:tcPr>
          <w:p w14:paraId="3E5A1CDC" w14:textId="77777777" w:rsidR="003343A6" w:rsidRPr="00A63893" w:rsidRDefault="003343A6" w:rsidP="001635A7">
            <w:pPr>
              <w:spacing w:before="0" w:after="0" w:line="240" w:lineRule="auto"/>
              <w:jc w:val="left"/>
              <w:rPr>
                <w:sz w:val="20"/>
                <w:szCs w:val="20"/>
              </w:rPr>
            </w:pPr>
            <w:r w:rsidRPr="00A63893">
              <w:rPr>
                <w:b/>
                <w:bCs/>
                <w:sz w:val="20"/>
                <w:szCs w:val="20"/>
              </w:rPr>
              <w:t xml:space="preserve">QE22. </w:t>
            </w:r>
            <w:r w:rsidRPr="00A63893">
              <w:rPr>
                <w:sz w:val="20"/>
                <w:szCs w:val="20"/>
              </w:rPr>
              <w:t>Dans quelle mesure l’approche d’intervention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elle permis de renforcer les capacit</w:t>
            </w:r>
            <w:r w:rsidRPr="00A63893">
              <w:rPr>
                <w:rFonts w:cs="Century Gothic"/>
                <w:sz w:val="20"/>
                <w:szCs w:val="20"/>
              </w:rPr>
              <w:t>é</w:t>
            </w:r>
            <w:r w:rsidRPr="00A63893">
              <w:rPr>
                <w:sz w:val="20"/>
                <w:szCs w:val="20"/>
              </w:rPr>
              <w:t>s techniques et opérationnelles du Gouvernement (au Mali et au Niger), garantissant les résultats attendus du projet ? L’approche du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elle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inclusive et formative, favorisant l</w:t>
            </w:r>
            <w:r w:rsidRPr="00A63893">
              <w:rPr>
                <w:rFonts w:cs="Century Gothic"/>
                <w:sz w:val="20"/>
                <w:szCs w:val="20"/>
              </w:rPr>
              <w:t>’</w:t>
            </w:r>
            <w:r w:rsidRPr="00A63893">
              <w:rPr>
                <w:sz w:val="20"/>
                <w:szCs w:val="20"/>
              </w:rPr>
              <w:t>appropriation par les acteurs concern</w:t>
            </w:r>
            <w:r w:rsidRPr="00A63893">
              <w:rPr>
                <w:rFonts w:cs="Century Gothic"/>
                <w:sz w:val="20"/>
                <w:szCs w:val="20"/>
              </w:rPr>
              <w:t>é</w:t>
            </w:r>
            <w:r w:rsidRPr="00A63893">
              <w:rPr>
                <w:sz w:val="20"/>
                <w:szCs w:val="20"/>
              </w:rPr>
              <w:t>s, la fourniture continue des services ?</w:t>
            </w:r>
          </w:p>
        </w:tc>
      </w:tr>
      <w:tr w:rsidR="003343A6" w:rsidRPr="00A63893" w14:paraId="3510A03F" w14:textId="77777777" w:rsidTr="00E4322F">
        <w:trPr>
          <w:trHeight w:val="245"/>
        </w:trPr>
        <w:tc>
          <w:tcPr>
            <w:tcW w:w="5000" w:type="pct"/>
            <w:vMerge/>
            <w:vAlign w:val="center"/>
          </w:tcPr>
          <w:p w14:paraId="26D0D88F" w14:textId="77777777" w:rsidR="003343A6" w:rsidRPr="00A63893" w:rsidRDefault="003343A6" w:rsidP="001635A7">
            <w:pPr>
              <w:spacing w:before="0" w:after="0" w:line="240" w:lineRule="auto"/>
              <w:jc w:val="left"/>
              <w:rPr>
                <w:b/>
                <w:bCs/>
                <w:sz w:val="20"/>
                <w:szCs w:val="20"/>
              </w:rPr>
            </w:pPr>
          </w:p>
        </w:tc>
      </w:tr>
      <w:tr w:rsidR="003343A6" w:rsidRPr="00A63893" w14:paraId="0D7D2082" w14:textId="77777777" w:rsidTr="00E4322F">
        <w:trPr>
          <w:trHeight w:val="245"/>
        </w:trPr>
        <w:tc>
          <w:tcPr>
            <w:tcW w:w="5000" w:type="pct"/>
            <w:vMerge/>
            <w:vAlign w:val="center"/>
          </w:tcPr>
          <w:p w14:paraId="59E05080" w14:textId="77777777" w:rsidR="003343A6" w:rsidRPr="00A63893" w:rsidRDefault="003343A6" w:rsidP="001635A7">
            <w:pPr>
              <w:spacing w:before="0" w:after="0" w:line="240" w:lineRule="auto"/>
              <w:jc w:val="left"/>
              <w:rPr>
                <w:b/>
                <w:bCs/>
                <w:sz w:val="20"/>
                <w:szCs w:val="20"/>
              </w:rPr>
            </w:pPr>
          </w:p>
        </w:tc>
      </w:tr>
      <w:tr w:rsidR="003343A6" w:rsidRPr="00A63893" w14:paraId="5FD5D366" w14:textId="77777777" w:rsidTr="00E4322F">
        <w:trPr>
          <w:trHeight w:val="20"/>
        </w:trPr>
        <w:tc>
          <w:tcPr>
            <w:tcW w:w="5000" w:type="pct"/>
            <w:vAlign w:val="center"/>
          </w:tcPr>
          <w:p w14:paraId="1454E52F" w14:textId="77777777" w:rsidR="003343A6" w:rsidRPr="00A63893" w:rsidRDefault="003343A6" w:rsidP="001635A7">
            <w:pPr>
              <w:spacing w:before="0" w:after="0" w:line="240" w:lineRule="auto"/>
              <w:jc w:val="left"/>
              <w:rPr>
                <w:sz w:val="20"/>
                <w:szCs w:val="20"/>
              </w:rPr>
            </w:pPr>
            <w:r w:rsidRPr="00A63893">
              <w:rPr>
                <w:b/>
                <w:bCs/>
                <w:sz w:val="20"/>
                <w:szCs w:val="20"/>
              </w:rPr>
              <w:t xml:space="preserve">QE23. </w:t>
            </w:r>
            <w:r w:rsidRPr="00A63893">
              <w:rPr>
                <w:sz w:val="20"/>
                <w:szCs w:val="20"/>
              </w:rPr>
              <w:t>Dans quelle mesure les capacités des femmes et des jeunes filles ont</w:t>
            </w:r>
            <w:r w:rsidRPr="00A63893">
              <w:rPr>
                <w:rFonts w:ascii="Cambria Math" w:hAnsi="Cambria Math" w:cs="Cambria Math"/>
                <w:sz w:val="20"/>
                <w:szCs w:val="20"/>
              </w:rPr>
              <w:t>‐</w:t>
            </w:r>
            <w:r w:rsidRPr="00A63893">
              <w:rPr>
                <w:sz w:val="20"/>
                <w:szCs w:val="20"/>
              </w:rPr>
              <w:t xml:space="preserve">elles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renforc</w:t>
            </w:r>
            <w:r w:rsidRPr="00A63893">
              <w:rPr>
                <w:rFonts w:cs="Century Gothic"/>
                <w:sz w:val="20"/>
                <w:szCs w:val="20"/>
              </w:rPr>
              <w:t>é</w:t>
            </w:r>
            <w:r w:rsidRPr="00A63893">
              <w:rPr>
                <w:sz w:val="20"/>
                <w:szCs w:val="20"/>
              </w:rPr>
              <w:t>es ?</w:t>
            </w:r>
          </w:p>
          <w:p w14:paraId="17E8FA44" w14:textId="77777777" w:rsidR="003343A6" w:rsidRPr="00A63893" w:rsidRDefault="003343A6" w:rsidP="001635A7">
            <w:pPr>
              <w:spacing w:before="0" w:after="0" w:line="240" w:lineRule="auto"/>
              <w:jc w:val="left"/>
              <w:rPr>
                <w:strike/>
                <w:sz w:val="20"/>
                <w:szCs w:val="20"/>
              </w:rPr>
            </w:pPr>
          </w:p>
        </w:tc>
      </w:tr>
      <w:tr w:rsidR="003343A6" w:rsidRPr="00A63893" w14:paraId="2DB7DE5A" w14:textId="77777777" w:rsidTr="00E4322F">
        <w:trPr>
          <w:trHeight w:val="20"/>
        </w:trPr>
        <w:tc>
          <w:tcPr>
            <w:tcW w:w="5000" w:type="pct"/>
            <w:vAlign w:val="center"/>
          </w:tcPr>
          <w:p w14:paraId="291BE1F3" w14:textId="77777777" w:rsidR="003343A6" w:rsidRPr="00A63893" w:rsidRDefault="003343A6" w:rsidP="001635A7">
            <w:pPr>
              <w:spacing w:before="0" w:after="0" w:line="240" w:lineRule="auto"/>
              <w:jc w:val="left"/>
              <w:rPr>
                <w:sz w:val="20"/>
                <w:szCs w:val="20"/>
              </w:rPr>
            </w:pPr>
            <w:r w:rsidRPr="00A63893">
              <w:rPr>
                <w:b/>
                <w:bCs/>
                <w:sz w:val="20"/>
                <w:szCs w:val="20"/>
              </w:rPr>
              <w:t xml:space="preserve">QE24. </w:t>
            </w:r>
            <w:r w:rsidRPr="00A63893">
              <w:rPr>
                <w:sz w:val="20"/>
                <w:szCs w:val="20"/>
              </w:rPr>
              <w:t>Dans quelle mesure est-il possible de procéder à un passage à l’échelle des stratégies et résultats du projet ?</w:t>
            </w:r>
          </w:p>
        </w:tc>
      </w:tr>
      <w:tr w:rsidR="003343A6" w:rsidRPr="00A63893" w14:paraId="1FE2A62A" w14:textId="77777777" w:rsidTr="00E4322F">
        <w:trPr>
          <w:trHeight w:val="20"/>
          <w:tblHeader/>
        </w:trPr>
        <w:tc>
          <w:tcPr>
            <w:tcW w:w="5000" w:type="pct"/>
            <w:shd w:val="clear" w:color="auto" w:fill="F2F2F2"/>
            <w:vAlign w:val="center"/>
          </w:tcPr>
          <w:p w14:paraId="01D9E995" w14:textId="77777777" w:rsidR="003343A6" w:rsidRPr="00A63893" w:rsidRDefault="003343A6" w:rsidP="001635A7">
            <w:pPr>
              <w:spacing w:before="0" w:after="0"/>
              <w:rPr>
                <w:b/>
                <w:bCs/>
                <w:sz w:val="20"/>
                <w:szCs w:val="20"/>
              </w:rPr>
            </w:pPr>
            <w:r w:rsidRPr="00A63893">
              <w:rPr>
                <w:b/>
                <w:bCs/>
                <w:color w:val="00B0F0"/>
                <w:sz w:val="20"/>
                <w:szCs w:val="20"/>
              </w:rPr>
              <w:t>EGALITE DES SEXES ET D</w:t>
            </w:r>
            <w:r>
              <w:rPr>
                <w:b/>
                <w:bCs/>
                <w:color w:val="00B0F0"/>
                <w:sz w:val="20"/>
                <w:szCs w:val="20"/>
              </w:rPr>
              <w:t>ROITS HUMAINS</w:t>
            </w:r>
          </w:p>
        </w:tc>
      </w:tr>
      <w:tr w:rsidR="003343A6" w:rsidRPr="00A63893" w14:paraId="7B3A05FA" w14:textId="77777777" w:rsidTr="00E4322F">
        <w:trPr>
          <w:trHeight w:val="20"/>
        </w:trPr>
        <w:tc>
          <w:tcPr>
            <w:tcW w:w="5000" w:type="pct"/>
            <w:vAlign w:val="center"/>
          </w:tcPr>
          <w:p w14:paraId="550D531B" w14:textId="77777777" w:rsidR="003343A6" w:rsidRPr="00A63893" w:rsidRDefault="003343A6" w:rsidP="001635A7">
            <w:pPr>
              <w:spacing w:before="0" w:after="0" w:line="240" w:lineRule="auto"/>
              <w:jc w:val="left"/>
              <w:rPr>
                <w:sz w:val="20"/>
                <w:szCs w:val="20"/>
              </w:rPr>
            </w:pPr>
            <w:r w:rsidRPr="00A63893">
              <w:rPr>
                <w:b/>
                <w:bCs/>
                <w:sz w:val="20"/>
                <w:szCs w:val="20"/>
              </w:rPr>
              <w:t>QE25 :</w:t>
            </w:r>
            <w:r w:rsidRPr="00A63893">
              <w:rPr>
                <w:sz w:val="20"/>
                <w:szCs w:val="20"/>
              </w:rPr>
              <w:t xml:space="preserve"> Dans quelle mesure les considérations de droits humains ont</w:t>
            </w:r>
            <w:r w:rsidRPr="00A63893">
              <w:rPr>
                <w:rFonts w:ascii="Cambria Math" w:hAnsi="Cambria Math" w:cs="Cambria Math"/>
                <w:sz w:val="20"/>
                <w:szCs w:val="20"/>
              </w:rPr>
              <w:t>‐</w:t>
            </w:r>
            <w:r w:rsidRPr="00A63893">
              <w:rPr>
                <w:sz w:val="20"/>
                <w:szCs w:val="20"/>
              </w:rPr>
              <w:t xml:space="preserve">elles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int</w:t>
            </w:r>
            <w:r w:rsidRPr="00A63893">
              <w:rPr>
                <w:rFonts w:cs="Century Gothic"/>
                <w:sz w:val="20"/>
                <w:szCs w:val="20"/>
              </w:rPr>
              <w:t>é</w:t>
            </w:r>
            <w:r w:rsidRPr="00A63893">
              <w:rPr>
                <w:sz w:val="20"/>
                <w:szCs w:val="20"/>
              </w:rPr>
              <w:t>gr</w:t>
            </w:r>
            <w:r w:rsidRPr="00A63893">
              <w:rPr>
                <w:rFonts w:cs="Century Gothic"/>
                <w:sz w:val="20"/>
                <w:szCs w:val="20"/>
              </w:rPr>
              <w:t>é</w:t>
            </w:r>
            <w:r w:rsidRPr="00A63893">
              <w:rPr>
                <w:sz w:val="20"/>
                <w:szCs w:val="20"/>
              </w:rPr>
              <w:t xml:space="preserve">es dans la conception et la mise en </w:t>
            </w:r>
            <w:r w:rsidRPr="00A63893">
              <w:rPr>
                <w:rFonts w:cs="Century Gothic"/>
                <w:sz w:val="20"/>
                <w:szCs w:val="20"/>
              </w:rPr>
              <w:t>œ</w:t>
            </w:r>
            <w:r w:rsidRPr="00A63893">
              <w:rPr>
                <w:sz w:val="20"/>
                <w:szCs w:val="20"/>
              </w:rPr>
              <w:t>uvre du projet ?</w:t>
            </w:r>
          </w:p>
        </w:tc>
      </w:tr>
      <w:tr w:rsidR="003343A6" w:rsidRPr="00A63893" w14:paraId="491E3904" w14:textId="77777777" w:rsidTr="00E4322F">
        <w:trPr>
          <w:trHeight w:val="20"/>
        </w:trPr>
        <w:tc>
          <w:tcPr>
            <w:tcW w:w="5000" w:type="pct"/>
            <w:vAlign w:val="center"/>
          </w:tcPr>
          <w:p w14:paraId="7C04397C"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QE26. </w:t>
            </w:r>
            <w:r w:rsidRPr="00A63893">
              <w:rPr>
                <w:sz w:val="20"/>
                <w:szCs w:val="20"/>
              </w:rPr>
              <w:t>La composition de l’équipe de gestion du programme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elle tenu compte de l</w:t>
            </w:r>
            <w:r w:rsidRPr="00A63893">
              <w:rPr>
                <w:rFonts w:cs="Century Gothic"/>
                <w:sz w:val="20"/>
                <w:szCs w:val="20"/>
              </w:rPr>
              <w:t>’é</w:t>
            </w:r>
            <w:r w:rsidRPr="00A63893">
              <w:rPr>
                <w:sz w:val="20"/>
                <w:szCs w:val="20"/>
              </w:rPr>
              <w:t>quilibre de genre ?</w:t>
            </w:r>
          </w:p>
        </w:tc>
      </w:tr>
      <w:tr w:rsidR="003343A6" w:rsidRPr="00A63893" w14:paraId="2DEDD625" w14:textId="77777777" w:rsidTr="00E4322F">
        <w:trPr>
          <w:trHeight w:val="20"/>
        </w:trPr>
        <w:tc>
          <w:tcPr>
            <w:tcW w:w="5000" w:type="pct"/>
            <w:vAlign w:val="center"/>
          </w:tcPr>
          <w:p w14:paraId="277E28B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QE27. </w:t>
            </w:r>
            <w:r w:rsidRPr="00A63893">
              <w:rPr>
                <w:sz w:val="20"/>
                <w:szCs w:val="20"/>
              </w:rPr>
              <w:t>Les rapports de suivi du projet montrent</w:t>
            </w:r>
            <w:r w:rsidRPr="00A63893">
              <w:rPr>
                <w:rFonts w:ascii="Cambria Math" w:hAnsi="Cambria Math" w:cs="Cambria Math"/>
                <w:sz w:val="20"/>
                <w:szCs w:val="20"/>
              </w:rPr>
              <w:t>‐</w:t>
            </w:r>
            <w:r w:rsidRPr="00A63893">
              <w:rPr>
                <w:sz w:val="20"/>
                <w:szCs w:val="20"/>
              </w:rPr>
              <w:t>ils clairement les r</w:t>
            </w:r>
            <w:r w:rsidRPr="00A63893">
              <w:rPr>
                <w:rFonts w:cs="Century Gothic"/>
                <w:sz w:val="20"/>
                <w:szCs w:val="20"/>
              </w:rPr>
              <w:t>é</w:t>
            </w:r>
            <w:r w:rsidRPr="00A63893">
              <w:rPr>
                <w:sz w:val="20"/>
                <w:szCs w:val="20"/>
              </w:rPr>
              <w:t>sultats sp</w:t>
            </w:r>
            <w:r w:rsidRPr="00A63893">
              <w:rPr>
                <w:rFonts w:cs="Century Gothic"/>
                <w:sz w:val="20"/>
                <w:szCs w:val="20"/>
              </w:rPr>
              <w:t>é</w:t>
            </w:r>
            <w:r w:rsidRPr="00A63893">
              <w:rPr>
                <w:sz w:val="20"/>
                <w:szCs w:val="20"/>
              </w:rPr>
              <w:t>cifiques sur les femmes et les hommes ?</w:t>
            </w:r>
          </w:p>
        </w:tc>
      </w:tr>
      <w:tr w:rsidR="003343A6" w:rsidRPr="00A63893" w14:paraId="78B97E47" w14:textId="77777777" w:rsidTr="00E4322F">
        <w:trPr>
          <w:trHeight w:val="20"/>
        </w:trPr>
        <w:tc>
          <w:tcPr>
            <w:tcW w:w="5000" w:type="pct"/>
            <w:vAlign w:val="center"/>
          </w:tcPr>
          <w:p w14:paraId="183D0A1B" w14:textId="77777777" w:rsidR="003343A6" w:rsidRPr="00A63893" w:rsidRDefault="003343A6" w:rsidP="001635A7">
            <w:pPr>
              <w:spacing w:before="0" w:after="0" w:line="240" w:lineRule="auto"/>
              <w:jc w:val="left"/>
              <w:rPr>
                <w:b/>
                <w:bCs/>
                <w:sz w:val="20"/>
                <w:szCs w:val="20"/>
              </w:rPr>
            </w:pPr>
            <w:r w:rsidRPr="00A63893">
              <w:rPr>
                <w:rFonts w:eastAsia="ヒラギノ角ゴ Pro W3" w:cs="Tahoma"/>
                <w:b/>
                <w:bCs/>
                <w:sz w:val="20"/>
                <w:szCs w:val="20"/>
              </w:rPr>
              <w:t>QE28</w:t>
            </w:r>
            <w:r w:rsidRPr="00A63893">
              <w:rPr>
                <w:rFonts w:eastAsia="ヒラギノ角ゴ Pro W3" w:cs="Tahoma"/>
                <w:sz w:val="20"/>
                <w:szCs w:val="20"/>
              </w:rPr>
              <w:t> :</w:t>
            </w:r>
            <w:r w:rsidRPr="00A63893">
              <w:rPr>
                <w:rFonts w:cs="Tahoma"/>
                <w:sz w:val="20"/>
                <w:szCs w:val="20"/>
              </w:rPr>
              <w:t> Quels ont été les principaux progrès en faveur de l’intégration des femmes et des jeunes dans les mécanismes communautaires de prévention et gestion de conflits locaux et transfrontaliers ? </w:t>
            </w:r>
          </w:p>
        </w:tc>
      </w:tr>
      <w:tr w:rsidR="003343A6" w:rsidRPr="00A63893" w14:paraId="331DE7F4" w14:textId="77777777" w:rsidTr="00E4322F">
        <w:trPr>
          <w:trHeight w:val="20"/>
        </w:trPr>
        <w:tc>
          <w:tcPr>
            <w:tcW w:w="5000" w:type="pct"/>
            <w:vAlign w:val="center"/>
          </w:tcPr>
          <w:p w14:paraId="7F2E6D24"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QE29. </w:t>
            </w:r>
            <w:r w:rsidRPr="00A63893">
              <w:rPr>
                <w:sz w:val="20"/>
                <w:szCs w:val="20"/>
              </w:rPr>
              <w:t>Quel a été le rôle des femmes affectées par les conflits dans les initiatives communautaires de paix ?</w:t>
            </w:r>
          </w:p>
        </w:tc>
      </w:tr>
      <w:tr w:rsidR="003343A6" w:rsidRPr="00A63893" w14:paraId="5EDFF7DB" w14:textId="77777777" w:rsidTr="00E4322F">
        <w:trPr>
          <w:trHeight w:val="20"/>
        </w:trPr>
        <w:tc>
          <w:tcPr>
            <w:tcW w:w="5000" w:type="pct"/>
            <w:vAlign w:val="center"/>
          </w:tcPr>
          <w:p w14:paraId="1D584872"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QE30. </w:t>
            </w:r>
            <w:r w:rsidRPr="00A63893">
              <w:rPr>
                <w:sz w:val="20"/>
                <w:szCs w:val="20"/>
              </w:rPr>
              <w:t>De quelle manière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contribu</w:t>
            </w:r>
            <w:r w:rsidRPr="00A63893">
              <w:rPr>
                <w:rFonts w:cs="Century Gothic"/>
                <w:sz w:val="20"/>
                <w:szCs w:val="20"/>
              </w:rPr>
              <w:t>é</w:t>
            </w:r>
            <w:r w:rsidRPr="00A63893">
              <w:rPr>
                <w:sz w:val="20"/>
                <w:szCs w:val="20"/>
              </w:rPr>
              <w:t xml:space="preserve"> </w:t>
            </w:r>
            <w:r w:rsidRPr="00A63893">
              <w:rPr>
                <w:rFonts w:cs="Century Gothic"/>
                <w:sz w:val="20"/>
                <w:szCs w:val="20"/>
              </w:rPr>
              <w:t>à</w:t>
            </w:r>
            <w:r w:rsidRPr="00A63893">
              <w:rPr>
                <w:sz w:val="20"/>
                <w:szCs w:val="20"/>
              </w:rPr>
              <w:t xml:space="preserve"> la prise en compte des priorit</w:t>
            </w:r>
            <w:r w:rsidRPr="00A63893">
              <w:rPr>
                <w:rFonts w:cs="Century Gothic"/>
                <w:sz w:val="20"/>
                <w:szCs w:val="20"/>
              </w:rPr>
              <w:t>é</w:t>
            </w:r>
            <w:r w:rsidRPr="00A63893">
              <w:rPr>
                <w:sz w:val="20"/>
                <w:szCs w:val="20"/>
              </w:rPr>
              <w:t>s des femmes et des jeunes dans les mécanismes communautaires ?</w:t>
            </w:r>
          </w:p>
        </w:tc>
      </w:tr>
      <w:tr w:rsidR="003343A6" w:rsidRPr="00A63893" w14:paraId="66317BB8" w14:textId="77777777" w:rsidTr="00E4322F">
        <w:trPr>
          <w:trHeight w:val="20"/>
        </w:trPr>
        <w:tc>
          <w:tcPr>
            <w:tcW w:w="5000" w:type="pct"/>
            <w:vAlign w:val="center"/>
          </w:tcPr>
          <w:p w14:paraId="51348079" w14:textId="77777777" w:rsidR="003343A6" w:rsidRPr="00A63893" w:rsidRDefault="003343A6" w:rsidP="001635A7">
            <w:pPr>
              <w:spacing w:before="0" w:after="0" w:line="240" w:lineRule="auto"/>
              <w:jc w:val="left"/>
              <w:rPr>
                <w:sz w:val="20"/>
                <w:szCs w:val="20"/>
              </w:rPr>
            </w:pPr>
            <w:r w:rsidRPr="00A63893">
              <w:rPr>
                <w:b/>
                <w:bCs/>
                <w:sz w:val="20"/>
                <w:szCs w:val="20"/>
              </w:rPr>
              <w:t xml:space="preserve">QE31. </w:t>
            </w:r>
            <w:r w:rsidRPr="00A63893">
              <w:rPr>
                <w:sz w:val="20"/>
                <w:szCs w:val="20"/>
              </w:rPr>
              <w:t>Quelles ont été les principales initiatives menées par les autorités du Mali et du Niger pour accompagner les initiatives communautaires inclusives de paix et de cohésion sociale ?</w:t>
            </w:r>
          </w:p>
        </w:tc>
      </w:tr>
      <w:tr w:rsidR="003343A6" w:rsidRPr="00A63893" w14:paraId="0601F229" w14:textId="77777777" w:rsidTr="00E4322F">
        <w:trPr>
          <w:trHeight w:val="245"/>
        </w:trPr>
        <w:tc>
          <w:tcPr>
            <w:tcW w:w="5000" w:type="pct"/>
            <w:vMerge w:val="restart"/>
            <w:vAlign w:val="center"/>
          </w:tcPr>
          <w:p w14:paraId="136432EA" w14:textId="77777777" w:rsidR="003343A6" w:rsidRPr="00A63893" w:rsidRDefault="003343A6" w:rsidP="001635A7">
            <w:pPr>
              <w:spacing w:before="0" w:after="0" w:line="240" w:lineRule="auto"/>
              <w:jc w:val="left"/>
              <w:rPr>
                <w:sz w:val="20"/>
                <w:szCs w:val="20"/>
              </w:rPr>
            </w:pPr>
            <w:r w:rsidRPr="00A63893">
              <w:rPr>
                <w:b/>
                <w:bCs/>
                <w:sz w:val="20"/>
                <w:szCs w:val="20"/>
              </w:rPr>
              <w:t xml:space="preserve">QE32. </w:t>
            </w:r>
            <w:r w:rsidRPr="00A63893">
              <w:rPr>
                <w:sz w:val="20"/>
                <w:szCs w:val="20"/>
              </w:rPr>
              <w:t>De quelle manière les autorités du Mali et du Niger ont intégré les besoins et intérêts des femmes dans les plans locaux de sécurité et de protection ?</w:t>
            </w:r>
          </w:p>
        </w:tc>
      </w:tr>
      <w:tr w:rsidR="003343A6" w:rsidRPr="00A63893" w14:paraId="70689CE0" w14:textId="77777777" w:rsidTr="00E4322F">
        <w:trPr>
          <w:trHeight w:val="245"/>
        </w:trPr>
        <w:tc>
          <w:tcPr>
            <w:tcW w:w="5000" w:type="pct"/>
            <w:vMerge/>
            <w:vAlign w:val="center"/>
          </w:tcPr>
          <w:p w14:paraId="13B3B663" w14:textId="77777777" w:rsidR="003343A6" w:rsidRPr="00A63893" w:rsidRDefault="003343A6" w:rsidP="001635A7">
            <w:pPr>
              <w:spacing w:before="0" w:after="0" w:line="240" w:lineRule="auto"/>
              <w:jc w:val="left"/>
              <w:rPr>
                <w:b/>
                <w:bCs/>
                <w:sz w:val="20"/>
                <w:szCs w:val="20"/>
              </w:rPr>
            </w:pPr>
          </w:p>
        </w:tc>
      </w:tr>
      <w:tr w:rsidR="003343A6" w:rsidRPr="00A63893" w14:paraId="41251F17" w14:textId="77777777" w:rsidTr="00E4322F">
        <w:trPr>
          <w:trHeight w:val="245"/>
        </w:trPr>
        <w:tc>
          <w:tcPr>
            <w:tcW w:w="5000" w:type="pct"/>
            <w:vMerge w:val="restart"/>
            <w:vAlign w:val="center"/>
          </w:tcPr>
          <w:p w14:paraId="78571DF4" w14:textId="77777777" w:rsidR="003343A6" w:rsidRPr="00C62F7E" w:rsidRDefault="003343A6" w:rsidP="001635A7">
            <w:pPr>
              <w:spacing w:before="0" w:after="0" w:line="240" w:lineRule="auto"/>
              <w:jc w:val="left"/>
              <w:rPr>
                <w:color w:val="000000" w:themeColor="text1"/>
                <w:sz w:val="20"/>
              </w:rPr>
            </w:pPr>
            <w:r w:rsidRPr="00C62F7E">
              <w:rPr>
                <w:b/>
                <w:color w:val="000000" w:themeColor="text1"/>
                <w:sz w:val="20"/>
              </w:rPr>
              <w:t xml:space="preserve">QE33. </w:t>
            </w:r>
            <w:r w:rsidRPr="00C62F7E">
              <w:rPr>
                <w:color w:val="000000" w:themeColor="text1"/>
                <w:sz w:val="20"/>
              </w:rPr>
              <w:t>Quelles ont été les contraintes ou avantages pour l’implication des femmes et leur leadership dans la prévention et la gestion des conflits ? Quels efforts ont été déployés pour surmonter les difficultés ?</w:t>
            </w:r>
          </w:p>
        </w:tc>
      </w:tr>
      <w:tr w:rsidR="003343A6" w:rsidRPr="00A63893" w14:paraId="077623B0" w14:textId="77777777" w:rsidTr="00E4322F">
        <w:trPr>
          <w:trHeight w:val="245"/>
        </w:trPr>
        <w:tc>
          <w:tcPr>
            <w:tcW w:w="5000" w:type="pct"/>
            <w:vMerge/>
            <w:vAlign w:val="center"/>
          </w:tcPr>
          <w:p w14:paraId="48267C2A" w14:textId="77777777" w:rsidR="003343A6" w:rsidRPr="00A63893" w:rsidRDefault="003343A6" w:rsidP="001635A7">
            <w:pPr>
              <w:spacing w:before="0" w:after="0" w:line="240" w:lineRule="auto"/>
              <w:jc w:val="left"/>
              <w:rPr>
                <w:b/>
                <w:bCs/>
                <w:sz w:val="20"/>
                <w:szCs w:val="20"/>
              </w:rPr>
            </w:pPr>
          </w:p>
        </w:tc>
      </w:tr>
      <w:tr w:rsidR="003343A6" w:rsidRPr="00A63893" w14:paraId="774B8412" w14:textId="77777777" w:rsidTr="00E4322F">
        <w:trPr>
          <w:trHeight w:val="20"/>
        </w:trPr>
        <w:tc>
          <w:tcPr>
            <w:tcW w:w="5000" w:type="pct"/>
            <w:shd w:val="clear" w:color="auto" w:fill="auto"/>
            <w:vAlign w:val="center"/>
          </w:tcPr>
          <w:p w14:paraId="5A43D4E7" w14:textId="77777777" w:rsidR="003343A6" w:rsidRPr="00A63893" w:rsidRDefault="003343A6" w:rsidP="001635A7">
            <w:pPr>
              <w:spacing w:before="0" w:after="0" w:line="240" w:lineRule="auto"/>
              <w:jc w:val="left"/>
              <w:rPr>
                <w:sz w:val="20"/>
                <w:szCs w:val="20"/>
              </w:rPr>
            </w:pPr>
            <w:r w:rsidRPr="00A63893">
              <w:rPr>
                <w:b/>
                <w:bCs/>
                <w:sz w:val="20"/>
                <w:szCs w:val="20"/>
              </w:rPr>
              <w:t xml:space="preserve">QE34. </w:t>
            </w:r>
            <w:r w:rsidRPr="00A63893">
              <w:rPr>
                <w:sz w:val="20"/>
                <w:szCs w:val="20"/>
              </w:rPr>
              <w:t>La participation et le leadership des femmes dans ce projet leur ont</w:t>
            </w:r>
            <w:r w:rsidRPr="00A63893">
              <w:rPr>
                <w:rFonts w:ascii="Cambria Math" w:hAnsi="Cambria Math" w:cs="Cambria Math"/>
                <w:sz w:val="20"/>
                <w:szCs w:val="20"/>
              </w:rPr>
              <w:t>‐</w:t>
            </w:r>
            <w:r w:rsidRPr="00A63893">
              <w:rPr>
                <w:sz w:val="20"/>
                <w:szCs w:val="20"/>
              </w:rPr>
              <w:t>elles permis l</w:t>
            </w:r>
            <w:r w:rsidRPr="00A63893">
              <w:rPr>
                <w:rFonts w:cs="Century Gothic"/>
                <w:sz w:val="20"/>
                <w:szCs w:val="20"/>
              </w:rPr>
              <w:t>’</w:t>
            </w:r>
            <w:r w:rsidRPr="00A63893">
              <w:rPr>
                <w:sz w:val="20"/>
                <w:szCs w:val="20"/>
              </w:rPr>
              <w:t>acquisition et/ou le renforcement de leur pouvoir décisionnel et d’auto</w:t>
            </w:r>
            <w:r w:rsidRPr="00A63893">
              <w:rPr>
                <w:rFonts w:ascii="Cambria Math" w:hAnsi="Cambria Math" w:cs="Cambria Math"/>
                <w:sz w:val="20"/>
                <w:szCs w:val="20"/>
              </w:rPr>
              <w:t>‐</w:t>
            </w:r>
            <w:r w:rsidRPr="00A63893">
              <w:rPr>
                <w:sz w:val="20"/>
                <w:szCs w:val="20"/>
              </w:rPr>
              <w:t>promotion ?</w:t>
            </w:r>
          </w:p>
        </w:tc>
      </w:tr>
      <w:tr w:rsidR="003343A6" w:rsidRPr="00A63893" w14:paraId="2ABCDC22" w14:textId="77777777" w:rsidTr="00E4322F">
        <w:trPr>
          <w:trHeight w:val="20"/>
        </w:trPr>
        <w:tc>
          <w:tcPr>
            <w:tcW w:w="5000" w:type="pct"/>
            <w:vAlign w:val="center"/>
          </w:tcPr>
          <w:p w14:paraId="2716A4CC" w14:textId="77777777" w:rsidR="003343A6" w:rsidRPr="00A63893" w:rsidRDefault="003343A6" w:rsidP="001635A7">
            <w:pPr>
              <w:spacing w:before="0" w:after="0" w:line="240" w:lineRule="auto"/>
              <w:jc w:val="left"/>
              <w:rPr>
                <w:sz w:val="20"/>
                <w:szCs w:val="20"/>
              </w:rPr>
            </w:pPr>
            <w:r w:rsidRPr="00A63893">
              <w:rPr>
                <w:b/>
                <w:bCs/>
                <w:sz w:val="20"/>
                <w:szCs w:val="20"/>
              </w:rPr>
              <w:t xml:space="preserve">QE35. </w:t>
            </w:r>
            <w:r w:rsidRPr="00A63893">
              <w:rPr>
                <w:sz w:val="20"/>
                <w:szCs w:val="20"/>
              </w:rPr>
              <w:t>De quelle façon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contribué à un changement de perception ou de mentalité sur le rôle des femmes dans la prévention et la gestion des conflits ? </w:t>
            </w:r>
          </w:p>
        </w:tc>
      </w:tr>
      <w:tr w:rsidR="003343A6" w:rsidRPr="00A63893" w14:paraId="3B0331EE" w14:textId="77777777" w:rsidTr="00E4322F">
        <w:trPr>
          <w:trHeight w:val="20"/>
        </w:trPr>
        <w:tc>
          <w:tcPr>
            <w:tcW w:w="5000" w:type="pct"/>
            <w:vAlign w:val="center"/>
          </w:tcPr>
          <w:p w14:paraId="2A55DCC5" w14:textId="77777777" w:rsidR="003343A6" w:rsidRPr="00A63893" w:rsidRDefault="003343A6" w:rsidP="001635A7">
            <w:pPr>
              <w:spacing w:before="0" w:after="0" w:line="240" w:lineRule="auto"/>
              <w:jc w:val="left"/>
              <w:rPr>
                <w:sz w:val="20"/>
                <w:szCs w:val="20"/>
              </w:rPr>
            </w:pPr>
            <w:r w:rsidRPr="00A63893">
              <w:rPr>
                <w:b/>
                <w:bCs/>
                <w:sz w:val="20"/>
                <w:szCs w:val="20"/>
              </w:rPr>
              <w:t xml:space="preserve">QE36. </w:t>
            </w:r>
            <w:r w:rsidRPr="00A63893">
              <w:rPr>
                <w:sz w:val="20"/>
                <w:szCs w:val="20"/>
              </w:rPr>
              <w:t>Quelle a été la principale valeur ajoutée de ce projet dans un changement de qualité de vie des femmes et des femmes victimes ?</w:t>
            </w:r>
          </w:p>
        </w:tc>
      </w:tr>
      <w:tr w:rsidR="003343A6" w:rsidRPr="00A63893" w14:paraId="6F29E6B4" w14:textId="77777777" w:rsidTr="00E4322F">
        <w:trPr>
          <w:trHeight w:val="20"/>
          <w:tblHeader/>
        </w:trPr>
        <w:tc>
          <w:tcPr>
            <w:tcW w:w="5000" w:type="pct"/>
            <w:shd w:val="clear" w:color="auto" w:fill="F2F2F2"/>
            <w:vAlign w:val="center"/>
          </w:tcPr>
          <w:p w14:paraId="049F526E" w14:textId="77777777" w:rsidR="003343A6" w:rsidRPr="00A63893" w:rsidRDefault="003343A6" w:rsidP="001635A7">
            <w:pPr>
              <w:spacing w:before="0" w:after="0"/>
              <w:rPr>
                <w:b/>
                <w:bCs/>
                <w:sz w:val="20"/>
                <w:szCs w:val="20"/>
              </w:rPr>
            </w:pPr>
            <w:r>
              <w:rPr>
                <w:b/>
                <w:bCs/>
                <w:color w:val="00B0F0"/>
                <w:sz w:val="20"/>
                <w:szCs w:val="20"/>
              </w:rPr>
              <w:t>INCLUSION DES PERSONNES HANDICAPEES</w:t>
            </w:r>
          </w:p>
        </w:tc>
      </w:tr>
      <w:tr w:rsidR="003343A6" w:rsidRPr="00A63893" w14:paraId="34BDAD26" w14:textId="77777777" w:rsidTr="00E4322F">
        <w:trPr>
          <w:trHeight w:val="245"/>
        </w:trPr>
        <w:tc>
          <w:tcPr>
            <w:tcW w:w="5000" w:type="pct"/>
            <w:vMerge w:val="restart"/>
            <w:vAlign w:val="center"/>
          </w:tcPr>
          <w:p w14:paraId="35846FB1" w14:textId="77777777" w:rsidR="003343A6" w:rsidRPr="00A63893" w:rsidRDefault="003343A6" w:rsidP="001635A7">
            <w:pPr>
              <w:spacing w:before="0" w:after="0" w:line="240" w:lineRule="auto"/>
              <w:jc w:val="left"/>
              <w:rPr>
                <w:sz w:val="20"/>
                <w:szCs w:val="20"/>
              </w:rPr>
            </w:pPr>
            <w:r w:rsidRPr="00A63893">
              <w:rPr>
                <w:b/>
                <w:bCs/>
                <w:sz w:val="20"/>
                <w:szCs w:val="20"/>
              </w:rPr>
              <w:t xml:space="preserve">QE37. </w:t>
            </w:r>
            <w:r w:rsidRPr="00A63893">
              <w:rPr>
                <w:sz w:val="20"/>
                <w:szCs w:val="20"/>
              </w:rPr>
              <w:t>Les personnes handicapées, ont-elles été impliquées dans la conception et la mise en œuvre du projet ? Y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des personnes handicap</w:t>
            </w:r>
            <w:r w:rsidRPr="00A63893">
              <w:rPr>
                <w:rFonts w:cs="Century Gothic"/>
                <w:sz w:val="20"/>
                <w:szCs w:val="20"/>
              </w:rPr>
              <w:t>é</w:t>
            </w:r>
            <w:r w:rsidRPr="00A63893">
              <w:rPr>
                <w:sz w:val="20"/>
                <w:szCs w:val="20"/>
              </w:rPr>
              <w:t>es parmi les bénéficiaires du projet ?</w:t>
            </w:r>
          </w:p>
        </w:tc>
      </w:tr>
      <w:tr w:rsidR="003343A6" w:rsidRPr="00A63893" w14:paraId="31E2B0E3" w14:textId="77777777" w:rsidTr="00E4322F">
        <w:trPr>
          <w:trHeight w:val="245"/>
        </w:trPr>
        <w:tc>
          <w:tcPr>
            <w:tcW w:w="5000" w:type="pct"/>
            <w:vMerge/>
            <w:vAlign w:val="center"/>
          </w:tcPr>
          <w:p w14:paraId="6BA84818" w14:textId="77777777" w:rsidR="003343A6" w:rsidRPr="00A63893" w:rsidRDefault="003343A6" w:rsidP="001635A7">
            <w:pPr>
              <w:spacing w:before="0" w:after="0" w:line="240" w:lineRule="auto"/>
              <w:jc w:val="left"/>
              <w:rPr>
                <w:b/>
                <w:bCs/>
                <w:sz w:val="20"/>
                <w:szCs w:val="20"/>
              </w:rPr>
            </w:pPr>
          </w:p>
        </w:tc>
      </w:tr>
      <w:tr w:rsidR="003343A6" w:rsidRPr="00A63893" w14:paraId="46869D70" w14:textId="77777777" w:rsidTr="00E4322F">
        <w:trPr>
          <w:trHeight w:val="245"/>
        </w:trPr>
        <w:tc>
          <w:tcPr>
            <w:tcW w:w="5000" w:type="pct"/>
            <w:vMerge/>
            <w:vAlign w:val="center"/>
          </w:tcPr>
          <w:p w14:paraId="60A8CB28" w14:textId="77777777" w:rsidR="003343A6" w:rsidRPr="00A63893" w:rsidRDefault="003343A6" w:rsidP="001635A7">
            <w:pPr>
              <w:spacing w:before="0" w:after="0" w:line="240" w:lineRule="auto"/>
              <w:jc w:val="left"/>
              <w:rPr>
                <w:b/>
                <w:bCs/>
                <w:sz w:val="20"/>
                <w:szCs w:val="20"/>
              </w:rPr>
            </w:pPr>
          </w:p>
        </w:tc>
      </w:tr>
      <w:tr w:rsidR="003343A6" w:rsidRPr="00A63893" w14:paraId="426B0A9C" w14:textId="77777777" w:rsidTr="00E4322F">
        <w:trPr>
          <w:trHeight w:val="245"/>
        </w:trPr>
        <w:tc>
          <w:tcPr>
            <w:tcW w:w="5000" w:type="pct"/>
            <w:vMerge/>
            <w:vAlign w:val="center"/>
          </w:tcPr>
          <w:p w14:paraId="3552BEB6" w14:textId="77777777" w:rsidR="003343A6" w:rsidRPr="00A63893" w:rsidRDefault="003343A6" w:rsidP="001635A7">
            <w:pPr>
              <w:spacing w:before="0" w:after="0" w:line="240" w:lineRule="auto"/>
              <w:rPr>
                <w:b/>
                <w:bCs/>
                <w:sz w:val="20"/>
                <w:szCs w:val="20"/>
              </w:rPr>
            </w:pPr>
          </w:p>
        </w:tc>
      </w:tr>
      <w:tr w:rsidR="003343A6" w:rsidRPr="00A63893" w14:paraId="77614124" w14:textId="77777777" w:rsidTr="00E4322F">
        <w:trPr>
          <w:trHeight w:val="20"/>
        </w:trPr>
        <w:tc>
          <w:tcPr>
            <w:tcW w:w="5000" w:type="pct"/>
            <w:vAlign w:val="center"/>
          </w:tcPr>
          <w:p w14:paraId="1F82C8E2" w14:textId="77777777" w:rsidR="003343A6" w:rsidRPr="00A63893" w:rsidRDefault="003343A6" w:rsidP="001635A7">
            <w:pPr>
              <w:spacing w:before="0" w:after="0" w:line="240" w:lineRule="auto"/>
              <w:rPr>
                <w:sz w:val="20"/>
                <w:szCs w:val="20"/>
              </w:rPr>
            </w:pPr>
            <w:r w:rsidRPr="00A63893">
              <w:rPr>
                <w:b/>
                <w:bCs/>
                <w:sz w:val="20"/>
                <w:szCs w:val="20"/>
              </w:rPr>
              <w:t xml:space="preserve">QE38. </w:t>
            </w:r>
            <w:r w:rsidRPr="00A63893">
              <w:rPr>
                <w:sz w:val="20"/>
                <w:szCs w:val="20"/>
              </w:rPr>
              <w:t>Quelles sont les barrières auxquelles les personnes handicapées ont dû faire face ?</w:t>
            </w:r>
          </w:p>
        </w:tc>
      </w:tr>
      <w:tr w:rsidR="003343A6" w:rsidRPr="00A63893" w14:paraId="33E0CD1C" w14:textId="77777777" w:rsidTr="00E4322F">
        <w:trPr>
          <w:trHeight w:val="20"/>
        </w:trPr>
        <w:tc>
          <w:tcPr>
            <w:tcW w:w="5000" w:type="pct"/>
            <w:vAlign w:val="center"/>
          </w:tcPr>
          <w:p w14:paraId="690D0760" w14:textId="77777777" w:rsidR="003343A6" w:rsidRPr="00A63893" w:rsidRDefault="003343A6" w:rsidP="001635A7">
            <w:pPr>
              <w:spacing w:before="0" w:after="0" w:line="240" w:lineRule="auto"/>
              <w:jc w:val="left"/>
              <w:rPr>
                <w:sz w:val="20"/>
                <w:szCs w:val="20"/>
              </w:rPr>
            </w:pPr>
            <w:r w:rsidRPr="00A63893">
              <w:rPr>
                <w:b/>
                <w:bCs/>
                <w:sz w:val="20"/>
                <w:szCs w:val="20"/>
              </w:rPr>
              <w:t xml:space="preserve">QE39. </w:t>
            </w:r>
            <w:r w:rsidRPr="00A63893">
              <w:rPr>
                <w:sz w:val="20"/>
                <w:szCs w:val="20"/>
              </w:rPr>
              <w:t>De quelle manière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contribu</w:t>
            </w:r>
            <w:r w:rsidRPr="00A63893">
              <w:rPr>
                <w:rFonts w:cs="Century Gothic"/>
                <w:sz w:val="20"/>
                <w:szCs w:val="20"/>
              </w:rPr>
              <w:t>é</w:t>
            </w:r>
            <w:r w:rsidRPr="00A63893">
              <w:rPr>
                <w:sz w:val="20"/>
                <w:szCs w:val="20"/>
              </w:rPr>
              <w:t xml:space="preserve"> </w:t>
            </w:r>
            <w:r w:rsidRPr="00A63893">
              <w:rPr>
                <w:rFonts w:cs="Century Gothic"/>
                <w:sz w:val="20"/>
                <w:szCs w:val="20"/>
              </w:rPr>
              <w:t>à</w:t>
            </w:r>
            <w:r w:rsidRPr="00A63893">
              <w:rPr>
                <w:sz w:val="20"/>
                <w:szCs w:val="20"/>
              </w:rPr>
              <w:t xml:space="preserve"> une prise en compte des priorit</w:t>
            </w:r>
            <w:r w:rsidRPr="00A63893">
              <w:rPr>
                <w:rFonts w:cs="Century Gothic"/>
                <w:sz w:val="20"/>
                <w:szCs w:val="20"/>
              </w:rPr>
              <w:t>é</w:t>
            </w:r>
            <w:r w:rsidRPr="00A63893">
              <w:rPr>
                <w:sz w:val="20"/>
                <w:szCs w:val="20"/>
              </w:rPr>
              <w:t>s des personnes handicapées ?</w:t>
            </w:r>
          </w:p>
        </w:tc>
      </w:tr>
      <w:tr w:rsidR="003343A6" w:rsidRPr="00A63893" w14:paraId="1D1A3EB0" w14:textId="77777777" w:rsidTr="00E4322F">
        <w:trPr>
          <w:trHeight w:val="20"/>
        </w:trPr>
        <w:tc>
          <w:tcPr>
            <w:tcW w:w="5000" w:type="pct"/>
            <w:vAlign w:val="center"/>
          </w:tcPr>
          <w:p w14:paraId="52297FD7" w14:textId="77777777" w:rsidR="003343A6" w:rsidRPr="00A63893" w:rsidRDefault="003343A6" w:rsidP="001635A7">
            <w:pPr>
              <w:spacing w:before="0" w:after="0" w:line="240" w:lineRule="auto"/>
              <w:jc w:val="left"/>
              <w:rPr>
                <w:sz w:val="20"/>
                <w:szCs w:val="20"/>
              </w:rPr>
            </w:pPr>
            <w:r w:rsidRPr="00A63893">
              <w:rPr>
                <w:b/>
                <w:bCs/>
                <w:sz w:val="20"/>
                <w:szCs w:val="20"/>
              </w:rPr>
              <w:t xml:space="preserve">QE40. </w:t>
            </w:r>
            <w:r w:rsidRPr="00A63893">
              <w:rPr>
                <w:sz w:val="20"/>
                <w:szCs w:val="20"/>
              </w:rPr>
              <w:t>De quelle manière les autorités du Mali et du Niger ont intégré les besoins et intérêts des personnes handicapées dans les plans locaux de sécurité et de protection ?</w:t>
            </w:r>
          </w:p>
        </w:tc>
      </w:tr>
      <w:tr w:rsidR="003343A6" w:rsidRPr="00A63893" w14:paraId="42CE8EAB" w14:textId="77777777" w:rsidTr="00E4322F">
        <w:trPr>
          <w:trHeight w:val="20"/>
        </w:trPr>
        <w:tc>
          <w:tcPr>
            <w:tcW w:w="5000" w:type="pct"/>
            <w:vAlign w:val="center"/>
          </w:tcPr>
          <w:p w14:paraId="12E3A8C7" w14:textId="77777777" w:rsidR="003343A6" w:rsidRPr="00A63893" w:rsidRDefault="003343A6" w:rsidP="001635A7">
            <w:pPr>
              <w:spacing w:before="0" w:after="0" w:line="240" w:lineRule="auto"/>
              <w:jc w:val="left"/>
              <w:rPr>
                <w:sz w:val="20"/>
                <w:szCs w:val="20"/>
              </w:rPr>
            </w:pPr>
            <w:r w:rsidRPr="00A63893">
              <w:rPr>
                <w:b/>
                <w:bCs/>
                <w:sz w:val="20"/>
                <w:szCs w:val="20"/>
              </w:rPr>
              <w:t xml:space="preserve">QE41. </w:t>
            </w:r>
            <w:r w:rsidRPr="00A63893">
              <w:rPr>
                <w:sz w:val="20"/>
                <w:szCs w:val="20"/>
              </w:rPr>
              <w:t>Quelle a été la principale valeur ajoutée de ce projet dans un changement de qualité de vie des personnes handicapées ?</w:t>
            </w:r>
          </w:p>
        </w:tc>
      </w:tr>
    </w:tbl>
    <w:p w14:paraId="43E40226" w14:textId="09E9BE80" w:rsidR="00655848" w:rsidRDefault="00655848" w:rsidP="00655848">
      <w:pPr>
        <w:spacing w:line="276" w:lineRule="auto"/>
      </w:pPr>
    </w:p>
    <w:p w14:paraId="1FB68FBC" w14:textId="76787418" w:rsidR="00925E15" w:rsidRPr="00171A3E" w:rsidRDefault="000C76A5" w:rsidP="00820BBD">
      <w:pPr>
        <w:pStyle w:val="Titre2"/>
        <w:numPr>
          <w:ilvl w:val="1"/>
          <w:numId w:val="81"/>
        </w:numPr>
      </w:pPr>
      <w:bookmarkStart w:id="50" w:name="_Toc95451857"/>
      <w:r>
        <w:t>Disponibilité des informations et é</w:t>
      </w:r>
      <w:r w:rsidR="00925E15">
        <w:t>valuabilité du projet</w:t>
      </w:r>
      <w:bookmarkEnd w:id="50"/>
      <w:r w:rsidR="00925E15">
        <w:t xml:space="preserve"> </w:t>
      </w:r>
    </w:p>
    <w:p w14:paraId="2DA2876A" w14:textId="235B0719" w:rsidR="000C76A5" w:rsidRPr="00E4322F" w:rsidRDefault="000C76A5" w:rsidP="00A36747">
      <w:pPr>
        <w:pStyle w:val="Paragraphedeliste"/>
        <w:numPr>
          <w:ilvl w:val="0"/>
          <w:numId w:val="23"/>
        </w:numPr>
        <w:spacing w:before="0" w:after="0" w:line="276" w:lineRule="auto"/>
        <w:rPr>
          <w:color w:val="000000"/>
        </w:rPr>
      </w:pPr>
      <w:r w:rsidRPr="00E4322F">
        <w:rPr>
          <w:color w:val="000000"/>
        </w:rPr>
        <w:t>Pendant la phase de conception de l’évaluation, le travail de recherche documentaire et d’entretiens préliminaires a été réalisé</w:t>
      </w:r>
      <w:r w:rsidR="003E339F">
        <w:rPr>
          <w:color w:val="000000"/>
        </w:rPr>
        <w:t>s</w:t>
      </w:r>
      <w:r w:rsidRPr="00E4322F">
        <w:rPr>
          <w:color w:val="000000"/>
        </w:rPr>
        <w:t xml:space="preserve">. L’équipe d’évaluation a reçu de la part de ONU Femmes, ONUDC et des ONG locales partenaires de mise en œuvre, une bonne documentation sur le projet (document de projet, rapport final, rapports d’activités, etc.). </w:t>
      </w:r>
      <w:r w:rsidRPr="00630636">
        <w:rPr>
          <w:rFonts w:cs="Times New Roman"/>
          <w:szCs w:val="24"/>
        </w:rPr>
        <w:t xml:space="preserve">Les </w:t>
      </w:r>
      <w:r w:rsidRPr="00E4322F">
        <w:rPr>
          <w:color w:val="000000"/>
        </w:rPr>
        <w:t>informations</w:t>
      </w:r>
      <w:r w:rsidRPr="00630636">
        <w:rPr>
          <w:rFonts w:cs="Times New Roman"/>
          <w:szCs w:val="24"/>
        </w:rPr>
        <w:t xml:space="preserve"> issues de la revue documentaire et les résultats des entretiens préliminaires ont permis d’approfondir la connaissance du projet et </w:t>
      </w:r>
      <w:r>
        <w:rPr>
          <w:rFonts w:cs="Times New Roman"/>
          <w:szCs w:val="24"/>
        </w:rPr>
        <w:t>du</w:t>
      </w:r>
      <w:r w:rsidRPr="00630636">
        <w:rPr>
          <w:rFonts w:cs="Times New Roman"/>
          <w:szCs w:val="24"/>
        </w:rPr>
        <w:t xml:space="preserve"> contexte de mise en œuvre</w:t>
      </w:r>
      <w:r>
        <w:rPr>
          <w:rFonts w:cs="Times New Roman"/>
          <w:szCs w:val="24"/>
        </w:rPr>
        <w:t xml:space="preserve"> des activités</w:t>
      </w:r>
      <w:r w:rsidRPr="00630636">
        <w:rPr>
          <w:rFonts w:cs="Times New Roman"/>
          <w:szCs w:val="24"/>
        </w:rPr>
        <w:t xml:space="preserve">. </w:t>
      </w:r>
      <w:r>
        <w:rPr>
          <w:rFonts w:cs="Times New Roman"/>
          <w:szCs w:val="24"/>
        </w:rPr>
        <w:t>Sur la base des informations préliminaires collectées, il a été possible de</w:t>
      </w:r>
      <w:r w:rsidRPr="00630636">
        <w:rPr>
          <w:rFonts w:cs="Times New Roman"/>
          <w:szCs w:val="24"/>
        </w:rPr>
        <w:t xml:space="preserve"> </w:t>
      </w:r>
      <w:r w:rsidRPr="00E4322F">
        <w:rPr>
          <w:color w:val="000000"/>
        </w:rPr>
        <w:t xml:space="preserve">concevoir la méthodologie de l’évaluation en précisant les cibles et l’échantillon, les outils et la stratégie de la collecte des données dans les 8 communes d’intervention. </w:t>
      </w:r>
    </w:p>
    <w:p w14:paraId="0FF5B459" w14:textId="70109D0A" w:rsidR="00BD0930" w:rsidRPr="00235F96" w:rsidRDefault="00024F2E" w:rsidP="003343A6">
      <w:pPr>
        <w:pStyle w:val="Paragraphedeliste"/>
        <w:numPr>
          <w:ilvl w:val="0"/>
          <w:numId w:val="23"/>
        </w:numPr>
        <w:spacing w:line="276" w:lineRule="auto"/>
        <w:rPr>
          <w:sz w:val="8"/>
          <w:szCs w:val="8"/>
        </w:rPr>
      </w:pPr>
      <w:r>
        <w:t>Des résultats de</w:t>
      </w:r>
      <w:r w:rsidR="00A66256">
        <w:t xml:space="preserve"> </w:t>
      </w:r>
      <w:r w:rsidR="00A66256" w:rsidRPr="003343A6">
        <w:rPr>
          <w:rFonts w:cs="Times New Roman"/>
          <w:szCs w:val="24"/>
        </w:rPr>
        <w:t>l’analyse</w:t>
      </w:r>
      <w:r w:rsidR="00A66256">
        <w:t xml:space="preserve"> faite de la théorie du changement, de la disponibilité des informations et des parties prenante</w:t>
      </w:r>
      <w:r w:rsidR="00F22122">
        <w:t>s (tableau ci-après)</w:t>
      </w:r>
      <w:r>
        <w:t>,</w:t>
      </w:r>
      <w:r w:rsidR="00BD0930">
        <w:t xml:space="preserve"> </w:t>
      </w:r>
      <w:r>
        <w:t>i</w:t>
      </w:r>
      <w:r w:rsidR="00A66256">
        <w:t xml:space="preserve">l </w:t>
      </w:r>
      <w:r w:rsidR="00B53107">
        <w:t xml:space="preserve">est </w:t>
      </w:r>
      <w:r w:rsidR="00A66256">
        <w:t>ressort</w:t>
      </w:r>
      <w:r w:rsidR="00B53107">
        <w:t>i</w:t>
      </w:r>
      <w:r w:rsidR="00A66256">
        <w:t xml:space="preserve"> une </w:t>
      </w:r>
      <w:r w:rsidR="00BD0930" w:rsidRPr="00B53107">
        <w:rPr>
          <w:b/>
          <w:bCs/>
        </w:rPr>
        <w:t>évaluabilité globalement positi</w:t>
      </w:r>
      <w:r w:rsidR="00A66256" w:rsidRPr="00B53107">
        <w:rPr>
          <w:b/>
          <w:bCs/>
        </w:rPr>
        <w:t>ve</w:t>
      </w:r>
      <w:r>
        <w:t>. L</w:t>
      </w:r>
      <w:r w:rsidR="00BD0930">
        <w:t xml:space="preserve">’évaluation du projet est bien faisable. </w:t>
      </w:r>
    </w:p>
    <w:p w14:paraId="601462DE" w14:textId="5B772567" w:rsidR="00BD0930" w:rsidRPr="00291909" w:rsidRDefault="00BD0930">
      <w:pPr>
        <w:pStyle w:val="TM8"/>
      </w:pPr>
      <w:bookmarkStart w:id="51" w:name="_Toc75190095"/>
      <w:bookmarkStart w:id="52" w:name="_Toc92262105"/>
      <w:r>
        <w:t xml:space="preserve">Tableau </w:t>
      </w:r>
      <w:r>
        <w:fldChar w:fldCharType="begin"/>
      </w:r>
      <w:r>
        <w:instrText>SEQ Tableau \* ARABIC</w:instrText>
      </w:r>
      <w:r>
        <w:fldChar w:fldCharType="separate"/>
      </w:r>
      <w:r w:rsidR="0046716F">
        <w:rPr>
          <w:noProof/>
        </w:rPr>
        <w:t>4</w:t>
      </w:r>
      <w:r>
        <w:fldChar w:fldCharType="end"/>
      </w:r>
      <w:r>
        <w:t xml:space="preserve"> : Examen d'évaluabilité du projet</w:t>
      </w:r>
      <w:bookmarkEnd w:id="51"/>
      <w:bookmarkEnd w:id="52"/>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99"/>
        <w:gridCol w:w="2040"/>
        <w:gridCol w:w="1134"/>
        <w:gridCol w:w="4389"/>
      </w:tblGrid>
      <w:tr w:rsidR="00C62F7E" w:rsidRPr="00156595" w14:paraId="384F390B" w14:textId="77777777" w:rsidTr="00A40F72">
        <w:trPr>
          <w:tblHeader/>
        </w:trPr>
        <w:tc>
          <w:tcPr>
            <w:tcW w:w="1499" w:type="dxa"/>
            <w:shd w:val="clear" w:color="auto" w:fill="auto"/>
            <w:vAlign w:val="center"/>
          </w:tcPr>
          <w:p w14:paraId="0921C2C2" w14:textId="00C4E87D" w:rsidR="00BD0930" w:rsidRPr="00291909" w:rsidRDefault="00BD0930" w:rsidP="002141F2">
            <w:pPr>
              <w:spacing w:before="0" w:after="0" w:line="276" w:lineRule="auto"/>
              <w:jc w:val="center"/>
              <w:rPr>
                <w:rFonts w:cs="Times New Roman"/>
                <w:b/>
                <w:bCs/>
              </w:rPr>
            </w:pPr>
            <w:r w:rsidRPr="00291909">
              <w:rPr>
                <w:rFonts w:cs="Times New Roman"/>
                <w:b/>
                <w:bCs/>
              </w:rPr>
              <w:t xml:space="preserve">Domaine </w:t>
            </w:r>
          </w:p>
        </w:tc>
        <w:tc>
          <w:tcPr>
            <w:tcW w:w="2040" w:type="dxa"/>
            <w:shd w:val="clear" w:color="auto" w:fill="auto"/>
            <w:vAlign w:val="center"/>
          </w:tcPr>
          <w:p w14:paraId="6F39335D" w14:textId="1D17C5E0" w:rsidR="00BD0930" w:rsidRPr="00291909" w:rsidRDefault="00BD0930" w:rsidP="002141F2">
            <w:pPr>
              <w:spacing w:before="0" w:after="0" w:line="276" w:lineRule="auto"/>
              <w:jc w:val="center"/>
              <w:rPr>
                <w:rFonts w:cs="Times New Roman"/>
                <w:b/>
                <w:bCs/>
              </w:rPr>
            </w:pPr>
            <w:r w:rsidRPr="00291909">
              <w:rPr>
                <w:rFonts w:cs="Times New Roman"/>
                <w:b/>
                <w:bCs/>
              </w:rPr>
              <w:t xml:space="preserve">Critères </w:t>
            </w:r>
          </w:p>
        </w:tc>
        <w:tc>
          <w:tcPr>
            <w:tcW w:w="1134" w:type="dxa"/>
            <w:shd w:val="clear" w:color="auto" w:fill="auto"/>
            <w:vAlign w:val="center"/>
          </w:tcPr>
          <w:p w14:paraId="00745B0B" w14:textId="77777777" w:rsidR="00BD0930" w:rsidRPr="00291909" w:rsidRDefault="00BD0930" w:rsidP="002141F2">
            <w:pPr>
              <w:spacing w:before="0" w:after="0" w:line="276" w:lineRule="auto"/>
              <w:jc w:val="center"/>
              <w:rPr>
                <w:rFonts w:cs="Times New Roman"/>
                <w:b/>
                <w:bCs/>
              </w:rPr>
            </w:pPr>
            <w:r w:rsidRPr="00291909">
              <w:rPr>
                <w:rFonts w:cs="Times New Roman"/>
                <w:b/>
                <w:bCs/>
              </w:rPr>
              <w:t>Niveau</w:t>
            </w:r>
          </w:p>
        </w:tc>
        <w:tc>
          <w:tcPr>
            <w:tcW w:w="4389" w:type="dxa"/>
            <w:shd w:val="clear" w:color="auto" w:fill="auto"/>
            <w:vAlign w:val="center"/>
          </w:tcPr>
          <w:p w14:paraId="0AD569F9" w14:textId="77777777" w:rsidR="00BD0930" w:rsidRPr="00291909" w:rsidRDefault="00BD0930" w:rsidP="002141F2">
            <w:pPr>
              <w:spacing w:before="0" w:after="0" w:line="276" w:lineRule="auto"/>
              <w:jc w:val="center"/>
              <w:rPr>
                <w:rFonts w:cs="Times New Roman"/>
                <w:b/>
                <w:bCs/>
              </w:rPr>
            </w:pPr>
            <w:r w:rsidRPr="00291909">
              <w:rPr>
                <w:rFonts w:cs="Times New Roman"/>
                <w:b/>
                <w:bCs/>
              </w:rPr>
              <w:t>Observations</w:t>
            </w:r>
          </w:p>
        </w:tc>
      </w:tr>
      <w:tr w:rsidR="006C1277" w:rsidRPr="00156595" w14:paraId="000A22B2" w14:textId="77777777" w:rsidTr="00E4322F">
        <w:tc>
          <w:tcPr>
            <w:tcW w:w="1499" w:type="dxa"/>
            <w:shd w:val="clear" w:color="auto" w:fill="auto"/>
            <w:vAlign w:val="center"/>
          </w:tcPr>
          <w:p w14:paraId="524C3A31" w14:textId="77777777" w:rsidR="00BD0930" w:rsidRPr="00291909" w:rsidRDefault="00BD0930" w:rsidP="002E10FF">
            <w:pPr>
              <w:spacing w:before="0" w:after="0" w:line="276" w:lineRule="auto"/>
              <w:jc w:val="left"/>
              <w:rPr>
                <w:rFonts w:cs="Times New Roman"/>
                <w:sz w:val="20"/>
                <w:szCs w:val="20"/>
              </w:rPr>
            </w:pPr>
            <w:r w:rsidRPr="00156595">
              <w:rPr>
                <w:rFonts w:cs="Times New Roman"/>
                <w:sz w:val="20"/>
                <w:szCs w:val="20"/>
              </w:rPr>
              <w:t>Théorie du changement</w:t>
            </w:r>
          </w:p>
        </w:tc>
        <w:tc>
          <w:tcPr>
            <w:tcW w:w="2040" w:type="dxa"/>
            <w:shd w:val="clear" w:color="auto" w:fill="auto"/>
            <w:vAlign w:val="center"/>
          </w:tcPr>
          <w:p w14:paraId="51614E34" w14:textId="77777777" w:rsidR="00BD0930" w:rsidRDefault="00BD0930"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Pertinence </w:t>
            </w:r>
          </w:p>
          <w:p w14:paraId="1D020A04"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Validité des hypothèses qui sous-tendent la chaine de résultats </w:t>
            </w:r>
          </w:p>
        </w:tc>
        <w:tc>
          <w:tcPr>
            <w:tcW w:w="1134" w:type="dxa"/>
            <w:shd w:val="clear" w:color="auto" w:fill="auto"/>
            <w:vAlign w:val="center"/>
          </w:tcPr>
          <w:p w14:paraId="72470F38" w14:textId="5EF1383B" w:rsidR="00BD0930" w:rsidRPr="00291909" w:rsidRDefault="003D3CB0" w:rsidP="002141F2">
            <w:pPr>
              <w:spacing w:before="0" w:after="0" w:line="276" w:lineRule="auto"/>
              <w:jc w:val="left"/>
              <w:rPr>
                <w:rFonts w:cs="Times New Roman"/>
                <w:sz w:val="20"/>
                <w:szCs w:val="20"/>
              </w:rPr>
            </w:pPr>
            <w:r>
              <w:rPr>
                <w:rFonts w:cs="Times New Roman"/>
                <w:sz w:val="20"/>
                <w:szCs w:val="20"/>
              </w:rPr>
              <w:t>Elevé</w:t>
            </w:r>
          </w:p>
        </w:tc>
        <w:tc>
          <w:tcPr>
            <w:tcW w:w="4389" w:type="dxa"/>
            <w:shd w:val="clear" w:color="auto" w:fill="auto"/>
            <w:vAlign w:val="center"/>
          </w:tcPr>
          <w:p w14:paraId="1C9B4F8F" w14:textId="6229CE85" w:rsidR="005F18BA" w:rsidRPr="005F18BA" w:rsidRDefault="005F18BA"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Le projet dispose d’</w:t>
            </w:r>
            <w:r w:rsidRPr="005F18BA">
              <w:rPr>
                <w:rFonts w:cs="Times New Roman"/>
                <w:sz w:val="20"/>
                <w:szCs w:val="20"/>
              </w:rPr>
              <w:t>une logique d’intervention cohérente</w:t>
            </w:r>
            <w:r w:rsidR="00FB4BF9">
              <w:rPr>
                <w:rFonts w:cs="Times New Roman"/>
                <w:sz w:val="20"/>
                <w:szCs w:val="20"/>
              </w:rPr>
              <w:t xml:space="preserve"> avec l’analyse du contexte. </w:t>
            </w:r>
            <w:r w:rsidR="006C1277">
              <w:rPr>
                <w:rFonts w:cs="Times New Roman"/>
                <w:sz w:val="20"/>
                <w:szCs w:val="20"/>
              </w:rPr>
              <w:t xml:space="preserve">Les thématiques de participation des femmes, de prévention et résolution pacifique des conflits, de cohésion sociale, genre et de droits humains sont formellement identifiés et les </w:t>
            </w:r>
            <w:r w:rsidR="00FB4BF9">
              <w:rPr>
                <w:rFonts w:cs="Times New Roman"/>
                <w:sz w:val="20"/>
                <w:szCs w:val="20"/>
              </w:rPr>
              <w:t>résultats attendus sont clairement défi</w:t>
            </w:r>
            <w:r w:rsidR="006C1277">
              <w:rPr>
                <w:rFonts w:cs="Times New Roman"/>
                <w:sz w:val="20"/>
                <w:szCs w:val="20"/>
              </w:rPr>
              <w:t>nis</w:t>
            </w:r>
            <w:r w:rsidR="00FB4BF9">
              <w:rPr>
                <w:rFonts w:cs="Times New Roman"/>
                <w:sz w:val="20"/>
                <w:szCs w:val="20"/>
              </w:rPr>
              <w:t xml:space="preserve">. </w:t>
            </w:r>
          </w:p>
          <w:p w14:paraId="2B1FDA65" w14:textId="3A906D05" w:rsidR="005F18BA" w:rsidRPr="00291909" w:rsidRDefault="006C1277"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Toutefois, les hypothèses qui sous-tendent les chaines manquent</w:t>
            </w:r>
          </w:p>
        </w:tc>
      </w:tr>
      <w:tr w:rsidR="006C1277" w:rsidRPr="00156595" w14:paraId="255EA14A" w14:textId="77777777" w:rsidTr="00E4322F">
        <w:tc>
          <w:tcPr>
            <w:tcW w:w="1499" w:type="dxa"/>
            <w:shd w:val="clear" w:color="auto" w:fill="auto"/>
            <w:vAlign w:val="center"/>
          </w:tcPr>
          <w:p w14:paraId="1FE1BD84" w14:textId="77777777" w:rsidR="00BD0930" w:rsidRPr="00156595" w:rsidRDefault="00BD0930" w:rsidP="002E10FF">
            <w:pPr>
              <w:spacing w:before="0" w:after="0" w:line="276" w:lineRule="auto"/>
              <w:jc w:val="left"/>
              <w:rPr>
                <w:rFonts w:cs="Times New Roman"/>
                <w:sz w:val="20"/>
                <w:szCs w:val="20"/>
              </w:rPr>
            </w:pPr>
            <w:r w:rsidRPr="00156595">
              <w:rPr>
                <w:rFonts w:cs="Times New Roman"/>
                <w:sz w:val="20"/>
                <w:szCs w:val="20"/>
              </w:rPr>
              <w:t>Existence et disponibilité</w:t>
            </w:r>
            <w:r>
              <w:rPr>
                <w:rFonts w:cs="Times New Roman"/>
                <w:sz w:val="20"/>
                <w:szCs w:val="20"/>
              </w:rPr>
              <w:t xml:space="preserve"> </w:t>
            </w:r>
            <w:r w:rsidRPr="00156595">
              <w:rPr>
                <w:rFonts w:cs="Times New Roman"/>
                <w:sz w:val="20"/>
                <w:szCs w:val="20"/>
              </w:rPr>
              <w:t>des informat</w:t>
            </w:r>
            <w:r>
              <w:rPr>
                <w:rFonts w:cs="Times New Roman"/>
                <w:sz w:val="20"/>
                <w:szCs w:val="20"/>
              </w:rPr>
              <w:t>i</w:t>
            </w:r>
            <w:r w:rsidRPr="00156595">
              <w:rPr>
                <w:rFonts w:cs="Times New Roman"/>
                <w:sz w:val="20"/>
                <w:szCs w:val="20"/>
              </w:rPr>
              <w:t>ons</w:t>
            </w:r>
            <w:r>
              <w:rPr>
                <w:rFonts w:cs="Times New Roman"/>
                <w:sz w:val="20"/>
                <w:szCs w:val="20"/>
              </w:rPr>
              <w:t xml:space="preserve"> </w:t>
            </w:r>
            <w:r w:rsidRPr="00156595">
              <w:rPr>
                <w:rFonts w:cs="Times New Roman"/>
                <w:sz w:val="20"/>
                <w:szCs w:val="20"/>
              </w:rPr>
              <w:t>pert</w:t>
            </w:r>
            <w:r>
              <w:rPr>
                <w:rFonts w:cs="Times New Roman"/>
                <w:sz w:val="20"/>
                <w:szCs w:val="20"/>
              </w:rPr>
              <w:t>i</w:t>
            </w:r>
            <w:r w:rsidRPr="00156595">
              <w:rPr>
                <w:rFonts w:cs="Times New Roman"/>
                <w:sz w:val="20"/>
                <w:szCs w:val="20"/>
              </w:rPr>
              <w:t>nentes</w:t>
            </w:r>
          </w:p>
        </w:tc>
        <w:tc>
          <w:tcPr>
            <w:tcW w:w="2040" w:type="dxa"/>
            <w:shd w:val="clear" w:color="auto" w:fill="auto"/>
            <w:vAlign w:val="center"/>
          </w:tcPr>
          <w:p w14:paraId="323022EF" w14:textId="60B85122" w:rsidR="00BD0930" w:rsidRPr="00156595" w:rsidRDefault="00BD0930" w:rsidP="00FB2B45">
            <w:pPr>
              <w:pStyle w:val="Paragraphedeliste"/>
              <w:numPr>
                <w:ilvl w:val="0"/>
                <w:numId w:val="24"/>
              </w:numPr>
              <w:spacing w:before="0" w:after="0" w:line="240" w:lineRule="auto"/>
              <w:ind w:left="89" w:hanging="142"/>
              <w:jc w:val="left"/>
              <w:rPr>
                <w:rFonts w:cs="Times New Roman"/>
                <w:sz w:val="20"/>
                <w:szCs w:val="20"/>
              </w:rPr>
            </w:pPr>
            <w:r w:rsidRPr="00291909">
              <w:rPr>
                <w:rFonts w:eastAsia="Times New Roman" w:cs="Times New Roman"/>
                <w:sz w:val="20"/>
                <w:szCs w:val="20"/>
              </w:rPr>
              <w:t>Disponibilité</w:t>
            </w:r>
            <w:r w:rsidRPr="00156595">
              <w:rPr>
                <w:rFonts w:cs="Times New Roman"/>
                <w:sz w:val="20"/>
                <w:szCs w:val="20"/>
              </w:rPr>
              <w:t xml:space="preserve"> et accessibilité des</w:t>
            </w:r>
            <w:r>
              <w:rPr>
                <w:rFonts w:cs="Times New Roman"/>
                <w:sz w:val="20"/>
                <w:szCs w:val="20"/>
              </w:rPr>
              <w:t xml:space="preserve"> i</w:t>
            </w:r>
            <w:r w:rsidRPr="00291909">
              <w:rPr>
                <w:rFonts w:cs="Times New Roman"/>
                <w:sz w:val="20"/>
                <w:szCs w:val="20"/>
              </w:rPr>
              <w:t xml:space="preserve">nformations </w:t>
            </w:r>
            <w:r>
              <w:rPr>
                <w:rFonts w:cs="Times New Roman"/>
                <w:sz w:val="20"/>
                <w:szCs w:val="20"/>
              </w:rPr>
              <w:t>pertinentes</w:t>
            </w:r>
            <w:r w:rsidRPr="00291909">
              <w:rPr>
                <w:rFonts w:cs="Times New Roman"/>
                <w:sz w:val="20"/>
                <w:szCs w:val="20"/>
              </w:rPr>
              <w:t xml:space="preserve"> sur </w:t>
            </w:r>
            <w:r>
              <w:rPr>
                <w:rFonts w:cs="Times New Roman"/>
                <w:sz w:val="20"/>
                <w:szCs w:val="20"/>
              </w:rPr>
              <w:t>le projet</w:t>
            </w:r>
          </w:p>
          <w:p w14:paraId="7BB8F1DA"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eastAsia="Times New Roman" w:cs="Times New Roman"/>
                <w:sz w:val="20"/>
                <w:szCs w:val="20"/>
              </w:rPr>
              <w:t>Adéquation</w:t>
            </w:r>
            <w:r w:rsidRPr="00291909">
              <w:rPr>
                <w:rFonts w:eastAsia="Times New Roman" w:cs="Times New Roman"/>
                <w:sz w:val="20"/>
                <w:szCs w:val="20"/>
              </w:rPr>
              <w:t xml:space="preserve"> de la</w:t>
            </w:r>
            <w:r w:rsidRPr="00156595">
              <w:rPr>
                <w:rFonts w:eastAsia="Times New Roman" w:cs="Times New Roman"/>
                <w:sz w:val="20"/>
                <w:szCs w:val="20"/>
              </w:rPr>
              <w:t xml:space="preserve"> documentation</w:t>
            </w:r>
            <w:r w:rsidRPr="00291909">
              <w:rPr>
                <w:rFonts w:eastAsia="Times New Roman" w:cs="Times New Roman"/>
                <w:sz w:val="20"/>
                <w:szCs w:val="20"/>
              </w:rPr>
              <w:t xml:space="preserve"> </w:t>
            </w:r>
          </w:p>
          <w:p w14:paraId="01233FE5" w14:textId="77777777" w:rsidR="00BD0930" w:rsidRPr="00156595" w:rsidRDefault="00BD0930" w:rsidP="00FB2B45">
            <w:pPr>
              <w:pStyle w:val="Paragraphedeliste"/>
              <w:numPr>
                <w:ilvl w:val="0"/>
                <w:numId w:val="24"/>
              </w:numPr>
              <w:spacing w:before="0" w:after="0" w:line="240" w:lineRule="auto"/>
              <w:ind w:left="89" w:hanging="142"/>
              <w:jc w:val="left"/>
              <w:rPr>
                <w:rFonts w:cs="Times New Roman"/>
                <w:sz w:val="20"/>
                <w:szCs w:val="20"/>
              </w:rPr>
            </w:pPr>
            <w:r w:rsidRPr="00291909">
              <w:rPr>
                <w:rFonts w:eastAsia="Times New Roman" w:cs="Times New Roman"/>
                <w:sz w:val="20"/>
                <w:szCs w:val="20"/>
              </w:rPr>
              <w:t>Désagrégation</w:t>
            </w:r>
            <w:r w:rsidRPr="00510087">
              <w:rPr>
                <w:rFonts w:cs="Times New Roman"/>
                <w:sz w:val="20"/>
                <w:szCs w:val="20"/>
              </w:rPr>
              <w:t xml:space="preserve"> des données </w:t>
            </w:r>
            <w:r>
              <w:rPr>
                <w:rFonts w:cs="Times New Roman"/>
                <w:sz w:val="20"/>
                <w:szCs w:val="20"/>
              </w:rPr>
              <w:t xml:space="preserve">par sexe </w:t>
            </w:r>
          </w:p>
        </w:tc>
        <w:tc>
          <w:tcPr>
            <w:tcW w:w="1134" w:type="dxa"/>
            <w:shd w:val="clear" w:color="auto" w:fill="auto"/>
            <w:vAlign w:val="center"/>
          </w:tcPr>
          <w:p w14:paraId="4056E5DF" w14:textId="39D0E089" w:rsidR="00BD0930" w:rsidRPr="00156595" w:rsidRDefault="00C41F06" w:rsidP="002141F2">
            <w:pPr>
              <w:spacing w:before="0" w:after="0" w:line="276" w:lineRule="auto"/>
              <w:jc w:val="left"/>
              <w:rPr>
                <w:rFonts w:cs="Times New Roman"/>
                <w:sz w:val="20"/>
                <w:szCs w:val="20"/>
              </w:rPr>
            </w:pPr>
            <w:r>
              <w:rPr>
                <w:rFonts w:cs="Times New Roman"/>
                <w:sz w:val="20"/>
                <w:szCs w:val="20"/>
              </w:rPr>
              <w:t>Moyen</w:t>
            </w:r>
          </w:p>
        </w:tc>
        <w:tc>
          <w:tcPr>
            <w:tcW w:w="4389" w:type="dxa"/>
            <w:shd w:val="clear" w:color="auto" w:fill="auto"/>
            <w:vAlign w:val="center"/>
          </w:tcPr>
          <w:p w14:paraId="67F30B63" w14:textId="691839A8" w:rsidR="006A2613" w:rsidRDefault="006A2613"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La plupart des documents pertinents sur le projet </w:t>
            </w:r>
            <w:r w:rsidR="00DF7BA9">
              <w:rPr>
                <w:rFonts w:cs="Times New Roman"/>
                <w:sz w:val="20"/>
                <w:szCs w:val="20"/>
              </w:rPr>
              <w:t xml:space="preserve">ont </w:t>
            </w:r>
            <w:r>
              <w:rPr>
                <w:rFonts w:cs="Times New Roman"/>
                <w:sz w:val="20"/>
                <w:szCs w:val="20"/>
              </w:rPr>
              <w:t>été mis à disposition ;</w:t>
            </w:r>
          </w:p>
          <w:p w14:paraId="07535BAB" w14:textId="77777777" w:rsidR="006A2613" w:rsidRDefault="006A2613"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Il existe un système de Suivi-évaluation dont les résultats (cadre de résultats, rapports de suivi) serviront à l’évaluation ;</w:t>
            </w:r>
          </w:p>
          <w:p w14:paraId="22C320E9" w14:textId="35EAA644" w:rsidR="003D6605" w:rsidRDefault="003D6605"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Les données sur les bénéficiaires ne sont pas désagrégées par sexe.</w:t>
            </w:r>
          </w:p>
          <w:p w14:paraId="5C14CF39" w14:textId="486C2880" w:rsidR="00C34FD0" w:rsidRPr="003D6605" w:rsidRDefault="00C34FD0" w:rsidP="003D6605">
            <w:pPr>
              <w:spacing w:before="0" w:after="0" w:line="240" w:lineRule="auto"/>
              <w:ind w:left="-53"/>
              <w:jc w:val="left"/>
              <w:rPr>
                <w:rFonts w:cs="Times New Roman"/>
                <w:sz w:val="20"/>
                <w:szCs w:val="20"/>
              </w:rPr>
            </w:pPr>
          </w:p>
        </w:tc>
      </w:tr>
      <w:tr w:rsidR="006C1277" w:rsidRPr="00156595" w14:paraId="6B6C9FE4" w14:textId="77777777" w:rsidTr="00E4322F">
        <w:tc>
          <w:tcPr>
            <w:tcW w:w="1499" w:type="dxa"/>
            <w:shd w:val="clear" w:color="auto" w:fill="auto"/>
            <w:vAlign w:val="center"/>
          </w:tcPr>
          <w:p w14:paraId="3A5E56B8" w14:textId="77777777" w:rsidR="00BD0930" w:rsidRPr="00156595" w:rsidRDefault="00BD0930" w:rsidP="002E10FF">
            <w:pPr>
              <w:spacing w:before="0" w:after="0" w:line="276" w:lineRule="auto"/>
              <w:jc w:val="left"/>
              <w:rPr>
                <w:rFonts w:cs="Times New Roman"/>
                <w:sz w:val="20"/>
                <w:szCs w:val="20"/>
              </w:rPr>
            </w:pPr>
            <w:r w:rsidRPr="00156595">
              <w:rPr>
                <w:rFonts w:cs="Times New Roman"/>
                <w:sz w:val="20"/>
                <w:szCs w:val="20"/>
              </w:rPr>
              <w:t>Contexte favorable</w:t>
            </w:r>
          </w:p>
        </w:tc>
        <w:tc>
          <w:tcPr>
            <w:tcW w:w="2040" w:type="dxa"/>
            <w:shd w:val="clear" w:color="auto" w:fill="auto"/>
            <w:vAlign w:val="center"/>
          </w:tcPr>
          <w:p w14:paraId="5031AB95"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cs="Times New Roman"/>
                <w:sz w:val="20"/>
                <w:szCs w:val="20"/>
              </w:rPr>
              <w:t>Intérêt et participation des</w:t>
            </w:r>
            <w:r>
              <w:rPr>
                <w:rFonts w:cs="Times New Roman"/>
                <w:sz w:val="20"/>
                <w:szCs w:val="20"/>
              </w:rPr>
              <w:t xml:space="preserve"> </w:t>
            </w:r>
            <w:r w:rsidRPr="00291909">
              <w:rPr>
                <w:rFonts w:cs="Times New Roman"/>
                <w:sz w:val="20"/>
                <w:szCs w:val="20"/>
              </w:rPr>
              <w:t>partes prenantes</w:t>
            </w:r>
          </w:p>
          <w:p w14:paraId="1C904BB2" w14:textId="77777777" w:rsidR="00BD0930" w:rsidRPr="00213CBA"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cs="Times New Roman"/>
                <w:sz w:val="20"/>
                <w:szCs w:val="20"/>
              </w:rPr>
              <w:t>Disponibilité des ressources et</w:t>
            </w:r>
            <w:r>
              <w:rPr>
                <w:rFonts w:cs="Times New Roman"/>
                <w:sz w:val="20"/>
                <w:szCs w:val="20"/>
              </w:rPr>
              <w:t xml:space="preserve"> </w:t>
            </w:r>
            <w:r w:rsidRPr="00291909">
              <w:rPr>
                <w:rFonts w:cs="Times New Roman"/>
                <w:sz w:val="20"/>
                <w:szCs w:val="20"/>
              </w:rPr>
              <w:t xml:space="preserve">des </w:t>
            </w:r>
            <w:r w:rsidRPr="00291909">
              <w:rPr>
                <w:rFonts w:eastAsia="Times New Roman" w:cs="Times New Roman"/>
                <w:sz w:val="20"/>
                <w:szCs w:val="20"/>
              </w:rPr>
              <w:t>capacités</w:t>
            </w:r>
          </w:p>
          <w:p w14:paraId="66B4B9F6" w14:textId="77777777" w:rsidR="00BD0930" w:rsidRPr="00291909" w:rsidRDefault="00BD0930" w:rsidP="00FB2B45">
            <w:pPr>
              <w:pStyle w:val="Paragraphedeliste"/>
              <w:numPr>
                <w:ilvl w:val="0"/>
                <w:numId w:val="24"/>
              </w:numPr>
              <w:spacing w:before="0" w:after="0" w:line="240" w:lineRule="auto"/>
              <w:ind w:left="89" w:hanging="142"/>
              <w:jc w:val="left"/>
              <w:rPr>
                <w:rFonts w:eastAsia="Times New Roman" w:cs="Times New Roman"/>
                <w:sz w:val="20"/>
                <w:szCs w:val="20"/>
              </w:rPr>
            </w:pPr>
            <w:r w:rsidRPr="00213CBA">
              <w:rPr>
                <w:rFonts w:eastAsia="Times New Roman" w:cs="Times New Roman"/>
                <w:sz w:val="20"/>
                <w:szCs w:val="20"/>
              </w:rPr>
              <w:t>Coordination</w:t>
            </w:r>
            <w:r w:rsidRPr="00291909">
              <w:rPr>
                <w:rFonts w:eastAsia="Times New Roman" w:cs="Times New Roman"/>
                <w:sz w:val="20"/>
                <w:szCs w:val="20"/>
              </w:rPr>
              <w:t xml:space="preserve"> et </w:t>
            </w:r>
            <w:r w:rsidRPr="00213CBA">
              <w:rPr>
                <w:rFonts w:eastAsia="Times New Roman" w:cs="Times New Roman"/>
                <w:sz w:val="20"/>
                <w:szCs w:val="20"/>
              </w:rPr>
              <w:t>gestion</w:t>
            </w:r>
            <w:r w:rsidRPr="00291909">
              <w:rPr>
                <w:rFonts w:eastAsia="Times New Roman" w:cs="Times New Roman"/>
                <w:sz w:val="20"/>
                <w:szCs w:val="20"/>
              </w:rPr>
              <w:t xml:space="preserve"> de</w:t>
            </w:r>
            <w:r>
              <w:rPr>
                <w:rFonts w:eastAsia="Times New Roman" w:cs="Times New Roman"/>
                <w:sz w:val="20"/>
                <w:szCs w:val="20"/>
              </w:rPr>
              <w:t xml:space="preserve"> </w:t>
            </w:r>
            <w:r w:rsidRPr="00291909">
              <w:rPr>
                <w:rFonts w:eastAsia="Times New Roman" w:cs="Times New Roman"/>
                <w:sz w:val="20"/>
                <w:szCs w:val="20"/>
              </w:rPr>
              <w:t>l’</w:t>
            </w:r>
            <w:r w:rsidRPr="00213CBA">
              <w:rPr>
                <w:rFonts w:eastAsia="Times New Roman" w:cs="Times New Roman"/>
                <w:sz w:val="20"/>
                <w:szCs w:val="20"/>
              </w:rPr>
              <w:t>évaluation</w:t>
            </w:r>
          </w:p>
        </w:tc>
        <w:tc>
          <w:tcPr>
            <w:tcW w:w="1134" w:type="dxa"/>
            <w:shd w:val="clear" w:color="auto" w:fill="auto"/>
            <w:vAlign w:val="center"/>
          </w:tcPr>
          <w:p w14:paraId="3E4F0B74" w14:textId="21E03B48" w:rsidR="00BD0930" w:rsidRPr="00156595" w:rsidRDefault="003D3CB0" w:rsidP="002141F2">
            <w:pPr>
              <w:spacing w:before="0" w:after="0" w:line="276" w:lineRule="auto"/>
              <w:jc w:val="left"/>
              <w:rPr>
                <w:rFonts w:cs="Times New Roman"/>
                <w:sz w:val="20"/>
                <w:szCs w:val="20"/>
              </w:rPr>
            </w:pPr>
            <w:r>
              <w:rPr>
                <w:rFonts w:cs="Times New Roman"/>
                <w:sz w:val="20"/>
                <w:szCs w:val="20"/>
              </w:rPr>
              <w:t>Moyen</w:t>
            </w:r>
          </w:p>
        </w:tc>
        <w:tc>
          <w:tcPr>
            <w:tcW w:w="4389" w:type="dxa"/>
            <w:shd w:val="clear" w:color="auto" w:fill="auto"/>
            <w:vAlign w:val="center"/>
          </w:tcPr>
          <w:p w14:paraId="406A6A90" w14:textId="77777777" w:rsidR="00CD0955" w:rsidRDefault="00B44591"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Les entretiens ont révélé que les différentes parties prenantes ont été effectivement associées à la mise en œuvre du projet. La disponibilité des acteurs consultés lors des entretiens </w:t>
            </w:r>
            <w:r w:rsidR="00CD0955">
              <w:rPr>
                <w:rFonts w:cs="Times New Roman"/>
                <w:sz w:val="20"/>
                <w:szCs w:val="20"/>
              </w:rPr>
              <w:t>préliminaires dénote</w:t>
            </w:r>
            <w:r>
              <w:rPr>
                <w:rFonts w:cs="Times New Roman"/>
                <w:sz w:val="20"/>
                <w:szCs w:val="20"/>
              </w:rPr>
              <w:t xml:space="preserve"> aussi de leur intérêt pour l’évaluation. </w:t>
            </w:r>
          </w:p>
          <w:p w14:paraId="797728FE" w14:textId="24DCD29E" w:rsidR="00481CBA" w:rsidRPr="003D6605" w:rsidRDefault="00B44591"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Enfin, un groupe de gestion de l’évaluation et un </w:t>
            </w:r>
            <w:r w:rsidR="00CD0955">
              <w:rPr>
                <w:rFonts w:cs="Times New Roman"/>
                <w:sz w:val="20"/>
                <w:szCs w:val="20"/>
              </w:rPr>
              <w:t>g</w:t>
            </w:r>
            <w:r w:rsidR="00221625" w:rsidRPr="00221625">
              <w:rPr>
                <w:rFonts w:cs="Times New Roman"/>
                <w:sz w:val="20"/>
                <w:szCs w:val="20"/>
              </w:rPr>
              <w:t>roupe de</w:t>
            </w:r>
            <w:r>
              <w:rPr>
                <w:rFonts w:cs="Times New Roman"/>
                <w:sz w:val="20"/>
                <w:szCs w:val="20"/>
              </w:rPr>
              <w:t xml:space="preserve"> </w:t>
            </w:r>
            <w:r w:rsidR="00221625" w:rsidRPr="00221625">
              <w:rPr>
                <w:rFonts w:cs="Times New Roman"/>
                <w:sz w:val="20"/>
                <w:szCs w:val="20"/>
              </w:rPr>
              <w:t>référence de l’</w:t>
            </w:r>
            <w:r>
              <w:rPr>
                <w:rFonts w:cs="Times New Roman"/>
                <w:sz w:val="20"/>
                <w:szCs w:val="20"/>
              </w:rPr>
              <w:t>é</w:t>
            </w:r>
            <w:r w:rsidRPr="00221625">
              <w:rPr>
                <w:rFonts w:cs="Times New Roman"/>
                <w:sz w:val="20"/>
                <w:szCs w:val="20"/>
              </w:rPr>
              <w:t>valuation</w:t>
            </w:r>
            <w:r w:rsidR="00221625" w:rsidRPr="00221625">
              <w:rPr>
                <w:rFonts w:cs="Times New Roman"/>
                <w:sz w:val="20"/>
                <w:szCs w:val="20"/>
              </w:rPr>
              <w:t xml:space="preserve"> </w:t>
            </w:r>
            <w:r w:rsidR="00200CD3">
              <w:rPr>
                <w:rFonts w:cs="Times New Roman"/>
                <w:sz w:val="20"/>
                <w:szCs w:val="20"/>
              </w:rPr>
              <w:t>ont</w:t>
            </w:r>
            <w:r w:rsidR="00200CD3" w:rsidRPr="00221625">
              <w:rPr>
                <w:rFonts w:cs="Times New Roman"/>
                <w:sz w:val="20"/>
                <w:szCs w:val="20"/>
              </w:rPr>
              <w:t xml:space="preserve"> </w:t>
            </w:r>
            <w:r w:rsidR="00221625" w:rsidRPr="00221625">
              <w:rPr>
                <w:rFonts w:cs="Times New Roman"/>
                <w:sz w:val="20"/>
                <w:szCs w:val="20"/>
              </w:rPr>
              <w:t>été mis en place pour assurer</w:t>
            </w:r>
            <w:r>
              <w:rPr>
                <w:rFonts w:cs="Times New Roman"/>
                <w:sz w:val="20"/>
                <w:szCs w:val="20"/>
              </w:rPr>
              <w:t xml:space="preserve"> </w:t>
            </w:r>
            <w:r w:rsidR="00221625" w:rsidRPr="00221625">
              <w:rPr>
                <w:rFonts w:cs="Times New Roman"/>
                <w:sz w:val="20"/>
                <w:szCs w:val="20"/>
              </w:rPr>
              <w:t>l’</w:t>
            </w:r>
            <w:r w:rsidRPr="00221625">
              <w:rPr>
                <w:rFonts w:cs="Times New Roman"/>
                <w:sz w:val="20"/>
                <w:szCs w:val="20"/>
              </w:rPr>
              <w:t>implication</w:t>
            </w:r>
            <w:r w:rsidR="00221625" w:rsidRPr="00221625">
              <w:rPr>
                <w:rFonts w:cs="Times New Roman"/>
                <w:sz w:val="20"/>
                <w:szCs w:val="20"/>
              </w:rPr>
              <w:t xml:space="preserve"> </w:t>
            </w:r>
            <w:r w:rsidRPr="00221625">
              <w:rPr>
                <w:rFonts w:cs="Times New Roman"/>
                <w:sz w:val="20"/>
                <w:szCs w:val="20"/>
              </w:rPr>
              <w:t>continue</w:t>
            </w:r>
            <w:r w:rsidR="00221625" w:rsidRPr="00221625">
              <w:rPr>
                <w:rFonts w:cs="Times New Roman"/>
                <w:sz w:val="20"/>
                <w:szCs w:val="20"/>
              </w:rPr>
              <w:t xml:space="preserve"> des partes prenantes tout au long</w:t>
            </w:r>
            <w:r>
              <w:rPr>
                <w:rFonts w:cs="Times New Roman"/>
                <w:sz w:val="20"/>
                <w:szCs w:val="20"/>
              </w:rPr>
              <w:t xml:space="preserve"> </w:t>
            </w:r>
            <w:r w:rsidR="00221625" w:rsidRPr="00221625">
              <w:rPr>
                <w:rFonts w:cs="Times New Roman"/>
                <w:sz w:val="20"/>
                <w:szCs w:val="20"/>
              </w:rPr>
              <w:t>du p</w:t>
            </w:r>
            <w:r>
              <w:rPr>
                <w:rFonts w:cs="Times New Roman"/>
                <w:sz w:val="20"/>
                <w:szCs w:val="20"/>
              </w:rPr>
              <w:t>rocessus</w:t>
            </w:r>
          </w:p>
        </w:tc>
      </w:tr>
    </w:tbl>
    <w:p w14:paraId="2E695910" w14:textId="77777777" w:rsidR="00177D16" w:rsidRPr="00FA2D1A" w:rsidRDefault="00177D16" w:rsidP="00177D16">
      <w:pPr>
        <w:spacing w:before="0" w:after="0" w:line="276" w:lineRule="auto"/>
      </w:pPr>
      <w:r w:rsidRPr="007007C9">
        <w:rPr>
          <w:sz w:val="20"/>
          <w:szCs w:val="20"/>
        </w:rPr>
        <w:t xml:space="preserve">Source : Auteur </w:t>
      </w:r>
    </w:p>
    <w:p w14:paraId="2C1EA97F" w14:textId="33EBEE1E" w:rsidR="002520CE" w:rsidRPr="00C4722F" w:rsidRDefault="002520CE" w:rsidP="007007C9">
      <w:pPr>
        <w:widowControl w:val="0"/>
        <w:spacing w:before="0" w:after="0"/>
        <w:rPr>
          <w:i/>
          <w:iCs/>
        </w:rPr>
        <w:sectPr w:rsidR="002520CE" w:rsidRPr="00C4722F" w:rsidSect="007277D8">
          <w:type w:val="continuous"/>
          <w:pgSz w:w="11906" w:h="16838"/>
          <w:pgMar w:top="1417" w:right="1417" w:bottom="1276" w:left="1417" w:header="708" w:footer="708" w:gutter="0"/>
          <w:pgNumType w:start="1"/>
          <w:cols w:space="708"/>
          <w:titlePg/>
          <w:docGrid w:linePitch="360"/>
        </w:sectPr>
      </w:pPr>
    </w:p>
    <w:p w14:paraId="2692D811" w14:textId="7DACD05E" w:rsidR="0090542B" w:rsidRPr="005D2C17" w:rsidRDefault="003A030E" w:rsidP="0024178E">
      <w:pPr>
        <w:pStyle w:val="Titre1"/>
        <w:numPr>
          <w:ilvl w:val="0"/>
          <w:numId w:val="81"/>
        </w:numPr>
      </w:pPr>
      <w:bookmarkStart w:id="53" w:name="_Toc39563195"/>
      <w:bookmarkStart w:id="54" w:name="_Toc95451858"/>
      <w:r>
        <w:t>METHODOLOGIE</w:t>
      </w:r>
      <w:bookmarkEnd w:id="53"/>
      <w:r w:rsidR="000D5F34">
        <w:t xml:space="preserve"> ET LIMITES DE L’EVALUATION</w:t>
      </w:r>
      <w:bookmarkEnd w:id="54"/>
    </w:p>
    <w:p w14:paraId="16287F21" w14:textId="77777777" w:rsidR="00EB5EA3" w:rsidRPr="004E4F6F" w:rsidRDefault="00EB5EA3" w:rsidP="004E4F6F">
      <w:pPr>
        <w:spacing w:after="0"/>
        <w:rPr>
          <w:rFonts w:ascii="Times New Roman" w:hAnsi="Times New Roman" w:cs="Times New Roman"/>
          <w:b/>
          <w:sz w:val="8"/>
        </w:rPr>
      </w:pPr>
    </w:p>
    <w:p w14:paraId="13D74DC3" w14:textId="46C29D77" w:rsidR="00823993" w:rsidRDefault="00823993" w:rsidP="00FB2B45">
      <w:pPr>
        <w:pStyle w:val="Paragraphedeliste"/>
        <w:numPr>
          <w:ilvl w:val="0"/>
          <w:numId w:val="23"/>
        </w:numPr>
        <w:spacing w:line="276" w:lineRule="auto"/>
      </w:pPr>
      <w:r>
        <w:t>La méthodologie décrit </w:t>
      </w:r>
      <w:r w:rsidR="0074787C">
        <w:t>l’approche globale</w:t>
      </w:r>
      <w:r>
        <w:t>, les méthodes et outils de collecte et d’analyse des données, l’échantillon, le dispositif de collecte et de rapportage ainsi que les considérations éthiques</w:t>
      </w:r>
      <w:r w:rsidR="003020AF">
        <w:t xml:space="preserve"> et les limites de l’évaluation.</w:t>
      </w:r>
      <w:r>
        <w:t xml:space="preserve"> </w:t>
      </w:r>
    </w:p>
    <w:p w14:paraId="75E0ABC0" w14:textId="6F9F8A42" w:rsidR="00536F1D" w:rsidRPr="007007C9" w:rsidRDefault="00BE6D91" w:rsidP="00820BBD">
      <w:pPr>
        <w:pStyle w:val="Titre2"/>
        <w:numPr>
          <w:ilvl w:val="1"/>
          <w:numId w:val="81"/>
        </w:numPr>
      </w:pPr>
      <w:bookmarkStart w:id="55" w:name="_Toc75190159"/>
      <w:bookmarkStart w:id="56" w:name="_Toc75191355"/>
      <w:bookmarkStart w:id="57" w:name="_Toc75192551"/>
      <w:bookmarkStart w:id="58" w:name="_Toc75193747"/>
      <w:bookmarkStart w:id="59" w:name="_Toc75194945"/>
      <w:bookmarkStart w:id="60" w:name="_Toc75196141"/>
      <w:bookmarkStart w:id="61" w:name="_Toc75197337"/>
      <w:bookmarkStart w:id="62" w:name="_Toc75198533"/>
      <w:bookmarkStart w:id="63" w:name="_Toc75199729"/>
      <w:bookmarkStart w:id="64" w:name="_Toc75200926"/>
      <w:bookmarkStart w:id="65" w:name="_Toc75202123"/>
      <w:bookmarkStart w:id="66" w:name="_Toc75203327"/>
      <w:bookmarkStart w:id="67" w:name="_Toc75204524"/>
      <w:bookmarkStart w:id="68" w:name="_Toc75205735"/>
      <w:bookmarkStart w:id="69" w:name="_Toc75239139"/>
      <w:bookmarkStart w:id="70" w:name="_Toc75240335"/>
      <w:bookmarkStart w:id="71" w:name="_Toc75190160"/>
      <w:bookmarkStart w:id="72" w:name="_Toc75191356"/>
      <w:bookmarkStart w:id="73" w:name="_Toc75192552"/>
      <w:bookmarkStart w:id="74" w:name="_Toc75193748"/>
      <w:bookmarkStart w:id="75" w:name="_Toc75194946"/>
      <w:bookmarkStart w:id="76" w:name="_Toc75196142"/>
      <w:bookmarkStart w:id="77" w:name="_Toc75197338"/>
      <w:bookmarkStart w:id="78" w:name="_Toc75198534"/>
      <w:bookmarkStart w:id="79" w:name="_Toc75199730"/>
      <w:bookmarkStart w:id="80" w:name="_Toc75200927"/>
      <w:bookmarkStart w:id="81" w:name="_Toc75202124"/>
      <w:bookmarkStart w:id="82" w:name="_Toc75203328"/>
      <w:bookmarkStart w:id="83" w:name="_Toc75204525"/>
      <w:bookmarkStart w:id="84" w:name="_Toc75205736"/>
      <w:bookmarkStart w:id="85" w:name="_Toc75239140"/>
      <w:bookmarkStart w:id="86" w:name="_Toc75240336"/>
      <w:bookmarkStart w:id="87" w:name="_Toc75190161"/>
      <w:bookmarkStart w:id="88" w:name="_Toc75191357"/>
      <w:bookmarkStart w:id="89" w:name="_Toc75192553"/>
      <w:bookmarkStart w:id="90" w:name="_Toc75193749"/>
      <w:bookmarkStart w:id="91" w:name="_Toc75194947"/>
      <w:bookmarkStart w:id="92" w:name="_Toc75196143"/>
      <w:bookmarkStart w:id="93" w:name="_Toc75197339"/>
      <w:bookmarkStart w:id="94" w:name="_Toc75198535"/>
      <w:bookmarkStart w:id="95" w:name="_Toc75199731"/>
      <w:bookmarkStart w:id="96" w:name="_Toc75200928"/>
      <w:bookmarkStart w:id="97" w:name="_Toc75202125"/>
      <w:bookmarkStart w:id="98" w:name="_Toc75203329"/>
      <w:bookmarkStart w:id="99" w:name="_Toc75204526"/>
      <w:bookmarkStart w:id="100" w:name="_Toc75205737"/>
      <w:bookmarkStart w:id="101" w:name="_Toc75239141"/>
      <w:bookmarkStart w:id="102" w:name="_Toc75240337"/>
      <w:bookmarkStart w:id="103" w:name="_Toc75190162"/>
      <w:bookmarkStart w:id="104" w:name="_Toc75191358"/>
      <w:bookmarkStart w:id="105" w:name="_Toc75192554"/>
      <w:bookmarkStart w:id="106" w:name="_Toc75193750"/>
      <w:bookmarkStart w:id="107" w:name="_Toc75194948"/>
      <w:bookmarkStart w:id="108" w:name="_Toc75196144"/>
      <w:bookmarkStart w:id="109" w:name="_Toc75197340"/>
      <w:bookmarkStart w:id="110" w:name="_Toc75198536"/>
      <w:bookmarkStart w:id="111" w:name="_Toc75199732"/>
      <w:bookmarkStart w:id="112" w:name="_Toc75200929"/>
      <w:bookmarkStart w:id="113" w:name="_Toc75202126"/>
      <w:bookmarkStart w:id="114" w:name="_Toc75203330"/>
      <w:bookmarkStart w:id="115" w:name="_Toc75204527"/>
      <w:bookmarkStart w:id="116" w:name="_Toc75205738"/>
      <w:bookmarkStart w:id="117" w:name="_Toc75239142"/>
      <w:bookmarkStart w:id="118" w:name="_Toc75240338"/>
      <w:bookmarkStart w:id="119" w:name="_Toc75190163"/>
      <w:bookmarkStart w:id="120" w:name="_Toc75191359"/>
      <w:bookmarkStart w:id="121" w:name="_Toc75192555"/>
      <w:bookmarkStart w:id="122" w:name="_Toc75193751"/>
      <w:bookmarkStart w:id="123" w:name="_Toc75194949"/>
      <w:bookmarkStart w:id="124" w:name="_Toc75196145"/>
      <w:bookmarkStart w:id="125" w:name="_Toc75197341"/>
      <w:bookmarkStart w:id="126" w:name="_Toc75198537"/>
      <w:bookmarkStart w:id="127" w:name="_Toc75199733"/>
      <w:bookmarkStart w:id="128" w:name="_Toc75200930"/>
      <w:bookmarkStart w:id="129" w:name="_Toc75202127"/>
      <w:bookmarkStart w:id="130" w:name="_Toc75203331"/>
      <w:bookmarkStart w:id="131" w:name="_Toc75204528"/>
      <w:bookmarkStart w:id="132" w:name="_Toc75205739"/>
      <w:bookmarkStart w:id="133" w:name="_Toc75239143"/>
      <w:bookmarkStart w:id="134" w:name="_Toc75240339"/>
      <w:bookmarkStart w:id="135" w:name="_Toc75190245"/>
      <w:bookmarkStart w:id="136" w:name="_Toc75191441"/>
      <w:bookmarkStart w:id="137" w:name="_Toc75192637"/>
      <w:bookmarkStart w:id="138" w:name="_Toc75193833"/>
      <w:bookmarkStart w:id="139" w:name="_Toc75195031"/>
      <w:bookmarkStart w:id="140" w:name="_Toc75196227"/>
      <w:bookmarkStart w:id="141" w:name="_Toc75197423"/>
      <w:bookmarkStart w:id="142" w:name="_Toc75198619"/>
      <w:bookmarkStart w:id="143" w:name="_Toc75199815"/>
      <w:bookmarkStart w:id="144" w:name="_Toc75201012"/>
      <w:bookmarkStart w:id="145" w:name="_Toc75202209"/>
      <w:bookmarkStart w:id="146" w:name="_Toc75203413"/>
      <w:bookmarkStart w:id="147" w:name="_Toc75204610"/>
      <w:bookmarkStart w:id="148" w:name="_Toc75205821"/>
      <w:bookmarkStart w:id="149" w:name="_Toc75239225"/>
      <w:bookmarkStart w:id="150" w:name="_Toc75240421"/>
      <w:bookmarkStart w:id="151" w:name="_Toc75190248"/>
      <w:bookmarkStart w:id="152" w:name="_Toc75191444"/>
      <w:bookmarkStart w:id="153" w:name="_Toc75192640"/>
      <w:bookmarkStart w:id="154" w:name="_Toc75193836"/>
      <w:bookmarkStart w:id="155" w:name="_Toc75195034"/>
      <w:bookmarkStart w:id="156" w:name="_Toc75196230"/>
      <w:bookmarkStart w:id="157" w:name="_Toc75197426"/>
      <w:bookmarkStart w:id="158" w:name="_Toc75198622"/>
      <w:bookmarkStart w:id="159" w:name="_Toc75199818"/>
      <w:bookmarkStart w:id="160" w:name="_Toc75201015"/>
      <w:bookmarkStart w:id="161" w:name="_Toc75202212"/>
      <w:bookmarkStart w:id="162" w:name="_Toc75203416"/>
      <w:bookmarkStart w:id="163" w:name="_Toc75204613"/>
      <w:bookmarkStart w:id="164" w:name="_Toc75205824"/>
      <w:bookmarkStart w:id="165" w:name="_Toc75239228"/>
      <w:bookmarkStart w:id="166" w:name="_Toc75240424"/>
      <w:bookmarkStart w:id="167" w:name="_Toc75190343"/>
      <w:bookmarkStart w:id="168" w:name="_Toc75191539"/>
      <w:bookmarkStart w:id="169" w:name="_Toc75192735"/>
      <w:bookmarkStart w:id="170" w:name="_Toc75193931"/>
      <w:bookmarkStart w:id="171" w:name="_Toc75195129"/>
      <w:bookmarkStart w:id="172" w:name="_Toc75196325"/>
      <w:bookmarkStart w:id="173" w:name="_Toc75197521"/>
      <w:bookmarkStart w:id="174" w:name="_Toc75198717"/>
      <w:bookmarkStart w:id="175" w:name="_Toc75199913"/>
      <w:bookmarkStart w:id="176" w:name="_Toc75201110"/>
      <w:bookmarkStart w:id="177" w:name="_Toc75202307"/>
      <w:bookmarkStart w:id="178" w:name="_Toc75203511"/>
      <w:bookmarkStart w:id="179" w:name="_Toc75204708"/>
      <w:bookmarkStart w:id="180" w:name="_Toc75205919"/>
      <w:bookmarkStart w:id="181" w:name="_Toc75239323"/>
      <w:bookmarkStart w:id="182" w:name="_Toc75240519"/>
      <w:bookmarkStart w:id="183" w:name="_Toc75190346"/>
      <w:bookmarkStart w:id="184" w:name="_Toc75191542"/>
      <w:bookmarkStart w:id="185" w:name="_Toc75192738"/>
      <w:bookmarkStart w:id="186" w:name="_Toc75193934"/>
      <w:bookmarkStart w:id="187" w:name="_Toc75195132"/>
      <w:bookmarkStart w:id="188" w:name="_Toc75196328"/>
      <w:bookmarkStart w:id="189" w:name="_Toc75197524"/>
      <w:bookmarkStart w:id="190" w:name="_Toc75198720"/>
      <w:bookmarkStart w:id="191" w:name="_Toc75199916"/>
      <w:bookmarkStart w:id="192" w:name="_Toc75201113"/>
      <w:bookmarkStart w:id="193" w:name="_Toc75202310"/>
      <w:bookmarkStart w:id="194" w:name="_Toc75203514"/>
      <w:bookmarkStart w:id="195" w:name="_Toc75204711"/>
      <w:bookmarkStart w:id="196" w:name="_Toc75205922"/>
      <w:bookmarkStart w:id="197" w:name="_Toc75239326"/>
      <w:bookmarkStart w:id="198" w:name="_Toc75240522"/>
      <w:bookmarkStart w:id="199" w:name="_Toc75190424"/>
      <w:bookmarkStart w:id="200" w:name="_Toc75191620"/>
      <w:bookmarkStart w:id="201" w:name="_Toc75192816"/>
      <w:bookmarkStart w:id="202" w:name="_Toc75194012"/>
      <w:bookmarkStart w:id="203" w:name="_Toc75195210"/>
      <w:bookmarkStart w:id="204" w:name="_Toc75196406"/>
      <w:bookmarkStart w:id="205" w:name="_Toc75197602"/>
      <w:bookmarkStart w:id="206" w:name="_Toc75198798"/>
      <w:bookmarkStart w:id="207" w:name="_Toc75199994"/>
      <w:bookmarkStart w:id="208" w:name="_Toc75201191"/>
      <w:bookmarkStart w:id="209" w:name="_Toc75202388"/>
      <w:bookmarkStart w:id="210" w:name="_Toc75203592"/>
      <w:bookmarkStart w:id="211" w:name="_Toc75204789"/>
      <w:bookmarkStart w:id="212" w:name="_Toc75206000"/>
      <w:bookmarkStart w:id="213" w:name="_Toc75239404"/>
      <w:bookmarkStart w:id="214" w:name="_Toc75240600"/>
      <w:bookmarkStart w:id="215" w:name="_Toc75190427"/>
      <w:bookmarkStart w:id="216" w:name="_Toc75191623"/>
      <w:bookmarkStart w:id="217" w:name="_Toc75192819"/>
      <w:bookmarkStart w:id="218" w:name="_Toc75194015"/>
      <w:bookmarkStart w:id="219" w:name="_Toc75195213"/>
      <w:bookmarkStart w:id="220" w:name="_Toc75196409"/>
      <w:bookmarkStart w:id="221" w:name="_Toc75197605"/>
      <w:bookmarkStart w:id="222" w:name="_Toc75198801"/>
      <w:bookmarkStart w:id="223" w:name="_Toc75199997"/>
      <w:bookmarkStart w:id="224" w:name="_Toc75201194"/>
      <w:bookmarkStart w:id="225" w:name="_Toc75202391"/>
      <w:bookmarkStart w:id="226" w:name="_Toc75203595"/>
      <w:bookmarkStart w:id="227" w:name="_Toc75204792"/>
      <w:bookmarkStart w:id="228" w:name="_Toc75206003"/>
      <w:bookmarkStart w:id="229" w:name="_Toc75239407"/>
      <w:bookmarkStart w:id="230" w:name="_Toc75240603"/>
      <w:bookmarkStart w:id="231" w:name="_Toc75190450"/>
      <w:bookmarkStart w:id="232" w:name="_Toc75191646"/>
      <w:bookmarkStart w:id="233" w:name="_Toc75192842"/>
      <w:bookmarkStart w:id="234" w:name="_Toc75194038"/>
      <w:bookmarkStart w:id="235" w:name="_Toc75195236"/>
      <w:bookmarkStart w:id="236" w:name="_Toc75196432"/>
      <w:bookmarkStart w:id="237" w:name="_Toc75197628"/>
      <w:bookmarkStart w:id="238" w:name="_Toc75198824"/>
      <w:bookmarkStart w:id="239" w:name="_Toc75200020"/>
      <w:bookmarkStart w:id="240" w:name="_Toc75201217"/>
      <w:bookmarkStart w:id="241" w:name="_Toc75202414"/>
      <w:bookmarkStart w:id="242" w:name="_Toc75203618"/>
      <w:bookmarkStart w:id="243" w:name="_Toc75204815"/>
      <w:bookmarkStart w:id="244" w:name="_Toc75206026"/>
      <w:bookmarkStart w:id="245" w:name="_Toc75239430"/>
      <w:bookmarkStart w:id="246" w:name="_Toc75240626"/>
      <w:bookmarkStart w:id="247" w:name="_Toc75190453"/>
      <w:bookmarkStart w:id="248" w:name="_Toc75191649"/>
      <w:bookmarkStart w:id="249" w:name="_Toc75192845"/>
      <w:bookmarkStart w:id="250" w:name="_Toc75194041"/>
      <w:bookmarkStart w:id="251" w:name="_Toc75195239"/>
      <w:bookmarkStart w:id="252" w:name="_Toc75196435"/>
      <w:bookmarkStart w:id="253" w:name="_Toc75197631"/>
      <w:bookmarkStart w:id="254" w:name="_Toc75198827"/>
      <w:bookmarkStart w:id="255" w:name="_Toc75200023"/>
      <w:bookmarkStart w:id="256" w:name="_Toc75201220"/>
      <w:bookmarkStart w:id="257" w:name="_Toc75202417"/>
      <w:bookmarkStart w:id="258" w:name="_Toc75203621"/>
      <w:bookmarkStart w:id="259" w:name="_Toc75204818"/>
      <w:bookmarkStart w:id="260" w:name="_Toc75206029"/>
      <w:bookmarkStart w:id="261" w:name="_Toc75239433"/>
      <w:bookmarkStart w:id="262" w:name="_Toc75240629"/>
      <w:bookmarkStart w:id="263" w:name="_Toc75190526"/>
      <w:bookmarkStart w:id="264" w:name="_Toc75191722"/>
      <w:bookmarkStart w:id="265" w:name="_Toc75192918"/>
      <w:bookmarkStart w:id="266" w:name="_Toc75194114"/>
      <w:bookmarkStart w:id="267" w:name="_Toc75195312"/>
      <w:bookmarkStart w:id="268" w:name="_Toc75196508"/>
      <w:bookmarkStart w:id="269" w:name="_Toc75197704"/>
      <w:bookmarkStart w:id="270" w:name="_Toc75198900"/>
      <w:bookmarkStart w:id="271" w:name="_Toc75200096"/>
      <w:bookmarkStart w:id="272" w:name="_Toc75201293"/>
      <w:bookmarkStart w:id="273" w:name="_Toc75202490"/>
      <w:bookmarkStart w:id="274" w:name="_Toc75203694"/>
      <w:bookmarkStart w:id="275" w:name="_Toc75204891"/>
      <w:bookmarkStart w:id="276" w:name="_Toc75206102"/>
      <w:bookmarkStart w:id="277" w:name="_Toc75239506"/>
      <w:bookmarkStart w:id="278" w:name="_Toc75240702"/>
      <w:bookmarkStart w:id="279" w:name="_Toc75190529"/>
      <w:bookmarkStart w:id="280" w:name="_Toc75191725"/>
      <w:bookmarkStart w:id="281" w:name="_Toc75192921"/>
      <w:bookmarkStart w:id="282" w:name="_Toc75194117"/>
      <w:bookmarkStart w:id="283" w:name="_Toc75195315"/>
      <w:bookmarkStart w:id="284" w:name="_Toc75196511"/>
      <w:bookmarkStart w:id="285" w:name="_Toc75197707"/>
      <w:bookmarkStart w:id="286" w:name="_Toc75198903"/>
      <w:bookmarkStart w:id="287" w:name="_Toc75200099"/>
      <w:bookmarkStart w:id="288" w:name="_Toc75201296"/>
      <w:bookmarkStart w:id="289" w:name="_Toc75202493"/>
      <w:bookmarkStart w:id="290" w:name="_Toc75203697"/>
      <w:bookmarkStart w:id="291" w:name="_Toc75204894"/>
      <w:bookmarkStart w:id="292" w:name="_Toc75206105"/>
      <w:bookmarkStart w:id="293" w:name="_Toc75239509"/>
      <w:bookmarkStart w:id="294" w:name="_Toc75240705"/>
      <w:bookmarkStart w:id="295" w:name="_Toc75190713"/>
      <w:bookmarkStart w:id="296" w:name="_Toc75191909"/>
      <w:bookmarkStart w:id="297" w:name="_Toc75193105"/>
      <w:bookmarkStart w:id="298" w:name="_Toc75194301"/>
      <w:bookmarkStart w:id="299" w:name="_Toc75195499"/>
      <w:bookmarkStart w:id="300" w:name="_Toc75196695"/>
      <w:bookmarkStart w:id="301" w:name="_Toc75197891"/>
      <w:bookmarkStart w:id="302" w:name="_Toc75199087"/>
      <w:bookmarkStart w:id="303" w:name="_Toc75200283"/>
      <w:bookmarkStart w:id="304" w:name="_Toc75201480"/>
      <w:bookmarkStart w:id="305" w:name="_Toc75202677"/>
      <w:bookmarkStart w:id="306" w:name="_Toc75203881"/>
      <w:bookmarkStart w:id="307" w:name="_Toc75205078"/>
      <w:bookmarkStart w:id="308" w:name="_Toc75206289"/>
      <w:bookmarkStart w:id="309" w:name="_Toc75239693"/>
      <w:bookmarkStart w:id="310" w:name="_Toc75240889"/>
      <w:bookmarkStart w:id="311" w:name="_Toc75190716"/>
      <w:bookmarkStart w:id="312" w:name="_Toc75191912"/>
      <w:bookmarkStart w:id="313" w:name="_Toc75193108"/>
      <w:bookmarkStart w:id="314" w:name="_Toc75194304"/>
      <w:bookmarkStart w:id="315" w:name="_Toc75195502"/>
      <w:bookmarkStart w:id="316" w:name="_Toc75196698"/>
      <w:bookmarkStart w:id="317" w:name="_Toc75197894"/>
      <w:bookmarkStart w:id="318" w:name="_Toc75199090"/>
      <w:bookmarkStart w:id="319" w:name="_Toc75200286"/>
      <w:bookmarkStart w:id="320" w:name="_Toc75201483"/>
      <w:bookmarkStart w:id="321" w:name="_Toc75202680"/>
      <w:bookmarkStart w:id="322" w:name="_Toc75203884"/>
      <w:bookmarkStart w:id="323" w:name="_Toc75205081"/>
      <w:bookmarkStart w:id="324" w:name="_Toc75206292"/>
      <w:bookmarkStart w:id="325" w:name="_Toc75239696"/>
      <w:bookmarkStart w:id="326" w:name="_Toc75240892"/>
      <w:bookmarkStart w:id="327" w:name="_Toc75190786"/>
      <w:bookmarkStart w:id="328" w:name="_Toc75191982"/>
      <w:bookmarkStart w:id="329" w:name="_Toc75193178"/>
      <w:bookmarkStart w:id="330" w:name="_Toc75194374"/>
      <w:bookmarkStart w:id="331" w:name="_Toc75195572"/>
      <w:bookmarkStart w:id="332" w:name="_Toc75196768"/>
      <w:bookmarkStart w:id="333" w:name="_Toc75197964"/>
      <w:bookmarkStart w:id="334" w:name="_Toc75199160"/>
      <w:bookmarkStart w:id="335" w:name="_Toc75200356"/>
      <w:bookmarkStart w:id="336" w:name="_Toc75201553"/>
      <w:bookmarkStart w:id="337" w:name="_Toc75202750"/>
      <w:bookmarkStart w:id="338" w:name="_Toc75203954"/>
      <w:bookmarkStart w:id="339" w:name="_Toc75205151"/>
      <w:bookmarkStart w:id="340" w:name="_Toc75206362"/>
      <w:bookmarkStart w:id="341" w:name="_Toc75239766"/>
      <w:bookmarkStart w:id="342" w:name="_Toc75240962"/>
      <w:bookmarkStart w:id="343" w:name="_Toc75190789"/>
      <w:bookmarkStart w:id="344" w:name="_Toc75191985"/>
      <w:bookmarkStart w:id="345" w:name="_Toc75193181"/>
      <w:bookmarkStart w:id="346" w:name="_Toc75194377"/>
      <w:bookmarkStart w:id="347" w:name="_Toc75195575"/>
      <w:bookmarkStart w:id="348" w:name="_Toc75196771"/>
      <w:bookmarkStart w:id="349" w:name="_Toc75197967"/>
      <w:bookmarkStart w:id="350" w:name="_Toc75199163"/>
      <w:bookmarkStart w:id="351" w:name="_Toc75200359"/>
      <w:bookmarkStart w:id="352" w:name="_Toc75201556"/>
      <w:bookmarkStart w:id="353" w:name="_Toc75202753"/>
      <w:bookmarkStart w:id="354" w:name="_Toc75203957"/>
      <w:bookmarkStart w:id="355" w:name="_Toc75205154"/>
      <w:bookmarkStart w:id="356" w:name="_Toc75206365"/>
      <w:bookmarkStart w:id="357" w:name="_Toc75239769"/>
      <w:bookmarkStart w:id="358" w:name="_Toc75240965"/>
      <w:bookmarkStart w:id="359" w:name="_Toc75190822"/>
      <w:bookmarkStart w:id="360" w:name="_Toc75192018"/>
      <w:bookmarkStart w:id="361" w:name="_Toc75193214"/>
      <w:bookmarkStart w:id="362" w:name="_Toc75194410"/>
      <w:bookmarkStart w:id="363" w:name="_Toc75195608"/>
      <w:bookmarkStart w:id="364" w:name="_Toc75196804"/>
      <w:bookmarkStart w:id="365" w:name="_Toc75198000"/>
      <w:bookmarkStart w:id="366" w:name="_Toc75199196"/>
      <w:bookmarkStart w:id="367" w:name="_Toc75200392"/>
      <w:bookmarkStart w:id="368" w:name="_Toc75201589"/>
      <w:bookmarkStart w:id="369" w:name="_Toc75202786"/>
      <w:bookmarkStart w:id="370" w:name="_Toc75203990"/>
      <w:bookmarkStart w:id="371" w:name="_Toc75205187"/>
      <w:bookmarkStart w:id="372" w:name="_Toc75206398"/>
      <w:bookmarkStart w:id="373" w:name="_Toc75239802"/>
      <w:bookmarkStart w:id="374" w:name="_Toc75240998"/>
      <w:bookmarkStart w:id="375" w:name="_Toc75190823"/>
      <w:bookmarkStart w:id="376" w:name="_Toc75192019"/>
      <w:bookmarkStart w:id="377" w:name="_Toc75193215"/>
      <w:bookmarkStart w:id="378" w:name="_Toc75194411"/>
      <w:bookmarkStart w:id="379" w:name="_Toc75195609"/>
      <w:bookmarkStart w:id="380" w:name="_Toc75196805"/>
      <w:bookmarkStart w:id="381" w:name="_Toc75198001"/>
      <w:bookmarkStart w:id="382" w:name="_Toc75199197"/>
      <w:bookmarkStart w:id="383" w:name="_Toc75200393"/>
      <w:bookmarkStart w:id="384" w:name="_Toc75201590"/>
      <w:bookmarkStart w:id="385" w:name="_Toc75202787"/>
      <w:bookmarkStart w:id="386" w:name="_Toc75203991"/>
      <w:bookmarkStart w:id="387" w:name="_Toc75205188"/>
      <w:bookmarkStart w:id="388" w:name="_Toc75206399"/>
      <w:bookmarkStart w:id="389" w:name="_Toc75239803"/>
      <w:bookmarkStart w:id="390" w:name="_Toc75240999"/>
      <w:bookmarkStart w:id="391" w:name="_Toc75190824"/>
      <w:bookmarkStart w:id="392" w:name="_Toc75192020"/>
      <w:bookmarkStart w:id="393" w:name="_Toc75193216"/>
      <w:bookmarkStart w:id="394" w:name="_Toc75194412"/>
      <w:bookmarkStart w:id="395" w:name="_Toc75195610"/>
      <w:bookmarkStart w:id="396" w:name="_Toc75196806"/>
      <w:bookmarkStart w:id="397" w:name="_Toc75198002"/>
      <w:bookmarkStart w:id="398" w:name="_Toc75199198"/>
      <w:bookmarkStart w:id="399" w:name="_Toc75200394"/>
      <w:bookmarkStart w:id="400" w:name="_Toc75201591"/>
      <w:bookmarkStart w:id="401" w:name="_Toc75202788"/>
      <w:bookmarkStart w:id="402" w:name="_Toc75203992"/>
      <w:bookmarkStart w:id="403" w:name="_Toc75205189"/>
      <w:bookmarkStart w:id="404" w:name="_Toc75206400"/>
      <w:bookmarkStart w:id="405" w:name="_Toc75239804"/>
      <w:bookmarkStart w:id="406" w:name="_Toc75241000"/>
      <w:bookmarkStart w:id="407" w:name="_Toc75190825"/>
      <w:bookmarkStart w:id="408" w:name="_Toc75192021"/>
      <w:bookmarkStart w:id="409" w:name="_Toc75193217"/>
      <w:bookmarkStart w:id="410" w:name="_Toc75194413"/>
      <w:bookmarkStart w:id="411" w:name="_Toc75195611"/>
      <w:bookmarkStart w:id="412" w:name="_Toc75196807"/>
      <w:bookmarkStart w:id="413" w:name="_Toc75198003"/>
      <w:bookmarkStart w:id="414" w:name="_Toc75199199"/>
      <w:bookmarkStart w:id="415" w:name="_Toc75200395"/>
      <w:bookmarkStart w:id="416" w:name="_Toc75201592"/>
      <w:bookmarkStart w:id="417" w:name="_Toc75202789"/>
      <w:bookmarkStart w:id="418" w:name="_Toc75203993"/>
      <w:bookmarkStart w:id="419" w:name="_Toc75205190"/>
      <w:bookmarkStart w:id="420" w:name="_Toc75206401"/>
      <w:bookmarkStart w:id="421" w:name="_Toc75239805"/>
      <w:bookmarkStart w:id="422" w:name="_Toc75241001"/>
      <w:bookmarkStart w:id="423" w:name="_Toc75190826"/>
      <w:bookmarkStart w:id="424" w:name="_Toc75192022"/>
      <w:bookmarkStart w:id="425" w:name="_Toc75193218"/>
      <w:bookmarkStart w:id="426" w:name="_Toc75194414"/>
      <w:bookmarkStart w:id="427" w:name="_Toc75195612"/>
      <w:bookmarkStart w:id="428" w:name="_Toc75196808"/>
      <w:bookmarkStart w:id="429" w:name="_Toc75198004"/>
      <w:bookmarkStart w:id="430" w:name="_Toc75199200"/>
      <w:bookmarkStart w:id="431" w:name="_Toc75200396"/>
      <w:bookmarkStart w:id="432" w:name="_Toc75201593"/>
      <w:bookmarkStart w:id="433" w:name="_Toc75202790"/>
      <w:bookmarkStart w:id="434" w:name="_Toc75203994"/>
      <w:bookmarkStart w:id="435" w:name="_Toc75205191"/>
      <w:bookmarkStart w:id="436" w:name="_Toc75206402"/>
      <w:bookmarkStart w:id="437" w:name="_Toc75239806"/>
      <w:bookmarkStart w:id="438" w:name="_Toc75241002"/>
      <w:bookmarkStart w:id="439" w:name="_Toc75190900"/>
      <w:bookmarkStart w:id="440" w:name="_Toc75192096"/>
      <w:bookmarkStart w:id="441" w:name="_Toc75193292"/>
      <w:bookmarkStart w:id="442" w:name="_Toc75194488"/>
      <w:bookmarkStart w:id="443" w:name="_Toc75195686"/>
      <w:bookmarkStart w:id="444" w:name="_Toc75196882"/>
      <w:bookmarkStart w:id="445" w:name="_Toc75198078"/>
      <w:bookmarkStart w:id="446" w:name="_Toc75199274"/>
      <w:bookmarkStart w:id="447" w:name="_Toc75200470"/>
      <w:bookmarkStart w:id="448" w:name="_Toc75201667"/>
      <w:bookmarkStart w:id="449" w:name="_Toc75202864"/>
      <w:bookmarkStart w:id="450" w:name="_Toc75204068"/>
      <w:bookmarkStart w:id="451" w:name="_Toc75205265"/>
      <w:bookmarkStart w:id="452" w:name="_Toc75206476"/>
      <w:bookmarkStart w:id="453" w:name="_Toc75239880"/>
      <w:bookmarkStart w:id="454" w:name="_Toc75241076"/>
      <w:bookmarkStart w:id="455" w:name="_Toc75190912"/>
      <w:bookmarkStart w:id="456" w:name="_Toc75192108"/>
      <w:bookmarkStart w:id="457" w:name="_Toc75193304"/>
      <w:bookmarkStart w:id="458" w:name="_Toc75194500"/>
      <w:bookmarkStart w:id="459" w:name="_Toc75195698"/>
      <w:bookmarkStart w:id="460" w:name="_Toc75196894"/>
      <w:bookmarkStart w:id="461" w:name="_Toc75198090"/>
      <w:bookmarkStart w:id="462" w:name="_Toc75199286"/>
      <w:bookmarkStart w:id="463" w:name="_Toc75200482"/>
      <w:bookmarkStart w:id="464" w:name="_Toc75201679"/>
      <w:bookmarkStart w:id="465" w:name="_Toc75202876"/>
      <w:bookmarkStart w:id="466" w:name="_Toc75204080"/>
      <w:bookmarkStart w:id="467" w:name="_Toc75205277"/>
      <w:bookmarkStart w:id="468" w:name="_Toc75206488"/>
      <w:bookmarkStart w:id="469" w:name="_Toc75239892"/>
      <w:bookmarkStart w:id="470" w:name="_Toc75241088"/>
      <w:bookmarkStart w:id="471" w:name="_Toc75190968"/>
      <w:bookmarkStart w:id="472" w:name="_Toc75192164"/>
      <w:bookmarkStart w:id="473" w:name="_Toc75193360"/>
      <w:bookmarkStart w:id="474" w:name="_Toc75194556"/>
      <w:bookmarkStart w:id="475" w:name="_Toc75195754"/>
      <w:bookmarkStart w:id="476" w:name="_Toc75196950"/>
      <w:bookmarkStart w:id="477" w:name="_Toc75198146"/>
      <w:bookmarkStart w:id="478" w:name="_Toc75199342"/>
      <w:bookmarkStart w:id="479" w:name="_Toc75200538"/>
      <w:bookmarkStart w:id="480" w:name="_Toc75201735"/>
      <w:bookmarkStart w:id="481" w:name="_Toc75202932"/>
      <w:bookmarkStart w:id="482" w:name="_Toc75204136"/>
      <w:bookmarkStart w:id="483" w:name="_Toc75205333"/>
      <w:bookmarkStart w:id="484" w:name="_Toc75206544"/>
      <w:bookmarkStart w:id="485" w:name="_Toc75239948"/>
      <w:bookmarkStart w:id="486" w:name="_Toc75241144"/>
      <w:bookmarkStart w:id="487" w:name="_Toc9545185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Approche globale</w:t>
      </w:r>
      <w:r w:rsidR="0074787C">
        <w:t xml:space="preserve"> d’évaluation</w:t>
      </w:r>
      <w:bookmarkEnd w:id="487"/>
      <w:r w:rsidRPr="007007C9" w:rsidDel="009362D7">
        <w:t xml:space="preserve"> </w:t>
      </w:r>
    </w:p>
    <w:p w14:paraId="2A66D2B6" w14:textId="1B9F9D45" w:rsidR="009362D7" w:rsidRPr="001302D9" w:rsidRDefault="009362D7" w:rsidP="009362D7">
      <w:pPr>
        <w:pStyle w:val="Paragraphedeliste"/>
        <w:numPr>
          <w:ilvl w:val="0"/>
          <w:numId w:val="77"/>
        </w:numPr>
        <w:spacing w:line="276" w:lineRule="auto"/>
      </w:pPr>
      <w:bookmarkStart w:id="488" w:name="_Toc39563197"/>
      <w:r w:rsidRPr="001302D9">
        <w:t xml:space="preserve">Cette évaluation s’est inspirée de l’approche axée sur la théorie </w:t>
      </w:r>
      <w:r w:rsidRPr="001302D9">
        <w:rPr>
          <w:i/>
          <w:iCs/>
        </w:rPr>
        <w:t>(Theory-driven evaluation</w:t>
      </w:r>
      <w:r w:rsidRPr="001302D9">
        <w:rPr>
          <w:rStyle w:val="Appelnotedebasdep"/>
          <w:i/>
          <w:iCs/>
        </w:rPr>
        <w:footnoteReference w:id="23"/>
      </w:r>
      <w:r w:rsidRPr="001302D9">
        <w:t xml:space="preserve">) pour comprendre les réussites et échecs du projet en examinant les hypothèses initiales, les facteurs contextuels et les mécanismes essentiels ayant contribué à l’atteinte ou non </w:t>
      </w:r>
      <w:r>
        <w:t xml:space="preserve">des </w:t>
      </w:r>
      <w:r w:rsidRPr="001302D9">
        <w:t xml:space="preserve">résultats escomptés. Pour ce faire, l’équipe d’évaluation a procédé </w:t>
      </w:r>
      <w:r>
        <w:t>par</w:t>
      </w:r>
      <w:r w:rsidRPr="001302D9">
        <w:t xml:space="preserve"> : i) la revue de la logique d’intervention (théorie d’action) du pro</w:t>
      </w:r>
      <w:r>
        <w:t>jet</w:t>
      </w:r>
      <w:r w:rsidRPr="001302D9">
        <w:t xml:space="preserve"> ; ii) l’analyse du contexte ; et iii) l’évaluation des évidences </w:t>
      </w:r>
      <w:bookmarkStart w:id="489" w:name="_Hlk82370016"/>
      <w:r w:rsidRPr="001302D9">
        <w:t xml:space="preserve">pour détecter comment, pourquoi et pour qui le changement est produit (ou non). </w:t>
      </w:r>
      <w:bookmarkEnd w:id="489"/>
      <w:r w:rsidRPr="001302D9">
        <w:t xml:space="preserve">Le déploiement d’une telle approche a commandé non seulement l’adoption d’une démarche pleinement participative mais aussi une méthodologie </w:t>
      </w:r>
      <w:r w:rsidR="00D95CB7">
        <w:t xml:space="preserve">mixte combinant </w:t>
      </w:r>
      <w:r w:rsidR="00516ACF">
        <w:t>les méthodes quantitatives</w:t>
      </w:r>
      <w:r w:rsidR="00D95CB7">
        <w:t xml:space="preserve"> et qualitatives.</w:t>
      </w:r>
      <w:r w:rsidR="007760A2">
        <w:t xml:space="preserve"> </w:t>
      </w:r>
    </w:p>
    <w:p w14:paraId="45AE6250" w14:textId="0C36DF22" w:rsidR="009362D7" w:rsidRPr="001302D9" w:rsidRDefault="009362D7" w:rsidP="009362D7">
      <w:pPr>
        <w:pStyle w:val="Paragraphedeliste"/>
        <w:numPr>
          <w:ilvl w:val="0"/>
          <w:numId w:val="77"/>
        </w:numPr>
        <w:spacing w:line="276" w:lineRule="auto"/>
      </w:pPr>
      <w:r w:rsidRPr="001302D9">
        <w:t>La démarche participative a consisté à associer et à impliquer les différentes parties prenantes dans les différentes phases du processus évaluatif en fonction de leur rôle d’orientation, de facilitation du processus et de validation des résultats de l’évaluation, ou de sources d’informations primaires pour l’analyse des questions évaluatives. La participation des parties prenantes s’est faite concrètement à travers les réunions de cadrage, d’amendement et de validation des livrables d’une part, et d’autre part à travers la collecte des données auprès des groupes cibles et acteurs de mise en œuvre du projet.</w:t>
      </w:r>
      <w:r w:rsidR="007760A2">
        <w:t xml:space="preserve"> </w:t>
      </w:r>
    </w:p>
    <w:p w14:paraId="4DFE7ADE" w14:textId="0DC95D04" w:rsidR="009362D7" w:rsidRPr="001302D9" w:rsidRDefault="009362D7" w:rsidP="009362D7">
      <w:pPr>
        <w:pStyle w:val="Paragraphedeliste"/>
        <w:numPr>
          <w:ilvl w:val="0"/>
          <w:numId w:val="77"/>
        </w:numPr>
        <w:spacing w:line="276" w:lineRule="auto"/>
      </w:pPr>
      <w:r>
        <w:t>L</w:t>
      </w:r>
      <w:r w:rsidRPr="001302D9">
        <w:t xml:space="preserve">a combinaison des méthodes quantitatives et qualitatives de collecte et d’analyse des données, a été nécessaire pour mener une évaluation rigoureuse du projet en permettant une triangulation des données. </w:t>
      </w:r>
    </w:p>
    <w:p w14:paraId="37CD4995" w14:textId="1A0D6AA8" w:rsidR="00404E9A" w:rsidRPr="007007C9" w:rsidRDefault="00836F0B" w:rsidP="00FB2B45">
      <w:pPr>
        <w:pStyle w:val="Paragraphedeliste"/>
        <w:numPr>
          <w:ilvl w:val="0"/>
          <w:numId w:val="23"/>
        </w:numPr>
        <w:spacing w:line="276" w:lineRule="auto"/>
      </w:pPr>
      <w:r w:rsidRPr="007007C9">
        <w:t xml:space="preserve">Outre son caractère participatif et inclusif, la présente évaluation se veut aussi sensible au genre et à la </w:t>
      </w:r>
      <w:r w:rsidR="00332592">
        <w:t>COVID-19</w:t>
      </w:r>
      <w:r w:rsidRPr="007007C9">
        <w:t xml:space="preserve">. </w:t>
      </w:r>
      <w:r w:rsidR="002B036E" w:rsidRPr="007007C9">
        <w:t>La sensibilité au genre s</w:t>
      </w:r>
      <w:r w:rsidR="007B3CB8">
        <w:t>’</w:t>
      </w:r>
      <w:r w:rsidR="002B036E" w:rsidRPr="007007C9">
        <w:t>e</w:t>
      </w:r>
      <w:r w:rsidR="007B3CB8">
        <w:t>st</w:t>
      </w:r>
      <w:r w:rsidR="002B036E" w:rsidRPr="007007C9">
        <w:t xml:space="preserve"> traduit</w:t>
      </w:r>
      <w:r w:rsidR="00A36747">
        <w:t>e</w:t>
      </w:r>
      <w:r w:rsidR="002B036E" w:rsidRPr="007007C9">
        <w:t xml:space="preserve"> concrètement </w:t>
      </w:r>
      <w:r w:rsidR="00404E9A" w:rsidRPr="007007C9">
        <w:t>dans la conception et la mise en œuvre de l’évaluation à travers :</w:t>
      </w:r>
      <w:r w:rsidR="007068E8">
        <w:t xml:space="preserve"> </w:t>
      </w:r>
    </w:p>
    <w:p w14:paraId="5CCCC1A2" w14:textId="4F553B2F" w:rsidR="00836F0B" w:rsidRPr="007007C9" w:rsidRDefault="00404E9A" w:rsidP="00DC4CE1">
      <w:pPr>
        <w:widowControl w:val="0"/>
        <w:numPr>
          <w:ilvl w:val="0"/>
          <w:numId w:val="11"/>
        </w:numPr>
        <w:autoSpaceDE w:val="0"/>
        <w:autoSpaceDN w:val="0"/>
        <w:adjustRightInd w:val="0"/>
        <w:spacing w:after="0" w:line="276" w:lineRule="auto"/>
        <w:ind w:left="709" w:hanging="283"/>
        <w:textAlignment w:val="center"/>
        <w:rPr>
          <w:b/>
          <w:bCs/>
          <w:i/>
          <w:iCs/>
        </w:rPr>
      </w:pPr>
      <w:r w:rsidRPr="007007C9">
        <w:t>L</w:t>
      </w:r>
      <w:r w:rsidR="002B036E" w:rsidRPr="007007C9">
        <w:t xml:space="preserve">a composition de l’équipe d’évaluation </w:t>
      </w:r>
      <w:r w:rsidRPr="007007C9">
        <w:t>qui mobilise une expertise féminine (experte sénior</w:t>
      </w:r>
      <w:r w:rsidR="00AE7547" w:rsidRPr="007007C9">
        <w:t xml:space="preserve"> et cheffe de mission) et une expertise masculine (expert associé) ;</w:t>
      </w:r>
      <w:r w:rsidR="007068E8">
        <w:t xml:space="preserve"> </w:t>
      </w:r>
    </w:p>
    <w:p w14:paraId="6EE187A7" w14:textId="5B1428A0" w:rsidR="00B71F93" w:rsidRDefault="00836F0B" w:rsidP="00B71F93">
      <w:pPr>
        <w:widowControl w:val="0"/>
        <w:numPr>
          <w:ilvl w:val="0"/>
          <w:numId w:val="11"/>
        </w:numPr>
        <w:autoSpaceDE w:val="0"/>
        <w:autoSpaceDN w:val="0"/>
        <w:adjustRightInd w:val="0"/>
        <w:spacing w:after="0" w:line="276" w:lineRule="auto"/>
        <w:ind w:left="709" w:hanging="283"/>
        <w:textAlignment w:val="center"/>
      </w:pPr>
      <w:r w:rsidRPr="007007C9">
        <w:t>La constitution d’une équipe mixte d’enquêteurs</w:t>
      </w:r>
      <w:r w:rsidR="005417C5">
        <w:rPr>
          <w:rStyle w:val="Appelnotedebasdep"/>
        </w:rPr>
        <w:footnoteReference w:id="24"/>
      </w:r>
      <w:r w:rsidRPr="007007C9">
        <w:t xml:space="preserve"> avec une parité entre les deux sexes (4 hommes et 4 femmes) qui </w:t>
      </w:r>
      <w:r w:rsidR="00D95CB7">
        <w:t>ont été</w:t>
      </w:r>
      <w:r w:rsidR="00D95CB7" w:rsidRPr="007007C9">
        <w:t xml:space="preserve"> </w:t>
      </w:r>
      <w:r w:rsidRPr="007007C9">
        <w:t>déployés dans chaque commune d’intervention</w:t>
      </w:r>
      <w:r w:rsidR="008A14BB">
        <w:t>. Cette équipe recrutée localement (au niveau des communes d’intervention) a favorisé la mise en confiance des enquêtés (les femmes notamment) et leur pleine participation aux entretiens.</w:t>
      </w:r>
      <w:r w:rsidR="005A52FA">
        <w:t xml:space="preserve"> Une séparation des sexes a été observée dans la tenue des entretiens des focus group c</w:t>
      </w:r>
      <w:r w:rsidR="008A14BB">
        <w:t>onformément aux us et coutumes locales d’une part, et d’autre part pour favorise</w:t>
      </w:r>
      <w:r w:rsidR="005A52FA">
        <w:t>r</w:t>
      </w:r>
      <w:r w:rsidR="008A14BB">
        <w:t xml:space="preserve"> la pleine expression de</w:t>
      </w:r>
      <w:r w:rsidR="005A52FA">
        <w:t>s femmes et des filles.</w:t>
      </w:r>
      <w:r w:rsidR="008A14BB">
        <w:t xml:space="preserve"> D’ailleurs</w:t>
      </w:r>
      <w:r w:rsidR="006820EA">
        <w:t>,</w:t>
      </w:r>
      <w:r w:rsidR="008A14BB">
        <w:t xml:space="preserve"> les moments et les lieux des entretiens et focus ont été discutés avec les enquêtés pour assurer de réunir les conditions d’une pleine participation de ces derni</w:t>
      </w:r>
      <w:r w:rsidR="005A52FA">
        <w:t>ers</w:t>
      </w:r>
      <w:r w:rsidR="008A14BB">
        <w:t xml:space="preserve">. </w:t>
      </w:r>
    </w:p>
    <w:p w14:paraId="7C9727C8" w14:textId="273E8381" w:rsidR="00D23826" w:rsidRDefault="00B71F93" w:rsidP="00B71F93">
      <w:pPr>
        <w:widowControl w:val="0"/>
        <w:numPr>
          <w:ilvl w:val="0"/>
          <w:numId w:val="11"/>
        </w:numPr>
        <w:autoSpaceDE w:val="0"/>
        <w:autoSpaceDN w:val="0"/>
        <w:adjustRightInd w:val="0"/>
        <w:spacing w:after="0" w:line="276" w:lineRule="auto"/>
        <w:ind w:left="709" w:hanging="283"/>
        <w:textAlignment w:val="center"/>
      </w:pPr>
      <w:r>
        <w:t>L’adoption de l’</w:t>
      </w:r>
      <w:r w:rsidRPr="00B71F93">
        <w:t xml:space="preserve">approche du </w:t>
      </w:r>
      <w:r>
        <w:t>« </w:t>
      </w:r>
      <w:r w:rsidRPr="00B71F93">
        <w:rPr>
          <w:i/>
          <w:iCs/>
        </w:rPr>
        <w:t>gender mainstreaming</w:t>
      </w:r>
      <w:r>
        <w:rPr>
          <w:i/>
          <w:iCs/>
        </w:rPr>
        <w:t> »</w:t>
      </w:r>
      <w:r w:rsidRPr="00B71F93">
        <w:t xml:space="preserve">, en évaluant si </w:t>
      </w:r>
      <w:r>
        <w:t>le</w:t>
      </w:r>
      <w:r w:rsidRPr="00B71F93">
        <w:t xml:space="preserve"> genre a été pris en compte dans les différentes étapes de la programmation et de la mise en œuvre, de manière transversale (objectifs, résultats, indicateurs et activités, parties prenantes, etc.). </w:t>
      </w:r>
      <w:r w:rsidR="007B3CB8">
        <w:t xml:space="preserve">Dans le cadre de cette approche, </w:t>
      </w:r>
      <w:r w:rsidR="00836F0B" w:rsidRPr="007007C9">
        <w:t xml:space="preserve">une analyse sexo-spécifique des données primaires et secondaires </w:t>
      </w:r>
      <w:r w:rsidR="007B3CB8">
        <w:t xml:space="preserve">a été faite en </w:t>
      </w:r>
      <w:r w:rsidR="00836F0B" w:rsidRPr="007007C9">
        <w:t xml:space="preserve">les désagrégeant selon le sexe et l’âge. Il </w:t>
      </w:r>
      <w:r w:rsidR="007B3CB8">
        <w:t xml:space="preserve">s’est agi </w:t>
      </w:r>
      <w:r w:rsidR="00836F0B" w:rsidRPr="007007C9">
        <w:t>d’apprécier à travers l’analyse la prise en compte par le projet des priorités spécifiques de chaque groupe (sexe, âge et type de vulnérabilité) ;</w:t>
      </w:r>
    </w:p>
    <w:p w14:paraId="17597BA5" w14:textId="331FC602" w:rsidR="00836F0B" w:rsidRPr="007007C9" w:rsidRDefault="00C944B1" w:rsidP="00FB2B45">
      <w:pPr>
        <w:pStyle w:val="Paragraphedeliste"/>
        <w:numPr>
          <w:ilvl w:val="0"/>
          <w:numId w:val="23"/>
        </w:numPr>
        <w:spacing w:line="276" w:lineRule="auto"/>
      </w:pPr>
      <w:r>
        <w:t xml:space="preserve">L’approche de l’évaluation </w:t>
      </w:r>
      <w:r w:rsidR="00D95CB7">
        <w:t>s’est voulue également</w:t>
      </w:r>
      <w:r w:rsidR="00836F0B" w:rsidRPr="007007C9">
        <w:t xml:space="preserve"> sensible au contexte de la maladie à Coronavirus (</w:t>
      </w:r>
      <w:r w:rsidR="00332592">
        <w:t>COVID-19</w:t>
      </w:r>
      <w:r w:rsidR="00836F0B" w:rsidRPr="007007C9">
        <w:t>)</w:t>
      </w:r>
      <w:r w:rsidR="00D95CB7">
        <w:t>. Cela impliquait</w:t>
      </w:r>
      <w:r w:rsidR="00836F0B" w:rsidRPr="007007C9">
        <w:t xml:space="preserve"> le respect des mesures barrières telle la distanciation physique lors des entretiens individuels et la limitation du nombre de personnes dans les discussions de groupes. De façon pratique, il s</w:t>
      </w:r>
      <w:r w:rsidR="00177D16">
        <w:t xml:space="preserve">’est agi </w:t>
      </w:r>
      <w:r w:rsidR="00836F0B" w:rsidRPr="007007C9">
        <w:t xml:space="preserve">de : </w:t>
      </w:r>
    </w:p>
    <w:p w14:paraId="5EE93704" w14:textId="1A8A98DA"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Mettre à profit les outils technologiques disponibles pour assurer la formation des agents de collecte à distance et conduire des entretiens virtuels</w:t>
      </w:r>
      <w:r w:rsidRPr="007007C9">
        <w:t xml:space="preserve"> dans les contextes où l’insécurité et l’état de la prévalence de la </w:t>
      </w:r>
      <w:r w:rsidR="00332592">
        <w:t xml:space="preserve">COVID-19 </w:t>
      </w:r>
      <w:r w:rsidRPr="007007C9">
        <w:t xml:space="preserve">ne permettent pas de tenir des entretiens en présentiel. Pour les entretiens individuels auprès des acteurs, la technique </w:t>
      </w:r>
      <w:r w:rsidR="00C944B1">
        <w:t xml:space="preserve">a </w:t>
      </w:r>
      <w:r w:rsidRPr="007007C9">
        <w:t>combin</w:t>
      </w:r>
      <w:r w:rsidR="00C944B1">
        <w:t>é</w:t>
      </w:r>
      <w:r w:rsidRPr="007007C9">
        <w:t xml:space="preserve"> aussi bien les appels téléphoniques, les rencontres virtuelles (par Zoom ou MS Teams) et les courriels (emails) selon l’accessibilité de chaque acteur aux différents outils technologiques</w:t>
      </w:r>
      <w:r w:rsidR="00C944B1">
        <w:t> ;</w:t>
      </w:r>
    </w:p>
    <w:p w14:paraId="33F078A2" w14:textId="77777777"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Veiller au strict respect des mesures barrières par les agents de collecte dans le cadre des entretiens en présentiel</w:t>
      </w:r>
      <w:r w:rsidRPr="007007C9">
        <w:t> ;</w:t>
      </w:r>
    </w:p>
    <w:p w14:paraId="2B50B313" w14:textId="5683A409"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 xml:space="preserve">Intégrer une série de questions relatives à la maladie de la </w:t>
      </w:r>
      <w:r w:rsidR="00332592">
        <w:rPr>
          <w:i/>
          <w:iCs/>
        </w:rPr>
        <w:t xml:space="preserve">COVID-19 </w:t>
      </w:r>
      <w:r w:rsidRPr="007007C9">
        <w:rPr>
          <w:i/>
          <w:iCs/>
        </w:rPr>
        <w:t>dans le questionnaire et les guides d’entretien</w:t>
      </w:r>
      <w:r w:rsidRPr="007007C9">
        <w:t xml:space="preserve">. Ces questions ont </w:t>
      </w:r>
      <w:r w:rsidR="00C944B1">
        <w:t xml:space="preserve">été </w:t>
      </w:r>
      <w:r w:rsidRPr="007007C9">
        <w:t xml:space="preserve">adressées aux bénéficiaires du projet et aux acteurs communautaires. Elles </w:t>
      </w:r>
      <w:r w:rsidR="00C944B1">
        <w:t xml:space="preserve">ont </w:t>
      </w:r>
      <w:r w:rsidRPr="007007C9">
        <w:t>perm</w:t>
      </w:r>
      <w:r w:rsidR="00C944B1">
        <w:t>is</w:t>
      </w:r>
      <w:r w:rsidRPr="007007C9">
        <w:t xml:space="preserve"> de comprendre comment la </w:t>
      </w:r>
      <w:r w:rsidR="00332592">
        <w:t xml:space="preserve">COVID-19 </w:t>
      </w:r>
      <w:r w:rsidRPr="007007C9">
        <w:t xml:space="preserve">a influencé la participation des femmes et des </w:t>
      </w:r>
      <w:r w:rsidR="000B557E">
        <w:t>hommes</w:t>
      </w:r>
      <w:r w:rsidRPr="007007C9">
        <w:t xml:space="preserve"> aux mécanismes communautaires et étatique</w:t>
      </w:r>
      <w:r w:rsidR="00493163">
        <w:t>s</w:t>
      </w:r>
      <w:r w:rsidRPr="007007C9">
        <w:t xml:space="preserve"> de prévention et de gestion des conflits et dans le rétablissement de la confiance entre les acteurs. </w:t>
      </w:r>
    </w:p>
    <w:p w14:paraId="44DC7B3C" w14:textId="79ACAB60" w:rsidR="00536F1D" w:rsidRPr="00C55565" w:rsidRDefault="00536F1D" w:rsidP="007007C9">
      <w:pPr>
        <w:rPr>
          <w:sz w:val="10"/>
          <w:szCs w:val="10"/>
        </w:rPr>
      </w:pPr>
    </w:p>
    <w:p w14:paraId="34032502" w14:textId="626A081C" w:rsidR="005761B7" w:rsidRPr="004B358D" w:rsidRDefault="005761B7" w:rsidP="00820BBD">
      <w:pPr>
        <w:pStyle w:val="Titre2"/>
        <w:numPr>
          <w:ilvl w:val="1"/>
          <w:numId w:val="81"/>
        </w:numPr>
      </w:pPr>
      <w:bookmarkStart w:id="490" w:name="_Toc95451860"/>
      <w:r w:rsidRPr="004B358D">
        <w:t>Méthode</w:t>
      </w:r>
      <w:r w:rsidR="000E5A3F">
        <w:t xml:space="preserve">s et outils </w:t>
      </w:r>
      <w:r w:rsidRPr="004B358D">
        <w:t xml:space="preserve">de collecte </w:t>
      </w:r>
      <w:r w:rsidR="00AE62D3">
        <w:t>des données</w:t>
      </w:r>
      <w:bookmarkEnd w:id="490"/>
    </w:p>
    <w:p w14:paraId="535ABF46" w14:textId="4C3961D0" w:rsidR="00661A14" w:rsidRDefault="00665176" w:rsidP="00FB2B45">
      <w:pPr>
        <w:pStyle w:val="Paragraphedeliste"/>
        <w:numPr>
          <w:ilvl w:val="0"/>
          <w:numId w:val="23"/>
        </w:numPr>
        <w:spacing w:line="276" w:lineRule="auto"/>
        <w:rPr>
          <w:rFonts w:cs="Times New Roman"/>
          <w:szCs w:val="24"/>
        </w:rPr>
      </w:pPr>
      <w:r>
        <w:rPr>
          <w:rFonts w:cs="Times New Roman"/>
          <w:szCs w:val="24"/>
        </w:rPr>
        <w:t>D</w:t>
      </w:r>
      <w:r w:rsidR="00661A14">
        <w:rPr>
          <w:rFonts w:cs="Times New Roman"/>
          <w:szCs w:val="24"/>
        </w:rPr>
        <w:t xml:space="preserve">eux </w:t>
      </w:r>
      <w:r>
        <w:rPr>
          <w:rFonts w:cs="Times New Roman"/>
          <w:szCs w:val="24"/>
        </w:rPr>
        <w:t>types</w:t>
      </w:r>
      <w:r w:rsidR="00661A14">
        <w:rPr>
          <w:rFonts w:cs="Times New Roman"/>
          <w:szCs w:val="24"/>
        </w:rPr>
        <w:t xml:space="preserve"> de données à savoir des données primaires et des données secondaires</w:t>
      </w:r>
      <w:r>
        <w:rPr>
          <w:rFonts w:cs="Times New Roman"/>
          <w:szCs w:val="24"/>
        </w:rPr>
        <w:t xml:space="preserve"> ont été collectées</w:t>
      </w:r>
      <w:r w:rsidR="00661A14">
        <w:rPr>
          <w:rFonts w:cs="Times New Roman"/>
          <w:szCs w:val="24"/>
        </w:rPr>
        <w:t xml:space="preserve">. </w:t>
      </w:r>
      <w:r w:rsidRPr="00665176">
        <w:rPr>
          <w:rFonts w:cs="Times New Roman"/>
          <w:szCs w:val="24"/>
        </w:rPr>
        <w:t>L</w:t>
      </w:r>
      <w:r w:rsidR="001D5E7D" w:rsidRPr="00665176">
        <w:t xml:space="preserve">e caractère participatif, consultatif et inclusif que doit revêtir l’évaluation </w:t>
      </w:r>
      <w:r w:rsidRPr="00665176">
        <w:t xml:space="preserve">a </w:t>
      </w:r>
      <w:r w:rsidR="001D5E7D" w:rsidRPr="00665176">
        <w:t>command</w:t>
      </w:r>
      <w:r w:rsidRPr="00665176">
        <w:t>é</w:t>
      </w:r>
      <w:r w:rsidR="001D5E7D" w:rsidRPr="00665176">
        <w:t xml:space="preserve"> </w:t>
      </w:r>
      <w:r w:rsidRPr="00665176">
        <w:t>une</w:t>
      </w:r>
      <w:r w:rsidR="001D5E7D" w:rsidRPr="00665176">
        <w:t xml:space="preserve"> collecte de données </w:t>
      </w:r>
      <w:r w:rsidRPr="00665176">
        <w:t>auprès de</w:t>
      </w:r>
      <w:r w:rsidR="001D5E7D" w:rsidRPr="00665176">
        <w:t xml:space="preserve"> l’ensemble des parties prenantes du projet.</w:t>
      </w:r>
      <w:r w:rsidR="001D5E7D" w:rsidRPr="00E2380C">
        <w:t xml:space="preserve"> </w:t>
      </w:r>
    </w:p>
    <w:p w14:paraId="437F8FFF" w14:textId="79E7BF23" w:rsidR="001D5E7D" w:rsidRPr="004002A7" w:rsidRDefault="00665176" w:rsidP="00FB2B45">
      <w:pPr>
        <w:pStyle w:val="Paragraphedeliste"/>
        <w:numPr>
          <w:ilvl w:val="0"/>
          <w:numId w:val="23"/>
        </w:numPr>
        <w:spacing w:line="276" w:lineRule="auto"/>
        <w:rPr>
          <w:rFonts w:cs="Times New Roman"/>
          <w:szCs w:val="24"/>
        </w:rPr>
      </w:pPr>
      <w:r>
        <w:rPr>
          <w:rFonts w:cs="Times New Roman"/>
          <w:szCs w:val="24"/>
        </w:rPr>
        <w:t>L</w:t>
      </w:r>
      <w:r w:rsidR="001D5E7D">
        <w:rPr>
          <w:rFonts w:cs="Times New Roman"/>
          <w:szCs w:val="24"/>
        </w:rPr>
        <w:t xml:space="preserve">es </w:t>
      </w:r>
      <w:r w:rsidR="000E5A3F" w:rsidRPr="009F4A22">
        <w:t>méthodes</w:t>
      </w:r>
      <w:r w:rsidR="000E5A3F" w:rsidRPr="004002A7">
        <w:rPr>
          <w:rFonts w:cs="Times New Roman"/>
          <w:szCs w:val="24"/>
        </w:rPr>
        <w:t xml:space="preserve"> de collecte des données</w:t>
      </w:r>
      <w:r w:rsidR="001D5E7D">
        <w:rPr>
          <w:rFonts w:cs="Times New Roman"/>
          <w:szCs w:val="24"/>
        </w:rPr>
        <w:t xml:space="preserve"> </w:t>
      </w:r>
      <w:r>
        <w:rPr>
          <w:rFonts w:cs="Times New Roman"/>
          <w:szCs w:val="24"/>
        </w:rPr>
        <w:t>ont été</w:t>
      </w:r>
      <w:r w:rsidR="000E5A3F" w:rsidRPr="004002A7">
        <w:rPr>
          <w:rFonts w:cs="Times New Roman"/>
          <w:szCs w:val="24"/>
        </w:rPr>
        <w:t xml:space="preserve"> </w:t>
      </w:r>
      <w:r w:rsidR="00177D16">
        <w:rPr>
          <w:rFonts w:cs="Times New Roman"/>
          <w:szCs w:val="24"/>
        </w:rPr>
        <w:t xml:space="preserve">la revue documentaire, </w:t>
      </w:r>
      <w:r w:rsidR="000E5A3F" w:rsidRPr="004002A7">
        <w:rPr>
          <w:rFonts w:cs="Times New Roman"/>
          <w:szCs w:val="24"/>
        </w:rPr>
        <w:t>l’enquête quantitative</w:t>
      </w:r>
      <w:r w:rsidR="001D5E7D">
        <w:rPr>
          <w:rFonts w:cs="Times New Roman"/>
          <w:szCs w:val="24"/>
        </w:rPr>
        <w:t xml:space="preserve"> (par questionnaire) et l’enquête qualitative (à travers</w:t>
      </w:r>
      <w:r w:rsidR="000E5A3F" w:rsidRPr="004002A7">
        <w:rPr>
          <w:rFonts w:cs="Times New Roman"/>
          <w:szCs w:val="24"/>
        </w:rPr>
        <w:t xml:space="preserve"> les entretiens individuels</w:t>
      </w:r>
      <w:r w:rsidR="001D5E7D">
        <w:rPr>
          <w:rFonts w:cs="Times New Roman"/>
          <w:szCs w:val="24"/>
        </w:rPr>
        <w:t>, les discussions de groupe/focus group)</w:t>
      </w:r>
      <w:r w:rsidR="000E5A3F" w:rsidRPr="004002A7">
        <w:rPr>
          <w:rFonts w:cs="Times New Roman"/>
          <w:szCs w:val="24"/>
        </w:rPr>
        <w:t>.</w:t>
      </w:r>
      <w:r w:rsidR="001D5E7D" w:rsidRPr="001D5E7D">
        <w:t xml:space="preserve"> </w:t>
      </w:r>
      <w:r w:rsidR="00D67D0D">
        <w:t>Les outils de collecte</w:t>
      </w:r>
      <w:r w:rsidR="00883CB4">
        <w:t xml:space="preserve"> (voir annexe 5)</w:t>
      </w:r>
      <w:r w:rsidR="00D67D0D">
        <w:t xml:space="preserve"> utilisés comprennent un questionnaire adressé aux bénéficiaires directs, un questionnaire adressé aux FDS et ACP, des guides d’entretiens semi structurés sériés en fonction des parties prenantes concernées et un guide de focus group destinés aux femmes et aux jeunes (filles et garçons). </w:t>
      </w:r>
    </w:p>
    <w:p w14:paraId="0DFA0D3E" w14:textId="27BA84CC" w:rsidR="000E5A3F" w:rsidRDefault="000E5A3F" w:rsidP="007007C9">
      <w:pPr>
        <w:pStyle w:val="Paragraphedeliste"/>
      </w:pPr>
    </w:p>
    <w:p w14:paraId="0E7D8773" w14:textId="7345BE03" w:rsidR="00177D16" w:rsidRPr="00177D16" w:rsidRDefault="00BE6D91" w:rsidP="00DF4AC8">
      <w:pPr>
        <w:pStyle w:val="Titre3"/>
      </w:pPr>
      <w:bookmarkStart w:id="491" w:name="_Toc75190971"/>
      <w:bookmarkStart w:id="492" w:name="_Toc75192167"/>
      <w:bookmarkStart w:id="493" w:name="_Toc75193363"/>
      <w:bookmarkStart w:id="494" w:name="_Toc75194559"/>
      <w:bookmarkStart w:id="495" w:name="_Toc75195757"/>
      <w:bookmarkStart w:id="496" w:name="_Toc75196953"/>
      <w:bookmarkStart w:id="497" w:name="_Toc75198149"/>
      <w:bookmarkStart w:id="498" w:name="_Toc75199345"/>
      <w:bookmarkStart w:id="499" w:name="_Toc75200541"/>
      <w:bookmarkStart w:id="500" w:name="_Toc75201738"/>
      <w:bookmarkStart w:id="501" w:name="_Toc75202935"/>
      <w:bookmarkStart w:id="502" w:name="_Toc75204139"/>
      <w:bookmarkStart w:id="503" w:name="_Toc75205336"/>
      <w:bookmarkStart w:id="504" w:name="_Toc75206547"/>
      <w:bookmarkStart w:id="505" w:name="_Toc75239951"/>
      <w:bookmarkStart w:id="506" w:name="_Toc75241147"/>
      <w:bookmarkStart w:id="507" w:name="_Toc75190972"/>
      <w:bookmarkStart w:id="508" w:name="_Toc75192168"/>
      <w:bookmarkStart w:id="509" w:name="_Toc75193364"/>
      <w:bookmarkStart w:id="510" w:name="_Toc75194560"/>
      <w:bookmarkStart w:id="511" w:name="_Toc75195758"/>
      <w:bookmarkStart w:id="512" w:name="_Toc75196954"/>
      <w:bookmarkStart w:id="513" w:name="_Toc75198150"/>
      <w:bookmarkStart w:id="514" w:name="_Toc75199346"/>
      <w:bookmarkStart w:id="515" w:name="_Toc75200542"/>
      <w:bookmarkStart w:id="516" w:name="_Toc75201739"/>
      <w:bookmarkStart w:id="517" w:name="_Toc75202936"/>
      <w:bookmarkStart w:id="518" w:name="_Toc75204140"/>
      <w:bookmarkStart w:id="519" w:name="_Toc75205337"/>
      <w:bookmarkStart w:id="520" w:name="_Toc75206548"/>
      <w:bookmarkStart w:id="521" w:name="_Toc75239952"/>
      <w:bookmarkStart w:id="522" w:name="_Toc75241148"/>
      <w:bookmarkStart w:id="523" w:name="_Toc75121266"/>
      <w:bookmarkStart w:id="524" w:name="_Toc75190973"/>
      <w:bookmarkStart w:id="525" w:name="_Toc75192169"/>
      <w:bookmarkStart w:id="526" w:name="_Toc75193365"/>
      <w:bookmarkStart w:id="527" w:name="_Toc75194561"/>
      <w:bookmarkStart w:id="528" w:name="_Toc75195759"/>
      <w:bookmarkStart w:id="529" w:name="_Toc75196955"/>
      <w:bookmarkStart w:id="530" w:name="_Toc75198151"/>
      <w:bookmarkStart w:id="531" w:name="_Toc75199347"/>
      <w:bookmarkStart w:id="532" w:name="_Toc75200543"/>
      <w:bookmarkStart w:id="533" w:name="_Toc75201740"/>
      <w:bookmarkStart w:id="534" w:name="_Toc75202937"/>
      <w:bookmarkStart w:id="535" w:name="_Toc75204141"/>
      <w:bookmarkStart w:id="536" w:name="_Toc75205338"/>
      <w:bookmarkStart w:id="537" w:name="_Toc75206549"/>
      <w:bookmarkStart w:id="538" w:name="_Toc75239953"/>
      <w:bookmarkStart w:id="539" w:name="_Toc7524114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t xml:space="preserve">4.2.1. </w:t>
      </w:r>
      <w:r w:rsidR="002D5FC8" w:rsidRPr="00177D16">
        <w:t>Revue documentaire</w:t>
      </w:r>
      <w:r w:rsidR="00235F96" w:rsidRPr="00177D16">
        <w:t> </w:t>
      </w:r>
    </w:p>
    <w:p w14:paraId="43450FC0" w14:textId="47D69777" w:rsidR="002D5FC8" w:rsidRDefault="002D5FC8" w:rsidP="00FE728A">
      <w:pPr>
        <w:pStyle w:val="Paragraphedeliste"/>
        <w:numPr>
          <w:ilvl w:val="0"/>
          <w:numId w:val="23"/>
        </w:numPr>
        <w:spacing w:line="276" w:lineRule="auto"/>
      </w:pPr>
      <w:r>
        <w:t>La revue documentaire s</w:t>
      </w:r>
      <w:r w:rsidR="00665176">
        <w:t>’est</w:t>
      </w:r>
      <w:r>
        <w:t xml:space="preserve"> f</w:t>
      </w:r>
      <w:r w:rsidR="00665176">
        <w:t>aite</w:t>
      </w:r>
      <w:r>
        <w:t xml:space="preserve"> tout au long du processus évaluatif et</w:t>
      </w:r>
      <w:r w:rsidR="00665176">
        <w:t xml:space="preserve"> a</w:t>
      </w:r>
      <w:r>
        <w:t xml:space="preserve"> consist</w:t>
      </w:r>
      <w:r w:rsidR="00665176">
        <w:t>é</w:t>
      </w:r>
      <w:r>
        <w:t xml:space="preserve"> en l’exploitation de la documentation pertinente sur le projet et sur les politiques et stratégies nationales. L’intérêt de la revue documentaire est de recueillir des données secondaires permettant </w:t>
      </w:r>
      <w:r w:rsidRPr="00F03A01">
        <w:t xml:space="preserve">d’éclairer </w:t>
      </w:r>
      <w:r>
        <w:t xml:space="preserve">le contexte général de la conception du projet, </w:t>
      </w:r>
      <w:r w:rsidRPr="00F03A01">
        <w:t>les conditions de mise en œuvre des activités</w:t>
      </w:r>
      <w:r w:rsidR="00973D80">
        <w:t xml:space="preserve"> et</w:t>
      </w:r>
      <w:r w:rsidRPr="00F03A01">
        <w:t xml:space="preserve"> </w:t>
      </w:r>
      <w:r w:rsidR="00973D80">
        <w:t>d</w:t>
      </w:r>
      <w:r w:rsidRPr="00F03A01">
        <w:t xml:space="preserve">es résultats obtenus. </w:t>
      </w:r>
      <w:r>
        <w:t xml:space="preserve">La revue documentaire </w:t>
      </w:r>
      <w:r w:rsidR="00973D80">
        <w:t>renforce</w:t>
      </w:r>
      <w:r>
        <w:t xml:space="preserve"> la triangulation </w:t>
      </w:r>
      <w:r w:rsidRPr="00F03A01">
        <w:t>avec les données primaires</w:t>
      </w:r>
      <w:r>
        <w:t xml:space="preserve"> recueillies</w:t>
      </w:r>
      <w:r w:rsidR="00973D80">
        <w:t xml:space="preserve"> sur le terrain</w:t>
      </w:r>
      <w:r w:rsidRPr="00F03A01">
        <w:t xml:space="preserve">. </w:t>
      </w:r>
    </w:p>
    <w:p w14:paraId="0B41E8D5" w14:textId="1B2B6FFC" w:rsidR="00177D16" w:rsidRDefault="00BE6D91" w:rsidP="00DF4AC8">
      <w:pPr>
        <w:pStyle w:val="Titre3"/>
      </w:pPr>
      <w:r>
        <w:t xml:space="preserve">4.2.2. </w:t>
      </w:r>
      <w:r w:rsidR="00177D16">
        <w:t>Enquête qualitative</w:t>
      </w:r>
    </w:p>
    <w:p w14:paraId="59F45D2F" w14:textId="5679000F" w:rsidR="00FA3B79" w:rsidRPr="00563B2B" w:rsidRDefault="002D5FC8" w:rsidP="007007C9">
      <w:pPr>
        <w:spacing w:before="240" w:after="0"/>
        <w:rPr>
          <w:bCs/>
          <w:iCs/>
        </w:rPr>
      </w:pPr>
      <w:r w:rsidRPr="007007C9">
        <w:rPr>
          <w:b/>
          <w:bCs/>
          <w:i/>
          <w:iCs/>
        </w:rPr>
        <w:t>Entretiens individuels</w:t>
      </w:r>
      <w:r>
        <w:rPr>
          <w:b/>
          <w:bCs/>
          <w:i/>
          <w:iCs/>
        </w:rPr>
        <w:t> </w:t>
      </w:r>
    </w:p>
    <w:p w14:paraId="0EA7B3D6" w14:textId="1AC5F5CA" w:rsidR="00FA3B79" w:rsidRDefault="00C12406" w:rsidP="002045E7">
      <w:pPr>
        <w:pStyle w:val="Paragraphedeliste"/>
        <w:numPr>
          <w:ilvl w:val="0"/>
          <w:numId w:val="23"/>
        </w:numPr>
        <w:spacing w:before="0" w:line="276" w:lineRule="auto"/>
      </w:pPr>
      <w:r>
        <w:t>Les entretiens individuels</w:t>
      </w:r>
      <w:r w:rsidR="00FA3B79">
        <w:t xml:space="preserve"> </w:t>
      </w:r>
      <w:r w:rsidR="00973D80">
        <w:t xml:space="preserve">ont </w:t>
      </w:r>
      <w:r w:rsidR="00FA3B79">
        <w:t>concern</w:t>
      </w:r>
      <w:r w:rsidR="00973D80">
        <w:t xml:space="preserve">é </w:t>
      </w:r>
      <w:r w:rsidR="00FA3B79">
        <w:t>le bailleur (PBF), les acteurs de mise en œuvre (ONU Femmes &amp; ONUDC), les ONG locales partenaires de mise en œuvre, la partie gouvernementale</w:t>
      </w:r>
      <w:r w:rsidR="003A2765">
        <w:t xml:space="preserve"> ainsi que </w:t>
      </w:r>
      <w:r w:rsidR="00D80452">
        <w:t>les acteurs</w:t>
      </w:r>
      <w:r w:rsidR="003A2765">
        <w:t xml:space="preserve"> communautaires (leaders</w:t>
      </w:r>
      <w:r w:rsidR="00FA3B79">
        <w:t xml:space="preserve"> communautaires</w:t>
      </w:r>
      <w:r w:rsidR="002D5FC8">
        <w:t xml:space="preserve">, responsables des radio communautaires, communicateurs traditionnels </w:t>
      </w:r>
      <w:r w:rsidR="003A2765">
        <w:t>et</w:t>
      </w:r>
      <w:r w:rsidR="002D5FC8">
        <w:t xml:space="preserve"> responsables des organisations féminines et de jeunes</w:t>
      </w:r>
      <w:r w:rsidR="003A2765">
        <w:t>)</w:t>
      </w:r>
      <w:r w:rsidR="00FA3B79">
        <w:t>.</w:t>
      </w:r>
      <w:r w:rsidR="0009117F">
        <w:t xml:space="preserve"> </w:t>
      </w:r>
      <w:r w:rsidR="009D1317">
        <w:t xml:space="preserve"> </w:t>
      </w:r>
      <w:r w:rsidR="00FA3B79">
        <w:t xml:space="preserve">Les entretiens qualitatifs </w:t>
      </w:r>
      <w:r w:rsidR="0009117F">
        <w:t xml:space="preserve">ont abordé </w:t>
      </w:r>
      <w:r w:rsidR="00FA3B79">
        <w:t xml:space="preserve">les différentes questions évaluatives en fournissant des informations permettant d’étayer les constats </w:t>
      </w:r>
      <w:r w:rsidR="00973D80">
        <w:t>et de soutenir les</w:t>
      </w:r>
      <w:r w:rsidR="00FA3B79">
        <w:t xml:space="preserve"> recommandations. </w:t>
      </w:r>
      <w:r w:rsidR="00D816AF">
        <w:t xml:space="preserve">Avec les acteurs communautaires, les entretiens se sont déroulés en présentiel. Avec les autres acteurs (agences </w:t>
      </w:r>
      <w:r w:rsidR="00D816AF" w:rsidRPr="00B9272D">
        <w:t>ONU Femmes &amp; ONUDC, les ONG locales, la partie gouvernementale</w:t>
      </w:r>
      <w:r w:rsidR="00D816AF">
        <w:t>), les entretiens ont été tenues en réunions virtuelles (par zoom ou teams). Ces entretiens été complétés par des échanges téléphoniques ou des courriels (email) à travers la technique du follow up.  L’adoption de la technique de collecte de données à distance s’est faite en raison du contexte de la COVID-19</w:t>
      </w:r>
      <w:r w:rsidR="0052256E">
        <w:t xml:space="preserve"> et d’insécurité</w:t>
      </w:r>
      <w:r w:rsidR="00D816AF">
        <w:t>. La collecte de donnés à distance (à travers les appels téléphoniques notamment) a suscité chez certains acteurs étatiques une certaine méfiance voire un refus de participation à la collecte.</w:t>
      </w:r>
    </w:p>
    <w:p w14:paraId="0A42CFE1" w14:textId="303E37D3" w:rsidR="00332592" w:rsidRPr="007007C9" w:rsidRDefault="00332592" w:rsidP="00332592">
      <w:pPr>
        <w:spacing w:before="240" w:after="0"/>
        <w:rPr>
          <w:bCs/>
          <w:iCs/>
        </w:rPr>
      </w:pPr>
      <w:r w:rsidRPr="007007C9">
        <w:rPr>
          <w:b/>
          <w:bCs/>
          <w:i/>
          <w:iCs/>
        </w:rPr>
        <w:t>Discussions de groupes (focus group)</w:t>
      </w:r>
      <w:r w:rsidR="007068E8">
        <w:rPr>
          <w:b/>
          <w:bCs/>
          <w:i/>
          <w:iCs/>
        </w:rPr>
        <w:t xml:space="preserve"> </w:t>
      </w:r>
    </w:p>
    <w:p w14:paraId="402D9CF1" w14:textId="7122842D" w:rsidR="00332592" w:rsidRDefault="00332592" w:rsidP="002045E7">
      <w:pPr>
        <w:pStyle w:val="Paragraphedeliste"/>
        <w:numPr>
          <w:ilvl w:val="0"/>
          <w:numId w:val="23"/>
        </w:numPr>
        <w:spacing w:before="0" w:line="276" w:lineRule="auto"/>
      </w:pPr>
      <w:r>
        <w:t xml:space="preserve">Des focus group ont </w:t>
      </w:r>
      <w:r w:rsidR="00973D80">
        <w:t xml:space="preserve">été </w:t>
      </w:r>
      <w:r>
        <w:t xml:space="preserve">organisés dans chaque commune d’intervention avec les femmes et les jeunes membres des organisations de femmes et de jeunes. Avec ces cibles, il </w:t>
      </w:r>
      <w:r w:rsidR="00973D80">
        <w:t xml:space="preserve">s’est agi </w:t>
      </w:r>
      <w:r>
        <w:t>d’apprécier entre autres les aspects liés </w:t>
      </w:r>
      <w:r w:rsidR="00751D3F">
        <w:t>à</w:t>
      </w:r>
      <w:r w:rsidR="00091FC9">
        <w:t xml:space="preserve"> </w:t>
      </w:r>
      <w:r>
        <w:t>:</w:t>
      </w:r>
    </w:p>
    <w:p w14:paraId="1E6A12FE" w14:textId="183A5E3A" w:rsidR="00D816AF" w:rsidRDefault="00D816AF" w:rsidP="00332592">
      <w:pPr>
        <w:numPr>
          <w:ilvl w:val="0"/>
          <w:numId w:val="3"/>
        </w:numPr>
        <w:spacing w:before="0" w:line="276" w:lineRule="auto"/>
      </w:pPr>
      <w:r>
        <w:t xml:space="preserve">La participation et l’implication des femmes </w:t>
      </w:r>
      <w:r w:rsidRPr="00D816AF">
        <w:t xml:space="preserve">dans les MCPGC </w:t>
      </w:r>
      <w:r>
        <w:t xml:space="preserve">et aux les activités du projet ; </w:t>
      </w:r>
    </w:p>
    <w:p w14:paraId="22161909" w14:textId="0A49613C" w:rsidR="00D816AF" w:rsidRDefault="00BF5CC9" w:rsidP="00332592">
      <w:pPr>
        <w:numPr>
          <w:ilvl w:val="0"/>
          <w:numId w:val="3"/>
        </w:numPr>
        <w:spacing w:before="0" w:line="276" w:lineRule="auto"/>
      </w:pPr>
      <w:r>
        <w:t>Les attentes des populations locales et l</w:t>
      </w:r>
      <w:r w:rsidR="00D816AF">
        <w:t>a prise en compte des priorités des femmes, des jeunes et des personnes handicapées dans les activités projets ;</w:t>
      </w:r>
    </w:p>
    <w:p w14:paraId="11382F37" w14:textId="5D2E058E" w:rsidR="00BF5CC9" w:rsidRDefault="00D816AF" w:rsidP="00BF5CC9">
      <w:pPr>
        <w:numPr>
          <w:ilvl w:val="0"/>
          <w:numId w:val="3"/>
        </w:numPr>
        <w:spacing w:before="0" w:line="276" w:lineRule="auto"/>
      </w:pPr>
      <w:r>
        <w:t xml:space="preserve">Les effets ou changements observés suite à l’intervention du projet </w:t>
      </w:r>
      <w:r w:rsidR="00BF5CC9">
        <w:t xml:space="preserve">en matière d’évolution de la situation des conflits communautaires, de perceptions de la communauté sur le rôle des femmes et des jeunes dans la consolidation de la paix et la cohésion sociale, </w:t>
      </w:r>
      <w:r w:rsidR="00DF4C2B">
        <w:t xml:space="preserve">la confiance envers les FDS et les ACP, </w:t>
      </w:r>
      <w:r w:rsidR="00BF5CC9">
        <w:t xml:space="preserve">etc ;  </w:t>
      </w:r>
    </w:p>
    <w:p w14:paraId="4997F340" w14:textId="3AE66A85" w:rsidR="00DF4C2B" w:rsidRDefault="00DF4C2B" w:rsidP="00BF5CC9">
      <w:pPr>
        <w:numPr>
          <w:ilvl w:val="0"/>
          <w:numId w:val="3"/>
        </w:numPr>
        <w:spacing w:before="0" w:line="276" w:lineRule="auto"/>
      </w:pPr>
      <w:r>
        <w:t>Les conditions de pérennisation des acquis du projet.</w:t>
      </w:r>
    </w:p>
    <w:p w14:paraId="7DEFF739" w14:textId="264C1540" w:rsidR="00332592" w:rsidRPr="00177D16" w:rsidRDefault="00332592" w:rsidP="00091FC9">
      <w:pPr>
        <w:spacing w:line="276" w:lineRule="auto"/>
        <w:ind w:left="720"/>
      </w:pPr>
    </w:p>
    <w:p w14:paraId="2CF24FFF" w14:textId="0E07BD81" w:rsidR="002666FB" w:rsidRPr="002666FB" w:rsidRDefault="00332592" w:rsidP="002666FB">
      <w:pPr>
        <w:spacing w:before="240" w:after="0"/>
        <w:rPr>
          <w:i/>
        </w:rPr>
      </w:pPr>
      <w:bookmarkStart w:id="540" w:name="_Toc75121268"/>
      <w:bookmarkEnd w:id="540"/>
      <w:r w:rsidRPr="00177D16">
        <w:rPr>
          <w:b/>
          <w:bCs/>
        </w:rPr>
        <w:t xml:space="preserve">Echantillon </w:t>
      </w:r>
      <w:r w:rsidR="008F7522" w:rsidRPr="00177D16">
        <w:rPr>
          <w:b/>
          <w:bCs/>
        </w:rPr>
        <w:t>de</w:t>
      </w:r>
      <w:r w:rsidR="004B53DB" w:rsidRPr="00177D16">
        <w:rPr>
          <w:b/>
          <w:bCs/>
        </w:rPr>
        <w:t xml:space="preserve"> l’enquête qualitative :</w:t>
      </w:r>
      <w:r w:rsidR="007760A2">
        <w:t xml:space="preserve"> </w:t>
      </w:r>
    </w:p>
    <w:p w14:paraId="7879D2A3" w14:textId="5AAC9AD2" w:rsidR="004E31FC" w:rsidRPr="000C213B" w:rsidRDefault="004E31FC" w:rsidP="004E31FC">
      <w:pPr>
        <w:pStyle w:val="Paragraphedeliste"/>
        <w:numPr>
          <w:ilvl w:val="0"/>
          <w:numId w:val="23"/>
        </w:numPr>
        <w:spacing w:line="276" w:lineRule="auto"/>
        <w:rPr>
          <w:i/>
        </w:rPr>
      </w:pPr>
      <w:r>
        <w:t xml:space="preserve">La technique d’échantillonnage par choix raisonné a été privilégiée pour la sélection des </w:t>
      </w:r>
      <w:r w:rsidRPr="009D1317">
        <w:t>personnes interrogées dans</w:t>
      </w:r>
      <w:r>
        <w:t xml:space="preserve"> le cadre de l’enquête qualitative. Le principal critère de ce choix est d’être un informateur clé (une source d’information pertinente pour l’évaluation) :</w:t>
      </w:r>
    </w:p>
    <w:p w14:paraId="7492A3DC" w14:textId="74442B61" w:rsidR="004E31FC" w:rsidRPr="000C213B" w:rsidRDefault="004E31FC" w:rsidP="004E31FC">
      <w:pPr>
        <w:pStyle w:val="Paragraphedeliste"/>
        <w:numPr>
          <w:ilvl w:val="0"/>
          <w:numId w:val="114"/>
        </w:numPr>
        <w:spacing w:line="276" w:lineRule="auto"/>
        <w:rPr>
          <w:i/>
        </w:rPr>
      </w:pPr>
      <w:r>
        <w:t>soit pour avoir participé au projet comme partie prenante (acteur/partenaire</w:t>
      </w:r>
      <w:r w:rsidR="007760A2">
        <w:t xml:space="preserve"> </w:t>
      </w:r>
      <w:r>
        <w:t>de mise en œuvre ou bénéficiaire) ;</w:t>
      </w:r>
    </w:p>
    <w:p w14:paraId="38A51773" w14:textId="77777777" w:rsidR="004E31FC" w:rsidRDefault="004E31FC" w:rsidP="004E31FC">
      <w:pPr>
        <w:pStyle w:val="Paragraphedeliste"/>
        <w:numPr>
          <w:ilvl w:val="0"/>
          <w:numId w:val="114"/>
        </w:numPr>
        <w:spacing w:line="276" w:lineRule="auto"/>
      </w:pPr>
      <w:r>
        <w:t>soit par le fait d’être un acteur pertinent et incontournable sur les thématiques traitées par le projet [cas des autorités locales, des</w:t>
      </w:r>
      <w:r w:rsidRPr="001635A7">
        <w:t xml:space="preserve"> groupements locaux de coopération transfrontalière (GLCT), </w:t>
      </w:r>
      <w:r>
        <w:t>ou de du</w:t>
      </w:r>
      <w:r w:rsidRPr="001635A7">
        <w:t xml:space="preserve"> cadre de concertation des gouverneurs ou l'autorité intégrée des états du Liptako Gourma</w:t>
      </w:r>
      <w:r>
        <w:t>]</w:t>
      </w:r>
    </w:p>
    <w:p w14:paraId="3081593D" w14:textId="2DBE5183" w:rsidR="004E31FC" w:rsidRPr="003B002F" w:rsidRDefault="001A3116" w:rsidP="004E31FC">
      <w:pPr>
        <w:pStyle w:val="Paragraphedeliste"/>
        <w:numPr>
          <w:ilvl w:val="0"/>
          <w:numId w:val="23"/>
        </w:numPr>
        <w:spacing w:line="276" w:lineRule="auto"/>
      </w:pPr>
      <w:bookmarkStart w:id="541" w:name="_Toc75190097"/>
      <w:r>
        <w:t xml:space="preserve">Le choix des personnes interrogées s’est fait en </w:t>
      </w:r>
      <w:r w:rsidRPr="00F87F7D">
        <w:t xml:space="preserve">concertation avec ONU Femmes, ONUDC et les ONG partenaires de mise en œuvre du projet. Au total </w:t>
      </w:r>
      <w:r>
        <w:t>71</w:t>
      </w:r>
      <w:r w:rsidRPr="00F87F7D">
        <w:t xml:space="preserve">entretiens individuels ont été conduits dont 9 avec le bailleur et les acteurs de mise en œuvre du projet, </w:t>
      </w:r>
      <w:r>
        <w:t>14</w:t>
      </w:r>
      <w:r w:rsidRPr="00F87F7D">
        <w:t xml:space="preserve"> avec les acteurs étatiques, 32 avec les acteurs communautaires, 16 avec les responsables d’OSC féminines et de jeunes. </w:t>
      </w:r>
      <w:r w:rsidR="009912BF">
        <w:t>A l’issue des 71 rendez-vous d’entrevues individuelles, 78</w:t>
      </w:r>
      <w:r w:rsidR="009912BF">
        <w:rPr>
          <w:rStyle w:val="Appelnotedebasdep"/>
        </w:rPr>
        <w:footnoteReference w:id="25"/>
      </w:r>
      <w:r w:rsidR="009912BF">
        <w:t xml:space="preserve"> personnes dont 15 femmes (19,2%) ont été rencontrées. </w:t>
      </w:r>
      <w:r w:rsidRPr="00F87F7D">
        <w:t>Ces effectifs ont été définis suivant le principe de saturation de l’information qualitative qui</w:t>
      </w:r>
      <w:r>
        <w:t xml:space="preserve"> dispose qu’à partir d’un certain nombre (en général un seuil de 30 est considéré), les entretiens additionnels ne fournissent plus d'éléments nouveaux dans l’étude</w:t>
      </w:r>
      <w:r>
        <w:rPr>
          <w:rStyle w:val="Appelnotedebasdep"/>
        </w:rPr>
        <w:footnoteReference w:id="26"/>
      </w:r>
      <w:r>
        <w:t xml:space="preserve">. </w:t>
      </w:r>
      <w:r w:rsidRPr="00177D16">
        <w:t>La liste des structures touchée</w:t>
      </w:r>
      <w:r>
        <w:t>s</w:t>
      </w:r>
      <w:r w:rsidRPr="00177D16">
        <w:t xml:space="preserve"> au titre de</w:t>
      </w:r>
      <w:r>
        <w:t xml:space="preserve"> la collecte des</w:t>
      </w:r>
      <w:r w:rsidRPr="00177D16">
        <w:t xml:space="preserve"> données </w:t>
      </w:r>
      <w:r>
        <w:t xml:space="preserve">qualitative </w:t>
      </w:r>
      <w:r w:rsidRPr="00177D16">
        <w:t xml:space="preserve">est </w:t>
      </w:r>
      <w:r>
        <w:t>présentée</w:t>
      </w:r>
      <w:r w:rsidRPr="00177D16">
        <w:t xml:space="preserve"> en annexe </w:t>
      </w:r>
      <w:r>
        <w:t>6</w:t>
      </w:r>
      <w:r w:rsidR="009D1317">
        <w:t xml:space="preserve">. </w:t>
      </w:r>
    </w:p>
    <w:bookmarkEnd w:id="541"/>
    <w:p w14:paraId="5D883330" w14:textId="1946FD13" w:rsidR="00AE62D3" w:rsidRPr="00C55565" w:rsidRDefault="00AE62D3" w:rsidP="00AE62D3">
      <w:pPr>
        <w:widowControl w:val="0"/>
        <w:autoSpaceDE w:val="0"/>
        <w:autoSpaceDN w:val="0"/>
        <w:adjustRightInd w:val="0"/>
        <w:spacing w:before="0" w:after="0"/>
        <w:textAlignment w:val="center"/>
        <w:rPr>
          <w:sz w:val="12"/>
          <w:szCs w:val="12"/>
        </w:rPr>
      </w:pPr>
    </w:p>
    <w:p w14:paraId="0DF19570" w14:textId="49B97A9C" w:rsidR="002D5FC8" w:rsidRDefault="00BE6D91" w:rsidP="00DF4AC8">
      <w:pPr>
        <w:pStyle w:val="Titre3"/>
      </w:pPr>
      <w:r>
        <w:t xml:space="preserve">4.2.3. </w:t>
      </w:r>
      <w:r w:rsidR="002D5FC8">
        <w:t>Enquête quantitative</w:t>
      </w:r>
    </w:p>
    <w:p w14:paraId="7C5AB768" w14:textId="64AE4EC3" w:rsidR="00D16AEE" w:rsidRDefault="002D5FC8" w:rsidP="00FB2B45">
      <w:pPr>
        <w:pStyle w:val="Paragraphedeliste"/>
        <w:numPr>
          <w:ilvl w:val="0"/>
          <w:numId w:val="23"/>
        </w:numPr>
        <w:spacing w:line="276" w:lineRule="auto"/>
      </w:pPr>
      <w:r w:rsidRPr="004B594F">
        <w:t xml:space="preserve">L’enquête quantitative </w:t>
      </w:r>
      <w:r w:rsidR="008F7522">
        <w:t xml:space="preserve">a </w:t>
      </w:r>
      <w:r w:rsidR="008F7522" w:rsidRPr="004B594F">
        <w:t>perm</w:t>
      </w:r>
      <w:r w:rsidR="008F7522">
        <w:t>is</w:t>
      </w:r>
      <w:r w:rsidR="006528BC" w:rsidRPr="004B594F">
        <w:t xml:space="preserve"> la mesure des indicateurs d</w:t>
      </w:r>
      <w:r w:rsidR="00A57698" w:rsidRPr="004B594F">
        <w:t>’</w:t>
      </w:r>
      <w:r w:rsidR="006528BC" w:rsidRPr="004B594F">
        <w:t>effets et d</w:t>
      </w:r>
      <w:r w:rsidR="00A57698" w:rsidRPr="004B594F">
        <w:t>’</w:t>
      </w:r>
      <w:r w:rsidR="006528BC" w:rsidRPr="004B594F">
        <w:t>impact du projet</w:t>
      </w:r>
      <w:r w:rsidR="00BC4703" w:rsidRPr="004B594F">
        <w:t xml:space="preserve"> et ce</w:t>
      </w:r>
      <w:r w:rsidR="002B47ED" w:rsidRPr="004B594F">
        <w:t>,</w:t>
      </w:r>
      <w:r w:rsidR="00BC4703" w:rsidRPr="004B594F">
        <w:t xml:space="preserve"> suivant le niveau </w:t>
      </w:r>
      <w:r w:rsidR="00266D7A" w:rsidRPr="004B594F">
        <w:t xml:space="preserve">de </w:t>
      </w:r>
      <w:r w:rsidR="00BC4703" w:rsidRPr="004B594F">
        <w:t xml:space="preserve">désagrégation </w:t>
      </w:r>
      <w:r w:rsidR="0019789C">
        <w:t>par sexe et par âge</w:t>
      </w:r>
      <w:r w:rsidR="00BC4703" w:rsidRPr="004B594F">
        <w:t>.</w:t>
      </w:r>
      <w:r w:rsidR="00BC4703" w:rsidRPr="008C06A1">
        <w:rPr>
          <w:color w:val="FF0000"/>
        </w:rPr>
        <w:t xml:space="preserve"> </w:t>
      </w:r>
      <w:r w:rsidR="00A57698" w:rsidRPr="004B594F">
        <w:t xml:space="preserve">Conformément aux orientations du groupe de gestion de l’évaluation, </w:t>
      </w:r>
      <w:r w:rsidR="00BC4703" w:rsidRPr="004B594F">
        <w:t xml:space="preserve">la base de sondage de l’enquête quantitative </w:t>
      </w:r>
      <w:r w:rsidR="00BE76B9">
        <w:t xml:space="preserve">est </w:t>
      </w:r>
      <w:r w:rsidR="00BC4703" w:rsidRPr="004B594F">
        <w:t xml:space="preserve">constituée </w:t>
      </w:r>
      <w:r w:rsidR="00BA40DA" w:rsidRPr="004B594F">
        <w:t>des</w:t>
      </w:r>
      <w:r w:rsidR="009D3F5B">
        <w:t xml:space="preserve"> </w:t>
      </w:r>
      <w:r w:rsidR="009D3F5B" w:rsidRPr="009D3F5B">
        <w:t>7476</w:t>
      </w:r>
      <w:r w:rsidR="00BA40DA" w:rsidRPr="004B594F">
        <w:t xml:space="preserve"> bénéficiaires directs</w:t>
      </w:r>
      <w:r w:rsidR="00947EED">
        <w:rPr>
          <w:rStyle w:val="Appelnotedebasdep"/>
        </w:rPr>
        <w:footnoteReference w:id="27"/>
      </w:r>
      <w:r w:rsidR="00BA40DA" w:rsidRPr="004B594F">
        <w:t xml:space="preserve"> (</w:t>
      </w:r>
      <w:r w:rsidR="001A0418">
        <w:t xml:space="preserve">les </w:t>
      </w:r>
      <w:r w:rsidR="00BC4703" w:rsidRPr="004B594F">
        <w:t xml:space="preserve">femmes et </w:t>
      </w:r>
      <w:r w:rsidR="001A0418">
        <w:t xml:space="preserve">les </w:t>
      </w:r>
      <w:r w:rsidR="00947EED">
        <w:t>hommes</w:t>
      </w:r>
      <w:r w:rsidR="00BA40DA" w:rsidRPr="004B594F">
        <w:t xml:space="preserve">) </w:t>
      </w:r>
      <w:r w:rsidR="00BE76B9">
        <w:t>du projet</w:t>
      </w:r>
      <w:r w:rsidR="00BC4703" w:rsidRPr="004B594F">
        <w:t xml:space="preserve">. </w:t>
      </w:r>
    </w:p>
    <w:p w14:paraId="49D4A2D7" w14:textId="406C72D3" w:rsidR="002D5FC8" w:rsidRPr="007C0769" w:rsidRDefault="00B950AC" w:rsidP="00FB2B45">
      <w:pPr>
        <w:pStyle w:val="Paragraphedeliste"/>
        <w:numPr>
          <w:ilvl w:val="0"/>
          <w:numId w:val="23"/>
        </w:numPr>
        <w:spacing w:line="276" w:lineRule="auto"/>
        <w:rPr>
          <w:rFonts w:eastAsia="Calibri" w:cs="Times New Roman"/>
          <w:spacing w:val="-2"/>
          <w:lang w:eastAsia="fr-FR"/>
        </w:rPr>
      </w:pPr>
      <w:r w:rsidRPr="00B950AC">
        <w:rPr>
          <w:b/>
          <w:bCs/>
          <w:iCs/>
        </w:rPr>
        <w:t>Echantillon et échantillonnage de l’enquête quantitative :</w:t>
      </w:r>
      <w:r>
        <w:rPr>
          <w:iCs/>
        </w:rPr>
        <w:t xml:space="preserve"> </w:t>
      </w:r>
      <w:r w:rsidR="002D5FC8" w:rsidRPr="007C0769">
        <w:rPr>
          <w:iCs/>
        </w:rPr>
        <w:t xml:space="preserve">La constitution de l’échantillon considère comme </w:t>
      </w:r>
      <w:r w:rsidR="002D5FC8" w:rsidRPr="007C0769">
        <w:rPr>
          <w:rFonts w:cs="Arial"/>
          <w:bCs/>
          <w:iCs/>
        </w:rPr>
        <w:t xml:space="preserve">unité statistique </w:t>
      </w:r>
      <w:r w:rsidR="00035612">
        <w:rPr>
          <w:rFonts w:cs="Arial"/>
          <w:bCs/>
          <w:iCs/>
        </w:rPr>
        <w:t xml:space="preserve">l’individu c’est-à-dire </w:t>
      </w:r>
      <w:r w:rsidR="00035612" w:rsidRPr="00035612">
        <w:rPr>
          <w:rFonts w:cs="Arial"/>
          <w:bCs/>
          <w:iCs/>
        </w:rPr>
        <w:t>toute femme ou tout jeune (fille/garçon) bénéficiaire direct du projet</w:t>
      </w:r>
      <w:r w:rsidR="002D5FC8" w:rsidRPr="007C0769">
        <w:rPr>
          <w:rFonts w:cs="Arial"/>
          <w:bCs/>
          <w:iCs/>
        </w:rPr>
        <w:t xml:space="preserve">. </w:t>
      </w:r>
      <w:r w:rsidR="008F7522">
        <w:rPr>
          <w:rFonts w:cs="Arial"/>
          <w:bCs/>
          <w:iCs/>
        </w:rPr>
        <w:t>L‘</w:t>
      </w:r>
      <w:r w:rsidR="002D5FC8" w:rsidRPr="007C0769">
        <w:rPr>
          <w:rFonts w:cs="Arial"/>
          <w:bCs/>
          <w:iCs/>
        </w:rPr>
        <w:t xml:space="preserve">échantillon </w:t>
      </w:r>
      <w:r w:rsidR="008F7522">
        <w:rPr>
          <w:rFonts w:eastAsia="Calibri" w:cs="Times New Roman"/>
          <w:spacing w:val="-2"/>
          <w:lang w:eastAsia="fr-FR"/>
        </w:rPr>
        <w:t>a été obtenu à partir de</w:t>
      </w:r>
      <w:r w:rsidR="002D5FC8" w:rsidRPr="007C0769">
        <w:rPr>
          <w:rFonts w:cs="Arial"/>
          <w:bCs/>
          <w:iCs/>
        </w:rPr>
        <w:t xml:space="preserve"> </w:t>
      </w:r>
      <w:r w:rsidR="002D5FC8" w:rsidRPr="007C0769">
        <w:rPr>
          <w:rFonts w:eastAsia="Calibri" w:cs="Times New Roman"/>
          <w:spacing w:val="-2"/>
          <w:lang w:eastAsia="fr-FR"/>
        </w:rPr>
        <w:t>la formule de détermination de taille d’échantillon représentatif qui est la suivante</w:t>
      </w:r>
      <w:r w:rsidR="002D5FC8" w:rsidRPr="009109C7">
        <w:rPr>
          <w:rFonts w:eastAsia="Calibri" w:cs="Times New Roman"/>
          <w:spacing w:val="-2"/>
          <w:vertAlign w:val="superscript"/>
          <w:lang w:eastAsia="fr-FR"/>
        </w:rPr>
        <w:footnoteReference w:id="28"/>
      </w:r>
      <w:r w:rsidR="002D5FC8" w:rsidRPr="007C0769">
        <w:rPr>
          <w:rFonts w:eastAsia="Calibri" w:cs="Times New Roman"/>
          <w:spacing w:val="-2"/>
          <w:lang w:eastAsia="fr-FR"/>
        </w:rPr>
        <w:t> :</w:t>
      </w:r>
    </w:p>
    <w:p w14:paraId="7D77E80B" w14:textId="69F65830" w:rsidR="002D5FC8" w:rsidRPr="00D83A48" w:rsidRDefault="007068E8" w:rsidP="00B950AC">
      <w:pPr>
        <w:widowControl w:val="0"/>
        <w:spacing w:line="276" w:lineRule="auto"/>
        <w:ind w:left="360"/>
        <w:contextualSpacing/>
        <w:rPr>
          <w:rFonts w:eastAsia="Calibri" w:cs="Times New Roman"/>
          <w:b/>
          <w:spacing w:val="-2"/>
          <w:lang w:eastAsia="fr-FR"/>
        </w:rPr>
      </w:pPr>
      <w:r>
        <w:rPr>
          <w:rFonts w:eastAsia="Calibri" w:cs="Times New Roman"/>
          <w:b/>
          <w:spacing w:val="-2"/>
          <w:lang w:eastAsia="fr-FR"/>
        </w:rPr>
        <w:t xml:space="preserve"> </w:t>
      </w:r>
      <w:bookmarkStart w:id="542" w:name="_Hlk92202734"/>
      <w:r w:rsidR="00C75089" w:rsidRPr="00C706A2">
        <w:rPr>
          <w:noProof/>
          <w:position w:val="-24"/>
        </w:rPr>
        <w:object w:dxaOrig="1600" w:dyaOrig="660" w14:anchorId="1F5855A1">
          <v:shape id="_x0000_i1026" type="#_x0000_t75" alt="" style="width:93.5pt;height:40pt;mso-width-percent:0;mso-height-percent:0;mso-width-percent:0;mso-height-percent:0" o:ole="">
            <v:imagedata r:id="rId24" o:title=""/>
          </v:shape>
          <o:OLEObject Type="Embed" ProgID="Equation.DSMT4" ShapeID="_x0000_i1026" DrawAspect="Content" ObjectID="_1714909171" r:id="rId25"/>
        </w:object>
      </w:r>
      <w:bookmarkEnd w:id="542"/>
    </w:p>
    <w:p w14:paraId="7C0DFB4F" w14:textId="77777777" w:rsidR="002D5FC8" w:rsidRPr="004D3E6E" w:rsidRDefault="002D5FC8" w:rsidP="00AD3FA4">
      <w:pPr>
        <w:spacing w:line="276" w:lineRule="auto"/>
        <w:ind w:left="360"/>
        <w:rPr>
          <w:rFonts w:eastAsia="Calibri" w:cs="Times New Roman"/>
          <w:spacing w:val="-2"/>
          <w:lang w:eastAsia="fr-FR"/>
        </w:rPr>
      </w:pPr>
      <w:r w:rsidRPr="004D3E6E">
        <w:rPr>
          <w:rFonts w:eastAsia="Calibri" w:cs="Times New Roman"/>
          <w:spacing w:val="-2"/>
          <w:lang w:eastAsia="fr-FR"/>
        </w:rPr>
        <w:t xml:space="preserve">Où </w:t>
      </w:r>
      <w:r w:rsidRPr="00796189">
        <w:rPr>
          <w:rFonts w:eastAsia="Calibri" w:cs="Times New Roman"/>
          <w:b/>
          <w:i/>
          <w:iCs/>
          <w:spacing w:val="-2"/>
          <w:lang w:eastAsia="fr-FR"/>
        </w:rPr>
        <w:t>n</w:t>
      </w:r>
      <w:r w:rsidRPr="00796189">
        <w:rPr>
          <w:rFonts w:eastAsia="Calibri" w:cs="Times New Roman"/>
          <w:i/>
          <w:iCs/>
          <w:spacing w:val="-2"/>
          <w:lang w:eastAsia="fr-FR"/>
        </w:rPr>
        <w:t xml:space="preserve"> </w:t>
      </w:r>
      <w:r w:rsidRPr="004D3E6E">
        <w:rPr>
          <w:rFonts w:eastAsia="Calibri" w:cs="Times New Roman"/>
          <w:spacing w:val="-2"/>
          <w:lang w:eastAsia="fr-FR"/>
        </w:rPr>
        <w:t xml:space="preserve">désigne la taille requise de l’échantillon représentatif, </w:t>
      </w:r>
      <w:r w:rsidRPr="00796189">
        <w:rPr>
          <w:rFonts w:eastAsia="Calibri" w:cs="Times New Roman"/>
          <w:b/>
          <w:i/>
          <w:iCs/>
          <w:spacing w:val="-2"/>
          <w:lang w:eastAsia="fr-FR"/>
        </w:rPr>
        <w:t>t</w:t>
      </w:r>
      <w:r w:rsidRPr="004D3E6E">
        <w:rPr>
          <w:rFonts w:eastAsia="Calibri" w:cs="Times New Roman"/>
          <w:spacing w:val="-2"/>
          <w:lang w:eastAsia="fr-FR"/>
        </w:rPr>
        <w:t xml:space="preserve">=1,96 la valeur critique, </w:t>
      </w:r>
      <w:r w:rsidRPr="00796189">
        <w:rPr>
          <w:rFonts w:eastAsia="Calibri" w:cs="Times New Roman"/>
          <w:b/>
          <w:i/>
          <w:iCs/>
          <w:spacing w:val="-2"/>
          <w:lang w:eastAsia="fr-FR"/>
        </w:rPr>
        <w:t>p</w:t>
      </w:r>
      <w:r w:rsidRPr="004D3E6E">
        <w:rPr>
          <w:rFonts w:eastAsia="Calibri" w:cs="Times New Roman"/>
          <w:spacing w:val="-2"/>
          <w:lang w:eastAsia="fr-FR"/>
        </w:rPr>
        <w:t>=</w:t>
      </w:r>
      <w:r>
        <w:rPr>
          <w:rFonts w:eastAsia="Calibri" w:cs="Times New Roman"/>
          <w:spacing w:val="-2"/>
          <w:lang w:eastAsia="fr-FR"/>
        </w:rPr>
        <w:t xml:space="preserve">50% </w:t>
      </w:r>
      <w:r w:rsidRPr="004D3E6E">
        <w:rPr>
          <w:rFonts w:eastAsia="Calibri" w:cs="Times New Roman"/>
          <w:spacing w:val="-2"/>
          <w:lang w:eastAsia="fr-FR"/>
        </w:rPr>
        <w:t xml:space="preserve">la proportion </w:t>
      </w:r>
      <w:r>
        <w:rPr>
          <w:rFonts w:eastAsia="Calibri" w:cs="Times New Roman"/>
          <w:spacing w:val="-2"/>
          <w:lang w:eastAsia="fr-FR"/>
        </w:rPr>
        <w:t>de personnes touchées par les activités du projet dans la zone</w:t>
      </w:r>
      <w:r w:rsidRPr="004D3E6E">
        <w:rPr>
          <w:rFonts w:eastAsia="Calibri" w:cs="Times New Roman"/>
          <w:spacing w:val="-2"/>
          <w:lang w:eastAsia="fr-FR"/>
        </w:rPr>
        <w:t xml:space="preserve"> </w:t>
      </w:r>
      <w:r>
        <w:rPr>
          <w:rFonts w:eastAsia="Calibri" w:cs="Times New Roman"/>
          <w:spacing w:val="-2"/>
          <w:lang w:eastAsia="fr-FR"/>
        </w:rPr>
        <w:t>d’</w:t>
      </w:r>
      <w:r w:rsidRPr="004D3E6E">
        <w:rPr>
          <w:rFonts w:eastAsia="Calibri" w:cs="Times New Roman"/>
          <w:spacing w:val="-2"/>
          <w:lang w:eastAsia="fr-FR"/>
        </w:rPr>
        <w:t xml:space="preserve">intervention, et </w:t>
      </w:r>
      <w:r w:rsidRPr="00796189">
        <w:rPr>
          <w:rFonts w:eastAsia="Calibri" w:cs="Times New Roman"/>
          <w:b/>
          <w:i/>
          <w:iCs/>
          <w:spacing w:val="-2"/>
          <w:lang w:eastAsia="fr-FR"/>
        </w:rPr>
        <w:t>m</w:t>
      </w:r>
      <w:r w:rsidRPr="004D3E6E">
        <w:rPr>
          <w:rFonts w:eastAsia="Calibri" w:cs="Times New Roman"/>
          <w:spacing w:val="-2"/>
          <w:lang w:eastAsia="fr-FR"/>
        </w:rPr>
        <w:t xml:space="preserve"> est la marge d’erreur à 5</w:t>
      </w:r>
      <w:r>
        <w:rPr>
          <w:rFonts w:eastAsia="Calibri" w:cs="Times New Roman"/>
          <w:spacing w:val="-2"/>
          <w:lang w:eastAsia="fr-FR"/>
        </w:rPr>
        <w:t xml:space="preserve"> </w:t>
      </w:r>
      <w:r w:rsidRPr="004D3E6E">
        <w:rPr>
          <w:rFonts w:eastAsia="Calibri" w:cs="Times New Roman"/>
          <w:spacing w:val="-2"/>
          <w:lang w:eastAsia="fr-FR"/>
        </w:rPr>
        <w:t>%.</w:t>
      </w:r>
    </w:p>
    <w:p w14:paraId="125D0C75" w14:textId="2BDC260F" w:rsidR="005574BA" w:rsidRPr="00177D16" w:rsidRDefault="002D5FC8" w:rsidP="00FB2B45">
      <w:pPr>
        <w:pStyle w:val="Paragraphedeliste"/>
        <w:numPr>
          <w:ilvl w:val="0"/>
          <w:numId w:val="23"/>
        </w:numPr>
        <w:spacing w:line="276" w:lineRule="auto"/>
      </w:pPr>
      <w:r w:rsidRPr="006B10C2">
        <w:rPr>
          <w:iCs/>
        </w:rPr>
        <w:t>L’application</w:t>
      </w:r>
      <w:r w:rsidRPr="006B10C2">
        <w:rPr>
          <w:rFonts w:eastAsia="Calibri" w:cs="Times New Roman"/>
          <w:spacing w:val="-2"/>
          <w:lang w:eastAsia="fr-FR"/>
        </w:rPr>
        <w:t xml:space="preserve"> numérique de cette formule </w:t>
      </w:r>
      <w:r w:rsidR="00F25FBB">
        <w:rPr>
          <w:rFonts w:eastAsia="Calibri" w:cs="Times New Roman"/>
          <w:spacing w:val="-2"/>
          <w:lang w:eastAsia="fr-FR"/>
        </w:rPr>
        <w:t xml:space="preserve">qui </w:t>
      </w:r>
      <w:r w:rsidRPr="006B10C2">
        <w:rPr>
          <w:rFonts w:eastAsia="Calibri" w:cs="Times New Roman"/>
          <w:spacing w:val="-2"/>
          <w:lang w:eastAsia="fr-FR"/>
        </w:rPr>
        <w:t>donne une taille</w:t>
      </w:r>
      <w:r w:rsidR="005574BA">
        <w:rPr>
          <w:rFonts w:eastAsia="Calibri" w:cs="Times New Roman"/>
          <w:spacing w:val="-2"/>
          <w:lang w:eastAsia="fr-FR"/>
        </w:rPr>
        <w:t xml:space="preserve"> de</w:t>
      </w:r>
      <w:r w:rsidRPr="006B10C2">
        <w:rPr>
          <w:rFonts w:eastAsia="Calibri" w:cs="Times New Roman"/>
          <w:spacing w:val="-2"/>
          <w:lang w:eastAsia="fr-FR"/>
        </w:rPr>
        <w:t xml:space="preserve"> </w:t>
      </w:r>
      <w:r w:rsidR="00F25FBB">
        <w:rPr>
          <w:rFonts w:eastAsia="Calibri" w:cs="Times New Roman"/>
          <w:spacing w:val="-2"/>
          <w:lang w:eastAsia="fr-FR"/>
        </w:rPr>
        <w:t xml:space="preserve">384 ; mais cette taille a été majorée pour atteindre </w:t>
      </w:r>
      <w:r w:rsidR="005574BA" w:rsidRPr="006B10C2">
        <w:rPr>
          <w:rFonts w:eastAsia="Calibri" w:cs="Times New Roman"/>
          <w:b/>
          <w:bCs/>
          <w:spacing w:val="-2"/>
          <w:lang w:eastAsia="fr-FR"/>
        </w:rPr>
        <w:t>440 individus à enquêter</w:t>
      </w:r>
      <w:r w:rsidR="00F25FBB">
        <w:rPr>
          <w:rFonts w:eastAsia="Calibri" w:cs="Times New Roman"/>
          <w:spacing w:val="-2"/>
          <w:lang w:eastAsia="fr-FR"/>
        </w:rPr>
        <w:t xml:space="preserve">, en vue </w:t>
      </w:r>
      <w:r w:rsidR="003815E6">
        <w:rPr>
          <w:rFonts w:eastAsia="Calibri" w:cs="Times New Roman"/>
          <w:spacing w:val="-2"/>
          <w:lang w:eastAsia="fr-FR"/>
        </w:rPr>
        <w:t>de prendre</w:t>
      </w:r>
      <w:r w:rsidR="005574BA">
        <w:rPr>
          <w:rFonts w:eastAsia="Calibri" w:cs="Times New Roman"/>
          <w:spacing w:val="-2"/>
          <w:lang w:eastAsia="fr-FR"/>
        </w:rPr>
        <w:t xml:space="preserve"> en compte les cas de </w:t>
      </w:r>
      <w:r w:rsidR="005574BA" w:rsidRPr="006B10C2">
        <w:rPr>
          <w:rFonts w:eastAsia="Calibri" w:cs="Times New Roman"/>
          <w:spacing w:val="-2"/>
          <w:lang w:eastAsia="fr-FR"/>
        </w:rPr>
        <w:t>refus de participation, des non-réponses, des observations invalides</w:t>
      </w:r>
      <w:r w:rsidR="005574BA">
        <w:rPr>
          <w:rFonts w:eastAsia="Calibri" w:cs="Times New Roman"/>
          <w:spacing w:val="-2"/>
          <w:lang w:eastAsia="fr-FR"/>
        </w:rPr>
        <w:t>.</w:t>
      </w:r>
      <w:r w:rsidR="00F25FBB">
        <w:rPr>
          <w:rFonts w:eastAsia="Calibri" w:cs="Times New Roman"/>
          <w:spacing w:val="-2"/>
          <w:lang w:eastAsia="fr-FR"/>
        </w:rPr>
        <w:t xml:space="preserve"> </w:t>
      </w:r>
      <w:r w:rsidR="009A0D94">
        <w:rPr>
          <w:rFonts w:eastAsia="Calibri" w:cs="Times New Roman"/>
          <w:spacing w:val="-2"/>
          <w:lang w:eastAsia="fr-FR"/>
        </w:rPr>
        <w:t>Au sortir de l’enquête, les 440 individus ont été atteints.</w:t>
      </w:r>
    </w:p>
    <w:p w14:paraId="7AD540A7" w14:textId="3DEB73DC" w:rsidR="005A65AD" w:rsidRPr="00160F87" w:rsidRDefault="005574BA" w:rsidP="00FB2B45">
      <w:pPr>
        <w:pStyle w:val="Paragraphedeliste"/>
        <w:numPr>
          <w:ilvl w:val="0"/>
          <w:numId w:val="23"/>
        </w:numPr>
        <w:spacing w:line="276" w:lineRule="auto"/>
      </w:pPr>
      <w:r w:rsidRPr="006B10C2">
        <w:rPr>
          <w:rFonts w:eastAsia="Calibri" w:cs="Times New Roman"/>
          <w:spacing w:val="-2"/>
          <w:lang w:eastAsia="fr-FR"/>
        </w:rPr>
        <w:t xml:space="preserve"> </w:t>
      </w:r>
      <w:r w:rsidR="001C5597" w:rsidRPr="001C5597">
        <w:rPr>
          <w:rFonts w:eastAsia="Calibri" w:cs="Times New Roman"/>
          <w:spacing w:val="-2"/>
          <w:lang w:eastAsia="fr-FR"/>
        </w:rPr>
        <w:t>En raison de l’absence de statistiques sur la proportion de femmes et de jeunes</w:t>
      </w:r>
      <w:r w:rsidR="001C5597" w:rsidRPr="001C5597">
        <w:rPr>
          <w:rStyle w:val="Appelnotedebasdep"/>
          <w:rFonts w:eastAsia="Calibri" w:cs="Times New Roman"/>
          <w:spacing w:val="-2"/>
          <w:lang w:eastAsia="fr-FR"/>
        </w:rPr>
        <w:footnoteReference w:id="29"/>
      </w:r>
      <w:r w:rsidR="001C5597" w:rsidRPr="001C5597">
        <w:rPr>
          <w:rFonts w:eastAsia="Calibri" w:cs="Times New Roman"/>
          <w:spacing w:val="-2"/>
          <w:lang w:eastAsia="fr-FR"/>
        </w:rPr>
        <w:t xml:space="preserve"> (bénéficiaires directs) dans chaque commune et localité d’intervention, l’échantillon </w:t>
      </w:r>
      <w:r>
        <w:rPr>
          <w:rFonts w:eastAsia="Calibri" w:cs="Times New Roman"/>
          <w:spacing w:val="-2"/>
          <w:lang w:eastAsia="fr-FR"/>
        </w:rPr>
        <w:t xml:space="preserve">a été </w:t>
      </w:r>
      <w:r w:rsidR="001C5597" w:rsidRPr="001C5597">
        <w:rPr>
          <w:rFonts w:eastAsia="Calibri" w:cs="Times New Roman"/>
          <w:spacing w:val="-2"/>
          <w:lang w:eastAsia="fr-FR"/>
        </w:rPr>
        <w:t xml:space="preserve">réparti égalitairement entre les 8 communes (Cf. Tableau 8). </w:t>
      </w:r>
      <w:r w:rsidR="00CB614E">
        <w:rPr>
          <w:rFonts w:eastAsia="Calibri" w:cs="Times New Roman"/>
          <w:spacing w:val="-2"/>
          <w:lang w:eastAsia="fr-FR"/>
        </w:rPr>
        <w:t>L</w:t>
      </w:r>
      <w:r w:rsidR="00C34A72" w:rsidRPr="001C5597">
        <w:rPr>
          <w:rFonts w:eastAsia="Calibri" w:cs="Times New Roman"/>
          <w:spacing w:val="-2"/>
          <w:lang w:eastAsia="fr-FR"/>
        </w:rPr>
        <w:t>e</w:t>
      </w:r>
      <w:r w:rsidR="002D5FC8" w:rsidRPr="001C5597">
        <w:rPr>
          <w:rFonts w:eastAsia="Calibri" w:cs="Times New Roman"/>
          <w:spacing w:val="-2"/>
          <w:lang w:eastAsia="fr-FR"/>
        </w:rPr>
        <w:t xml:space="preserve">s </w:t>
      </w:r>
      <w:r w:rsidR="00035612" w:rsidRPr="001C5597">
        <w:rPr>
          <w:rFonts w:eastAsia="Calibri" w:cs="Times New Roman"/>
          <w:spacing w:val="-2"/>
          <w:lang w:eastAsia="fr-FR"/>
        </w:rPr>
        <w:t>individus</w:t>
      </w:r>
      <w:r w:rsidR="002D5FC8" w:rsidRPr="001C5597">
        <w:rPr>
          <w:rFonts w:eastAsia="Calibri" w:cs="Times New Roman"/>
          <w:spacing w:val="-2"/>
          <w:lang w:eastAsia="fr-FR"/>
        </w:rPr>
        <w:t xml:space="preserve"> ont </w:t>
      </w:r>
      <w:r w:rsidR="00160F87">
        <w:rPr>
          <w:rFonts w:eastAsia="Calibri" w:cs="Times New Roman"/>
          <w:spacing w:val="-2"/>
          <w:lang w:eastAsia="fr-FR"/>
        </w:rPr>
        <w:t xml:space="preserve">été </w:t>
      </w:r>
      <w:r w:rsidR="002D5FC8" w:rsidRPr="001C5597">
        <w:rPr>
          <w:rFonts w:eastAsia="Calibri" w:cs="Times New Roman"/>
          <w:spacing w:val="-2"/>
          <w:lang w:eastAsia="fr-FR"/>
        </w:rPr>
        <w:t xml:space="preserve">sélectionnés </w:t>
      </w:r>
      <w:r w:rsidR="002D5FC8" w:rsidRPr="001C5597">
        <w:rPr>
          <w:iCs/>
        </w:rPr>
        <w:t>de façon aléatoire</w:t>
      </w:r>
      <w:r w:rsidR="00035612" w:rsidRPr="001C5597">
        <w:rPr>
          <w:iCs/>
        </w:rPr>
        <w:t xml:space="preserve"> à partir de la base de sondage et en recourant à la fonction </w:t>
      </w:r>
      <w:r w:rsidR="00320404" w:rsidRPr="001C5597">
        <w:rPr>
          <w:i/>
        </w:rPr>
        <w:t>ALEA.ENTRE. BORNE</w:t>
      </w:r>
      <w:r w:rsidR="00035612" w:rsidRPr="001C5597">
        <w:rPr>
          <w:iCs/>
        </w:rPr>
        <w:t xml:space="preserve"> de Excel.</w:t>
      </w:r>
      <w:r w:rsidR="002D5FC8" w:rsidRPr="001C5597">
        <w:rPr>
          <w:iCs/>
        </w:rPr>
        <w:t xml:space="preserve"> </w:t>
      </w:r>
    </w:p>
    <w:p w14:paraId="40D9470B" w14:textId="7B7D4F99" w:rsidR="00160F87" w:rsidRPr="001C5597" w:rsidRDefault="00160F87" w:rsidP="00FB2B45">
      <w:pPr>
        <w:pStyle w:val="Paragraphedeliste"/>
        <w:numPr>
          <w:ilvl w:val="0"/>
          <w:numId w:val="23"/>
        </w:numPr>
        <w:spacing w:line="276" w:lineRule="auto"/>
      </w:pPr>
      <w:r>
        <w:rPr>
          <w:iCs/>
        </w:rPr>
        <w:t xml:space="preserve">Dans les communes d’intervention du Niger pour lesquelles la liste des bénéficiaires était très limité, un plan B de l’échantillonnage (choix des unités statistiques) a été déployée. </w:t>
      </w:r>
      <w:r w:rsidR="005C5B43">
        <w:rPr>
          <w:iCs/>
        </w:rPr>
        <w:t>Il s’agit de l</w:t>
      </w:r>
      <w:r w:rsidR="005C5B43" w:rsidRPr="005C5B43">
        <w:rPr>
          <w:iCs/>
        </w:rPr>
        <w:t xml:space="preserve">'échantillonnage </w:t>
      </w:r>
      <w:r w:rsidR="005C5B43">
        <w:rPr>
          <w:iCs/>
        </w:rPr>
        <w:t>« </w:t>
      </w:r>
      <w:r w:rsidR="005C5B43" w:rsidRPr="005C5B43">
        <w:rPr>
          <w:iCs/>
        </w:rPr>
        <w:t>boule de neige</w:t>
      </w:r>
      <w:r w:rsidR="005C5B43">
        <w:rPr>
          <w:iCs/>
        </w:rPr>
        <w:t xml:space="preserve"> </w:t>
      </w:r>
      <w:r w:rsidR="005C5B43" w:rsidRPr="005C5B43">
        <w:rPr>
          <w:iCs/>
        </w:rPr>
        <w:t xml:space="preserve">» </w:t>
      </w:r>
      <w:r w:rsidR="005C5B43">
        <w:rPr>
          <w:iCs/>
        </w:rPr>
        <w:t xml:space="preserve">qui </w:t>
      </w:r>
      <w:r w:rsidR="005C5B43" w:rsidRPr="005C5B43">
        <w:rPr>
          <w:iCs/>
        </w:rPr>
        <w:t xml:space="preserve">fait référence à une technique non probabiliste dans laquelle </w:t>
      </w:r>
      <w:r w:rsidR="005C5B43">
        <w:rPr>
          <w:iCs/>
        </w:rPr>
        <w:t>on</w:t>
      </w:r>
      <w:r w:rsidR="005C5B43" w:rsidRPr="005C5B43">
        <w:rPr>
          <w:iCs/>
        </w:rPr>
        <w:t xml:space="preserve"> commence par une petite population d'individus et </w:t>
      </w:r>
      <w:r w:rsidR="00825900">
        <w:rPr>
          <w:iCs/>
        </w:rPr>
        <w:t xml:space="preserve">on </w:t>
      </w:r>
      <w:r w:rsidR="005C5B43" w:rsidRPr="005C5B43">
        <w:rPr>
          <w:iCs/>
        </w:rPr>
        <w:t xml:space="preserve">élargit l'échantillon en demandant à ces premiers participants d'en identifier d'autres qui devraient participer </w:t>
      </w:r>
      <w:r w:rsidR="005C5B43">
        <w:rPr>
          <w:iCs/>
        </w:rPr>
        <w:t>à l’</w:t>
      </w:r>
      <w:r w:rsidR="005C5B43" w:rsidRPr="005C5B43">
        <w:rPr>
          <w:iCs/>
        </w:rPr>
        <w:t xml:space="preserve">étude. </w:t>
      </w:r>
    </w:p>
    <w:p w14:paraId="2B72DE30" w14:textId="38A570E9" w:rsidR="000F3EBF" w:rsidRDefault="00EB5529" w:rsidP="00FB2B45">
      <w:pPr>
        <w:pStyle w:val="Paragraphedeliste"/>
        <w:numPr>
          <w:ilvl w:val="0"/>
          <w:numId w:val="23"/>
        </w:numPr>
        <w:spacing w:line="276" w:lineRule="auto"/>
      </w:pPr>
      <w:r>
        <w:t>L’enquête quantitative</w:t>
      </w:r>
      <w:r w:rsidR="005C5B43">
        <w:t xml:space="preserve"> a </w:t>
      </w:r>
      <w:r>
        <w:t>concern</w:t>
      </w:r>
      <w:r w:rsidR="005C5B43">
        <w:t>é</w:t>
      </w:r>
      <w:r>
        <w:t xml:space="preserve"> aussi les prestataires des </w:t>
      </w:r>
      <w:r w:rsidRPr="000C75FE">
        <w:t xml:space="preserve">services de sécurité et de justice pénale que sont les FDS (volet sécurité) et les </w:t>
      </w:r>
      <w:r>
        <w:t xml:space="preserve">ACP c’est-à-dire les </w:t>
      </w:r>
      <w:r w:rsidRPr="000C75FE">
        <w:t xml:space="preserve">procureurs, </w:t>
      </w:r>
      <w:r>
        <w:t xml:space="preserve">juges, </w:t>
      </w:r>
      <w:r w:rsidRPr="000C75FE">
        <w:t>officiers et agents de police judiciaire (volet justice pénale)</w:t>
      </w:r>
      <w:r>
        <w:t xml:space="preserve">. </w:t>
      </w:r>
      <w:r w:rsidR="00320404">
        <w:t xml:space="preserve">Outre </w:t>
      </w:r>
      <w:r w:rsidR="004B594F">
        <w:t>l’échantillon des</w:t>
      </w:r>
      <w:r>
        <w:t xml:space="preserve"> 440</w:t>
      </w:r>
      <w:r w:rsidR="004B594F">
        <w:t xml:space="preserve"> bénéficiaires directs issus de la communauté (femmes et jeunes), il </w:t>
      </w:r>
      <w:r w:rsidR="005C5B43">
        <w:t>est</w:t>
      </w:r>
      <w:r w:rsidR="004B594F">
        <w:t xml:space="preserve"> constitué un échantillon de 30</w:t>
      </w:r>
      <w:r>
        <w:t xml:space="preserve"> prestataires de sécurité et de justice pénale</w:t>
      </w:r>
      <w:r w:rsidR="004B594F" w:rsidRPr="000C75FE">
        <w:t xml:space="preserve"> (15 FDS et 15 ACP)</w:t>
      </w:r>
      <w:r>
        <w:t xml:space="preserve">. </w:t>
      </w:r>
    </w:p>
    <w:p w14:paraId="3DE97442" w14:textId="65E96CA7" w:rsidR="009D1317" w:rsidRDefault="0052256E" w:rsidP="00FB2B45">
      <w:pPr>
        <w:pStyle w:val="Paragraphedeliste"/>
        <w:numPr>
          <w:ilvl w:val="0"/>
          <w:numId w:val="23"/>
        </w:numPr>
        <w:spacing w:line="276" w:lineRule="auto"/>
      </w:pPr>
      <w:r>
        <w:t xml:space="preserve">L’enquête quantitative par questionnaire s’est faite à travers des entretiens en présentiels auprès des bénéficiaires qui résidaient dans les </w:t>
      </w:r>
      <w:r w:rsidR="00DD0B16">
        <w:t xml:space="preserve">chefs-lieux des </w:t>
      </w:r>
      <w:r>
        <w:t>communes d’intervention</w:t>
      </w:r>
      <w:r w:rsidR="00DD0B16">
        <w:t xml:space="preserve"> et les villages accessibles. Pour les bénéficiaires qui se trouvaient dans des localités inaccessibles au moment de l’enquête, ils ont été interrogés à distance par téléphone</w:t>
      </w:r>
      <w:r w:rsidRPr="0052256E">
        <w:t xml:space="preserve">. </w:t>
      </w:r>
      <w:r w:rsidR="00FC2D63">
        <w:t xml:space="preserve">Les questionnaires administrés (au bien en présentiel que par appel téléphonique) ont été directement renseignés sur smartphone </w:t>
      </w:r>
      <w:r w:rsidR="00DF219E">
        <w:t>puis transmis directement sur la plateforme numérique Ko</w:t>
      </w:r>
      <w:r w:rsidR="00825900">
        <w:t>B</w:t>
      </w:r>
      <w:r w:rsidR="00DF219E">
        <w:t xml:space="preserve">oCollect pour supervision. </w:t>
      </w:r>
      <w:r w:rsidR="009D1317" w:rsidRPr="009D1317">
        <w:t>Comparativement à l’approche classique des enquêtes par questionnaire papier, le recours à la technique de collecte mobile sur support électronique dans la présente enquête a permis un gain de performances en termes d’économie sur les délais et erreurs de saisie, le suivi des données en temps réel et la possibilité du recadrage des équipes de collecte sur le terrain. L’utilisation du smartphone a néanmoins suscité chez quelques répondants des appréhensions, certains</w:t>
      </w:r>
      <w:r w:rsidR="00E310E5">
        <w:t>/certaines</w:t>
      </w:r>
      <w:r w:rsidR="009D1317" w:rsidRPr="009D1317">
        <w:t xml:space="preserve"> craignant d’être filmés ou enregistrés. Ces craintes ont été levées par les enquêteurs/enquêtrices et n’ont pas entravé la participation des cibles.</w:t>
      </w:r>
    </w:p>
    <w:p w14:paraId="1A044501" w14:textId="77777777" w:rsidR="00D23DB4" w:rsidRDefault="00D23DB4" w:rsidP="00D23DB4">
      <w:pPr>
        <w:pStyle w:val="Paragraphedeliste"/>
        <w:spacing w:line="276" w:lineRule="auto"/>
        <w:ind w:left="360"/>
      </w:pPr>
    </w:p>
    <w:p w14:paraId="1EB8519B" w14:textId="77777777" w:rsidR="009A0D94" w:rsidRPr="002D3E79" w:rsidRDefault="009A0D94" w:rsidP="00820BBD">
      <w:pPr>
        <w:pStyle w:val="Titre2"/>
        <w:numPr>
          <w:ilvl w:val="1"/>
          <w:numId w:val="81"/>
        </w:numPr>
      </w:pPr>
      <w:bookmarkStart w:id="543" w:name="_Toc95451861"/>
      <w:r w:rsidRPr="002D3E79">
        <w:t>Bilan de la collecte de données sur le terrain</w:t>
      </w:r>
      <w:bookmarkEnd w:id="543"/>
    </w:p>
    <w:p w14:paraId="201F5EAF" w14:textId="77777777" w:rsidR="009A0D94" w:rsidRPr="00D23DB4" w:rsidRDefault="009A0D94" w:rsidP="00D23DB4">
      <w:pPr>
        <w:spacing w:after="0" w:line="276" w:lineRule="auto"/>
        <w:rPr>
          <w:b/>
          <w:i/>
          <w:color w:val="004F8A"/>
        </w:rPr>
      </w:pPr>
      <w:r w:rsidRPr="00D23DB4">
        <w:rPr>
          <w:b/>
          <w:i/>
          <w:color w:val="004F8A"/>
        </w:rPr>
        <w:t>Atteinte des cibles échantillonnées</w:t>
      </w:r>
    </w:p>
    <w:p w14:paraId="6E801BF7" w14:textId="36300B51" w:rsidR="009A0D94" w:rsidRPr="002D3E79" w:rsidRDefault="009A0D94" w:rsidP="009A0D94">
      <w:pPr>
        <w:pStyle w:val="Paragraphedeliste"/>
        <w:numPr>
          <w:ilvl w:val="0"/>
          <w:numId w:val="23"/>
        </w:numPr>
        <w:spacing w:line="276" w:lineRule="auto"/>
      </w:pPr>
      <w:r w:rsidRPr="002D3E79">
        <w:t xml:space="preserve">L’opération de collecte des données, la supervision et la validation des données se sont déroulées concomitamment du 11 Août au 23 Septembre 2021. Le bilan de cette phase terrain est globalement appréciable, car la plupart des cibles prévues ont été touchées conformément au plan de sondage. Concernant la collecte de données qualitatives au niveau central, des entretiens individuels ont été réalisés avec le bailleur de fonds (PBF), les agences de mise en œuvre (ONU Femmes &amp; ONUDC), les ONG locales partenaires de mise en œuvre (CAR.D ; CRADE, REPFSCO, ADL) et la plupart des responsables des institutions publiques et départements ministériels des deux pays impliqués dans la mise en mise œuvre. La liste des personnes interviewés au niveau central est présentée dans en Annexe </w:t>
      </w:r>
      <w:r w:rsidR="00883CB4">
        <w:t>6</w:t>
      </w:r>
      <w:r w:rsidRPr="002D3E79">
        <w:t>.</w:t>
      </w:r>
    </w:p>
    <w:p w14:paraId="43BDBC01" w14:textId="77777777" w:rsidR="009A0D94" w:rsidRDefault="009A0D94" w:rsidP="009A0D94">
      <w:pPr>
        <w:pStyle w:val="Paragraphedeliste"/>
        <w:numPr>
          <w:ilvl w:val="0"/>
          <w:numId w:val="23"/>
        </w:numPr>
        <w:spacing w:line="276" w:lineRule="auto"/>
      </w:pPr>
      <w:r w:rsidRPr="002D3E79">
        <w:t>Relativement à la collecte de données auprès des bénéficiaires directs au niveau local, le taux d’atteinte est</w:t>
      </w:r>
      <w:r>
        <w:t xml:space="preserve"> de 100% pour toutes les catégories de cibles à l’exception des FDS et des ACP (57%). Comme prévu, </w:t>
      </w:r>
      <w:r w:rsidRPr="0054663D">
        <w:t>32 entretiens</w:t>
      </w:r>
      <w:r>
        <w:t xml:space="preserve"> individuels ont été </w:t>
      </w:r>
      <w:r w:rsidRPr="0054663D">
        <w:t xml:space="preserve">réalisés avec les acteurs communautaires </w:t>
      </w:r>
      <w:r>
        <w:t xml:space="preserve">composés de </w:t>
      </w:r>
      <w:r w:rsidRPr="0054663D">
        <w:t>leaders religieux</w:t>
      </w:r>
      <w:r>
        <w:t xml:space="preserve"> (</w:t>
      </w:r>
      <w:r w:rsidRPr="0054663D">
        <w:t>iman</w:t>
      </w:r>
      <w:r>
        <w:t>), de c</w:t>
      </w:r>
      <w:r w:rsidRPr="0054663D">
        <w:t xml:space="preserve">ommunicateurs traditionnels, </w:t>
      </w:r>
      <w:r>
        <w:t>de</w:t>
      </w:r>
      <w:r w:rsidRPr="0054663D">
        <w:t xml:space="preserve"> chefs coutumiers</w:t>
      </w:r>
      <w:r>
        <w:t xml:space="preserve"> et de </w:t>
      </w:r>
      <w:r w:rsidRPr="0054663D">
        <w:t>responsables de radio communautaires</w:t>
      </w:r>
      <w:r>
        <w:t xml:space="preserve"> essentiellement.</w:t>
      </w:r>
      <w:r w:rsidRPr="0054663D">
        <w:t xml:space="preserve"> </w:t>
      </w:r>
    </w:p>
    <w:p w14:paraId="60E25425" w14:textId="77777777" w:rsidR="009A0D94" w:rsidRDefault="009A0D94" w:rsidP="009A0D94">
      <w:pPr>
        <w:pStyle w:val="Paragraphedeliste"/>
        <w:numPr>
          <w:ilvl w:val="0"/>
          <w:numId w:val="23"/>
        </w:numPr>
        <w:spacing w:line="276" w:lineRule="auto"/>
      </w:pPr>
      <w:r>
        <w:t xml:space="preserve">De même, 16 entretiens individuels ont été réalisés avec les responsables (président.e.s, secrétaires et rapporteurs -trices- ) d’OSC féminines et de jeunes, dont 8 femmes et 8 jeunes hommes. L’âge moyen de ces responsables est de 42 ans avec un minimum de 29 ans et un maximum de 69 ans. Pour les focus group, 24 en ont été réalisés dont 8 avec les jeunes filles, 8 avec les jeunes garçons et 8 autres avec les femmes. Des récits de vie ont été aussi collectés auprès de 56 répondants. </w:t>
      </w:r>
    </w:p>
    <w:p w14:paraId="65C2EADA" w14:textId="77777777" w:rsidR="009A0D94" w:rsidRDefault="009A0D94" w:rsidP="009A0D94">
      <w:pPr>
        <w:pStyle w:val="Paragraphedeliste"/>
        <w:numPr>
          <w:ilvl w:val="0"/>
          <w:numId w:val="23"/>
        </w:numPr>
        <w:spacing w:line="276" w:lineRule="auto"/>
      </w:pPr>
      <w:r>
        <w:t>Pour l’enquête quantitative par questionnaire, toutes les 440 bénéficiaires directs prévus ont été enquêtés et 17 sur 30 FDS et ACP ont été touchés. Le refus de participation des FDS et ACP en raison de la sensibilité de la question et par méfiance de la collecte de données par appel téléphonique explique le fait que le nombre d’entretiens prévus avec ces acteurs n’ait pas été complètement réalisé. Le tableau suivant détaille par région et par commune d’intervention, l’état de l’atteinte des cibles au niveau local.</w:t>
      </w:r>
    </w:p>
    <w:p w14:paraId="01B89E1E" w14:textId="77777777" w:rsidR="009A0D94" w:rsidRDefault="009A0D94" w:rsidP="009A0D94">
      <w:pPr>
        <w:pStyle w:val="Paragraphedeliste"/>
        <w:spacing w:line="276" w:lineRule="auto"/>
        <w:ind w:left="360"/>
      </w:pPr>
    </w:p>
    <w:p w14:paraId="22968E1C" w14:textId="0E356529" w:rsidR="009A0D94" w:rsidRPr="00BE789A" w:rsidRDefault="009A0D94" w:rsidP="009A0D94">
      <w:pPr>
        <w:pStyle w:val="Lgende"/>
        <w:rPr>
          <w:sz w:val="20"/>
        </w:rPr>
      </w:pPr>
      <w:bookmarkStart w:id="544" w:name="_Toc92262106"/>
      <w:r>
        <w:t xml:space="preserve">Tableau </w:t>
      </w:r>
      <w:r>
        <w:fldChar w:fldCharType="begin"/>
      </w:r>
      <w:r>
        <w:instrText>SEQ Tableau \* ARABIC</w:instrText>
      </w:r>
      <w:r>
        <w:fldChar w:fldCharType="separate"/>
      </w:r>
      <w:r w:rsidR="0046716F">
        <w:rPr>
          <w:noProof/>
        </w:rPr>
        <w:t>5</w:t>
      </w:r>
      <w:r>
        <w:fldChar w:fldCharType="end"/>
      </w:r>
      <w:r>
        <w:t xml:space="preserve"> : </w:t>
      </w:r>
      <w:r w:rsidRPr="007A5844">
        <w:t>Bilan de la collecte quantitative</w:t>
      </w:r>
      <w:r w:rsidR="000D0201">
        <w:t xml:space="preserve"> et qualitative au niveau local</w:t>
      </w:r>
      <w:bookmarkEnd w:id="544"/>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00" w:firstRow="0" w:lastRow="0" w:firstColumn="0" w:lastColumn="0" w:noHBand="0" w:noVBand="1"/>
      </w:tblPr>
      <w:tblGrid>
        <w:gridCol w:w="1246"/>
        <w:gridCol w:w="1803"/>
        <w:gridCol w:w="628"/>
        <w:gridCol w:w="1320"/>
        <w:gridCol w:w="1231"/>
        <w:gridCol w:w="1157"/>
        <w:gridCol w:w="832"/>
        <w:gridCol w:w="843"/>
      </w:tblGrid>
      <w:tr w:rsidR="00F54B3A" w:rsidRPr="00BE789A" w14:paraId="5BB1345E" w14:textId="77777777" w:rsidTr="0020372B">
        <w:trPr>
          <w:trHeight w:val="20"/>
        </w:trPr>
        <w:tc>
          <w:tcPr>
            <w:tcW w:w="692" w:type="pct"/>
            <w:shd w:val="clear" w:color="auto" w:fill="002060"/>
            <w:tcMar>
              <w:top w:w="15" w:type="dxa"/>
              <w:left w:w="15" w:type="dxa"/>
              <w:bottom w:w="0" w:type="dxa"/>
              <w:right w:w="15" w:type="dxa"/>
            </w:tcMar>
            <w:vAlign w:val="center"/>
            <w:hideMark/>
          </w:tcPr>
          <w:p w14:paraId="502AA551" w14:textId="77777777" w:rsidR="00F54B3A" w:rsidRPr="00BE789A" w:rsidRDefault="00F54B3A" w:rsidP="0020372B">
            <w:pPr>
              <w:keepNext/>
              <w:spacing w:before="0" w:after="0" w:line="276" w:lineRule="auto"/>
              <w:rPr>
                <w:lang w:val="en-US"/>
              </w:rPr>
            </w:pPr>
            <w:r w:rsidRPr="00BE789A">
              <w:rPr>
                <w:b/>
                <w:bCs/>
              </w:rPr>
              <w:t xml:space="preserve">Région </w:t>
            </w:r>
          </w:p>
        </w:tc>
        <w:tc>
          <w:tcPr>
            <w:tcW w:w="965" w:type="pct"/>
            <w:shd w:val="clear" w:color="auto" w:fill="002060"/>
            <w:tcMar>
              <w:top w:w="15" w:type="dxa"/>
              <w:left w:w="15" w:type="dxa"/>
              <w:bottom w:w="0" w:type="dxa"/>
              <w:right w:w="15" w:type="dxa"/>
            </w:tcMar>
            <w:vAlign w:val="center"/>
            <w:hideMark/>
          </w:tcPr>
          <w:p w14:paraId="0F14E9FF" w14:textId="77777777" w:rsidR="00F54B3A" w:rsidRPr="00BE789A" w:rsidRDefault="00F54B3A" w:rsidP="0020372B">
            <w:pPr>
              <w:keepNext/>
              <w:spacing w:before="0" w:after="0" w:line="276" w:lineRule="auto"/>
              <w:rPr>
                <w:lang w:val="en-US"/>
              </w:rPr>
            </w:pPr>
            <w:r w:rsidRPr="00BE789A">
              <w:t> </w:t>
            </w:r>
            <w:r w:rsidRPr="00BE789A">
              <w:rPr>
                <w:b/>
                <w:bCs/>
              </w:rPr>
              <w:t>Commune</w:t>
            </w:r>
          </w:p>
        </w:tc>
        <w:tc>
          <w:tcPr>
            <w:tcW w:w="351" w:type="pct"/>
            <w:shd w:val="clear" w:color="auto" w:fill="002060"/>
            <w:tcMar>
              <w:top w:w="15" w:type="dxa"/>
              <w:left w:w="15" w:type="dxa"/>
              <w:bottom w:w="0" w:type="dxa"/>
              <w:right w:w="15" w:type="dxa"/>
            </w:tcMar>
            <w:vAlign w:val="center"/>
            <w:hideMark/>
          </w:tcPr>
          <w:p w14:paraId="30619FBF" w14:textId="77777777" w:rsidR="00F54B3A" w:rsidRPr="00BE789A" w:rsidRDefault="00F54B3A" w:rsidP="0020372B">
            <w:pPr>
              <w:keepNext/>
              <w:spacing w:before="0" w:after="0" w:line="276" w:lineRule="auto"/>
              <w:jc w:val="center"/>
              <w:rPr>
                <w:lang w:val="en-US"/>
              </w:rPr>
            </w:pPr>
            <w:r w:rsidRPr="00BE789A">
              <w:rPr>
                <w:b/>
                <w:bCs/>
              </w:rPr>
              <w:t>FDS &amp; ACP</w:t>
            </w:r>
          </w:p>
        </w:tc>
        <w:tc>
          <w:tcPr>
            <w:tcW w:w="733" w:type="pct"/>
            <w:shd w:val="clear" w:color="auto" w:fill="002060"/>
            <w:tcMar>
              <w:top w:w="15" w:type="dxa"/>
              <w:left w:w="15" w:type="dxa"/>
              <w:bottom w:w="0" w:type="dxa"/>
              <w:right w:w="15" w:type="dxa"/>
            </w:tcMar>
            <w:vAlign w:val="bottom"/>
            <w:hideMark/>
          </w:tcPr>
          <w:p w14:paraId="2C3A4080" w14:textId="77777777" w:rsidR="00F54B3A" w:rsidRPr="00BE789A" w:rsidRDefault="00F54B3A" w:rsidP="0020372B">
            <w:pPr>
              <w:keepNext/>
              <w:spacing w:before="0" w:after="0" w:line="276" w:lineRule="auto"/>
              <w:jc w:val="center"/>
              <w:rPr>
                <w:lang w:val="en-US"/>
              </w:rPr>
            </w:pPr>
            <w:r w:rsidRPr="00BE789A">
              <w:rPr>
                <w:b/>
                <w:bCs/>
              </w:rPr>
              <w:t>Bénéficiaire Direct</w:t>
            </w:r>
          </w:p>
        </w:tc>
        <w:tc>
          <w:tcPr>
            <w:tcW w:w="684" w:type="pct"/>
            <w:shd w:val="clear" w:color="auto" w:fill="002060"/>
            <w:tcMar>
              <w:top w:w="15" w:type="dxa"/>
              <w:left w:w="15" w:type="dxa"/>
              <w:bottom w:w="0" w:type="dxa"/>
              <w:right w:w="15" w:type="dxa"/>
            </w:tcMar>
            <w:vAlign w:val="center"/>
            <w:hideMark/>
          </w:tcPr>
          <w:p w14:paraId="51C9275F" w14:textId="77777777" w:rsidR="00F54B3A" w:rsidRPr="00BE789A" w:rsidRDefault="00F54B3A" w:rsidP="0020372B">
            <w:pPr>
              <w:keepNext/>
              <w:spacing w:before="0" w:after="0" w:line="276" w:lineRule="auto"/>
              <w:jc w:val="center"/>
              <w:rPr>
                <w:lang w:val="en-US"/>
              </w:rPr>
            </w:pPr>
            <w:r w:rsidRPr="00BE789A">
              <w:rPr>
                <w:b/>
                <w:bCs/>
              </w:rPr>
              <w:t>Acteurs Com.</w:t>
            </w:r>
          </w:p>
        </w:tc>
        <w:tc>
          <w:tcPr>
            <w:tcW w:w="643" w:type="pct"/>
            <w:shd w:val="clear" w:color="auto" w:fill="002060"/>
            <w:tcMar>
              <w:top w:w="15" w:type="dxa"/>
              <w:left w:w="15" w:type="dxa"/>
              <w:bottom w:w="0" w:type="dxa"/>
              <w:right w:w="15" w:type="dxa"/>
            </w:tcMar>
            <w:vAlign w:val="center"/>
            <w:hideMark/>
          </w:tcPr>
          <w:p w14:paraId="2CF83C2F" w14:textId="77777777" w:rsidR="00F54B3A" w:rsidRPr="00BE789A" w:rsidRDefault="00F54B3A" w:rsidP="0020372B">
            <w:pPr>
              <w:keepNext/>
              <w:spacing w:before="0" w:after="0" w:line="276" w:lineRule="auto"/>
              <w:jc w:val="center"/>
              <w:rPr>
                <w:lang w:val="en-US"/>
              </w:rPr>
            </w:pPr>
            <w:r w:rsidRPr="00BE789A">
              <w:rPr>
                <w:b/>
                <w:bCs/>
              </w:rPr>
              <w:t>OSC (féminines et jeunes)</w:t>
            </w:r>
          </w:p>
        </w:tc>
        <w:tc>
          <w:tcPr>
            <w:tcW w:w="463" w:type="pct"/>
            <w:shd w:val="clear" w:color="auto" w:fill="002060"/>
            <w:tcMar>
              <w:top w:w="15" w:type="dxa"/>
              <w:left w:w="15" w:type="dxa"/>
              <w:bottom w:w="0" w:type="dxa"/>
              <w:right w:w="15" w:type="dxa"/>
            </w:tcMar>
            <w:vAlign w:val="center"/>
            <w:hideMark/>
          </w:tcPr>
          <w:p w14:paraId="4A29944A" w14:textId="77777777" w:rsidR="00F54B3A" w:rsidRPr="00BE789A" w:rsidRDefault="00F54B3A" w:rsidP="0020372B">
            <w:pPr>
              <w:keepNext/>
              <w:spacing w:before="0" w:after="0" w:line="276" w:lineRule="auto"/>
              <w:jc w:val="center"/>
              <w:rPr>
                <w:lang w:val="en-US"/>
              </w:rPr>
            </w:pPr>
            <w:r w:rsidRPr="00BE789A">
              <w:rPr>
                <w:b/>
                <w:bCs/>
              </w:rPr>
              <w:t>Focus Group</w:t>
            </w:r>
          </w:p>
        </w:tc>
        <w:tc>
          <w:tcPr>
            <w:tcW w:w="470" w:type="pct"/>
            <w:shd w:val="clear" w:color="auto" w:fill="002060"/>
            <w:tcMar>
              <w:top w:w="15" w:type="dxa"/>
              <w:left w:w="15" w:type="dxa"/>
              <w:bottom w:w="0" w:type="dxa"/>
              <w:right w:w="15" w:type="dxa"/>
            </w:tcMar>
            <w:vAlign w:val="center"/>
            <w:hideMark/>
          </w:tcPr>
          <w:p w14:paraId="382AC415" w14:textId="77777777" w:rsidR="00F54B3A" w:rsidRPr="00BE789A" w:rsidRDefault="00F54B3A" w:rsidP="0020372B">
            <w:pPr>
              <w:keepNext/>
              <w:spacing w:before="0" w:after="0" w:line="276" w:lineRule="auto"/>
              <w:jc w:val="center"/>
              <w:rPr>
                <w:lang w:val="en-US"/>
              </w:rPr>
            </w:pPr>
            <w:r w:rsidRPr="00BE789A">
              <w:rPr>
                <w:b/>
                <w:bCs/>
              </w:rPr>
              <w:t>Histoire de vie</w:t>
            </w:r>
          </w:p>
        </w:tc>
      </w:tr>
      <w:tr w:rsidR="00F54B3A" w:rsidRPr="00BE789A" w14:paraId="4E58A961"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3832D2B7" w14:textId="77777777" w:rsidR="00F54B3A" w:rsidRPr="00BE789A" w:rsidRDefault="00F54B3A" w:rsidP="0020372B">
            <w:pPr>
              <w:keepNext/>
              <w:spacing w:before="0" w:after="0" w:line="276" w:lineRule="auto"/>
              <w:rPr>
                <w:lang w:val="en-US"/>
              </w:rPr>
            </w:pPr>
            <w:r w:rsidRPr="00BE789A">
              <w:rPr>
                <w:b/>
                <w:bCs/>
              </w:rPr>
              <w:t>Ménaka -</w:t>
            </w:r>
          </w:p>
          <w:p w14:paraId="10CA84C9" w14:textId="77777777" w:rsidR="00F54B3A" w:rsidRPr="00BE789A" w:rsidRDefault="00F54B3A" w:rsidP="0020372B">
            <w:pPr>
              <w:keepNext/>
              <w:spacing w:before="0" w:after="0" w:line="276" w:lineRule="auto"/>
              <w:rPr>
                <w:i/>
                <w:iCs/>
                <w:lang w:val="en-US"/>
              </w:rPr>
            </w:pPr>
            <w:r w:rsidRPr="00BE789A">
              <w:rPr>
                <w:b/>
                <w:bCs/>
                <w:i/>
                <w:iCs/>
              </w:rPr>
              <w:t>(Mali)</w:t>
            </w:r>
          </w:p>
        </w:tc>
        <w:tc>
          <w:tcPr>
            <w:tcW w:w="965" w:type="pct"/>
            <w:shd w:val="clear" w:color="auto" w:fill="auto"/>
            <w:tcMar>
              <w:top w:w="15" w:type="dxa"/>
              <w:left w:w="15" w:type="dxa"/>
              <w:bottom w:w="0" w:type="dxa"/>
              <w:right w:w="15" w:type="dxa"/>
            </w:tcMar>
            <w:vAlign w:val="bottom"/>
            <w:hideMark/>
          </w:tcPr>
          <w:p w14:paraId="4454BF61" w14:textId="77777777" w:rsidR="00F54B3A" w:rsidRPr="00BE789A" w:rsidRDefault="00F54B3A" w:rsidP="0020372B">
            <w:pPr>
              <w:keepNext/>
              <w:spacing w:before="0" w:after="0" w:line="276" w:lineRule="auto"/>
              <w:rPr>
                <w:lang w:val="en-US"/>
              </w:rPr>
            </w:pPr>
            <w:r w:rsidRPr="00BE789A">
              <w:t>Ménaka</w:t>
            </w:r>
          </w:p>
        </w:tc>
        <w:tc>
          <w:tcPr>
            <w:tcW w:w="351" w:type="pct"/>
            <w:vMerge w:val="restart"/>
            <w:shd w:val="clear" w:color="auto" w:fill="auto"/>
            <w:tcMar>
              <w:top w:w="15" w:type="dxa"/>
              <w:left w:w="15" w:type="dxa"/>
              <w:bottom w:w="0" w:type="dxa"/>
              <w:right w:w="15" w:type="dxa"/>
            </w:tcMar>
            <w:vAlign w:val="center"/>
            <w:hideMark/>
          </w:tcPr>
          <w:p w14:paraId="023EB419" w14:textId="77777777" w:rsidR="00F54B3A" w:rsidRPr="00BE789A" w:rsidRDefault="00F54B3A" w:rsidP="0020372B">
            <w:pPr>
              <w:keepNext/>
              <w:spacing w:before="0" w:after="0" w:line="276" w:lineRule="auto"/>
              <w:jc w:val="center"/>
              <w:rPr>
                <w:lang w:val="en-US"/>
              </w:rPr>
            </w:pPr>
            <w:r w:rsidRPr="00BE789A">
              <w:t>7</w:t>
            </w:r>
          </w:p>
        </w:tc>
        <w:tc>
          <w:tcPr>
            <w:tcW w:w="733" w:type="pct"/>
            <w:shd w:val="clear" w:color="auto" w:fill="auto"/>
            <w:tcMar>
              <w:top w:w="15" w:type="dxa"/>
              <w:left w:w="15" w:type="dxa"/>
              <w:bottom w:w="0" w:type="dxa"/>
              <w:right w:w="15" w:type="dxa"/>
            </w:tcMar>
            <w:vAlign w:val="center"/>
            <w:hideMark/>
          </w:tcPr>
          <w:p w14:paraId="3A8FDDFA"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3C4390D2"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0717A055"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306EA0C4"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1F1A4869"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5DF811FC" w14:textId="77777777" w:rsidTr="0020372B">
        <w:trPr>
          <w:trHeight w:val="20"/>
        </w:trPr>
        <w:tc>
          <w:tcPr>
            <w:tcW w:w="692" w:type="pct"/>
            <w:vMerge/>
            <w:vAlign w:val="center"/>
            <w:hideMark/>
          </w:tcPr>
          <w:p w14:paraId="3A66C1C9"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132503CE" w14:textId="77777777" w:rsidR="00F54B3A" w:rsidRPr="00BE789A" w:rsidRDefault="00F54B3A" w:rsidP="0020372B">
            <w:pPr>
              <w:keepNext/>
              <w:spacing w:before="0" w:after="0" w:line="276" w:lineRule="auto"/>
              <w:rPr>
                <w:lang w:val="en-US"/>
              </w:rPr>
            </w:pPr>
            <w:r w:rsidRPr="00BE789A">
              <w:t>Anderaboukane</w:t>
            </w:r>
          </w:p>
        </w:tc>
        <w:tc>
          <w:tcPr>
            <w:tcW w:w="351" w:type="pct"/>
            <w:vMerge/>
            <w:vAlign w:val="center"/>
            <w:hideMark/>
          </w:tcPr>
          <w:p w14:paraId="0E0FA9C4"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09F072F6"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68770807"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397BEB61"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6201C539"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8F80581"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4EBFA9B7"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10D6CE96" w14:textId="77777777" w:rsidR="00F54B3A" w:rsidRPr="00BE789A" w:rsidRDefault="00F54B3A" w:rsidP="0020372B">
            <w:pPr>
              <w:keepNext/>
              <w:spacing w:before="0" w:after="0" w:line="276" w:lineRule="auto"/>
              <w:rPr>
                <w:lang w:val="en-US"/>
              </w:rPr>
            </w:pPr>
            <w:r w:rsidRPr="00BE789A">
              <w:rPr>
                <w:b/>
                <w:bCs/>
              </w:rPr>
              <w:t xml:space="preserve">Gao - </w:t>
            </w:r>
          </w:p>
          <w:p w14:paraId="1BC00266" w14:textId="77777777" w:rsidR="00F54B3A" w:rsidRPr="00BE789A" w:rsidRDefault="00F54B3A" w:rsidP="0020372B">
            <w:pPr>
              <w:keepNext/>
              <w:spacing w:before="0" w:after="0" w:line="276" w:lineRule="auto"/>
              <w:rPr>
                <w:i/>
                <w:iCs/>
                <w:lang w:val="en-US"/>
              </w:rPr>
            </w:pPr>
            <w:r w:rsidRPr="00BE789A">
              <w:rPr>
                <w:b/>
                <w:bCs/>
                <w:i/>
                <w:iCs/>
              </w:rPr>
              <w:t>(Mali)</w:t>
            </w:r>
          </w:p>
        </w:tc>
        <w:tc>
          <w:tcPr>
            <w:tcW w:w="965" w:type="pct"/>
            <w:shd w:val="clear" w:color="auto" w:fill="auto"/>
            <w:tcMar>
              <w:top w:w="15" w:type="dxa"/>
              <w:left w:w="15" w:type="dxa"/>
              <w:bottom w:w="0" w:type="dxa"/>
              <w:right w:w="15" w:type="dxa"/>
            </w:tcMar>
            <w:vAlign w:val="bottom"/>
            <w:hideMark/>
          </w:tcPr>
          <w:p w14:paraId="3028B57C" w14:textId="77777777" w:rsidR="00F54B3A" w:rsidRPr="00BE789A" w:rsidRDefault="00F54B3A" w:rsidP="0020372B">
            <w:pPr>
              <w:keepNext/>
              <w:spacing w:before="0" w:after="0" w:line="276" w:lineRule="auto"/>
              <w:rPr>
                <w:lang w:val="en-US"/>
              </w:rPr>
            </w:pPr>
            <w:r w:rsidRPr="00BE789A">
              <w:t>Ouatagouna</w:t>
            </w:r>
          </w:p>
        </w:tc>
        <w:tc>
          <w:tcPr>
            <w:tcW w:w="351" w:type="pct"/>
            <w:vMerge w:val="restart"/>
            <w:shd w:val="clear" w:color="auto" w:fill="auto"/>
            <w:tcMar>
              <w:top w:w="15" w:type="dxa"/>
              <w:left w:w="15" w:type="dxa"/>
              <w:bottom w:w="0" w:type="dxa"/>
              <w:right w:w="15" w:type="dxa"/>
            </w:tcMar>
            <w:vAlign w:val="center"/>
            <w:hideMark/>
          </w:tcPr>
          <w:p w14:paraId="24C712E4" w14:textId="77777777" w:rsidR="00F54B3A" w:rsidRPr="00BE789A" w:rsidRDefault="00F54B3A" w:rsidP="0020372B">
            <w:pPr>
              <w:keepNext/>
              <w:spacing w:before="0" w:after="0" w:line="276" w:lineRule="auto"/>
              <w:jc w:val="center"/>
              <w:rPr>
                <w:lang w:val="en-US"/>
              </w:rPr>
            </w:pPr>
            <w:r w:rsidRPr="00BE789A">
              <w:t>4</w:t>
            </w:r>
          </w:p>
        </w:tc>
        <w:tc>
          <w:tcPr>
            <w:tcW w:w="733" w:type="pct"/>
            <w:shd w:val="clear" w:color="auto" w:fill="auto"/>
            <w:tcMar>
              <w:top w:w="15" w:type="dxa"/>
              <w:left w:w="15" w:type="dxa"/>
              <w:bottom w:w="0" w:type="dxa"/>
              <w:right w:w="15" w:type="dxa"/>
            </w:tcMar>
            <w:vAlign w:val="center"/>
            <w:hideMark/>
          </w:tcPr>
          <w:p w14:paraId="042C7B31"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397EA96B"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4B364490"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7BF12838"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6DA0D95D"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2779352A" w14:textId="77777777" w:rsidTr="0020372B">
        <w:trPr>
          <w:trHeight w:val="20"/>
        </w:trPr>
        <w:tc>
          <w:tcPr>
            <w:tcW w:w="692" w:type="pct"/>
            <w:vMerge/>
            <w:vAlign w:val="center"/>
            <w:hideMark/>
          </w:tcPr>
          <w:p w14:paraId="29DE9EBC"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5C7C5030" w14:textId="77777777" w:rsidR="00F54B3A" w:rsidRPr="00BE789A" w:rsidRDefault="00F54B3A" w:rsidP="0020372B">
            <w:pPr>
              <w:keepNext/>
              <w:spacing w:before="0" w:after="0" w:line="276" w:lineRule="auto"/>
              <w:rPr>
                <w:lang w:val="en-US"/>
              </w:rPr>
            </w:pPr>
            <w:r w:rsidRPr="00BE789A">
              <w:t>Tessit</w:t>
            </w:r>
          </w:p>
        </w:tc>
        <w:tc>
          <w:tcPr>
            <w:tcW w:w="351" w:type="pct"/>
            <w:vMerge/>
            <w:vAlign w:val="center"/>
            <w:hideMark/>
          </w:tcPr>
          <w:p w14:paraId="281D1CA1"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7FE00222"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4FBED4A7"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66F0DFB6"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41C3292D"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70F77F0"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578955FA"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6FF95336" w14:textId="77777777" w:rsidR="00F54B3A" w:rsidRPr="00BE789A" w:rsidRDefault="00F54B3A" w:rsidP="0020372B">
            <w:pPr>
              <w:keepNext/>
              <w:spacing w:before="0" w:after="0" w:line="276" w:lineRule="auto"/>
              <w:rPr>
                <w:lang w:val="en-US"/>
              </w:rPr>
            </w:pPr>
            <w:r w:rsidRPr="00BE789A">
              <w:rPr>
                <w:b/>
                <w:bCs/>
              </w:rPr>
              <w:t>Tillabéry -</w:t>
            </w:r>
          </w:p>
          <w:p w14:paraId="4AFA3F58" w14:textId="77777777" w:rsidR="00F54B3A" w:rsidRPr="00BE789A" w:rsidRDefault="00F54B3A" w:rsidP="0020372B">
            <w:pPr>
              <w:keepNext/>
              <w:spacing w:before="0" w:after="0" w:line="276" w:lineRule="auto"/>
              <w:rPr>
                <w:lang w:val="en-US"/>
              </w:rPr>
            </w:pPr>
            <w:r w:rsidRPr="00BE789A">
              <w:rPr>
                <w:b/>
                <w:bCs/>
                <w:i/>
                <w:iCs/>
              </w:rPr>
              <w:t>(Niger)</w:t>
            </w:r>
            <w:r w:rsidRPr="00BE789A">
              <w:rPr>
                <w:b/>
                <w:bCs/>
              </w:rPr>
              <w:t xml:space="preserve"> </w:t>
            </w:r>
          </w:p>
        </w:tc>
        <w:tc>
          <w:tcPr>
            <w:tcW w:w="965" w:type="pct"/>
            <w:shd w:val="clear" w:color="auto" w:fill="auto"/>
            <w:tcMar>
              <w:top w:w="15" w:type="dxa"/>
              <w:left w:w="15" w:type="dxa"/>
              <w:bottom w:w="0" w:type="dxa"/>
              <w:right w:w="15" w:type="dxa"/>
            </w:tcMar>
            <w:vAlign w:val="bottom"/>
            <w:hideMark/>
          </w:tcPr>
          <w:p w14:paraId="7D5CEF34" w14:textId="77777777" w:rsidR="00F54B3A" w:rsidRPr="00BE789A" w:rsidRDefault="00F54B3A" w:rsidP="0020372B">
            <w:pPr>
              <w:keepNext/>
              <w:spacing w:before="0" w:after="0" w:line="276" w:lineRule="auto"/>
              <w:rPr>
                <w:lang w:val="en-US"/>
              </w:rPr>
            </w:pPr>
            <w:r w:rsidRPr="00BE789A">
              <w:t>Gorool</w:t>
            </w:r>
          </w:p>
        </w:tc>
        <w:tc>
          <w:tcPr>
            <w:tcW w:w="351" w:type="pct"/>
            <w:vMerge w:val="restart"/>
            <w:shd w:val="clear" w:color="auto" w:fill="auto"/>
            <w:tcMar>
              <w:top w:w="15" w:type="dxa"/>
              <w:left w:w="15" w:type="dxa"/>
              <w:bottom w:w="0" w:type="dxa"/>
              <w:right w:w="15" w:type="dxa"/>
            </w:tcMar>
            <w:vAlign w:val="center"/>
            <w:hideMark/>
          </w:tcPr>
          <w:p w14:paraId="71518EBB" w14:textId="77777777" w:rsidR="00F54B3A" w:rsidRPr="00BE789A" w:rsidRDefault="00F54B3A" w:rsidP="0020372B">
            <w:pPr>
              <w:keepNext/>
              <w:spacing w:before="0" w:after="0" w:line="276" w:lineRule="auto"/>
              <w:jc w:val="center"/>
              <w:rPr>
                <w:lang w:val="en-US"/>
              </w:rPr>
            </w:pPr>
            <w:r w:rsidRPr="00BE789A">
              <w:t>6</w:t>
            </w:r>
          </w:p>
        </w:tc>
        <w:tc>
          <w:tcPr>
            <w:tcW w:w="733" w:type="pct"/>
            <w:shd w:val="clear" w:color="auto" w:fill="auto"/>
            <w:tcMar>
              <w:top w:w="15" w:type="dxa"/>
              <w:left w:w="15" w:type="dxa"/>
              <w:bottom w:w="0" w:type="dxa"/>
              <w:right w:w="15" w:type="dxa"/>
            </w:tcMar>
            <w:vAlign w:val="center"/>
            <w:hideMark/>
          </w:tcPr>
          <w:p w14:paraId="60DD8B0D"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2E2C59F3"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76838C27"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2FA49BF2"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58FF5C6B"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7221D481" w14:textId="77777777" w:rsidTr="0020372B">
        <w:trPr>
          <w:trHeight w:val="20"/>
        </w:trPr>
        <w:tc>
          <w:tcPr>
            <w:tcW w:w="692" w:type="pct"/>
            <w:vMerge/>
            <w:vAlign w:val="center"/>
            <w:hideMark/>
          </w:tcPr>
          <w:p w14:paraId="4AB4413E"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0037D72C" w14:textId="77777777" w:rsidR="00F54B3A" w:rsidRPr="00BE789A" w:rsidRDefault="00F54B3A" w:rsidP="0020372B">
            <w:pPr>
              <w:keepNext/>
              <w:spacing w:before="0" w:after="0" w:line="276" w:lineRule="auto"/>
              <w:rPr>
                <w:lang w:val="en-US"/>
              </w:rPr>
            </w:pPr>
            <w:r w:rsidRPr="00BE789A">
              <w:t>Bankilaré</w:t>
            </w:r>
          </w:p>
        </w:tc>
        <w:tc>
          <w:tcPr>
            <w:tcW w:w="351" w:type="pct"/>
            <w:vMerge/>
            <w:vAlign w:val="center"/>
            <w:hideMark/>
          </w:tcPr>
          <w:p w14:paraId="794658D2"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1ACA6615"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61BAE3CE"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59C24E2B"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0E3DBCE3"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1840E34"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3A148EAB" w14:textId="77777777" w:rsidTr="0020372B">
        <w:trPr>
          <w:trHeight w:val="20"/>
        </w:trPr>
        <w:tc>
          <w:tcPr>
            <w:tcW w:w="692" w:type="pct"/>
            <w:vMerge/>
            <w:vAlign w:val="center"/>
            <w:hideMark/>
          </w:tcPr>
          <w:p w14:paraId="16E23D32"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00526309" w14:textId="77777777" w:rsidR="00F54B3A" w:rsidRPr="00BE789A" w:rsidRDefault="00F54B3A" w:rsidP="0020372B">
            <w:pPr>
              <w:keepNext/>
              <w:spacing w:before="0" w:after="0" w:line="276" w:lineRule="auto"/>
              <w:rPr>
                <w:lang w:val="en-US"/>
              </w:rPr>
            </w:pPr>
            <w:r w:rsidRPr="00BE789A">
              <w:t>Banibangou</w:t>
            </w:r>
          </w:p>
        </w:tc>
        <w:tc>
          <w:tcPr>
            <w:tcW w:w="351" w:type="pct"/>
            <w:vMerge/>
            <w:vAlign w:val="center"/>
            <w:hideMark/>
          </w:tcPr>
          <w:p w14:paraId="73AE08C3"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76931F64" w14:textId="77777777" w:rsidR="00F54B3A" w:rsidRPr="00BE789A" w:rsidRDefault="00F54B3A" w:rsidP="0020372B">
            <w:pPr>
              <w:keepNext/>
              <w:spacing w:before="0" w:after="0" w:line="276" w:lineRule="auto"/>
              <w:jc w:val="center"/>
              <w:rPr>
                <w:lang w:val="en-US"/>
              </w:rPr>
            </w:pPr>
            <w:r w:rsidRPr="00BE789A">
              <w:t>59</w:t>
            </w:r>
          </w:p>
        </w:tc>
        <w:tc>
          <w:tcPr>
            <w:tcW w:w="684" w:type="pct"/>
            <w:shd w:val="clear" w:color="auto" w:fill="auto"/>
            <w:tcMar>
              <w:top w:w="15" w:type="dxa"/>
              <w:left w:w="15" w:type="dxa"/>
              <w:bottom w:w="0" w:type="dxa"/>
              <w:right w:w="15" w:type="dxa"/>
            </w:tcMar>
            <w:vAlign w:val="center"/>
            <w:hideMark/>
          </w:tcPr>
          <w:p w14:paraId="052845FA"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75114B07"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33784920"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289A1496"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7888B375" w14:textId="77777777" w:rsidTr="0020372B">
        <w:trPr>
          <w:trHeight w:val="20"/>
        </w:trPr>
        <w:tc>
          <w:tcPr>
            <w:tcW w:w="692" w:type="pct"/>
            <w:vMerge/>
            <w:vAlign w:val="center"/>
            <w:hideMark/>
          </w:tcPr>
          <w:p w14:paraId="41B1F73C"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63668CB7" w14:textId="77777777" w:rsidR="00F54B3A" w:rsidRPr="00BE789A" w:rsidRDefault="00F54B3A" w:rsidP="0020372B">
            <w:pPr>
              <w:keepNext/>
              <w:spacing w:before="0" w:after="0" w:line="276" w:lineRule="auto"/>
              <w:rPr>
                <w:lang w:val="en-US"/>
              </w:rPr>
            </w:pPr>
            <w:r w:rsidRPr="00BE789A">
              <w:t>Ayerou</w:t>
            </w:r>
          </w:p>
        </w:tc>
        <w:tc>
          <w:tcPr>
            <w:tcW w:w="351" w:type="pct"/>
            <w:vMerge/>
            <w:vAlign w:val="center"/>
            <w:hideMark/>
          </w:tcPr>
          <w:p w14:paraId="7031331A"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2A82587E" w14:textId="77777777" w:rsidR="00F54B3A" w:rsidRPr="00BE789A" w:rsidRDefault="00F54B3A" w:rsidP="0020372B">
            <w:pPr>
              <w:keepNext/>
              <w:spacing w:before="0" w:after="0" w:line="276" w:lineRule="auto"/>
              <w:jc w:val="center"/>
              <w:rPr>
                <w:lang w:val="en-US"/>
              </w:rPr>
            </w:pPr>
            <w:r w:rsidRPr="00BE789A">
              <w:t>51</w:t>
            </w:r>
          </w:p>
        </w:tc>
        <w:tc>
          <w:tcPr>
            <w:tcW w:w="684" w:type="pct"/>
            <w:shd w:val="clear" w:color="auto" w:fill="auto"/>
            <w:tcMar>
              <w:top w:w="15" w:type="dxa"/>
              <w:left w:w="15" w:type="dxa"/>
              <w:bottom w:w="0" w:type="dxa"/>
              <w:right w:w="15" w:type="dxa"/>
            </w:tcMar>
            <w:vAlign w:val="center"/>
            <w:hideMark/>
          </w:tcPr>
          <w:p w14:paraId="6589B0EA"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6E54E45C"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49C99814"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55DC1E71"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420CA3A3" w14:textId="77777777" w:rsidTr="0020372B">
        <w:trPr>
          <w:trHeight w:val="20"/>
        </w:trPr>
        <w:tc>
          <w:tcPr>
            <w:tcW w:w="1656" w:type="pct"/>
            <w:gridSpan w:val="2"/>
            <w:shd w:val="clear" w:color="auto" w:fill="D9D9D9" w:themeFill="background1" w:themeFillShade="D9"/>
            <w:tcMar>
              <w:top w:w="15" w:type="dxa"/>
              <w:left w:w="15" w:type="dxa"/>
              <w:bottom w:w="0" w:type="dxa"/>
              <w:right w:w="15" w:type="dxa"/>
            </w:tcMar>
            <w:vAlign w:val="center"/>
            <w:hideMark/>
          </w:tcPr>
          <w:p w14:paraId="2F598A9D" w14:textId="77777777" w:rsidR="00F54B3A" w:rsidRPr="00BE789A" w:rsidRDefault="00F54B3A" w:rsidP="0020372B">
            <w:pPr>
              <w:keepNext/>
              <w:spacing w:before="0" w:after="0" w:line="276" w:lineRule="auto"/>
              <w:jc w:val="right"/>
              <w:rPr>
                <w:lang w:val="en-US"/>
              </w:rPr>
            </w:pPr>
            <w:r w:rsidRPr="00BE789A">
              <w:rPr>
                <w:b/>
                <w:bCs/>
              </w:rPr>
              <w:t>Total réalisé</w:t>
            </w:r>
          </w:p>
        </w:tc>
        <w:tc>
          <w:tcPr>
            <w:tcW w:w="351" w:type="pct"/>
            <w:shd w:val="clear" w:color="auto" w:fill="D9D9D9" w:themeFill="background1" w:themeFillShade="D9"/>
            <w:tcMar>
              <w:top w:w="15" w:type="dxa"/>
              <w:left w:w="15" w:type="dxa"/>
              <w:bottom w:w="0" w:type="dxa"/>
              <w:right w:w="15" w:type="dxa"/>
            </w:tcMar>
            <w:vAlign w:val="center"/>
            <w:hideMark/>
          </w:tcPr>
          <w:p w14:paraId="19276D4C" w14:textId="77777777" w:rsidR="00F54B3A" w:rsidRPr="00BE789A" w:rsidRDefault="00F54B3A" w:rsidP="0020372B">
            <w:pPr>
              <w:keepNext/>
              <w:spacing w:before="0" w:after="0" w:line="276" w:lineRule="auto"/>
              <w:jc w:val="center"/>
              <w:rPr>
                <w:lang w:val="en-US"/>
              </w:rPr>
            </w:pPr>
            <w:r w:rsidRPr="00BE789A">
              <w:rPr>
                <w:b/>
                <w:bCs/>
              </w:rPr>
              <w:t>17</w:t>
            </w:r>
          </w:p>
        </w:tc>
        <w:tc>
          <w:tcPr>
            <w:tcW w:w="733" w:type="pct"/>
            <w:shd w:val="clear" w:color="auto" w:fill="D9D9D9" w:themeFill="background1" w:themeFillShade="D9"/>
            <w:tcMar>
              <w:top w:w="15" w:type="dxa"/>
              <w:left w:w="15" w:type="dxa"/>
              <w:bottom w:w="0" w:type="dxa"/>
              <w:right w:w="15" w:type="dxa"/>
            </w:tcMar>
            <w:vAlign w:val="center"/>
            <w:hideMark/>
          </w:tcPr>
          <w:p w14:paraId="1898C24C" w14:textId="77777777" w:rsidR="00F54B3A" w:rsidRPr="00BE789A" w:rsidRDefault="00F54B3A" w:rsidP="0020372B">
            <w:pPr>
              <w:keepNext/>
              <w:spacing w:before="0" w:after="0" w:line="276" w:lineRule="auto"/>
              <w:jc w:val="center"/>
              <w:rPr>
                <w:lang w:val="en-US"/>
              </w:rPr>
            </w:pPr>
            <w:r w:rsidRPr="00BE789A">
              <w:rPr>
                <w:b/>
                <w:bCs/>
              </w:rPr>
              <w:t>440</w:t>
            </w:r>
          </w:p>
        </w:tc>
        <w:tc>
          <w:tcPr>
            <w:tcW w:w="684" w:type="pct"/>
            <w:shd w:val="clear" w:color="auto" w:fill="D9D9D9" w:themeFill="background1" w:themeFillShade="D9"/>
            <w:tcMar>
              <w:top w:w="15" w:type="dxa"/>
              <w:left w:w="15" w:type="dxa"/>
              <w:bottom w:w="0" w:type="dxa"/>
              <w:right w:w="15" w:type="dxa"/>
            </w:tcMar>
            <w:vAlign w:val="center"/>
            <w:hideMark/>
          </w:tcPr>
          <w:p w14:paraId="37628E3D" w14:textId="77777777" w:rsidR="00F54B3A" w:rsidRPr="00BE789A" w:rsidRDefault="00F54B3A" w:rsidP="0020372B">
            <w:pPr>
              <w:keepNext/>
              <w:spacing w:before="0" w:after="0" w:line="276" w:lineRule="auto"/>
              <w:jc w:val="center"/>
              <w:rPr>
                <w:lang w:val="en-US"/>
              </w:rPr>
            </w:pPr>
            <w:r w:rsidRPr="00BE789A">
              <w:rPr>
                <w:b/>
                <w:bCs/>
              </w:rPr>
              <w:t>32</w:t>
            </w:r>
          </w:p>
        </w:tc>
        <w:tc>
          <w:tcPr>
            <w:tcW w:w="643" w:type="pct"/>
            <w:shd w:val="clear" w:color="auto" w:fill="D9D9D9" w:themeFill="background1" w:themeFillShade="D9"/>
            <w:tcMar>
              <w:top w:w="15" w:type="dxa"/>
              <w:left w:w="15" w:type="dxa"/>
              <w:bottom w:w="0" w:type="dxa"/>
              <w:right w:w="15" w:type="dxa"/>
            </w:tcMar>
            <w:vAlign w:val="center"/>
            <w:hideMark/>
          </w:tcPr>
          <w:p w14:paraId="5AF78F94" w14:textId="77777777" w:rsidR="00F54B3A" w:rsidRPr="00BE789A" w:rsidRDefault="00F54B3A" w:rsidP="0020372B">
            <w:pPr>
              <w:keepNext/>
              <w:spacing w:before="0" w:after="0" w:line="276" w:lineRule="auto"/>
              <w:jc w:val="center"/>
              <w:rPr>
                <w:lang w:val="en-US"/>
              </w:rPr>
            </w:pPr>
            <w:r w:rsidRPr="00BE789A">
              <w:rPr>
                <w:b/>
                <w:bCs/>
              </w:rPr>
              <w:t>16</w:t>
            </w:r>
          </w:p>
        </w:tc>
        <w:tc>
          <w:tcPr>
            <w:tcW w:w="463" w:type="pct"/>
            <w:shd w:val="clear" w:color="auto" w:fill="D9D9D9" w:themeFill="background1" w:themeFillShade="D9"/>
            <w:tcMar>
              <w:top w:w="15" w:type="dxa"/>
              <w:left w:w="15" w:type="dxa"/>
              <w:bottom w:w="0" w:type="dxa"/>
              <w:right w:w="15" w:type="dxa"/>
            </w:tcMar>
            <w:vAlign w:val="center"/>
            <w:hideMark/>
          </w:tcPr>
          <w:p w14:paraId="664BFD4D" w14:textId="77777777" w:rsidR="00F54B3A" w:rsidRPr="00BE789A" w:rsidRDefault="00F54B3A" w:rsidP="0020372B">
            <w:pPr>
              <w:keepNext/>
              <w:spacing w:before="0" w:after="0" w:line="276" w:lineRule="auto"/>
              <w:jc w:val="center"/>
              <w:rPr>
                <w:lang w:val="en-US"/>
              </w:rPr>
            </w:pPr>
            <w:r w:rsidRPr="00BE789A">
              <w:rPr>
                <w:b/>
                <w:bCs/>
              </w:rPr>
              <w:t>24</w:t>
            </w:r>
          </w:p>
        </w:tc>
        <w:tc>
          <w:tcPr>
            <w:tcW w:w="470" w:type="pct"/>
            <w:shd w:val="clear" w:color="auto" w:fill="D9D9D9" w:themeFill="background1" w:themeFillShade="D9"/>
            <w:tcMar>
              <w:top w:w="15" w:type="dxa"/>
              <w:left w:w="15" w:type="dxa"/>
              <w:bottom w:w="0" w:type="dxa"/>
              <w:right w:w="15" w:type="dxa"/>
            </w:tcMar>
            <w:vAlign w:val="center"/>
            <w:hideMark/>
          </w:tcPr>
          <w:p w14:paraId="0C415954" w14:textId="77777777" w:rsidR="00F54B3A" w:rsidRPr="00BE789A" w:rsidRDefault="00F54B3A" w:rsidP="0020372B">
            <w:pPr>
              <w:keepNext/>
              <w:spacing w:before="0" w:after="0" w:line="276" w:lineRule="auto"/>
              <w:jc w:val="center"/>
              <w:rPr>
                <w:lang w:val="en-US"/>
              </w:rPr>
            </w:pPr>
            <w:r w:rsidRPr="00BE789A">
              <w:rPr>
                <w:b/>
                <w:bCs/>
              </w:rPr>
              <w:t>56</w:t>
            </w:r>
          </w:p>
        </w:tc>
      </w:tr>
      <w:tr w:rsidR="00F54B3A" w:rsidRPr="00BE789A" w14:paraId="5554FC8A" w14:textId="77777777" w:rsidTr="0020372B">
        <w:trPr>
          <w:trHeight w:val="20"/>
        </w:trPr>
        <w:tc>
          <w:tcPr>
            <w:tcW w:w="1656" w:type="pct"/>
            <w:gridSpan w:val="2"/>
            <w:shd w:val="clear" w:color="auto" w:fill="auto"/>
            <w:tcMar>
              <w:top w:w="15" w:type="dxa"/>
              <w:left w:w="15" w:type="dxa"/>
              <w:bottom w:w="0" w:type="dxa"/>
              <w:right w:w="15" w:type="dxa"/>
            </w:tcMar>
            <w:vAlign w:val="center"/>
          </w:tcPr>
          <w:p w14:paraId="79EE7FED" w14:textId="77777777" w:rsidR="00F54B3A" w:rsidRPr="00BE789A" w:rsidRDefault="00F54B3A" w:rsidP="0020372B">
            <w:pPr>
              <w:keepNext/>
              <w:spacing w:before="0" w:after="0" w:line="276" w:lineRule="auto"/>
              <w:jc w:val="right"/>
            </w:pPr>
            <w:r w:rsidRPr="00BE789A">
              <w:t>Total prévu</w:t>
            </w:r>
          </w:p>
        </w:tc>
        <w:tc>
          <w:tcPr>
            <w:tcW w:w="351" w:type="pct"/>
            <w:shd w:val="clear" w:color="auto" w:fill="auto"/>
            <w:tcMar>
              <w:top w:w="15" w:type="dxa"/>
              <w:left w:w="15" w:type="dxa"/>
              <w:bottom w:w="0" w:type="dxa"/>
              <w:right w:w="15" w:type="dxa"/>
            </w:tcMar>
            <w:vAlign w:val="center"/>
          </w:tcPr>
          <w:p w14:paraId="4DAE8D86" w14:textId="77777777" w:rsidR="00F54B3A" w:rsidRPr="00BE789A" w:rsidRDefault="00F54B3A" w:rsidP="0020372B">
            <w:pPr>
              <w:keepNext/>
              <w:spacing w:before="0" w:after="0" w:line="276" w:lineRule="auto"/>
              <w:jc w:val="center"/>
            </w:pPr>
            <w:r w:rsidRPr="00BE789A">
              <w:t>30</w:t>
            </w:r>
          </w:p>
        </w:tc>
        <w:tc>
          <w:tcPr>
            <w:tcW w:w="733" w:type="pct"/>
            <w:shd w:val="clear" w:color="auto" w:fill="auto"/>
            <w:tcMar>
              <w:top w:w="15" w:type="dxa"/>
              <w:left w:w="15" w:type="dxa"/>
              <w:bottom w:w="0" w:type="dxa"/>
              <w:right w:w="15" w:type="dxa"/>
            </w:tcMar>
            <w:vAlign w:val="center"/>
          </w:tcPr>
          <w:p w14:paraId="3C783335" w14:textId="77777777" w:rsidR="00F54B3A" w:rsidRPr="00BE789A" w:rsidRDefault="00F54B3A" w:rsidP="0020372B">
            <w:pPr>
              <w:keepNext/>
              <w:spacing w:before="0" w:after="0" w:line="276" w:lineRule="auto"/>
              <w:jc w:val="center"/>
            </w:pPr>
            <w:r w:rsidRPr="00BE789A">
              <w:t>440</w:t>
            </w:r>
          </w:p>
        </w:tc>
        <w:tc>
          <w:tcPr>
            <w:tcW w:w="684" w:type="pct"/>
            <w:shd w:val="clear" w:color="auto" w:fill="auto"/>
            <w:tcMar>
              <w:top w:w="15" w:type="dxa"/>
              <w:left w:w="15" w:type="dxa"/>
              <w:bottom w:w="0" w:type="dxa"/>
              <w:right w:w="15" w:type="dxa"/>
            </w:tcMar>
            <w:vAlign w:val="center"/>
          </w:tcPr>
          <w:p w14:paraId="6A5156D0" w14:textId="77777777" w:rsidR="00F54B3A" w:rsidRPr="00BE789A" w:rsidRDefault="00F54B3A" w:rsidP="0020372B">
            <w:pPr>
              <w:keepNext/>
              <w:spacing w:before="0" w:after="0" w:line="276" w:lineRule="auto"/>
              <w:jc w:val="center"/>
            </w:pPr>
            <w:r w:rsidRPr="00BE789A">
              <w:t>32</w:t>
            </w:r>
          </w:p>
        </w:tc>
        <w:tc>
          <w:tcPr>
            <w:tcW w:w="643" w:type="pct"/>
            <w:shd w:val="clear" w:color="auto" w:fill="auto"/>
            <w:tcMar>
              <w:top w:w="15" w:type="dxa"/>
              <w:left w:w="15" w:type="dxa"/>
              <w:bottom w:w="0" w:type="dxa"/>
              <w:right w:w="15" w:type="dxa"/>
            </w:tcMar>
            <w:vAlign w:val="center"/>
          </w:tcPr>
          <w:p w14:paraId="4D7C4C3E" w14:textId="77777777" w:rsidR="00F54B3A" w:rsidRPr="00BE789A" w:rsidRDefault="00F54B3A" w:rsidP="0020372B">
            <w:pPr>
              <w:keepNext/>
              <w:spacing w:before="0" w:after="0" w:line="276" w:lineRule="auto"/>
              <w:jc w:val="center"/>
            </w:pPr>
            <w:r w:rsidRPr="00BE789A">
              <w:t>16</w:t>
            </w:r>
          </w:p>
        </w:tc>
        <w:tc>
          <w:tcPr>
            <w:tcW w:w="463" w:type="pct"/>
            <w:shd w:val="clear" w:color="auto" w:fill="auto"/>
            <w:tcMar>
              <w:top w:w="15" w:type="dxa"/>
              <w:left w:w="15" w:type="dxa"/>
              <w:bottom w:w="0" w:type="dxa"/>
              <w:right w:w="15" w:type="dxa"/>
            </w:tcMar>
            <w:vAlign w:val="center"/>
          </w:tcPr>
          <w:p w14:paraId="3485C8D5" w14:textId="77777777" w:rsidR="00F54B3A" w:rsidRPr="00BE789A" w:rsidRDefault="00F54B3A" w:rsidP="0020372B">
            <w:pPr>
              <w:keepNext/>
              <w:spacing w:before="0" w:after="0" w:line="276" w:lineRule="auto"/>
              <w:jc w:val="center"/>
            </w:pPr>
            <w:r w:rsidRPr="00BE789A">
              <w:t>24</w:t>
            </w:r>
          </w:p>
        </w:tc>
        <w:tc>
          <w:tcPr>
            <w:tcW w:w="470" w:type="pct"/>
            <w:shd w:val="clear" w:color="auto" w:fill="auto"/>
            <w:tcMar>
              <w:top w:w="15" w:type="dxa"/>
              <w:left w:w="15" w:type="dxa"/>
              <w:bottom w:w="0" w:type="dxa"/>
              <w:right w:w="15" w:type="dxa"/>
            </w:tcMar>
            <w:vAlign w:val="center"/>
          </w:tcPr>
          <w:p w14:paraId="0B7652D9" w14:textId="77777777" w:rsidR="00F54B3A" w:rsidRPr="00BE789A" w:rsidRDefault="00F54B3A" w:rsidP="0020372B">
            <w:pPr>
              <w:keepNext/>
              <w:spacing w:before="0" w:after="0" w:line="276" w:lineRule="auto"/>
              <w:jc w:val="center"/>
            </w:pPr>
            <w:r w:rsidRPr="00BE789A">
              <w:t>56</w:t>
            </w:r>
          </w:p>
        </w:tc>
      </w:tr>
      <w:tr w:rsidR="00F54B3A" w:rsidRPr="00902BD8" w14:paraId="5CF9C1AC" w14:textId="77777777" w:rsidTr="0020372B">
        <w:trPr>
          <w:trHeight w:val="20"/>
        </w:trPr>
        <w:tc>
          <w:tcPr>
            <w:tcW w:w="1656" w:type="pct"/>
            <w:gridSpan w:val="2"/>
            <w:shd w:val="clear" w:color="auto" w:fill="D9D9D9" w:themeFill="background1" w:themeFillShade="D9"/>
            <w:tcMar>
              <w:top w:w="15" w:type="dxa"/>
              <w:left w:w="15" w:type="dxa"/>
              <w:bottom w:w="0" w:type="dxa"/>
              <w:right w:w="15" w:type="dxa"/>
            </w:tcMar>
            <w:vAlign w:val="center"/>
          </w:tcPr>
          <w:p w14:paraId="38690C54" w14:textId="77777777" w:rsidR="00F54B3A" w:rsidRPr="00BE789A" w:rsidRDefault="00F54B3A" w:rsidP="0020372B">
            <w:pPr>
              <w:keepNext/>
              <w:spacing w:before="0" w:after="0" w:line="276" w:lineRule="auto"/>
              <w:jc w:val="right"/>
            </w:pPr>
            <w:r w:rsidRPr="00BE789A">
              <w:t>Taux de réalisation</w:t>
            </w:r>
          </w:p>
        </w:tc>
        <w:tc>
          <w:tcPr>
            <w:tcW w:w="351" w:type="pct"/>
            <w:shd w:val="clear" w:color="auto" w:fill="D9D9D9" w:themeFill="background1" w:themeFillShade="D9"/>
            <w:tcMar>
              <w:top w:w="15" w:type="dxa"/>
              <w:left w:w="15" w:type="dxa"/>
              <w:bottom w:w="0" w:type="dxa"/>
              <w:right w:w="15" w:type="dxa"/>
            </w:tcMar>
            <w:vAlign w:val="center"/>
          </w:tcPr>
          <w:p w14:paraId="310AD652" w14:textId="77777777" w:rsidR="00F54B3A" w:rsidRPr="00BE789A" w:rsidRDefault="00F54B3A" w:rsidP="0020372B">
            <w:pPr>
              <w:keepNext/>
              <w:spacing w:before="0" w:after="0" w:line="276" w:lineRule="auto"/>
              <w:jc w:val="center"/>
            </w:pPr>
            <w:r w:rsidRPr="00BE789A">
              <w:t>5</w:t>
            </w:r>
            <w:r>
              <w:t>7</w:t>
            </w:r>
            <w:r w:rsidRPr="00BE789A">
              <w:t>%</w:t>
            </w:r>
          </w:p>
        </w:tc>
        <w:tc>
          <w:tcPr>
            <w:tcW w:w="733" w:type="pct"/>
            <w:shd w:val="clear" w:color="auto" w:fill="D9D9D9" w:themeFill="background1" w:themeFillShade="D9"/>
            <w:tcMar>
              <w:top w:w="15" w:type="dxa"/>
              <w:left w:w="15" w:type="dxa"/>
              <w:bottom w:w="0" w:type="dxa"/>
              <w:right w:w="15" w:type="dxa"/>
            </w:tcMar>
            <w:vAlign w:val="center"/>
          </w:tcPr>
          <w:p w14:paraId="07CCDF89" w14:textId="77777777" w:rsidR="00F54B3A" w:rsidRPr="00BE789A" w:rsidRDefault="00F54B3A" w:rsidP="0020372B">
            <w:pPr>
              <w:keepNext/>
              <w:spacing w:before="0" w:after="0" w:line="276" w:lineRule="auto"/>
              <w:jc w:val="center"/>
            </w:pPr>
            <w:r w:rsidRPr="00BE789A">
              <w:t>100%</w:t>
            </w:r>
          </w:p>
        </w:tc>
        <w:tc>
          <w:tcPr>
            <w:tcW w:w="684" w:type="pct"/>
            <w:shd w:val="clear" w:color="auto" w:fill="D9D9D9" w:themeFill="background1" w:themeFillShade="D9"/>
            <w:tcMar>
              <w:top w:w="15" w:type="dxa"/>
              <w:left w:w="15" w:type="dxa"/>
              <w:bottom w:w="0" w:type="dxa"/>
              <w:right w:w="15" w:type="dxa"/>
            </w:tcMar>
          </w:tcPr>
          <w:p w14:paraId="59A832C8" w14:textId="77777777" w:rsidR="00F54B3A" w:rsidRPr="00BE789A" w:rsidRDefault="00F54B3A" w:rsidP="0020372B">
            <w:pPr>
              <w:keepNext/>
              <w:spacing w:before="0" w:after="0" w:line="276" w:lineRule="auto"/>
              <w:jc w:val="center"/>
            </w:pPr>
            <w:r w:rsidRPr="00BE789A">
              <w:t>100%</w:t>
            </w:r>
          </w:p>
        </w:tc>
        <w:tc>
          <w:tcPr>
            <w:tcW w:w="643" w:type="pct"/>
            <w:shd w:val="clear" w:color="auto" w:fill="D9D9D9" w:themeFill="background1" w:themeFillShade="D9"/>
            <w:tcMar>
              <w:top w:w="15" w:type="dxa"/>
              <w:left w:w="15" w:type="dxa"/>
              <w:bottom w:w="0" w:type="dxa"/>
              <w:right w:w="15" w:type="dxa"/>
            </w:tcMar>
          </w:tcPr>
          <w:p w14:paraId="24B0FC59" w14:textId="77777777" w:rsidR="00F54B3A" w:rsidRPr="00BE789A" w:rsidRDefault="00F54B3A" w:rsidP="0020372B">
            <w:pPr>
              <w:keepNext/>
              <w:spacing w:before="0" w:after="0" w:line="276" w:lineRule="auto"/>
              <w:jc w:val="center"/>
            </w:pPr>
            <w:r w:rsidRPr="00BE789A">
              <w:t>100%</w:t>
            </w:r>
          </w:p>
        </w:tc>
        <w:tc>
          <w:tcPr>
            <w:tcW w:w="463" w:type="pct"/>
            <w:shd w:val="clear" w:color="auto" w:fill="D9D9D9" w:themeFill="background1" w:themeFillShade="D9"/>
            <w:tcMar>
              <w:top w:w="15" w:type="dxa"/>
              <w:left w:w="15" w:type="dxa"/>
              <w:bottom w:w="0" w:type="dxa"/>
              <w:right w:w="15" w:type="dxa"/>
            </w:tcMar>
          </w:tcPr>
          <w:p w14:paraId="34CDA611" w14:textId="77777777" w:rsidR="00F54B3A" w:rsidRPr="00BE789A" w:rsidRDefault="00F54B3A" w:rsidP="0020372B">
            <w:pPr>
              <w:keepNext/>
              <w:spacing w:before="0" w:after="0" w:line="276" w:lineRule="auto"/>
              <w:jc w:val="center"/>
            </w:pPr>
            <w:r w:rsidRPr="00BE789A">
              <w:t>100%</w:t>
            </w:r>
          </w:p>
        </w:tc>
        <w:tc>
          <w:tcPr>
            <w:tcW w:w="470" w:type="pct"/>
            <w:shd w:val="clear" w:color="auto" w:fill="D9D9D9" w:themeFill="background1" w:themeFillShade="D9"/>
            <w:tcMar>
              <w:top w:w="15" w:type="dxa"/>
              <w:left w:w="15" w:type="dxa"/>
              <w:bottom w:w="0" w:type="dxa"/>
              <w:right w:w="15" w:type="dxa"/>
            </w:tcMar>
          </w:tcPr>
          <w:p w14:paraId="5068BBCF" w14:textId="77777777" w:rsidR="00F54B3A" w:rsidRPr="00BE789A" w:rsidRDefault="00F54B3A" w:rsidP="0020372B">
            <w:pPr>
              <w:keepNext/>
              <w:spacing w:before="0" w:after="0" w:line="276" w:lineRule="auto"/>
              <w:jc w:val="center"/>
            </w:pPr>
            <w:r w:rsidRPr="00BE789A">
              <w:t>100%</w:t>
            </w:r>
          </w:p>
        </w:tc>
      </w:tr>
    </w:tbl>
    <w:p w14:paraId="3E56B94A" w14:textId="77777777" w:rsidR="009A0D94" w:rsidRPr="00BE789A" w:rsidRDefault="009A0D94" w:rsidP="009A0D94">
      <w:pPr>
        <w:keepNext/>
        <w:spacing w:before="0" w:line="276" w:lineRule="auto"/>
        <w:rPr>
          <w:i/>
          <w:sz w:val="20"/>
        </w:rPr>
      </w:pPr>
      <w:r w:rsidRPr="002D3E79">
        <w:rPr>
          <w:i/>
          <w:sz w:val="20"/>
        </w:rPr>
        <w:t>Source : Données d’enquête terrain d’août à septembre 2021</w:t>
      </w:r>
      <w:r>
        <w:rPr>
          <w:i/>
          <w:sz w:val="20"/>
        </w:rPr>
        <w:t xml:space="preserve">(Mali et Niger) </w:t>
      </w:r>
    </w:p>
    <w:p w14:paraId="200F116B" w14:textId="77777777" w:rsidR="009A0D94" w:rsidRPr="008D3C5A" w:rsidRDefault="009A0D94" w:rsidP="00D23DB4">
      <w:pPr>
        <w:spacing w:before="240" w:after="0" w:line="276" w:lineRule="auto"/>
        <w:rPr>
          <w:b/>
          <w:i/>
          <w:color w:val="004F8A"/>
        </w:rPr>
      </w:pPr>
      <w:r w:rsidRPr="008D3C5A">
        <w:rPr>
          <w:b/>
          <w:i/>
          <w:color w:val="004F8A"/>
        </w:rPr>
        <w:t>Caractéristiques socio-démographiques des bénéficiaires directs enquêtés</w:t>
      </w:r>
    </w:p>
    <w:p w14:paraId="7D1BFEEC" w14:textId="77777777" w:rsidR="009A0D94" w:rsidRDefault="009A0D94" w:rsidP="009A0D94">
      <w:pPr>
        <w:pStyle w:val="Paragraphedeliste"/>
        <w:numPr>
          <w:ilvl w:val="0"/>
          <w:numId w:val="84"/>
        </w:numPr>
        <w:spacing w:before="0" w:line="276" w:lineRule="auto"/>
      </w:pPr>
      <w:r w:rsidRPr="00E056AA">
        <w:rPr>
          <w:b/>
          <w:bCs/>
          <w:i/>
          <w:iCs/>
        </w:rPr>
        <w:t>Répartition des enquêtés par sexe</w:t>
      </w:r>
      <w:r>
        <w:rPr>
          <w:b/>
          <w:bCs/>
          <w:i/>
          <w:iCs/>
        </w:rPr>
        <w:t xml:space="preserve">, </w:t>
      </w:r>
      <w:r w:rsidRPr="00E056AA">
        <w:rPr>
          <w:b/>
          <w:bCs/>
          <w:i/>
          <w:iCs/>
        </w:rPr>
        <w:t xml:space="preserve">par tranche d’âge : </w:t>
      </w:r>
      <w:r w:rsidRPr="00E056AA">
        <w:t>Les 440 bénéficiaires directs rencontrés comprennent 254 personnes de sexe féminin (5</w:t>
      </w:r>
      <w:r>
        <w:t>8</w:t>
      </w:r>
      <w:r w:rsidRPr="00E056AA">
        <w:t>%) avec un âge moyen de 39 ans et 186 de sexe masculin (42%) avec un âge moyen de 38 ans. 7</w:t>
      </w:r>
      <w:r>
        <w:t>4</w:t>
      </w:r>
      <w:r w:rsidRPr="00E056AA">
        <w:t xml:space="preserve">% des femmes et 60% des hommes sont dans la tranche d’âge de 35 </w:t>
      </w:r>
      <w:r w:rsidRPr="00380A1D">
        <w:t xml:space="preserve">ans et plus. </w:t>
      </w:r>
    </w:p>
    <w:p w14:paraId="360FA7C2" w14:textId="40B891D2" w:rsidR="009A0D94" w:rsidRPr="00E5606A" w:rsidRDefault="009A0D94" w:rsidP="009A0D94">
      <w:pPr>
        <w:pStyle w:val="Paragraphedeliste"/>
        <w:numPr>
          <w:ilvl w:val="0"/>
          <w:numId w:val="84"/>
        </w:numPr>
        <w:spacing w:line="276" w:lineRule="auto"/>
      </w:pPr>
      <w:r w:rsidRPr="04F997C7">
        <w:rPr>
          <w:b/>
          <w:bCs/>
          <w:i/>
          <w:iCs/>
        </w:rPr>
        <w:t>Répartition des enquêtés par sexe, par situation de vulnérabilité (handicap et statut de résidence) :</w:t>
      </w:r>
      <w:r>
        <w:t xml:space="preserve"> La collecte des données a touché aussi bien des autochtones que des personnes déplacées internes. 83% des répondants déclarent être des autochtones et 16% des personnes déplacées internes, le reste étant des populations retournées ou en service (affectation) dans la localité. Parmi les femmes enquêtées, 13,8% sont des déplacées internes. Par ailleurs, il faut noter que 13 des 440 bénéficiaires directs enquêtés (soit 3% de l’échantillon) sont en situation de handicap</w:t>
      </w:r>
      <w:r w:rsidR="00151B30">
        <w:t xml:space="preserve"> (12 handicapés moteurs, 2 handicapés visuels et 1 handicapé </w:t>
      </w:r>
      <w:r w:rsidR="006A2658">
        <w:t>auditif</w:t>
      </w:r>
      <w:r w:rsidR="00151B30">
        <w:t>)</w:t>
      </w:r>
      <w:r>
        <w:t>. Parmi les 13 personnes handicap, 12 sont des femmes.</w:t>
      </w:r>
    </w:p>
    <w:p w14:paraId="11A3996B" w14:textId="77777777" w:rsidR="009A0D94" w:rsidRPr="00380A1D" w:rsidRDefault="009A0D94" w:rsidP="009A0D94">
      <w:pPr>
        <w:pStyle w:val="Paragraphedeliste"/>
        <w:numPr>
          <w:ilvl w:val="0"/>
          <w:numId w:val="84"/>
        </w:numPr>
        <w:spacing w:line="276" w:lineRule="auto"/>
      </w:pPr>
      <w:r w:rsidRPr="00380A1D">
        <w:rPr>
          <w:b/>
          <w:bCs/>
          <w:i/>
          <w:iCs/>
        </w:rPr>
        <w:t xml:space="preserve">Répartition des enquêtés par sexe et statut matrimonial : </w:t>
      </w:r>
      <w:r w:rsidRPr="00380A1D">
        <w:t>La majorité des répondants soit 7</w:t>
      </w:r>
      <w:r>
        <w:t>4</w:t>
      </w:r>
      <w:r w:rsidRPr="00380A1D">
        <w:t>% sont mariés</w:t>
      </w:r>
      <w:r>
        <w:t xml:space="preserve"> (et en couple actuellement : monogame et polygame) et 15% sont célibataires. L</w:t>
      </w:r>
      <w:r w:rsidRPr="00380A1D">
        <w:t>es femmes célibataires ont représenté 1</w:t>
      </w:r>
      <w:r>
        <w:t>2</w:t>
      </w:r>
      <w:r w:rsidRPr="00380A1D">
        <w:t xml:space="preserve">% des femmes enquêtées et les hommes 18,8% de l’ensemble des hommes. </w:t>
      </w:r>
      <w:r>
        <w:t xml:space="preserve">Les autres répondants, soit 54 au total (12% de l’échantillon) sont soit en situation de divorce (22 femmes) ou de veuvage (30 femmes et 1 homme). </w:t>
      </w:r>
    </w:p>
    <w:p w14:paraId="4C414C7A" w14:textId="77777777" w:rsidR="009A0D94" w:rsidRDefault="009A0D94" w:rsidP="009A0D94">
      <w:pPr>
        <w:pStyle w:val="Paragraphedeliste"/>
        <w:numPr>
          <w:ilvl w:val="0"/>
          <w:numId w:val="84"/>
        </w:numPr>
        <w:spacing w:line="276" w:lineRule="auto"/>
      </w:pPr>
      <w:r w:rsidRPr="006B53B9">
        <w:rPr>
          <w:b/>
          <w:i/>
        </w:rPr>
        <w:t xml:space="preserve">Répartition des enquêtés par </w:t>
      </w:r>
      <w:r w:rsidRPr="00D42B55">
        <w:rPr>
          <w:b/>
          <w:i/>
        </w:rPr>
        <w:t>sexe et par niveau d’études </w:t>
      </w:r>
      <w:r w:rsidRPr="00D42B55">
        <w:t>: De façon globale, 40% bénéficiaires directs enquêtés sont sans instruction scolaire. On note une importante disparité entre les hommes et les femmes, 4</w:t>
      </w:r>
      <w:r>
        <w:t>4</w:t>
      </w:r>
      <w:r w:rsidRPr="00D42B55">
        <w:t>% des femmes étant sans instruction contre 3</w:t>
      </w:r>
      <w:r>
        <w:t>6</w:t>
      </w:r>
      <w:r w:rsidRPr="00D42B55">
        <w:t>% pour les hommes. Il ressort aussi que parmi les personnes instruites, les hommes sont relativement plus représentés dans les niveaux d’instructions élevés. Chez les hommes, 3</w:t>
      </w:r>
      <w:r>
        <w:t>4</w:t>
      </w:r>
      <w:r w:rsidRPr="00D42B55">
        <w:t>% ont atteint le niveau « Secondaire » et 4% le niveau « Supérieur ». Par contre, 21% des femmes ont atteint le niveau « Secondaire » et aucune n’a atteint le niveau « Supérieur ».</w:t>
      </w:r>
    </w:p>
    <w:p w14:paraId="001FBD6A" w14:textId="67B9EF23" w:rsidR="009A0D94" w:rsidRPr="001F5F83" w:rsidRDefault="009A0D94" w:rsidP="009A0D94">
      <w:pPr>
        <w:pStyle w:val="Paragraphedeliste"/>
        <w:numPr>
          <w:ilvl w:val="0"/>
          <w:numId w:val="84"/>
        </w:numPr>
        <w:spacing w:line="276" w:lineRule="auto"/>
      </w:pPr>
      <w:r w:rsidRPr="00534246">
        <w:rPr>
          <w:b/>
          <w:i/>
        </w:rPr>
        <w:t xml:space="preserve">Répartition des enquêtés par sexe et par activité principale : </w:t>
      </w:r>
      <w:r w:rsidRPr="00534246">
        <w:rPr>
          <w:bCs/>
          <w:iCs/>
        </w:rPr>
        <w:t>Environ 7 femmes enquêtées sur 10 (</w:t>
      </w:r>
      <w:r>
        <w:rPr>
          <w:bCs/>
          <w:iCs/>
        </w:rPr>
        <w:t xml:space="preserve">soit </w:t>
      </w:r>
      <w:r w:rsidRPr="00534246">
        <w:rPr>
          <w:bCs/>
          <w:iCs/>
        </w:rPr>
        <w:t>71%) ont pour occupation principale les travaux ménag</w:t>
      </w:r>
      <w:r w:rsidR="001504F5">
        <w:rPr>
          <w:bCs/>
          <w:iCs/>
        </w:rPr>
        <w:t>ers</w:t>
      </w:r>
      <w:r w:rsidRPr="00534246">
        <w:rPr>
          <w:bCs/>
          <w:iCs/>
        </w:rPr>
        <w:t>. Seules 21,3% des femmes enquêtées sont occupées à des activités économiques, ces activités étant principalement le commerce (1</w:t>
      </w:r>
      <w:r>
        <w:rPr>
          <w:bCs/>
          <w:iCs/>
        </w:rPr>
        <w:t>2</w:t>
      </w:r>
      <w:r w:rsidRPr="00534246">
        <w:rPr>
          <w:bCs/>
          <w:iCs/>
        </w:rPr>
        <w:t>%) et l’artisanat (</w:t>
      </w:r>
      <w:r>
        <w:rPr>
          <w:bCs/>
          <w:iCs/>
        </w:rPr>
        <w:t>6</w:t>
      </w:r>
      <w:r w:rsidRPr="00534246">
        <w:rPr>
          <w:bCs/>
          <w:iCs/>
        </w:rPr>
        <w:t>%). Chez les hommes par contre, 8</w:t>
      </w:r>
      <w:r>
        <w:rPr>
          <w:bCs/>
          <w:iCs/>
        </w:rPr>
        <w:t>9</w:t>
      </w:r>
      <w:r w:rsidRPr="00534246">
        <w:rPr>
          <w:bCs/>
          <w:iCs/>
        </w:rPr>
        <w:t>% d’entre eux occupent une activité économique. Les activités dominantes sont l’agriculture (3</w:t>
      </w:r>
      <w:r>
        <w:rPr>
          <w:bCs/>
          <w:iCs/>
        </w:rPr>
        <w:t>1</w:t>
      </w:r>
      <w:r w:rsidRPr="00534246">
        <w:rPr>
          <w:bCs/>
          <w:iCs/>
        </w:rPr>
        <w:t>% des hommes y exercent), le commerce (22%), l’élevage (1</w:t>
      </w:r>
      <w:r>
        <w:rPr>
          <w:bCs/>
          <w:iCs/>
        </w:rPr>
        <w:t>8</w:t>
      </w:r>
      <w:r w:rsidRPr="00534246">
        <w:rPr>
          <w:bCs/>
          <w:iCs/>
        </w:rPr>
        <w:t>%)</w:t>
      </w:r>
      <w:r>
        <w:rPr>
          <w:bCs/>
          <w:iCs/>
        </w:rPr>
        <w:t xml:space="preserve">, </w:t>
      </w:r>
      <w:r w:rsidRPr="00534246">
        <w:rPr>
          <w:bCs/>
          <w:iCs/>
        </w:rPr>
        <w:t xml:space="preserve">la fonction publique (11%) et l’artisanat (5%). </w:t>
      </w:r>
      <w:r>
        <w:rPr>
          <w:bCs/>
          <w:iCs/>
        </w:rPr>
        <w:t xml:space="preserve">Les élèves et étudiants (femmes et hommes) ont représenté </w:t>
      </w:r>
      <w:r w:rsidRPr="00534246">
        <w:rPr>
          <w:bCs/>
          <w:iCs/>
        </w:rPr>
        <w:t>6%</w:t>
      </w:r>
      <w:r>
        <w:rPr>
          <w:bCs/>
          <w:iCs/>
        </w:rPr>
        <w:t xml:space="preserve"> des bénéficiaires directs enquêtés. Les détails sur les caractéristiques socio-démographiques des bénéficiaires enquêtés sont présentés </w:t>
      </w:r>
      <w:r w:rsidRPr="002045E7">
        <w:rPr>
          <w:bCs/>
          <w:iCs/>
        </w:rPr>
        <w:t xml:space="preserve">en Annexe </w:t>
      </w:r>
      <w:r w:rsidR="000966BB">
        <w:rPr>
          <w:bCs/>
          <w:iCs/>
        </w:rPr>
        <w:t>13</w:t>
      </w:r>
      <w:r w:rsidRPr="002045E7">
        <w:rPr>
          <w:bCs/>
          <w:iCs/>
        </w:rPr>
        <w:t>.</w:t>
      </w:r>
    </w:p>
    <w:p w14:paraId="5CB23DDC" w14:textId="77777777" w:rsidR="009A0D94" w:rsidRPr="00C92C74" w:rsidRDefault="009A0D94" w:rsidP="009A0D94">
      <w:pPr>
        <w:spacing w:line="276" w:lineRule="auto"/>
        <w:rPr>
          <w:highlight w:val="yellow"/>
        </w:rPr>
      </w:pPr>
    </w:p>
    <w:p w14:paraId="7E528E96" w14:textId="0317C521" w:rsidR="005761B7" w:rsidRPr="004277E9" w:rsidRDefault="005761B7" w:rsidP="00820BBD">
      <w:pPr>
        <w:pStyle w:val="Titre2"/>
        <w:numPr>
          <w:ilvl w:val="1"/>
          <w:numId w:val="81"/>
        </w:numPr>
      </w:pPr>
      <w:bookmarkStart w:id="545" w:name="_Toc95451862"/>
      <w:r>
        <w:t xml:space="preserve">Analyse des données, </w:t>
      </w:r>
      <w:r w:rsidR="00AE62D3">
        <w:t>r</w:t>
      </w:r>
      <w:r w:rsidRPr="004277E9">
        <w:t>apportage et restitution des résultats</w:t>
      </w:r>
      <w:bookmarkEnd w:id="545"/>
      <w:r w:rsidRPr="004277E9">
        <w:t xml:space="preserve"> </w:t>
      </w:r>
    </w:p>
    <w:p w14:paraId="6B592568" w14:textId="776F5271" w:rsidR="00700022" w:rsidRDefault="00272BBB" w:rsidP="00FB2B45">
      <w:pPr>
        <w:pStyle w:val="Paragraphedeliste"/>
        <w:numPr>
          <w:ilvl w:val="0"/>
          <w:numId w:val="23"/>
        </w:numPr>
        <w:spacing w:line="276" w:lineRule="auto"/>
        <w:rPr>
          <w:rFonts w:cs="Times New Roman"/>
        </w:rPr>
      </w:pPr>
      <w:r>
        <w:rPr>
          <w:rFonts w:cs="Times New Roman"/>
        </w:rPr>
        <w:t xml:space="preserve">L’analyse des données </w:t>
      </w:r>
      <w:r w:rsidR="005C5B43">
        <w:rPr>
          <w:rFonts w:cs="Times New Roman"/>
        </w:rPr>
        <w:t>est</w:t>
      </w:r>
      <w:r>
        <w:rPr>
          <w:rFonts w:cs="Times New Roman"/>
        </w:rPr>
        <w:t xml:space="preserve"> précédée d’une étape de traitement des données. Cela </w:t>
      </w:r>
      <w:r w:rsidR="005C5B43">
        <w:rPr>
          <w:rFonts w:cs="Times New Roman"/>
        </w:rPr>
        <w:t xml:space="preserve">a </w:t>
      </w:r>
      <w:r w:rsidR="00700022">
        <w:rPr>
          <w:rFonts w:cs="Times New Roman"/>
        </w:rPr>
        <w:t>consist</w:t>
      </w:r>
      <w:r w:rsidR="005C5B43">
        <w:rPr>
          <w:rFonts w:cs="Times New Roman"/>
        </w:rPr>
        <w:t>é</w:t>
      </w:r>
      <w:r w:rsidR="00700022">
        <w:rPr>
          <w:rFonts w:cs="Times New Roman"/>
        </w:rPr>
        <w:t xml:space="preserve"> </w:t>
      </w:r>
      <w:r w:rsidR="005C5B43">
        <w:rPr>
          <w:rFonts w:cs="Times New Roman"/>
        </w:rPr>
        <w:t>à</w:t>
      </w:r>
      <w:r w:rsidR="00700022">
        <w:rPr>
          <w:rFonts w:cs="Times New Roman"/>
        </w:rPr>
        <w:t xml:space="preserve"> l’importation des</w:t>
      </w:r>
      <w:r>
        <w:rPr>
          <w:rFonts w:cs="Times New Roman"/>
        </w:rPr>
        <w:t xml:space="preserve"> données collectées par questionnaire</w:t>
      </w:r>
      <w:r w:rsidRPr="00C168C2">
        <w:rPr>
          <w:rFonts w:cs="Times New Roman"/>
        </w:rPr>
        <w:t xml:space="preserve"> </w:t>
      </w:r>
      <w:r>
        <w:rPr>
          <w:rFonts w:cs="Times New Roman"/>
        </w:rPr>
        <w:t>de la plateforme Ko</w:t>
      </w:r>
      <w:r w:rsidR="001504F5">
        <w:rPr>
          <w:rFonts w:cs="Times New Roman"/>
        </w:rPr>
        <w:t>B</w:t>
      </w:r>
      <w:r>
        <w:rPr>
          <w:rFonts w:cs="Times New Roman"/>
        </w:rPr>
        <w:t>oCollect sous format Excel, puis</w:t>
      </w:r>
      <w:r w:rsidR="00700022">
        <w:rPr>
          <w:rFonts w:cs="Times New Roman"/>
        </w:rPr>
        <w:t xml:space="preserve"> en leur apurement </w:t>
      </w:r>
      <w:r>
        <w:rPr>
          <w:rFonts w:cs="Times New Roman"/>
        </w:rPr>
        <w:t>en vue de la constitution d’une base de données</w:t>
      </w:r>
      <w:r w:rsidR="00700022">
        <w:rPr>
          <w:rFonts w:cs="Times New Roman"/>
        </w:rPr>
        <w:t xml:space="preserve">. </w:t>
      </w:r>
    </w:p>
    <w:p w14:paraId="40351604" w14:textId="17B5EF4D" w:rsidR="005761B7" w:rsidRPr="006E5F72" w:rsidRDefault="00272BBB" w:rsidP="00FB2B45">
      <w:pPr>
        <w:pStyle w:val="Paragraphedeliste"/>
        <w:numPr>
          <w:ilvl w:val="0"/>
          <w:numId w:val="23"/>
        </w:numPr>
        <w:spacing w:line="276" w:lineRule="auto"/>
        <w:rPr>
          <w:rFonts w:cs="Times New Roman"/>
        </w:rPr>
      </w:pPr>
      <w:r w:rsidRPr="006E5F72">
        <w:rPr>
          <w:rFonts w:cs="Times New Roman"/>
        </w:rPr>
        <w:t xml:space="preserve">Pour l’analyse </w:t>
      </w:r>
      <w:r w:rsidR="00C168C2" w:rsidRPr="006E5F72">
        <w:rPr>
          <w:rFonts w:cs="Times New Roman"/>
        </w:rPr>
        <w:t>des données</w:t>
      </w:r>
      <w:r w:rsidRPr="006E5F72">
        <w:rPr>
          <w:rFonts w:cs="Times New Roman"/>
        </w:rPr>
        <w:t xml:space="preserve"> proprement dite, </w:t>
      </w:r>
      <w:r w:rsidR="005C5B43" w:rsidRPr="006E5F72">
        <w:rPr>
          <w:rFonts w:cs="Times New Roman"/>
        </w:rPr>
        <w:t>il a été considéré la complémentarité</w:t>
      </w:r>
      <w:r w:rsidR="00C168C2" w:rsidRPr="006E5F72">
        <w:rPr>
          <w:rFonts w:cs="Times New Roman"/>
        </w:rPr>
        <w:t xml:space="preserve"> </w:t>
      </w:r>
      <w:r w:rsidR="005C5B43" w:rsidRPr="006E5F72">
        <w:rPr>
          <w:rFonts w:cs="Times New Roman"/>
        </w:rPr>
        <w:t>d</w:t>
      </w:r>
      <w:r w:rsidR="00C168C2" w:rsidRPr="006E5F72">
        <w:rPr>
          <w:rFonts w:cs="Times New Roman"/>
        </w:rPr>
        <w:t>es données quantitatives et qualitatives collectées</w:t>
      </w:r>
      <w:r w:rsidRPr="006E5F72">
        <w:rPr>
          <w:rFonts w:cs="Times New Roman"/>
        </w:rPr>
        <w:t xml:space="preserve"> </w:t>
      </w:r>
      <w:r w:rsidR="005C5B43" w:rsidRPr="006E5F72">
        <w:rPr>
          <w:rFonts w:cs="Times New Roman"/>
        </w:rPr>
        <w:t>d’une part et d’autre part de</w:t>
      </w:r>
      <w:r w:rsidRPr="006E5F72">
        <w:rPr>
          <w:rFonts w:cs="Times New Roman"/>
        </w:rPr>
        <w:t xml:space="preserve"> l’analyse statistique </w:t>
      </w:r>
      <w:r w:rsidR="00700022" w:rsidRPr="006E5F72">
        <w:rPr>
          <w:rFonts w:cs="Times New Roman"/>
        </w:rPr>
        <w:t xml:space="preserve">et l’analyse de contenu. L’articulation entre les analyses quantitatives et qualitatives utilise surtout le principe de triangulation mais aussi les </w:t>
      </w:r>
      <w:r w:rsidR="006F4177" w:rsidRPr="006E5F72">
        <w:rPr>
          <w:rFonts w:cs="Times New Roman"/>
        </w:rPr>
        <w:t>témoignages</w:t>
      </w:r>
      <w:r w:rsidR="007F6988" w:rsidRPr="006E5F72">
        <w:rPr>
          <w:rFonts w:cs="Times New Roman"/>
        </w:rPr>
        <w:t xml:space="preserve"> des répondants sous forme de </w:t>
      </w:r>
      <w:r w:rsidR="00700022" w:rsidRPr="006E5F72">
        <w:rPr>
          <w:rFonts w:cs="Times New Roman"/>
        </w:rPr>
        <w:t>citations anonymes</w:t>
      </w:r>
      <w:r w:rsidR="007F6988" w:rsidRPr="006E5F72">
        <w:rPr>
          <w:rFonts w:cs="Times New Roman"/>
        </w:rPr>
        <w:t xml:space="preserve"> et de récits de vie</w:t>
      </w:r>
      <w:r w:rsidR="00C168C2" w:rsidRPr="006E5F72">
        <w:rPr>
          <w:rFonts w:cs="Times New Roman"/>
        </w:rPr>
        <w:t xml:space="preserve">. </w:t>
      </w:r>
      <w:r w:rsidR="0070037C" w:rsidRPr="006E5F72">
        <w:rPr>
          <w:rFonts w:cs="Times New Roman"/>
        </w:rPr>
        <w:t xml:space="preserve">Par ailleurs, la sensibilité de l’analyse genre </w:t>
      </w:r>
      <w:r w:rsidR="006E5F72" w:rsidRPr="006E5F72">
        <w:rPr>
          <w:rFonts w:cs="Times New Roman"/>
        </w:rPr>
        <w:t>est</w:t>
      </w:r>
      <w:r w:rsidR="0070037C" w:rsidRPr="006E5F72">
        <w:rPr>
          <w:rFonts w:cs="Times New Roman"/>
        </w:rPr>
        <w:t xml:space="preserve"> assurée en conduisant des </w:t>
      </w:r>
      <w:r w:rsidR="005761B7" w:rsidRPr="006E5F72">
        <w:rPr>
          <w:rFonts w:cs="Times New Roman"/>
        </w:rPr>
        <w:t>analyse</w:t>
      </w:r>
      <w:r w:rsidR="0070037C" w:rsidRPr="006E5F72">
        <w:rPr>
          <w:rFonts w:cs="Times New Roman"/>
        </w:rPr>
        <w:t>s</w:t>
      </w:r>
      <w:r w:rsidR="005761B7" w:rsidRPr="006E5F72">
        <w:rPr>
          <w:rFonts w:cs="Times New Roman"/>
        </w:rPr>
        <w:t xml:space="preserve"> sexo-spécifique</w:t>
      </w:r>
      <w:r w:rsidR="0070037C" w:rsidRPr="006E5F72">
        <w:rPr>
          <w:rFonts w:cs="Times New Roman"/>
        </w:rPr>
        <w:t>s sur les différentes questions</w:t>
      </w:r>
      <w:r w:rsidR="005761B7" w:rsidRPr="006E5F72">
        <w:rPr>
          <w:rFonts w:cs="Times New Roman"/>
        </w:rPr>
        <w:t xml:space="preserve"> à travers notamment la désagrégation des données par sexe. </w:t>
      </w:r>
    </w:p>
    <w:p w14:paraId="712D309B" w14:textId="77777777" w:rsidR="005761B7" w:rsidRPr="004510A9" w:rsidRDefault="005761B7" w:rsidP="005761B7">
      <w:pPr>
        <w:rPr>
          <w:rFonts w:cs="Times New Roman"/>
          <w:sz w:val="8"/>
        </w:rPr>
      </w:pPr>
    </w:p>
    <w:p w14:paraId="1403A394" w14:textId="5FFBF004" w:rsidR="00911D6C" w:rsidRPr="00FF0F21" w:rsidRDefault="00DD4860" w:rsidP="00820BBD">
      <w:pPr>
        <w:pStyle w:val="Titre2"/>
        <w:numPr>
          <w:ilvl w:val="1"/>
          <w:numId w:val="81"/>
        </w:numPr>
      </w:pPr>
      <w:bookmarkStart w:id="546" w:name="_Toc75121272"/>
      <w:bookmarkStart w:id="547" w:name="_Toc75190977"/>
      <w:bookmarkStart w:id="548" w:name="_Toc75192173"/>
      <w:bookmarkStart w:id="549" w:name="_Toc75193369"/>
      <w:bookmarkStart w:id="550" w:name="_Toc75194565"/>
      <w:bookmarkStart w:id="551" w:name="_Toc75195763"/>
      <w:bookmarkStart w:id="552" w:name="_Toc75196959"/>
      <w:bookmarkStart w:id="553" w:name="_Toc75198155"/>
      <w:bookmarkStart w:id="554" w:name="_Toc75199351"/>
      <w:bookmarkStart w:id="555" w:name="_Toc75200547"/>
      <w:bookmarkStart w:id="556" w:name="_Toc75201744"/>
      <w:bookmarkStart w:id="557" w:name="_Toc75202941"/>
      <w:bookmarkStart w:id="558" w:name="_Toc75204145"/>
      <w:bookmarkStart w:id="559" w:name="_Toc75205342"/>
      <w:bookmarkStart w:id="560" w:name="_Toc75206553"/>
      <w:bookmarkStart w:id="561" w:name="_Toc75239957"/>
      <w:bookmarkStart w:id="562" w:name="_Toc75241153"/>
      <w:bookmarkStart w:id="563" w:name="_Toc75121273"/>
      <w:bookmarkStart w:id="564" w:name="_Toc75190978"/>
      <w:bookmarkStart w:id="565" w:name="_Toc75192174"/>
      <w:bookmarkStart w:id="566" w:name="_Toc75193370"/>
      <w:bookmarkStart w:id="567" w:name="_Toc75194566"/>
      <w:bookmarkStart w:id="568" w:name="_Toc75195764"/>
      <w:bookmarkStart w:id="569" w:name="_Toc75196960"/>
      <w:bookmarkStart w:id="570" w:name="_Toc75198156"/>
      <w:bookmarkStart w:id="571" w:name="_Toc75199352"/>
      <w:bookmarkStart w:id="572" w:name="_Toc75200548"/>
      <w:bookmarkStart w:id="573" w:name="_Toc75201745"/>
      <w:bookmarkStart w:id="574" w:name="_Toc75202942"/>
      <w:bookmarkStart w:id="575" w:name="_Toc75204146"/>
      <w:bookmarkStart w:id="576" w:name="_Toc75205343"/>
      <w:bookmarkStart w:id="577" w:name="_Toc75206554"/>
      <w:bookmarkStart w:id="578" w:name="_Toc75239958"/>
      <w:bookmarkStart w:id="579" w:name="_Toc75241154"/>
      <w:bookmarkStart w:id="580" w:name="_Toc75121274"/>
      <w:bookmarkStart w:id="581" w:name="_Toc75190979"/>
      <w:bookmarkStart w:id="582" w:name="_Toc75192175"/>
      <w:bookmarkStart w:id="583" w:name="_Toc75193371"/>
      <w:bookmarkStart w:id="584" w:name="_Toc75194567"/>
      <w:bookmarkStart w:id="585" w:name="_Toc75195765"/>
      <w:bookmarkStart w:id="586" w:name="_Toc75196961"/>
      <w:bookmarkStart w:id="587" w:name="_Toc75198157"/>
      <w:bookmarkStart w:id="588" w:name="_Toc75199353"/>
      <w:bookmarkStart w:id="589" w:name="_Toc75200549"/>
      <w:bookmarkStart w:id="590" w:name="_Toc75201746"/>
      <w:bookmarkStart w:id="591" w:name="_Toc75202943"/>
      <w:bookmarkStart w:id="592" w:name="_Toc75204147"/>
      <w:bookmarkStart w:id="593" w:name="_Toc75205344"/>
      <w:bookmarkStart w:id="594" w:name="_Toc75206555"/>
      <w:bookmarkStart w:id="595" w:name="_Toc75239959"/>
      <w:bookmarkStart w:id="596" w:name="_Toc75241155"/>
      <w:bookmarkStart w:id="597" w:name="_Toc75121275"/>
      <w:bookmarkStart w:id="598" w:name="_Toc75190980"/>
      <w:bookmarkStart w:id="599" w:name="_Toc75192176"/>
      <w:bookmarkStart w:id="600" w:name="_Toc75193372"/>
      <w:bookmarkStart w:id="601" w:name="_Toc75194568"/>
      <w:bookmarkStart w:id="602" w:name="_Toc75195766"/>
      <w:bookmarkStart w:id="603" w:name="_Toc75196962"/>
      <w:bookmarkStart w:id="604" w:name="_Toc75198158"/>
      <w:bookmarkStart w:id="605" w:name="_Toc75199354"/>
      <w:bookmarkStart w:id="606" w:name="_Toc75200550"/>
      <w:bookmarkStart w:id="607" w:name="_Toc75201747"/>
      <w:bookmarkStart w:id="608" w:name="_Toc75202944"/>
      <w:bookmarkStart w:id="609" w:name="_Toc75204148"/>
      <w:bookmarkStart w:id="610" w:name="_Toc75205345"/>
      <w:bookmarkStart w:id="611" w:name="_Toc75206556"/>
      <w:bookmarkStart w:id="612" w:name="_Toc75239960"/>
      <w:bookmarkStart w:id="613" w:name="_Toc75241156"/>
      <w:bookmarkStart w:id="614" w:name="_Toc75121276"/>
      <w:bookmarkStart w:id="615" w:name="_Toc75190981"/>
      <w:bookmarkStart w:id="616" w:name="_Toc75192177"/>
      <w:bookmarkStart w:id="617" w:name="_Toc75193373"/>
      <w:bookmarkStart w:id="618" w:name="_Toc75194569"/>
      <w:bookmarkStart w:id="619" w:name="_Toc75195767"/>
      <w:bookmarkStart w:id="620" w:name="_Toc75196963"/>
      <w:bookmarkStart w:id="621" w:name="_Toc75198159"/>
      <w:bookmarkStart w:id="622" w:name="_Toc75199355"/>
      <w:bookmarkStart w:id="623" w:name="_Toc75200551"/>
      <w:bookmarkStart w:id="624" w:name="_Toc75201748"/>
      <w:bookmarkStart w:id="625" w:name="_Toc75202945"/>
      <w:bookmarkStart w:id="626" w:name="_Toc75204149"/>
      <w:bookmarkStart w:id="627" w:name="_Toc75205346"/>
      <w:bookmarkStart w:id="628" w:name="_Toc75206557"/>
      <w:bookmarkStart w:id="629" w:name="_Toc75239961"/>
      <w:bookmarkStart w:id="630" w:name="_Toc75241157"/>
      <w:bookmarkStart w:id="631" w:name="_Toc75121277"/>
      <w:bookmarkStart w:id="632" w:name="_Toc75190982"/>
      <w:bookmarkStart w:id="633" w:name="_Toc75192178"/>
      <w:bookmarkStart w:id="634" w:name="_Toc75193374"/>
      <w:bookmarkStart w:id="635" w:name="_Toc75194570"/>
      <w:bookmarkStart w:id="636" w:name="_Toc75195768"/>
      <w:bookmarkStart w:id="637" w:name="_Toc75196964"/>
      <w:bookmarkStart w:id="638" w:name="_Toc75198160"/>
      <w:bookmarkStart w:id="639" w:name="_Toc75199356"/>
      <w:bookmarkStart w:id="640" w:name="_Toc75200552"/>
      <w:bookmarkStart w:id="641" w:name="_Toc75201749"/>
      <w:bookmarkStart w:id="642" w:name="_Toc75202946"/>
      <w:bookmarkStart w:id="643" w:name="_Toc75204150"/>
      <w:bookmarkStart w:id="644" w:name="_Toc75205347"/>
      <w:bookmarkStart w:id="645" w:name="_Toc75206558"/>
      <w:bookmarkStart w:id="646" w:name="_Toc75239962"/>
      <w:bookmarkStart w:id="647" w:name="_Toc75241158"/>
      <w:bookmarkStart w:id="648" w:name="_Toc75121278"/>
      <w:bookmarkStart w:id="649" w:name="_Toc75190983"/>
      <w:bookmarkStart w:id="650" w:name="_Toc75192179"/>
      <w:bookmarkStart w:id="651" w:name="_Toc75193375"/>
      <w:bookmarkStart w:id="652" w:name="_Toc75194571"/>
      <w:bookmarkStart w:id="653" w:name="_Toc75195769"/>
      <w:bookmarkStart w:id="654" w:name="_Toc75196965"/>
      <w:bookmarkStart w:id="655" w:name="_Toc75198161"/>
      <w:bookmarkStart w:id="656" w:name="_Toc75199357"/>
      <w:bookmarkStart w:id="657" w:name="_Toc75200553"/>
      <w:bookmarkStart w:id="658" w:name="_Toc75201750"/>
      <w:bookmarkStart w:id="659" w:name="_Toc75202947"/>
      <w:bookmarkStart w:id="660" w:name="_Toc75204151"/>
      <w:bookmarkStart w:id="661" w:name="_Toc75205348"/>
      <w:bookmarkStart w:id="662" w:name="_Toc75206559"/>
      <w:bookmarkStart w:id="663" w:name="_Toc75239963"/>
      <w:bookmarkStart w:id="664" w:name="_Toc75241159"/>
      <w:bookmarkStart w:id="665" w:name="_Toc75121357"/>
      <w:bookmarkStart w:id="666" w:name="_Toc75191062"/>
      <w:bookmarkStart w:id="667" w:name="_Toc75192258"/>
      <w:bookmarkStart w:id="668" w:name="_Toc75193454"/>
      <w:bookmarkStart w:id="669" w:name="_Toc75194650"/>
      <w:bookmarkStart w:id="670" w:name="_Toc75195848"/>
      <w:bookmarkStart w:id="671" w:name="_Toc75197044"/>
      <w:bookmarkStart w:id="672" w:name="_Toc75198240"/>
      <w:bookmarkStart w:id="673" w:name="_Toc75199436"/>
      <w:bookmarkStart w:id="674" w:name="_Toc75200632"/>
      <w:bookmarkStart w:id="675" w:name="_Toc75201829"/>
      <w:bookmarkStart w:id="676" w:name="_Toc75203026"/>
      <w:bookmarkStart w:id="677" w:name="_Toc75204230"/>
      <w:bookmarkStart w:id="678" w:name="_Toc75205427"/>
      <w:bookmarkStart w:id="679" w:name="_Toc75206638"/>
      <w:bookmarkStart w:id="680" w:name="_Toc75240042"/>
      <w:bookmarkStart w:id="681" w:name="_Toc75241238"/>
      <w:bookmarkStart w:id="682" w:name="_Toc75121358"/>
      <w:bookmarkStart w:id="683" w:name="_Toc75191063"/>
      <w:bookmarkStart w:id="684" w:name="_Toc75192259"/>
      <w:bookmarkStart w:id="685" w:name="_Toc75193455"/>
      <w:bookmarkStart w:id="686" w:name="_Toc75194651"/>
      <w:bookmarkStart w:id="687" w:name="_Toc75195849"/>
      <w:bookmarkStart w:id="688" w:name="_Toc75197045"/>
      <w:bookmarkStart w:id="689" w:name="_Toc75198241"/>
      <w:bookmarkStart w:id="690" w:name="_Toc75199437"/>
      <w:bookmarkStart w:id="691" w:name="_Toc75200633"/>
      <w:bookmarkStart w:id="692" w:name="_Toc75201830"/>
      <w:bookmarkStart w:id="693" w:name="_Toc75203027"/>
      <w:bookmarkStart w:id="694" w:name="_Toc75204231"/>
      <w:bookmarkStart w:id="695" w:name="_Toc75205428"/>
      <w:bookmarkStart w:id="696" w:name="_Toc75206639"/>
      <w:bookmarkStart w:id="697" w:name="_Toc75240043"/>
      <w:bookmarkStart w:id="698" w:name="_Toc75241239"/>
      <w:bookmarkStart w:id="699" w:name="_Toc75121359"/>
      <w:bookmarkStart w:id="700" w:name="_Toc75191064"/>
      <w:bookmarkStart w:id="701" w:name="_Toc75192260"/>
      <w:bookmarkStart w:id="702" w:name="_Toc75193456"/>
      <w:bookmarkStart w:id="703" w:name="_Toc75194652"/>
      <w:bookmarkStart w:id="704" w:name="_Toc75195850"/>
      <w:bookmarkStart w:id="705" w:name="_Toc75197046"/>
      <w:bookmarkStart w:id="706" w:name="_Toc75198242"/>
      <w:bookmarkStart w:id="707" w:name="_Toc75199438"/>
      <w:bookmarkStart w:id="708" w:name="_Toc75200634"/>
      <w:bookmarkStart w:id="709" w:name="_Toc75201831"/>
      <w:bookmarkStart w:id="710" w:name="_Toc75203028"/>
      <w:bookmarkStart w:id="711" w:name="_Toc75204232"/>
      <w:bookmarkStart w:id="712" w:name="_Toc75205429"/>
      <w:bookmarkStart w:id="713" w:name="_Toc75206640"/>
      <w:bookmarkStart w:id="714" w:name="_Toc75240044"/>
      <w:bookmarkStart w:id="715" w:name="_Toc75241240"/>
      <w:bookmarkStart w:id="716" w:name="_Toc75121360"/>
      <w:bookmarkStart w:id="717" w:name="_Toc75191065"/>
      <w:bookmarkStart w:id="718" w:name="_Toc75192261"/>
      <w:bookmarkStart w:id="719" w:name="_Toc75193457"/>
      <w:bookmarkStart w:id="720" w:name="_Toc75194653"/>
      <w:bookmarkStart w:id="721" w:name="_Toc75195851"/>
      <w:bookmarkStart w:id="722" w:name="_Toc75197047"/>
      <w:bookmarkStart w:id="723" w:name="_Toc75198243"/>
      <w:bookmarkStart w:id="724" w:name="_Toc75199439"/>
      <w:bookmarkStart w:id="725" w:name="_Toc75200635"/>
      <w:bookmarkStart w:id="726" w:name="_Toc75201832"/>
      <w:bookmarkStart w:id="727" w:name="_Toc75203029"/>
      <w:bookmarkStart w:id="728" w:name="_Toc75204233"/>
      <w:bookmarkStart w:id="729" w:name="_Toc75205430"/>
      <w:bookmarkStart w:id="730" w:name="_Toc75206641"/>
      <w:bookmarkStart w:id="731" w:name="_Toc75240045"/>
      <w:bookmarkStart w:id="732" w:name="_Toc75241241"/>
      <w:bookmarkStart w:id="733" w:name="_Toc75121361"/>
      <w:bookmarkStart w:id="734" w:name="_Toc75191066"/>
      <w:bookmarkStart w:id="735" w:name="_Toc75192262"/>
      <w:bookmarkStart w:id="736" w:name="_Toc75193458"/>
      <w:bookmarkStart w:id="737" w:name="_Toc75194654"/>
      <w:bookmarkStart w:id="738" w:name="_Toc75195852"/>
      <w:bookmarkStart w:id="739" w:name="_Toc75197048"/>
      <w:bookmarkStart w:id="740" w:name="_Toc75198244"/>
      <w:bookmarkStart w:id="741" w:name="_Toc75199440"/>
      <w:bookmarkStart w:id="742" w:name="_Toc75200636"/>
      <w:bookmarkStart w:id="743" w:name="_Toc75201833"/>
      <w:bookmarkStart w:id="744" w:name="_Toc75203030"/>
      <w:bookmarkStart w:id="745" w:name="_Toc75204234"/>
      <w:bookmarkStart w:id="746" w:name="_Toc75205431"/>
      <w:bookmarkStart w:id="747" w:name="_Toc75206642"/>
      <w:bookmarkStart w:id="748" w:name="_Toc75240046"/>
      <w:bookmarkStart w:id="749" w:name="_Toc75241242"/>
      <w:bookmarkStart w:id="750" w:name="_Toc75121362"/>
      <w:bookmarkStart w:id="751" w:name="_Toc75191067"/>
      <w:bookmarkStart w:id="752" w:name="_Toc75192263"/>
      <w:bookmarkStart w:id="753" w:name="_Toc75193459"/>
      <w:bookmarkStart w:id="754" w:name="_Toc75194655"/>
      <w:bookmarkStart w:id="755" w:name="_Toc75195853"/>
      <w:bookmarkStart w:id="756" w:name="_Toc75197049"/>
      <w:bookmarkStart w:id="757" w:name="_Toc75198245"/>
      <w:bookmarkStart w:id="758" w:name="_Toc75199441"/>
      <w:bookmarkStart w:id="759" w:name="_Toc75200637"/>
      <w:bookmarkStart w:id="760" w:name="_Toc75201834"/>
      <w:bookmarkStart w:id="761" w:name="_Toc75203031"/>
      <w:bookmarkStart w:id="762" w:name="_Toc75204235"/>
      <w:bookmarkStart w:id="763" w:name="_Toc75205432"/>
      <w:bookmarkStart w:id="764" w:name="_Toc75206643"/>
      <w:bookmarkStart w:id="765" w:name="_Toc75240047"/>
      <w:bookmarkStart w:id="766" w:name="_Toc75241243"/>
      <w:bookmarkStart w:id="767" w:name="_Toc75121363"/>
      <w:bookmarkStart w:id="768" w:name="_Toc75191068"/>
      <w:bookmarkStart w:id="769" w:name="_Toc75192264"/>
      <w:bookmarkStart w:id="770" w:name="_Toc75193460"/>
      <w:bookmarkStart w:id="771" w:name="_Toc75194656"/>
      <w:bookmarkStart w:id="772" w:name="_Toc75195854"/>
      <w:bookmarkStart w:id="773" w:name="_Toc75197050"/>
      <w:bookmarkStart w:id="774" w:name="_Toc75198246"/>
      <w:bookmarkStart w:id="775" w:name="_Toc75199442"/>
      <w:bookmarkStart w:id="776" w:name="_Toc75200638"/>
      <w:bookmarkStart w:id="777" w:name="_Toc75201835"/>
      <w:bookmarkStart w:id="778" w:name="_Toc75203032"/>
      <w:bookmarkStart w:id="779" w:name="_Toc75204236"/>
      <w:bookmarkStart w:id="780" w:name="_Toc75205433"/>
      <w:bookmarkStart w:id="781" w:name="_Toc75206644"/>
      <w:bookmarkStart w:id="782" w:name="_Toc75240048"/>
      <w:bookmarkStart w:id="783" w:name="_Toc75241244"/>
      <w:bookmarkStart w:id="784" w:name="_Toc75121364"/>
      <w:bookmarkStart w:id="785" w:name="_Toc75191069"/>
      <w:bookmarkStart w:id="786" w:name="_Toc75192265"/>
      <w:bookmarkStart w:id="787" w:name="_Toc75193461"/>
      <w:bookmarkStart w:id="788" w:name="_Toc75194657"/>
      <w:bookmarkStart w:id="789" w:name="_Toc75195855"/>
      <w:bookmarkStart w:id="790" w:name="_Toc75197051"/>
      <w:bookmarkStart w:id="791" w:name="_Toc75198247"/>
      <w:bookmarkStart w:id="792" w:name="_Toc75199443"/>
      <w:bookmarkStart w:id="793" w:name="_Toc75200639"/>
      <w:bookmarkStart w:id="794" w:name="_Toc75201836"/>
      <w:bookmarkStart w:id="795" w:name="_Toc75203033"/>
      <w:bookmarkStart w:id="796" w:name="_Toc75204237"/>
      <w:bookmarkStart w:id="797" w:name="_Toc75205434"/>
      <w:bookmarkStart w:id="798" w:name="_Toc75206645"/>
      <w:bookmarkStart w:id="799" w:name="_Toc75240049"/>
      <w:bookmarkStart w:id="800" w:name="_Toc75241245"/>
      <w:bookmarkStart w:id="801" w:name="_Toc75121365"/>
      <w:bookmarkStart w:id="802" w:name="_Toc75191070"/>
      <w:bookmarkStart w:id="803" w:name="_Toc75192266"/>
      <w:bookmarkStart w:id="804" w:name="_Toc75193462"/>
      <w:bookmarkStart w:id="805" w:name="_Toc75194658"/>
      <w:bookmarkStart w:id="806" w:name="_Toc75195856"/>
      <w:bookmarkStart w:id="807" w:name="_Toc75197052"/>
      <w:bookmarkStart w:id="808" w:name="_Toc75198248"/>
      <w:bookmarkStart w:id="809" w:name="_Toc75199444"/>
      <w:bookmarkStart w:id="810" w:name="_Toc75200640"/>
      <w:bookmarkStart w:id="811" w:name="_Toc75201837"/>
      <w:bookmarkStart w:id="812" w:name="_Toc75203034"/>
      <w:bookmarkStart w:id="813" w:name="_Toc75204238"/>
      <w:bookmarkStart w:id="814" w:name="_Toc75205435"/>
      <w:bookmarkStart w:id="815" w:name="_Toc75206646"/>
      <w:bookmarkStart w:id="816" w:name="_Toc75240050"/>
      <w:bookmarkStart w:id="817" w:name="_Toc75241246"/>
      <w:bookmarkStart w:id="818" w:name="_Toc75121366"/>
      <w:bookmarkStart w:id="819" w:name="_Toc75191071"/>
      <w:bookmarkStart w:id="820" w:name="_Toc75192267"/>
      <w:bookmarkStart w:id="821" w:name="_Toc75193463"/>
      <w:bookmarkStart w:id="822" w:name="_Toc75194659"/>
      <w:bookmarkStart w:id="823" w:name="_Toc75195857"/>
      <w:bookmarkStart w:id="824" w:name="_Toc75197053"/>
      <w:bookmarkStart w:id="825" w:name="_Toc75198249"/>
      <w:bookmarkStart w:id="826" w:name="_Toc75199445"/>
      <w:bookmarkStart w:id="827" w:name="_Toc75200641"/>
      <w:bookmarkStart w:id="828" w:name="_Toc75201838"/>
      <w:bookmarkStart w:id="829" w:name="_Toc75203035"/>
      <w:bookmarkStart w:id="830" w:name="_Toc75204239"/>
      <w:bookmarkStart w:id="831" w:name="_Toc75205436"/>
      <w:bookmarkStart w:id="832" w:name="_Toc75206647"/>
      <w:bookmarkStart w:id="833" w:name="_Toc75240051"/>
      <w:bookmarkStart w:id="834" w:name="_Toc75241247"/>
      <w:bookmarkStart w:id="835" w:name="_Toc75121428"/>
      <w:bookmarkStart w:id="836" w:name="_Toc75191133"/>
      <w:bookmarkStart w:id="837" w:name="_Toc75192329"/>
      <w:bookmarkStart w:id="838" w:name="_Toc75193525"/>
      <w:bookmarkStart w:id="839" w:name="_Toc75194721"/>
      <w:bookmarkStart w:id="840" w:name="_Toc75195919"/>
      <w:bookmarkStart w:id="841" w:name="_Toc75197115"/>
      <w:bookmarkStart w:id="842" w:name="_Toc75198311"/>
      <w:bookmarkStart w:id="843" w:name="_Toc75199507"/>
      <w:bookmarkStart w:id="844" w:name="_Toc75200703"/>
      <w:bookmarkStart w:id="845" w:name="_Toc75201900"/>
      <w:bookmarkStart w:id="846" w:name="_Toc75203097"/>
      <w:bookmarkStart w:id="847" w:name="_Toc75204301"/>
      <w:bookmarkStart w:id="848" w:name="_Toc75205498"/>
      <w:bookmarkStart w:id="849" w:name="_Toc75206709"/>
      <w:bookmarkStart w:id="850" w:name="_Toc75240113"/>
      <w:bookmarkStart w:id="851" w:name="_Toc75241309"/>
      <w:bookmarkStart w:id="852" w:name="_Toc75121429"/>
      <w:bookmarkStart w:id="853" w:name="_Toc75191134"/>
      <w:bookmarkStart w:id="854" w:name="_Toc75192330"/>
      <w:bookmarkStart w:id="855" w:name="_Toc75193526"/>
      <w:bookmarkStart w:id="856" w:name="_Toc75194722"/>
      <w:bookmarkStart w:id="857" w:name="_Toc75195920"/>
      <w:bookmarkStart w:id="858" w:name="_Toc75197116"/>
      <w:bookmarkStart w:id="859" w:name="_Toc75198312"/>
      <w:bookmarkStart w:id="860" w:name="_Toc75199508"/>
      <w:bookmarkStart w:id="861" w:name="_Toc75200704"/>
      <w:bookmarkStart w:id="862" w:name="_Toc75201901"/>
      <w:bookmarkStart w:id="863" w:name="_Toc75203098"/>
      <w:bookmarkStart w:id="864" w:name="_Toc75204302"/>
      <w:bookmarkStart w:id="865" w:name="_Toc75205499"/>
      <w:bookmarkStart w:id="866" w:name="_Toc75206710"/>
      <w:bookmarkStart w:id="867" w:name="_Toc75240114"/>
      <w:bookmarkStart w:id="868" w:name="_Toc75241310"/>
      <w:bookmarkStart w:id="869" w:name="_Toc75121430"/>
      <w:bookmarkStart w:id="870" w:name="_Toc75191135"/>
      <w:bookmarkStart w:id="871" w:name="_Toc75192331"/>
      <w:bookmarkStart w:id="872" w:name="_Toc75193527"/>
      <w:bookmarkStart w:id="873" w:name="_Toc75194723"/>
      <w:bookmarkStart w:id="874" w:name="_Toc75195921"/>
      <w:bookmarkStart w:id="875" w:name="_Toc75197117"/>
      <w:bookmarkStart w:id="876" w:name="_Toc75198313"/>
      <w:bookmarkStart w:id="877" w:name="_Toc75199509"/>
      <w:bookmarkStart w:id="878" w:name="_Toc75200705"/>
      <w:bookmarkStart w:id="879" w:name="_Toc75201902"/>
      <w:bookmarkStart w:id="880" w:name="_Toc75203099"/>
      <w:bookmarkStart w:id="881" w:name="_Toc75204303"/>
      <w:bookmarkStart w:id="882" w:name="_Toc75205500"/>
      <w:bookmarkStart w:id="883" w:name="_Toc75206711"/>
      <w:bookmarkStart w:id="884" w:name="_Toc75240115"/>
      <w:bookmarkStart w:id="885" w:name="_Toc75241311"/>
      <w:bookmarkStart w:id="886" w:name="_Toc75121431"/>
      <w:bookmarkStart w:id="887" w:name="_Toc75191136"/>
      <w:bookmarkStart w:id="888" w:name="_Toc75192332"/>
      <w:bookmarkStart w:id="889" w:name="_Toc75193528"/>
      <w:bookmarkStart w:id="890" w:name="_Toc75194724"/>
      <w:bookmarkStart w:id="891" w:name="_Toc75195922"/>
      <w:bookmarkStart w:id="892" w:name="_Toc75197118"/>
      <w:bookmarkStart w:id="893" w:name="_Toc75198314"/>
      <w:bookmarkStart w:id="894" w:name="_Toc75199510"/>
      <w:bookmarkStart w:id="895" w:name="_Toc75200706"/>
      <w:bookmarkStart w:id="896" w:name="_Toc75201903"/>
      <w:bookmarkStart w:id="897" w:name="_Toc75203100"/>
      <w:bookmarkStart w:id="898" w:name="_Toc75204304"/>
      <w:bookmarkStart w:id="899" w:name="_Toc75205501"/>
      <w:bookmarkStart w:id="900" w:name="_Toc75206712"/>
      <w:bookmarkStart w:id="901" w:name="_Toc75240116"/>
      <w:bookmarkStart w:id="902" w:name="_Toc75241312"/>
      <w:bookmarkStart w:id="903" w:name="_Toc75121432"/>
      <w:bookmarkStart w:id="904" w:name="_Toc75191137"/>
      <w:bookmarkStart w:id="905" w:name="_Toc75192333"/>
      <w:bookmarkStart w:id="906" w:name="_Toc75193529"/>
      <w:bookmarkStart w:id="907" w:name="_Toc75194725"/>
      <w:bookmarkStart w:id="908" w:name="_Toc75195923"/>
      <w:bookmarkStart w:id="909" w:name="_Toc75197119"/>
      <w:bookmarkStart w:id="910" w:name="_Toc75198315"/>
      <w:bookmarkStart w:id="911" w:name="_Toc75199511"/>
      <w:bookmarkStart w:id="912" w:name="_Toc75200707"/>
      <w:bookmarkStart w:id="913" w:name="_Toc75201904"/>
      <w:bookmarkStart w:id="914" w:name="_Toc75203101"/>
      <w:bookmarkStart w:id="915" w:name="_Toc75204305"/>
      <w:bookmarkStart w:id="916" w:name="_Toc75205502"/>
      <w:bookmarkStart w:id="917" w:name="_Toc75206713"/>
      <w:bookmarkStart w:id="918" w:name="_Toc75240117"/>
      <w:bookmarkStart w:id="919" w:name="_Toc75241313"/>
      <w:bookmarkStart w:id="920" w:name="_Toc75121605"/>
      <w:bookmarkStart w:id="921" w:name="_Toc75191310"/>
      <w:bookmarkStart w:id="922" w:name="_Toc75192506"/>
      <w:bookmarkStart w:id="923" w:name="_Toc75193702"/>
      <w:bookmarkStart w:id="924" w:name="_Toc75194898"/>
      <w:bookmarkStart w:id="925" w:name="_Toc75196096"/>
      <w:bookmarkStart w:id="926" w:name="_Toc75197292"/>
      <w:bookmarkStart w:id="927" w:name="_Toc75198488"/>
      <w:bookmarkStart w:id="928" w:name="_Toc75199684"/>
      <w:bookmarkStart w:id="929" w:name="_Toc75200880"/>
      <w:bookmarkStart w:id="930" w:name="_Toc75202077"/>
      <w:bookmarkStart w:id="931" w:name="_Toc75203274"/>
      <w:bookmarkStart w:id="932" w:name="_Toc75204478"/>
      <w:bookmarkStart w:id="933" w:name="_Toc75205675"/>
      <w:bookmarkStart w:id="934" w:name="_Toc75206886"/>
      <w:bookmarkStart w:id="935" w:name="_Toc75240290"/>
      <w:bookmarkStart w:id="936" w:name="_Toc75241486"/>
      <w:bookmarkStart w:id="937" w:name="_Toc95451863"/>
      <w:bookmarkStart w:id="938" w:name="_Toc39563199"/>
      <w:bookmarkEnd w:id="488"/>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t>Stratégie de f</w:t>
      </w:r>
      <w:r w:rsidR="00D64456" w:rsidRPr="00FF0F21">
        <w:t>ormation des enquêteurs</w:t>
      </w:r>
      <w:r>
        <w:t xml:space="preserve"> et de c</w:t>
      </w:r>
      <w:r w:rsidR="00911D6C" w:rsidRPr="00FF0F21">
        <w:t>ollecte de données</w:t>
      </w:r>
      <w:bookmarkEnd w:id="937"/>
      <w:r w:rsidR="00911D6C" w:rsidRPr="00FF0F21">
        <w:t xml:space="preserve"> </w:t>
      </w:r>
      <w:bookmarkEnd w:id="938"/>
    </w:p>
    <w:p w14:paraId="09643FA0" w14:textId="643CCFD0" w:rsidR="005F6A72" w:rsidRPr="004277E9" w:rsidRDefault="00032788" w:rsidP="00DF4AC8">
      <w:pPr>
        <w:pStyle w:val="Titre3"/>
      </w:pPr>
      <w:r>
        <w:t xml:space="preserve">4.5.1. </w:t>
      </w:r>
      <w:r w:rsidR="005F6A72" w:rsidRPr="004277E9">
        <w:t>Profil des enquêteurs</w:t>
      </w:r>
      <w:r w:rsidR="008B0FFD" w:rsidRPr="004277E9">
        <w:t xml:space="preserve"> </w:t>
      </w:r>
      <w:r w:rsidR="00151391">
        <w:t>et enquêtrices</w:t>
      </w:r>
    </w:p>
    <w:p w14:paraId="6714336D" w14:textId="172A3211" w:rsidR="00A376AB" w:rsidRPr="006E5F72" w:rsidRDefault="00DD4860" w:rsidP="00FB2B45">
      <w:pPr>
        <w:pStyle w:val="Paragraphedeliste"/>
        <w:numPr>
          <w:ilvl w:val="0"/>
          <w:numId w:val="23"/>
        </w:numPr>
        <w:spacing w:line="276" w:lineRule="auto"/>
        <w:rPr>
          <w:rFonts w:cs="Times New Roman"/>
        </w:rPr>
      </w:pPr>
      <w:r w:rsidRPr="006E5F72">
        <w:rPr>
          <w:rFonts w:cs="Times New Roman"/>
        </w:rPr>
        <w:t>La</w:t>
      </w:r>
      <w:r w:rsidR="007A780F" w:rsidRPr="006E5F72">
        <w:rPr>
          <w:rFonts w:cs="Times New Roman"/>
        </w:rPr>
        <w:t xml:space="preserve"> c</w:t>
      </w:r>
      <w:r w:rsidR="007A5EE1" w:rsidRPr="006E5F72">
        <w:rPr>
          <w:rFonts w:cs="Times New Roman"/>
        </w:rPr>
        <w:t>ollecte de</w:t>
      </w:r>
      <w:r w:rsidR="007A780F" w:rsidRPr="006E5F72">
        <w:rPr>
          <w:rFonts w:cs="Times New Roman"/>
        </w:rPr>
        <w:t>s</w:t>
      </w:r>
      <w:r w:rsidR="007A5EE1" w:rsidRPr="006E5F72">
        <w:rPr>
          <w:rFonts w:cs="Times New Roman"/>
        </w:rPr>
        <w:t xml:space="preserve"> données </w:t>
      </w:r>
      <w:r w:rsidR="006E5F72" w:rsidRPr="006E5F72">
        <w:rPr>
          <w:rFonts w:cs="Times New Roman"/>
        </w:rPr>
        <w:t>dans les communes a été</w:t>
      </w:r>
      <w:r w:rsidR="007A5EE1" w:rsidRPr="006E5F72">
        <w:rPr>
          <w:rFonts w:cs="Times New Roman"/>
        </w:rPr>
        <w:t xml:space="preserve"> réalisée par des enquêteurs recrutés </w:t>
      </w:r>
      <w:r w:rsidRPr="006E5F72">
        <w:rPr>
          <w:rFonts w:cs="Times New Roman"/>
        </w:rPr>
        <w:t>localement</w:t>
      </w:r>
      <w:r w:rsidR="007A5EE1" w:rsidRPr="006E5F72">
        <w:rPr>
          <w:rFonts w:cs="Times New Roman"/>
        </w:rPr>
        <w:t>.</w:t>
      </w:r>
      <w:r w:rsidR="003A2094" w:rsidRPr="006E5F72">
        <w:rPr>
          <w:rFonts w:cs="Times New Roman"/>
        </w:rPr>
        <w:t xml:space="preserve"> </w:t>
      </w:r>
      <w:r w:rsidRPr="006E5F72">
        <w:rPr>
          <w:rFonts w:cs="Times New Roman"/>
        </w:rPr>
        <w:t xml:space="preserve">Cette disposition répond </w:t>
      </w:r>
      <w:r w:rsidR="00167444" w:rsidRPr="006E5F72">
        <w:rPr>
          <w:rFonts w:cs="Times New Roman"/>
        </w:rPr>
        <w:t xml:space="preserve">au souci de prise en compte du contexte </w:t>
      </w:r>
      <w:r w:rsidRPr="006E5F72">
        <w:rPr>
          <w:rFonts w:cs="Times New Roman"/>
        </w:rPr>
        <w:t>d’insécurité et des barrières de langue</w:t>
      </w:r>
      <w:r w:rsidR="00167444" w:rsidRPr="006E5F72">
        <w:rPr>
          <w:rFonts w:cs="Times New Roman"/>
        </w:rPr>
        <w:t>.</w:t>
      </w:r>
      <w:r w:rsidRPr="006E5F72">
        <w:rPr>
          <w:rFonts w:cs="Times New Roman"/>
        </w:rPr>
        <w:t xml:space="preserve"> </w:t>
      </w:r>
      <w:r w:rsidR="00151391" w:rsidRPr="006E5F72">
        <w:rPr>
          <w:rFonts w:cs="Times New Roman"/>
        </w:rPr>
        <w:t xml:space="preserve">Le recrutement local a privilégié les critères suivants : </w:t>
      </w:r>
      <w:r w:rsidR="006E5F72" w:rsidRPr="006E5F72">
        <w:rPr>
          <w:rFonts w:cs="Times New Roman"/>
        </w:rPr>
        <w:t>i) la</w:t>
      </w:r>
      <w:r w:rsidR="004B19F6" w:rsidRPr="006E5F72">
        <w:rPr>
          <w:rFonts w:cs="Times New Roman"/>
        </w:rPr>
        <w:t xml:space="preserve"> </w:t>
      </w:r>
      <w:r w:rsidR="00040D13" w:rsidRPr="006E5F72">
        <w:rPr>
          <w:rFonts w:cs="Times New Roman"/>
        </w:rPr>
        <w:t xml:space="preserve">connaissance </w:t>
      </w:r>
      <w:r w:rsidR="006E5F72" w:rsidRPr="006E5F72">
        <w:rPr>
          <w:rFonts w:cs="Times New Roman"/>
        </w:rPr>
        <w:t>du</w:t>
      </w:r>
      <w:r w:rsidR="00040D13" w:rsidRPr="006E5F72">
        <w:rPr>
          <w:rFonts w:cs="Times New Roman"/>
        </w:rPr>
        <w:t xml:space="preserve"> contexte et de la langue</w:t>
      </w:r>
      <w:r w:rsidR="00A376AB" w:rsidRPr="006E5F72">
        <w:rPr>
          <w:rFonts w:cs="Times New Roman"/>
        </w:rPr>
        <w:t xml:space="preserve"> parlée</w:t>
      </w:r>
      <w:r w:rsidR="006E5F72" w:rsidRPr="006E5F72">
        <w:rPr>
          <w:rFonts w:cs="Times New Roman"/>
        </w:rPr>
        <w:t>, ii) l’</w:t>
      </w:r>
      <w:r w:rsidR="00A376AB" w:rsidRPr="006E5F72">
        <w:rPr>
          <w:rFonts w:cs="Times New Roman"/>
        </w:rPr>
        <w:t>expérience</w:t>
      </w:r>
      <w:r w:rsidR="00BF785B" w:rsidRPr="006E5F72">
        <w:rPr>
          <w:rFonts w:cs="Times New Roman"/>
        </w:rPr>
        <w:t xml:space="preserve"> </w:t>
      </w:r>
      <w:r w:rsidR="00A376AB" w:rsidRPr="006E5F72">
        <w:rPr>
          <w:rFonts w:cs="Times New Roman"/>
        </w:rPr>
        <w:t>dans la collecte de données quantitative</w:t>
      </w:r>
      <w:r w:rsidR="004B19F6" w:rsidRPr="006E5F72">
        <w:rPr>
          <w:rFonts w:cs="Times New Roman"/>
        </w:rPr>
        <w:t>s</w:t>
      </w:r>
      <w:r w:rsidR="00A376AB" w:rsidRPr="006E5F72">
        <w:rPr>
          <w:rFonts w:cs="Times New Roman"/>
        </w:rPr>
        <w:t xml:space="preserve"> et qualitative</w:t>
      </w:r>
      <w:r w:rsidR="004B19F6" w:rsidRPr="006E5F72">
        <w:rPr>
          <w:rFonts w:cs="Times New Roman"/>
        </w:rPr>
        <w:t>s</w:t>
      </w:r>
      <w:r w:rsidR="006E5F72" w:rsidRPr="006E5F72">
        <w:rPr>
          <w:rFonts w:cs="Times New Roman"/>
        </w:rPr>
        <w:t>, iii) l</w:t>
      </w:r>
      <w:r w:rsidR="004B19F6" w:rsidRPr="006E5F72">
        <w:rPr>
          <w:rFonts w:cs="Times New Roman"/>
        </w:rPr>
        <w:t>a possession d’un téléphone Android</w:t>
      </w:r>
      <w:r w:rsidR="00DF20E8" w:rsidRPr="006E5F72">
        <w:rPr>
          <w:rFonts w:cs="Times New Roman"/>
        </w:rPr>
        <w:t>.</w:t>
      </w:r>
      <w:r w:rsidR="00AC1B6F" w:rsidRPr="006E5F72">
        <w:rPr>
          <w:rFonts w:cs="Times New Roman"/>
        </w:rPr>
        <w:t xml:space="preserve"> L</w:t>
      </w:r>
      <w:r w:rsidR="00EB19B6" w:rsidRPr="006E5F72">
        <w:rPr>
          <w:rFonts w:cs="Times New Roman"/>
        </w:rPr>
        <w:t>e</w:t>
      </w:r>
      <w:r w:rsidR="00AC1B6F" w:rsidRPr="006E5F72">
        <w:rPr>
          <w:rFonts w:cs="Times New Roman"/>
        </w:rPr>
        <w:t xml:space="preserve"> détail des profils est présenté en annexe</w:t>
      </w:r>
      <w:r w:rsidR="007538B3" w:rsidRPr="006E5F72">
        <w:rPr>
          <w:rFonts w:cs="Times New Roman"/>
        </w:rPr>
        <w:t>s</w:t>
      </w:r>
      <w:r w:rsidR="00EB19B6" w:rsidRPr="006E5F72">
        <w:rPr>
          <w:rFonts w:cs="Times New Roman"/>
        </w:rPr>
        <w:t xml:space="preserve"> </w:t>
      </w:r>
      <w:r w:rsidR="005F627D" w:rsidRPr="006E5F72">
        <w:rPr>
          <w:rFonts w:cs="Times New Roman"/>
        </w:rPr>
        <w:t>7</w:t>
      </w:r>
      <w:r w:rsidR="00AA7BE1" w:rsidRPr="006E5F72">
        <w:rPr>
          <w:rFonts w:cs="Times New Roman"/>
        </w:rPr>
        <w:t xml:space="preserve"> et </w:t>
      </w:r>
      <w:r w:rsidR="005F627D" w:rsidRPr="006E5F72">
        <w:rPr>
          <w:rFonts w:cs="Times New Roman"/>
        </w:rPr>
        <w:t>8</w:t>
      </w:r>
      <w:r w:rsidR="00EB19B6" w:rsidRPr="006E5F72">
        <w:rPr>
          <w:rFonts w:cs="Times New Roman"/>
        </w:rPr>
        <w:t>.</w:t>
      </w:r>
    </w:p>
    <w:p w14:paraId="294EC2EE" w14:textId="14290E6D" w:rsidR="005F6A72" w:rsidRPr="004277E9" w:rsidRDefault="00032788" w:rsidP="005E0841">
      <w:pPr>
        <w:pStyle w:val="Titre3"/>
      </w:pPr>
      <w:r>
        <w:t xml:space="preserve">4.5.2. </w:t>
      </w:r>
      <w:r w:rsidR="004E4F6F" w:rsidRPr="004277E9">
        <w:t>Formation des enquêteurs</w:t>
      </w:r>
      <w:r w:rsidR="00833ADD">
        <w:t xml:space="preserve"> et enquêtrices </w:t>
      </w:r>
    </w:p>
    <w:p w14:paraId="0A41E458" w14:textId="0D3D354B" w:rsidR="007A48C7" w:rsidRPr="006E5F72" w:rsidRDefault="00627605" w:rsidP="00FB2B45">
      <w:pPr>
        <w:pStyle w:val="Paragraphedeliste"/>
        <w:numPr>
          <w:ilvl w:val="0"/>
          <w:numId w:val="23"/>
        </w:numPr>
        <w:spacing w:line="276" w:lineRule="auto"/>
        <w:rPr>
          <w:rFonts w:cs="Times New Roman"/>
        </w:rPr>
      </w:pPr>
      <w:r w:rsidRPr="0CBD55F1">
        <w:rPr>
          <w:rFonts w:cs="Times New Roman"/>
        </w:rPr>
        <w:t xml:space="preserve">En raison </w:t>
      </w:r>
      <w:r w:rsidR="00A77128">
        <w:rPr>
          <w:rFonts w:cs="Times New Roman"/>
        </w:rPr>
        <w:t xml:space="preserve">du </w:t>
      </w:r>
      <w:r w:rsidRPr="0CBD55F1">
        <w:rPr>
          <w:rFonts w:cs="Times New Roman"/>
        </w:rPr>
        <w:t xml:space="preserve">contexte </w:t>
      </w:r>
      <w:r w:rsidR="00A95A05">
        <w:rPr>
          <w:rFonts w:cs="Times New Roman"/>
        </w:rPr>
        <w:t xml:space="preserve">sécuritaire, </w:t>
      </w:r>
      <w:r w:rsidR="00DF20E8">
        <w:rPr>
          <w:rFonts w:cs="Times New Roman"/>
        </w:rPr>
        <w:t>la formation de</w:t>
      </w:r>
      <w:r w:rsidR="002167A1">
        <w:rPr>
          <w:rFonts w:cs="Times New Roman"/>
        </w:rPr>
        <w:t> </w:t>
      </w:r>
      <w:r w:rsidR="00833ADD">
        <w:rPr>
          <w:rFonts w:cs="Times New Roman"/>
        </w:rPr>
        <w:t xml:space="preserve">l’équipe des agents de collecte </w:t>
      </w:r>
      <w:r w:rsidR="006E5F72">
        <w:rPr>
          <w:rFonts w:cs="Times New Roman"/>
        </w:rPr>
        <w:t>a été faite</w:t>
      </w:r>
      <w:r w:rsidR="00DF20E8">
        <w:rPr>
          <w:rFonts w:cs="Times New Roman"/>
        </w:rPr>
        <w:t xml:space="preserve"> </w:t>
      </w:r>
      <w:r w:rsidR="00BC7C1F" w:rsidRPr="0CBD55F1">
        <w:rPr>
          <w:rFonts w:cs="Times New Roman"/>
        </w:rPr>
        <w:t xml:space="preserve">à distance. </w:t>
      </w:r>
      <w:r w:rsidR="0089060A" w:rsidRPr="0089060A">
        <w:rPr>
          <w:rFonts w:cs="Times New Roman"/>
        </w:rPr>
        <w:t xml:space="preserve">L’objectif </w:t>
      </w:r>
      <w:r w:rsidR="00833ADD">
        <w:rPr>
          <w:rFonts w:cs="Times New Roman"/>
        </w:rPr>
        <w:t xml:space="preserve">de cette impression </w:t>
      </w:r>
      <w:r w:rsidR="0089060A" w:rsidRPr="0089060A">
        <w:rPr>
          <w:rFonts w:cs="Times New Roman"/>
        </w:rPr>
        <w:t xml:space="preserve">est de </w:t>
      </w:r>
      <w:r w:rsidR="0089060A">
        <w:rPr>
          <w:rFonts w:cs="Times New Roman"/>
        </w:rPr>
        <w:t>faciliter la lecture et l’appropriation de chacun des outils de collecte</w:t>
      </w:r>
      <w:r w:rsidR="00833ADD">
        <w:rPr>
          <w:rFonts w:cs="Times New Roman"/>
        </w:rPr>
        <w:t xml:space="preserve"> </w:t>
      </w:r>
      <w:r w:rsidR="00DF20E8">
        <w:rPr>
          <w:rFonts w:cs="Times New Roman"/>
        </w:rPr>
        <w:t xml:space="preserve">durant </w:t>
      </w:r>
      <w:r w:rsidR="00833ADD">
        <w:rPr>
          <w:rFonts w:cs="Times New Roman"/>
        </w:rPr>
        <w:t>la phase de formation mais aussi de parer aux problèmes de décharge des batteries de téléphones devant servir à la collecte des données en présentiel.</w:t>
      </w:r>
      <w:r w:rsidR="006E5F72">
        <w:rPr>
          <w:rFonts w:cs="Times New Roman"/>
        </w:rPr>
        <w:t xml:space="preserve"> La</w:t>
      </w:r>
      <w:r w:rsidR="007A48C7" w:rsidRPr="006E5F72">
        <w:rPr>
          <w:rFonts w:cs="Times New Roman"/>
        </w:rPr>
        <w:t xml:space="preserve"> formation à distance </w:t>
      </w:r>
      <w:r w:rsidR="006E5F72">
        <w:rPr>
          <w:rFonts w:cs="Times New Roman"/>
        </w:rPr>
        <w:t>a été</w:t>
      </w:r>
      <w:r w:rsidR="007A48C7" w:rsidRPr="006E5F72">
        <w:rPr>
          <w:rFonts w:cs="Times New Roman"/>
        </w:rPr>
        <w:t xml:space="preserve"> assurée par le</w:t>
      </w:r>
      <w:r w:rsidR="00B221AB" w:rsidRPr="006E5F72">
        <w:rPr>
          <w:rFonts w:cs="Times New Roman"/>
        </w:rPr>
        <w:t xml:space="preserve">s consultants </w:t>
      </w:r>
      <w:r w:rsidR="00A43E4B" w:rsidRPr="006E5F72">
        <w:rPr>
          <w:rFonts w:cs="Times New Roman"/>
        </w:rPr>
        <w:t xml:space="preserve">sur une période de </w:t>
      </w:r>
      <w:r w:rsidR="00AD7876" w:rsidRPr="006E5F72">
        <w:rPr>
          <w:rFonts w:cs="Times New Roman"/>
        </w:rPr>
        <w:t>9</w:t>
      </w:r>
      <w:r w:rsidR="00B81506" w:rsidRPr="006E5F72">
        <w:rPr>
          <w:rFonts w:cs="Times New Roman"/>
        </w:rPr>
        <w:t xml:space="preserve"> </w:t>
      </w:r>
      <w:r w:rsidR="00A43E4B" w:rsidRPr="006E5F72">
        <w:rPr>
          <w:rFonts w:cs="Times New Roman"/>
        </w:rPr>
        <w:t>jours</w:t>
      </w:r>
      <w:r w:rsidR="00833ADD" w:rsidRPr="006E5F72">
        <w:rPr>
          <w:rFonts w:cs="Times New Roman"/>
        </w:rPr>
        <w:t xml:space="preserve"> </w:t>
      </w:r>
      <w:r w:rsidR="00AD7876" w:rsidRPr="006E5F72">
        <w:rPr>
          <w:rFonts w:cs="Times New Roman"/>
        </w:rPr>
        <w:t>ouvrables</w:t>
      </w:r>
      <w:r w:rsidR="00E32B52" w:rsidRPr="006E5F72">
        <w:rPr>
          <w:rFonts w:cs="Times New Roman"/>
        </w:rPr>
        <w:t xml:space="preserve"> du </w:t>
      </w:r>
      <w:r w:rsidR="005F627D" w:rsidRPr="006E5F72">
        <w:rPr>
          <w:rFonts w:cs="Times New Roman"/>
        </w:rPr>
        <w:t>2</w:t>
      </w:r>
      <w:r w:rsidR="00AD7876" w:rsidRPr="006E5F72">
        <w:rPr>
          <w:rFonts w:cs="Times New Roman"/>
        </w:rPr>
        <w:t>9</w:t>
      </w:r>
      <w:r w:rsidR="00E32B52" w:rsidRPr="006E5F72">
        <w:rPr>
          <w:rFonts w:cs="Times New Roman"/>
        </w:rPr>
        <w:t xml:space="preserve"> juillet au </w:t>
      </w:r>
      <w:r w:rsidR="00AD7876" w:rsidRPr="006E5F72">
        <w:rPr>
          <w:rFonts w:cs="Times New Roman"/>
        </w:rPr>
        <w:t xml:space="preserve">10 août </w:t>
      </w:r>
      <w:r w:rsidR="00E32B52" w:rsidRPr="006E5F72">
        <w:rPr>
          <w:rFonts w:cs="Times New Roman"/>
        </w:rPr>
        <w:t>2021</w:t>
      </w:r>
      <w:r w:rsidR="00345C17" w:rsidRPr="006E5F72">
        <w:rPr>
          <w:rFonts w:cs="Times New Roman"/>
        </w:rPr>
        <w:t>.</w:t>
      </w:r>
    </w:p>
    <w:p w14:paraId="76690FB6" w14:textId="2C8F492E" w:rsidR="005F6A72" w:rsidRPr="004277E9" w:rsidRDefault="00032788" w:rsidP="005E0841">
      <w:pPr>
        <w:pStyle w:val="Titre3"/>
      </w:pPr>
      <w:r>
        <w:t xml:space="preserve">4.5.3. </w:t>
      </w:r>
      <w:r w:rsidR="00F459C2" w:rsidRPr="004277E9">
        <w:t xml:space="preserve">Dispositif de collecte et </w:t>
      </w:r>
      <w:r w:rsidR="002D693E" w:rsidRPr="004277E9">
        <w:t xml:space="preserve">de </w:t>
      </w:r>
      <w:r w:rsidR="00F459C2" w:rsidRPr="004277E9">
        <w:t xml:space="preserve">contrôle qualité </w:t>
      </w:r>
    </w:p>
    <w:p w14:paraId="5C9FE58C" w14:textId="2234F18F" w:rsidR="004E6620" w:rsidRDefault="00850DD6" w:rsidP="00FB2B45">
      <w:pPr>
        <w:pStyle w:val="Paragraphedeliste"/>
        <w:numPr>
          <w:ilvl w:val="0"/>
          <w:numId w:val="23"/>
        </w:numPr>
        <w:spacing w:line="276" w:lineRule="auto"/>
        <w:rPr>
          <w:rFonts w:cs="Times New Roman"/>
        </w:rPr>
      </w:pPr>
      <w:r w:rsidRPr="04F997C7">
        <w:rPr>
          <w:rFonts w:cs="Times New Roman"/>
        </w:rPr>
        <w:t xml:space="preserve">Le dispositif de collecte de données </w:t>
      </w:r>
      <w:r w:rsidR="009D00C4" w:rsidRPr="04F997C7">
        <w:rPr>
          <w:rFonts w:cs="Times New Roman"/>
        </w:rPr>
        <w:t>et d’assurance-qualit</w:t>
      </w:r>
      <w:r w:rsidR="00F522FF" w:rsidRPr="04F997C7">
        <w:rPr>
          <w:rFonts w:cs="Times New Roman"/>
        </w:rPr>
        <w:t>é</w:t>
      </w:r>
      <w:r w:rsidR="009D00C4" w:rsidRPr="04F997C7">
        <w:rPr>
          <w:rFonts w:cs="Times New Roman"/>
        </w:rPr>
        <w:t xml:space="preserve"> </w:t>
      </w:r>
      <w:r w:rsidR="00516ACF">
        <w:rPr>
          <w:rFonts w:cs="Times New Roman"/>
        </w:rPr>
        <w:t>comprenait</w:t>
      </w:r>
      <w:r w:rsidR="00516ACF" w:rsidRPr="04F997C7">
        <w:rPr>
          <w:rFonts w:cs="Times New Roman"/>
        </w:rPr>
        <w:t xml:space="preserve"> </w:t>
      </w:r>
      <w:r w:rsidR="004F48EB" w:rsidRPr="04F997C7">
        <w:rPr>
          <w:rFonts w:cs="Times New Roman"/>
        </w:rPr>
        <w:t>trois groupes</w:t>
      </w:r>
      <w:r w:rsidR="009D00C4" w:rsidRPr="04F997C7">
        <w:rPr>
          <w:rFonts w:cs="Times New Roman"/>
        </w:rPr>
        <w:t xml:space="preserve"> d’</w:t>
      </w:r>
      <w:r w:rsidR="004E6620" w:rsidRPr="04F997C7">
        <w:rPr>
          <w:rFonts w:cs="Times New Roman"/>
        </w:rPr>
        <w:t>acteurs</w:t>
      </w:r>
      <w:r w:rsidR="009D00C4" w:rsidRPr="04F997C7">
        <w:rPr>
          <w:rFonts w:cs="Times New Roman"/>
        </w:rPr>
        <w:t>. Ce</w:t>
      </w:r>
      <w:r w:rsidR="004E6620" w:rsidRPr="04F997C7">
        <w:rPr>
          <w:rFonts w:cs="Times New Roman"/>
        </w:rPr>
        <w:t xml:space="preserve"> sont :</w:t>
      </w:r>
    </w:p>
    <w:p w14:paraId="0D872F2A" w14:textId="1A1EEE4F" w:rsidR="00837503" w:rsidRDefault="00091FC9" w:rsidP="00DC4CE1">
      <w:pPr>
        <w:numPr>
          <w:ilvl w:val="0"/>
          <w:numId w:val="6"/>
        </w:numPr>
        <w:spacing w:before="0" w:line="276" w:lineRule="auto"/>
        <w:rPr>
          <w:rFonts w:cs="Times New Roman"/>
        </w:rPr>
      </w:pPr>
      <w:r>
        <w:rPr>
          <w:rFonts w:cs="Times New Roman"/>
          <w:b/>
          <w:i/>
        </w:rPr>
        <w:t>Les</w:t>
      </w:r>
      <w:r w:rsidR="00F5046E" w:rsidRPr="004E6620">
        <w:rPr>
          <w:rFonts w:cs="Times New Roman"/>
          <w:b/>
          <w:i/>
        </w:rPr>
        <w:t xml:space="preserve"> </w:t>
      </w:r>
      <w:r w:rsidR="004E6620" w:rsidRPr="004E6620">
        <w:rPr>
          <w:rFonts w:cs="Times New Roman"/>
          <w:b/>
          <w:i/>
        </w:rPr>
        <w:t xml:space="preserve">agents </w:t>
      </w:r>
      <w:r w:rsidR="00F5046E" w:rsidRPr="004E6620">
        <w:rPr>
          <w:rFonts w:cs="Times New Roman"/>
          <w:b/>
          <w:i/>
        </w:rPr>
        <w:t>enquête</w:t>
      </w:r>
      <w:r w:rsidR="004E6620" w:rsidRPr="004E6620">
        <w:rPr>
          <w:rFonts w:cs="Times New Roman"/>
          <w:b/>
          <w:i/>
        </w:rPr>
        <w:t>urs :</w:t>
      </w:r>
      <w:r w:rsidR="004E6620">
        <w:rPr>
          <w:rFonts w:cs="Times New Roman"/>
        </w:rPr>
        <w:t xml:space="preserve"> </w:t>
      </w:r>
      <w:r w:rsidR="006E5F72">
        <w:rPr>
          <w:rFonts w:cs="Times New Roman"/>
        </w:rPr>
        <w:t xml:space="preserve">Ils ont </w:t>
      </w:r>
      <w:r w:rsidR="004E6620" w:rsidRPr="004E6620">
        <w:rPr>
          <w:rFonts w:cs="Times New Roman"/>
        </w:rPr>
        <w:t>collect</w:t>
      </w:r>
      <w:r w:rsidR="006E5F72">
        <w:rPr>
          <w:rFonts w:cs="Times New Roman"/>
        </w:rPr>
        <w:t>é</w:t>
      </w:r>
      <w:r w:rsidR="004E6620" w:rsidRPr="004E6620">
        <w:rPr>
          <w:rFonts w:cs="Times New Roman"/>
        </w:rPr>
        <w:t xml:space="preserve"> les données et informations auprès </w:t>
      </w:r>
      <w:r w:rsidR="00837503">
        <w:rPr>
          <w:rFonts w:cs="Times New Roman"/>
        </w:rPr>
        <w:t xml:space="preserve">des bénéficiaires et des </w:t>
      </w:r>
      <w:r w:rsidR="005E27F6">
        <w:rPr>
          <w:rFonts w:cs="Times New Roman"/>
        </w:rPr>
        <w:t>leaders</w:t>
      </w:r>
      <w:r w:rsidR="00837503">
        <w:rPr>
          <w:rFonts w:cs="Times New Roman"/>
        </w:rPr>
        <w:t xml:space="preserve"> communautaires </w:t>
      </w:r>
      <w:r w:rsidR="005E27F6">
        <w:rPr>
          <w:rFonts w:cs="Times New Roman"/>
        </w:rPr>
        <w:t>(Imam</w:t>
      </w:r>
      <w:r w:rsidR="00F522FF">
        <w:rPr>
          <w:rFonts w:cs="Times New Roman"/>
        </w:rPr>
        <w:t>s</w:t>
      </w:r>
      <w:r w:rsidR="005E27F6">
        <w:rPr>
          <w:rFonts w:cs="Times New Roman"/>
        </w:rPr>
        <w:t>, chef</w:t>
      </w:r>
      <w:r w:rsidR="00F522FF">
        <w:rPr>
          <w:rFonts w:cs="Times New Roman"/>
        </w:rPr>
        <w:t>s</w:t>
      </w:r>
      <w:r w:rsidR="005E27F6">
        <w:rPr>
          <w:rFonts w:cs="Times New Roman"/>
        </w:rPr>
        <w:t xml:space="preserve"> de village, </w:t>
      </w:r>
      <w:r w:rsidR="00837503">
        <w:rPr>
          <w:rFonts w:cs="Times New Roman"/>
        </w:rPr>
        <w:t>femmes</w:t>
      </w:r>
      <w:r w:rsidR="005E27F6">
        <w:rPr>
          <w:rFonts w:cs="Times New Roman"/>
        </w:rPr>
        <w:t xml:space="preserve"> leader</w:t>
      </w:r>
      <w:r w:rsidR="00F522FF">
        <w:rPr>
          <w:rFonts w:cs="Times New Roman"/>
        </w:rPr>
        <w:t>s</w:t>
      </w:r>
      <w:r w:rsidR="005E27F6">
        <w:rPr>
          <w:rFonts w:cs="Times New Roman"/>
        </w:rPr>
        <w:t xml:space="preserve">, </w:t>
      </w:r>
      <w:r w:rsidR="00837503">
        <w:rPr>
          <w:rFonts w:cs="Times New Roman"/>
        </w:rPr>
        <w:t>jeunes</w:t>
      </w:r>
      <w:r w:rsidR="00A14D4A">
        <w:rPr>
          <w:rFonts w:cs="Times New Roman"/>
        </w:rPr>
        <w:t> </w:t>
      </w:r>
      <w:r w:rsidR="005E27F6">
        <w:rPr>
          <w:rFonts w:cs="Times New Roman"/>
        </w:rPr>
        <w:t>leader</w:t>
      </w:r>
      <w:r w:rsidR="00F522FF">
        <w:rPr>
          <w:rFonts w:cs="Times New Roman"/>
        </w:rPr>
        <w:t>s</w:t>
      </w:r>
      <w:r w:rsidR="005E27F6">
        <w:rPr>
          <w:rFonts w:cs="Times New Roman"/>
        </w:rPr>
        <w:t xml:space="preserve">, communicateurs traditionnels) </w:t>
      </w:r>
      <w:r w:rsidR="00A14D4A">
        <w:rPr>
          <w:rFonts w:cs="Times New Roman"/>
        </w:rPr>
        <w:t xml:space="preserve">; </w:t>
      </w:r>
    </w:p>
    <w:p w14:paraId="245574DE" w14:textId="53F2A819" w:rsidR="006E5F72" w:rsidRDefault="00091FC9" w:rsidP="00DC4CE1">
      <w:pPr>
        <w:numPr>
          <w:ilvl w:val="0"/>
          <w:numId w:val="6"/>
        </w:numPr>
        <w:spacing w:before="0" w:line="276" w:lineRule="auto"/>
        <w:rPr>
          <w:rFonts w:cs="Times New Roman"/>
        </w:rPr>
      </w:pPr>
      <w:r>
        <w:rPr>
          <w:rFonts w:cs="Times New Roman"/>
          <w:b/>
          <w:i/>
        </w:rPr>
        <w:t>Le</w:t>
      </w:r>
      <w:r w:rsidR="00837503" w:rsidRPr="002C5706">
        <w:rPr>
          <w:rFonts w:cs="Times New Roman"/>
          <w:b/>
          <w:i/>
        </w:rPr>
        <w:t xml:space="preserve"> consultant</w:t>
      </w:r>
      <w:r w:rsidR="004D36F8" w:rsidRPr="002C5706">
        <w:rPr>
          <w:rFonts w:cs="Times New Roman"/>
          <w:b/>
          <w:i/>
        </w:rPr>
        <w:t xml:space="preserve"> principal </w:t>
      </w:r>
      <w:r w:rsidR="00837503" w:rsidRPr="002C5706">
        <w:rPr>
          <w:rFonts w:cs="Times New Roman"/>
          <w:b/>
          <w:i/>
        </w:rPr>
        <w:t xml:space="preserve">et </w:t>
      </w:r>
      <w:r w:rsidR="00043C1E" w:rsidRPr="002C5706">
        <w:rPr>
          <w:rFonts w:cs="Times New Roman"/>
          <w:b/>
          <w:i/>
        </w:rPr>
        <w:t>l’</w:t>
      </w:r>
      <w:r w:rsidR="00793225" w:rsidRPr="002C5706">
        <w:rPr>
          <w:rFonts w:cs="Times New Roman"/>
          <w:b/>
          <w:i/>
        </w:rPr>
        <w:t>expert associé</w:t>
      </w:r>
      <w:r w:rsidR="004D36F8" w:rsidRPr="002C5706">
        <w:rPr>
          <w:rFonts w:cs="Times New Roman"/>
          <w:b/>
          <w:i/>
        </w:rPr>
        <w:t xml:space="preserve"> </w:t>
      </w:r>
      <w:r w:rsidR="004E6620" w:rsidRPr="002C5706">
        <w:rPr>
          <w:rFonts w:cs="Times New Roman"/>
        </w:rPr>
        <w:t>:</w:t>
      </w:r>
      <w:r w:rsidR="004D36F8" w:rsidRPr="002C5706">
        <w:rPr>
          <w:rFonts w:cs="Times New Roman"/>
        </w:rPr>
        <w:t xml:space="preserve"> Ils </w:t>
      </w:r>
      <w:r w:rsidR="006E5F72">
        <w:rPr>
          <w:rFonts w:cs="Times New Roman"/>
        </w:rPr>
        <w:t xml:space="preserve">ont </w:t>
      </w:r>
      <w:r w:rsidR="004D36F8" w:rsidRPr="002C5706">
        <w:rPr>
          <w:rFonts w:cs="Times New Roman"/>
        </w:rPr>
        <w:t>assur</w:t>
      </w:r>
      <w:r w:rsidR="006E5F72">
        <w:rPr>
          <w:rFonts w:cs="Times New Roman"/>
        </w:rPr>
        <w:t>é</w:t>
      </w:r>
      <w:r w:rsidR="004D36F8" w:rsidRPr="002C5706">
        <w:rPr>
          <w:rFonts w:cs="Times New Roman"/>
        </w:rPr>
        <w:t xml:space="preserve"> la collecte de données</w:t>
      </w:r>
      <w:r w:rsidR="004D36F8">
        <w:rPr>
          <w:rFonts w:cs="Times New Roman"/>
        </w:rPr>
        <w:t xml:space="preserve"> a</w:t>
      </w:r>
      <w:r w:rsidR="00F522FF">
        <w:rPr>
          <w:rFonts w:cs="Times New Roman"/>
        </w:rPr>
        <w:t>u</w:t>
      </w:r>
      <w:r w:rsidR="004D36F8">
        <w:rPr>
          <w:rFonts w:cs="Times New Roman"/>
        </w:rPr>
        <w:t>près</w:t>
      </w:r>
      <w:r w:rsidR="00656D52">
        <w:rPr>
          <w:rFonts w:cs="Times New Roman"/>
        </w:rPr>
        <w:t xml:space="preserve"> </w:t>
      </w:r>
      <w:r w:rsidR="004D36F8">
        <w:rPr>
          <w:rFonts w:cs="Times New Roman"/>
        </w:rPr>
        <w:t>de l’équipe de projet, des services techniques déconcentrés, des collectivités territoriales et des ONG locales.</w:t>
      </w:r>
      <w:r w:rsidR="007068E8">
        <w:rPr>
          <w:rFonts w:cs="Times New Roman"/>
        </w:rPr>
        <w:t xml:space="preserve"> </w:t>
      </w:r>
      <w:r w:rsidR="004D36F8">
        <w:rPr>
          <w:rFonts w:cs="Times New Roman"/>
        </w:rPr>
        <w:t>L’</w:t>
      </w:r>
      <w:r w:rsidR="006E5F72">
        <w:rPr>
          <w:rFonts w:cs="Times New Roman"/>
        </w:rPr>
        <w:t>expert associé a</w:t>
      </w:r>
      <w:r w:rsidR="004D36F8">
        <w:rPr>
          <w:rFonts w:cs="Times New Roman"/>
        </w:rPr>
        <w:t xml:space="preserve"> assur</w:t>
      </w:r>
      <w:r w:rsidR="006E5F72">
        <w:rPr>
          <w:rFonts w:cs="Times New Roman"/>
        </w:rPr>
        <w:t>é</w:t>
      </w:r>
      <w:r w:rsidR="005E6E80" w:rsidRPr="009D00C4">
        <w:rPr>
          <w:rFonts w:cs="Times New Roman"/>
        </w:rPr>
        <w:t xml:space="preserve"> l</w:t>
      </w:r>
      <w:r w:rsidR="004D36F8">
        <w:rPr>
          <w:rFonts w:cs="Times New Roman"/>
        </w:rPr>
        <w:t>a s</w:t>
      </w:r>
      <w:r w:rsidR="005E6E80" w:rsidRPr="009D00C4">
        <w:rPr>
          <w:rFonts w:cs="Times New Roman"/>
        </w:rPr>
        <w:t>upervis</w:t>
      </w:r>
      <w:r w:rsidR="004D36F8">
        <w:rPr>
          <w:rFonts w:cs="Times New Roman"/>
        </w:rPr>
        <w:t>ion des enquêteurs.</w:t>
      </w:r>
      <w:r w:rsidR="007068E8">
        <w:rPr>
          <w:rFonts w:cs="Times New Roman"/>
        </w:rPr>
        <w:t xml:space="preserve"> </w:t>
      </w:r>
    </w:p>
    <w:p w14:paraId="5D54E400" w14:textId="13E594D9" w:rsidR="00176B3E" w:rsidRDefault="00E5198C" w:rsidP="00FB2B45">
      <w:pPr>
        <w:pStyle w:val="Paragraphedeliste"/>
        <w:numPr>
          <w:ilvl w:val="0"/>
          <w:numId w:val="23"/>
        </w:numPr>
        <w:spacing w:line="276" w:lineRule="auto"/>
        <w:rPr>
          <w:rFonts w:cs="Times New Roman"/>
        </w:rPr>
      </w:pPr>
      <w:r>
        <w:rPr>
          <w:rFonts w:cs="Times New Roman"/>
          <w:b/>
          <w:bCs/>
        </w:rPr>
        <w:t>Contrôle</w:t>
      </w:r>
      <w:r w:rsidR="00176B3E" w:rsidRPr="00176B3E">
        <w:rPr>
          <w:rFonts w:cs="Times New Roman"/>
          <w:b/>
          <w:bCs/>
        </w:rPr>
        <w:t xml:space="preserve"> qualité des données</w:t>
      </w:r>
      <w:r w:rsidR="00176B3E">
        <w:rPr>
          <w:rFonts w:cs="Times New Roman"/>
          <w:b/>
          <w:bCs/>
        </w:rPr>
        <w:t xml:space="preserve"> </w:t>
      </w:r>
      <w:r>
        <w:rPr>
          <w:rFonts w:cs="Times New Roman"/>
          <w:b/>
          <w:bCs/>
        </w:rPr>
        <w:t>quantitatives</w:t>
      </w:r>
      <w:r w:rsidR="00176B3E">
        <w:rPr>
          <w:rFonts w:cs="Times New Roman"/>
        </w:rPr>
        <w:t xml:space="preserve"> : L’assurance qualité des données </w:t>
      </w:r>
      <w:r w:rsidR="00176B3E" w:rsidRPr="00176B3E">
        <w:rPr>
          <w:rFonts w:cs="Times New Roman"/>
        </w:rPr>
        <w:t>a été opérée à deux niveaux</w:t>
      </w:r>
      <w:r w:rsidR="00176B3E">
        <w:rPr>
          <w:rFonts w:cs="Times New Roman"/>
        </w:rPr>
        <w:t> : lors de la digitalisation des questionnaires et lors de la collecte sur le terrain en temps réel</w:t>
      </w:r>
      <w:r w:rsidR="00176B3E" w:rsidRPr="00176B3E">
        <w:rPr>
          <w:rFonts w:cs="Times New Roman"/>
        </w:rPr>
        <w:t xml:space="preserve">. Lors de la digitalisation des outils de collecte notamment les questionnaires, les espaces de réponses ont été calibrés en fonction de chaque question (nombre entier, décimal, choix multiples ou unique, etc.). Des obligations et sauts ont été insérés. L’objectif recherché est d’éviter les données aberrantes. </w:t>
      </w:r>
      <w:r w:rsidR="00176B3E">
        <w:rPr>
          <w:rFonts w:cs="Times New Roman"/>
        </w:rPr>
        <w:t xml:space="preserve">Pendant </w:t>
      </w:r>
      <w:r w:rsidR="00176B3E" w:rsidRPr="00176B3E">
        <w:rPr>
          <w:rFonts w:cs="Times New Roman"/>
        </w:rPr>
        <w:t>la collecte de données</w:t>
      </w:r>
      <w:r w:rsidR="00176B3E">
        <w:rPr>
          <w:rFonts w:cs="Times New Roman"/>
        </w:rPr>
        <w:t xml:space="preserve"> sur le terrain</w:t>
      </w:r>
      <w:r w:rsidR="00176B3E" w:rsidRPr="00176B3E">
        <w:rPr>
          <w:rFonts w:cs="Times New Roman"/>
        </w:rPr>
        <w:t xml:space="preserve">, le contrôle </w:t>
      </w:r>
      <w:r w:rsidR="00176B3E">
        <w:rPr>
          <w:rFonts w:cs="Times New Roman"/>
        </w:rPr>
        <w:t xml:space="preserve">de la qualité des données </w:t>
      </w:r>
      <w:r w:rsidR="00176B3E" w:rsidRPr="00176B3E">
        <w:rPr>
          <w:rFonts w:cs="Times New Roman"/>
        </w:rPr>
        <w:t>était fait en temps réel</w:t>
      </w:r>
      <w:r w:rsidR="00176B3E">
        <w:rPr>
          <w:rFonts w:cs="Times New Roman"/>
        </w:rPr>
        <w:t>. Cette démarche présente l’avantage de rattraper et de corriger les erreurs pendant que les enquêteurs sont sur le terrain</w:t>
      </w:r>
      <w:r w:rsidR="00176B3E" w:rsidRPr="00176B3E">
        <w:rPr>
          <w:rFonts w:cs="Times New Roman"/>
        </w:rPr>
        <w:t xml:space="preserve">. Le contrôle était assuré par </w:t>
      </w:r>
      <w:r w:rsidR="00176B3E">
        <w:rPr>
          <w:rFonts w:cs="Times New Roman"/>
        </w:rPr>
        <w:t>l’expert associé</w:t>
      </w:r>
      <w:r w:rsidR="00176B3E" w:rsidRPr="00176B3E">
        <w:rPr>
          <w:rFonts w:cs="Times New Roman"/>
        </w:rPr>
        <w:t xml:space="preserve"> et l’équipe </w:t>
      </w:r>
      <w:r w:rsidR="00176B3E">
        <w:rPr>
          <w:rFonts w:cs="Times New Roman"/>
        </w:rPr>
        <w:t>de backstopping de AMD</w:t>
      </w:r>
      <w:r w:rsidR="002D3E79">
        <w:rPr>
          <w:rFonts w:cs="Times New Roman"/>
        </w:rPr>
        <w:t xml:space="preserve"> International</w:t>
      </w:r>
      <w:r w:rsidR="00176B3E" w:rsidRPr="00176B3E">
        <w:rPr>
          <w:rFonts w:cs="Times New Roman"/>
        </w:rPr>
        <w:t xml:space="preserve">. Cela consistait à s’assurer </w:t>
      </w:r>
      <w:r w:rsidR="00176B3E">
        <w:rPr>
          <w:rFonts w:cs="Times New Roman"/>
        </w:rPr>
        <w:t xml:space="preserve">quotidiennement </w:t>
      </w:r>
      <w:r w:rsidR="00176B3E" w:rsidRPr="00176B3E">
        <w:rPr>
          <w:rFonts w:cs="Times New Roman"/>
        </w:rPr>
        <w:t xml:space="preserve">que chaque enregistrement </w:t>
      </w:r>
      <w:r w:rsidR="00176B3E">
        <w:rPr>
          <w:rFonts w:cs="Times New Roman"/>
        </w:rPr>
        <w:t xml:space="preserve">sur la plateforme </w:t>
      </w:r>
      <w:r w:rsidR="00176B3E" w:rsidRPr="00176B3E">
        <w:rPr>
          <w:rFonts w:cs="Times New Roman"/>
        </w:rPr>
        <w:t xml:space="preserve">a été entièrement </w:t>
      </w:r>
      <w:r w:rsidR="00176B3E">
        <w:rPr>
          <w:rFonts w:cs="Times New Roman"/>
        </w:rPr>
        <w:t xml:space="preserve">bien </w:t>
      </w:r>
      <w:r w:rsidR="00176B3E" w:rsidRPr="00176B3E">
        <w:rPr>
          <w:rFonts w:cs="Times New Roman"/>
        </w:rPr>
        <w:t>renseigné. En cas de données ou informations anormales ou de réponses incompréhensibles, l’enquêteur ou l’enquêtrice est invité à confirmer ou à fournir plus d’explications en rappelant l’enquêté.</w:t>
      </w:r>
    </w:p>
    <w:p w14:paraId="2FE413A7" w14:textId="453A9F69" w:rsidR="00E5198C" w:rsidRDefault="00E5198C" w:rsidP="00FB2B45">
      <w:pPr>
        <w:pStyle w:val="Paragraphedeliste"/>
        <w:numPr>
          <w:ilvl w:val="0"/>
          <w:numId w:val="23"/>
        </w:numPr>
        <w:spacing w:line="276" w:lineRule="auto"/>
        <w:rPr>
          <w:rFonts w:cs="Times New Roman"/>
        </w:rPr>
      </w:pPr>
      <w:r>
        <w:rPr>
          <w:rFonts w:cs="Times New Roman"/>
          <w:b/>
          <w:bCs/>
        </w:rPr>
        <w:t xml:space="preserve">Contrôle </w:t>
      </w:r>
      <w:r w:rsidR="00176B3E">
        <w:rPr>
          <w:rFonts w:cs="Times New Roman"/>
          <w:b/>
          <w:bCs/>
        </w:rPr>
        <w:t>qualité des données qualitatives </w:t>
      </w:r>
      <w:r w:rsidR="00176B3E" w:rsidRPr="00176B3E">
        <w:rPr>
          <w:rFonts w:cs="Times New Roman"/>
        </w:rPr>
        <w:t>:</w:t>
      </w:r>
      <w:r w:rsidR="00176B3E">
        <w:rPr>
          <w:rFonts w:cs="Times New Roman"/>
        </w:rPr>
        <w:t xml:space="preserve"> </w:t>
      </w:r>
      <w:r w:rsidR="00176B3E" w:rsidRPr="00176B3E">
        <w:rPr>
          <w:rFonts w:cs="Times New Roman"/>
        </w:rPr>
        <w:t xml:space="preserve">Concernant les données qualitatives, les informations </w:t>
      </w:r>
      <w:r w:rsidR="00176B3E">
        <w:rPr>
          <w:rFonts w:cs="Times New Roman"/>
        </w:rPr>
        <w:t>collectées sont</w:t>
      </w:r>
      <w:r w:rsidR="00176B3E" w:rsidRPr="00176B3E">
        <w:rPr>
          <w:rFonts w:cs="Times New Roman"/>
        </w:rPr>
        <w:t xml:space="preserve"> saisies à travers la prise de notes</w:t>
      </w:r>
      <w:r w:rsidR="00176B3E">
        <w:rPr>
          <w:rFonts w:cs="Times New Roman"/>
        </w:rPr>
        <w:t xml:space="preserve"> (notes des entretiens)</w:t>
      </w:r>
      <w:r w:rsidR="00176B3E" w:rsidRPr="00176B3E">
        <w:rPr>
          <w:rFonts w:cs="Times New Roman"/>
        </w:rPr>
        <w:t xml:space="preserve">. </w:t>
      </w:r>
      <w:r w:rsidR="00176B3E">
        <w:rPr>
          <w:rFonts w:cs="Times New Roman"/>
        </w:rPr>
        <w:t>Ces informations</w:t>
      </w:r>
      <w:r w:rsidR="00176B3E" w:rsidRPr="00176B3E">
        <w:rPr>
          <w:rFonts w:cs="Times New Roman"/>
        </w:rPr>
        <w:t xml:space="preserve"> </w:t>
      </w:r>
      <w:r w:rsidR="00176B3E">
        <w:rPr>
          <w:rFonts w:cs="Times New Roman"/>
        </w:rPr>
        <w:t>s</w:t>
      </w:r>
      <w:r w:rsidR="00176B3E" w:rsidRPr="00176B3E">
        <w:rPr>
          <w:rFonts w:cs="Times New Roman"/>
        </w:rPr>
        <w:t xml:space="preserve">ont </w:t>
      </w:r>
      <w:r w:rsidR="00176B3E">
        <w:rPr>
          <w:rFonts w:cs="Times New Roman"/>
        </w:rPr>
        <w:t>e</w:t>
      </w:r>
      <w:r w:rsidR="00176B3E" w:rsidRPr="00176B3E">
        <w:rPr>
          <w:rFonts w:cs="Times New Roman"/>
        </w:rPr>
        <w:t>nvoyé</w:t>
      </w:r>
      <w:r w:rsidR="00176B3E">
        <w:rPr>
          <w:rFonts w:cs="Times New Roman"/>
        </w:rPr>
        <w:t>e</w:t>
      </w:r>
      <w:r w:rsidR="00176B3E" w:rsidRPr="00176B3E">
        <w:rPr>
          <w:rFonts w:cs="Times New Roman"/>
        </w:rPr>
        <w:t xml:space="preserve">s </w:t>
      </w:r>
      <w:r w:rsidR="00176B3E">
        <w:rPr>
          <w:rFonts w:cs="Times New Roman"/>
        </w:rPr>
        <w:t>au consultant</w:t>
      </w:r>
      <w:r w:rsidR="00176B3E" w:rsidRPr="00176B3E">
        <w:rPr>
          <w:rFonts w:cs="Times New Roman"/>
        </w:rPr>
        <w:t xml:space="preserve"> pour lecture intégrale</w:t>
      </w:r>
      <w:r w:rsidR="00176B3E">
        <w:rPr>
          <w:rFonts w:cs="Times New Roman"/>
        </w:rPr>
        <w:t>.</w:t>
      </w:r>
      <w:r w:rsidR="00176B3E" w:rsidRPr="00176B3E">
        <w:rPr>
          <w:rFonts w:cs="Times New Roman"/>
        </w:rPr>
        <w:t xml:space="preserve"> Les observations sont notifiées </w:t>
      </w:r>
      <w:r>
        <w:rPr>
          <w:rFonts w:cs="Times New Roman"/>
        </w:rPr>
        <w:t xml:space="preserve">rapidement </w:t>
      </w:r>
      <w:r w:rsidR="00176B3E" w:rsidRPr="00176B3E">
        <w:rPr>
          <w:rFonts w:cs="Times New Roman"/>
        </w:rPr>
        <w:t xml:space="preserve">aux </w:t>
      </w:r>
      <w:r w:rsidR="00176B3E">
        <w:rPr>
          <w:rFonts w:cs="Times New Roman"/>
        </w:rPr>
        <w:t>enquêteurs</w:t>
      </w:r>
      <w:r w:rsidR="00176B3E" w:rsidRPr="00176B3E">
        <w:rPr>
          <w:rFonts w:cs="Times New Roman"/>
        </w:rPr>
        <w:t xml:space="preserve"> pour </w:t>
      </w:r>
      <w:r>
        <w:rPr>
          <w:rFonts w:cs="Times New Roman"/>
        </w:rPr>
        <w:t>donner des réponses satisfaisantes</w:t>
      </w:r>
      <w:r w:rsidR="00176B3E" w:rsidRPr="00176B3E">
        <w:rPr>
          <w:rFonts w:cs="Times New Roman"/>
        </w:rPr>
        <w:t xml:space="preserve">. </w:t>
      </w:r>
    </w:p>
    <w:p w14:paraId="7C0DB7D1" w14:textId="64D48882" w:rsidR="00E5198C" w:rsidRDefault="00E5198C" w:rsidP="00FB2B45">
      <w:pPr>
        <w:pStyle w:val="Paragraphedeliste"/>
        <w:numPr>
          <w:ilvl w:val="0"/>
          <w:numId w:val="23"/>
        </w:numPr>
        <w:spacing w:line="276" w:lineRule="auto"/>
        <w:rPr>
          <w:rFonts w:cs="Times New Roman"/>
        </w:rPr>
      </w:pPr>
      <w:r w:rsidRPr="00E5198C">
        <w:rPr>
          <w:rFonts w:cs="Times New Roman"/>
          <w:b/>
          <w:bCs/>
        </w:rPr>
        <w:t xml:space="preserve">Contrôle qualité interne de </w:t>
      </w:r>
      <w:r w:rsidR="00176B3E" w:rsidRPr="00E5198C">
        <w:rPr>
          <w:rFonts w:cs="Times New Roman"/>
          <w:b/>
          <w:bCs/>
        </w:rPr>
        <w:t>AMD International</w:t>
      </w:r>
      <w:r>
        <w:rPr>
          <w:rFonts w:cs="Times New Roman"/>
        </w:rPr>
        <w:t> :</w:t>
      </w:r>
      <w:r w:rsidR="00176B3E" w:rsidRPr="00E5198C">
        <w:rPr>
          <w:rFonts w:cs="Times New Roman"/>
        </w:rPr>
        <w:t xml:space="preserve"> une équipe interne technique </w:t>
      </w:r>
      <w:r>
        <w:rPr>
          <w:rFonts w:cs="Times New Roman"/>
        </w:rPr>
        <w:t xml:space="preserve">est mobilisée </w:t>
      </w:r>
      <w:r w:rsidR="00176B3E" w:rsidRPr="00E5198C">
        <w:rPr>
          <w:rFonts w:cs="Times New Roman"/>
        </w:rPr>
        <w:t xml:space="preserve">pour appuyer les travaux tout le long de la durée de la mission. Cette équipe reste en contact permanent avec les experts et aide à trouver les solutions aux difficultés terrain. Elle rapporte au Client tout changement majeur dans l’exécution de la mission. Cette équipe assure le premier niveau de la qualité des livrables produits avant la soumission au responsable qualité de AMD. Le </w:t>
      </w:r>
      <w:r>
        <w:rPr>
          <w:rFonts w:cs="Times New Roman"/>
        </w:rPr>
        <w:t>livrable</w:t>
      </w:r>
      <w:r w:rsidR="00176B3E" w:rsidRPr="00E5198C">
        <w:rPr>
          <w:rFonts w:cs="Times New Roman"/>
        </w:rPr>
        <w:t xml:space="preserve"> est transmis au Client après accord de ce dernier. </w:t>
      </w:r>
    </w:p>
    <w:p w14:paraId="411E844F" w14:textId="05B8F5A4" w:rsidR="00176B3E" w:rsidRPr="00E5198C" w:rsidRDefault="00E5198C" w:rsidP="00FB2B45">
      <w:pPr>
        <w:pStyle w:val="Paragraphedeliste"/>
        <w:numPr>
          <w:ilvl w:val="0"/>
          <w:numId w:val="23"/>
        </w:numPr>
        <w:spacing w:line="276" w:lineRule="auto"/>
        <w:rPr>
          <w:rFonts w:cs="Times New Roman"/>
        </w:rPr>
      </w:pPr>
      <w:r w:rsidRPr="00E5198C">
        <w:rPr>
          <w:rFonts w:cs="Times New Roman"/>
          <w:b/>
          <w:bCs/>
        </w:rPr>
        <w:t>Contrôle qualité des livrables à travers des instances </w:t>
      </w:r>
      <w:r>
        <w:rPr>
          <w:rFonts w:cs="Times New Roman"/>
        </w:rPr>
        <w:t xml:space="preserve">: </w:t>
      </w:r>
      <w:r w:rsidR="00176B3E" w:rsidRPr="00E5198C">
        <w:rPr>
          <w:rFonts w:cs="Times New Roman"/>
        </w:rPr>
        <w:t>Le groupe de gestion et de référence de l’évaluation est un cadre exigeant d’échanges et d’alerte, y compris sur les questions de qualité. Les échanges avec le groupe de gestion et de référence de l’évaluation, contribuent naturellement à la stabilisation d’un rapport de qualité.</w:t>
      </w:r>
    </w:p>
    <w:p w14:paraId="0B395BBA" w14:textId="77777777" w:rsidR="0092306A" w:rsidRPr="00095CA4" w:rsidRDefault="0092306A" w:rsidP="009C7CEB">
      <w:pPr>
        <w:rPr>
          <w:rFonts w:ascii="Times New Roman" w:hAnsi="Times New Roman" w:cs="Times New Roman"/>
          <w:sz w:val="12"/>
          <w:szCs w:val="24"/>
        </w:rPr>
      </w:pPr>
    </w:p>
    <w:p w14:paraId="720B99BB" w14:textId="7B04B6C1" w:rsidR="002A2801" w:rsidRPr="004277E9" w:rsidRDefault="002A2801" w:rsidP="00820BBD">
      <w:pPr>
        <w:pStyle w:val="Titre2"/>
        <w:numPr>
          <w:ilvl w:val="1"/>
          <w:numId w:val="81"/>
        </w:numPr>
      </w:pPr>
      <w:bookmarkStart w:id="939" w:name="_Toc95451864"/>
      <w:r>
        <w:t>Considérations éthiques</w:t>
      </w:r>
      <w:bookmarkEnd w:id="939"/>
      <w:r w:rsidRPr="004277E9">
        <w:t xml:space="preserve"> </w:t>
      </w:r>
    </w:p>
    <w:p w14:paraId="09CA38C5" w14:textId="40436041" w:rsidR="00A8088C" w:rsidRPr="00A8088C" w:rsidRDefault="00A8088C" w:rsidP="00FB2B45">
      <w:pPr>
        <w:pStyle w:val="Paragraphedeliste"/>
        <w:numPr>
          <w:ilvl w:val="0"/>
          <w:numId w:val="23"/>
        </w:numPr>
        <w:spacing w:line="276" w:lineRule="auto"/>
        <w:rPr>
          <w:rFonts w:cs="Times New Roman"/>
        </w:rPr>
      </w:pPr>
      <w:r w:rsidRPr="00A8088C">
        <w:rPr>
          <w:rFonts w:cs="Times New Roman"/>
        </w:rPr>
        <w:t xml:space="preserve">La collecte des données </w:t>
      </w:r>
      <w:r w:rsidR="00B33A3A">
        <w:rPr>
          <w:rFonts w:cs="Times New Roman"/>
        </w:rPr>
        <w:t>est réalisée</w:t>
      </w:r>
      <w:r w:rsidRPr="00A8088C">
        <w:rPr>
          <w:rFonts w:cs="Times New Roman"/>
        </w:rPr>
        <w:t xml:space="preserve"> dans le strict respect des règles éthiques</w:t>
      </w:r>
      <w:r w:rsidR="006E308C">
        <w:rPr>
          <w:rFonts w:cs="Times New Roman"/>
        </w:rPr>
        <w:t>. Les principes de base à respecter sont notamment</w:t>
      </w:r>
      <w:r w:rsidRPr="00A8088C">
        <w:rPr>
          <w:rFonts w:cs="Times New Roman"/>
        </w:rPr>
        <w:t> :</w:t>
      </w:r>
    </w:p>
    <w:p w14:paraId="2DF0A3DA" w14:textId="1B15D865" w:rsidR="00A8088C" w:rsidRDefault="00091FC9" w:rsidP="002045E7">
      <w:pPr>
        <w:numPr>
          <w:ilvl w:val="0"/>
          <w:numId w:val="5"/>
        </w:numPr>
        <w:spacing w:before="0" w:line="276" w:lineRule="auto"/>
      </w:pPr>
      <w:r>
        <w:rPr>
          <w:i/>
          <w:iCs/>
        </w:rPr>
        <w:t>Le</w:t>
      </w:r>
      <w:r w:rsidR="00A8088C" w:rsidRPr="04F997C7">
        <w:rPr>
          <w:i/>
          <w:iCs/>
        </w:rPr>
        <w:t xml:space="preserve"> consentement éclairé :</w:t>
      </w:r>
      <w:r w:rsidR="00A8088C">
        <w:t xml:space="preserve"> </w:t>
      </w:r>
      <w:r w:rsidR="00EF372A">
        <w:t xml:space="preserve">Etant donné que la cible de la collecte porte sur des personnes de </w:t>
      </w:r>
      <w:r w:rsidR="00F06C30">
        <w:t xml:space="preserve">plus </w:t>
      </w:r>
      <w:r w:rsidR="0077431F">
        <w:t xml:space="preserve">de </w:t>
      </w:r>
      <w:r w:rsidR="00F06C30">
        <w:t>18</w:t>
      </w:r>
      <w:r w:rsidR="00EF372A">
        <w:t xml:space="preserve"> ans (femmes et jeunes), le consentement sera directement demandé au répondant. L</w:t>
      </w:r>
      <w:r w:rsidR="00A8088C">
        <w:t>a participation à la collecte se veut libre</w:t>
      </w:r>
      <w:r w:rsidR="004510A9">
        <w:t xml:space="preserve"> et en toute connaissance de cause</w:t>
      </w:r>
      <w:r w:rsidR="00A8088C">
        <w:t xml:space="preserve">. Le consentement des répondants </w:t>
      </w:r>
      <w:r w:rsidR="000E259F">
        <w:t xml:space="preserve">a été requis </w:t>
      </w:r>
      <w:r w:rsidR="00A8088C">
        <w:t>avant leur participation.</w:t>
      </w:r>
      <w:r w:rsidR="005D2C17">
        <w:t xml:space="preserve"> Au préalable, le but de l’évaluation et </w:t>
      </w:r>
      <w:r w:rsidR="00B33A3A">
        <w:t xml:space="preserve">de </w:t>
      </w:r>
      <w:r w:rsidR="005D2C17">
        <w:t xml:space="preserve">l’exploitation </w:t>
      </w:r>
      <w:r w:rsidR="00B33A3A">
        <w:t xml:space="preserve">des données </w:t>
      </w:r>
      <w:r w:rsidR="00277DE9">
        <w:t>ainsi que la durée moyenne des échanges</w:t>
      </w:r>
      <w:r w:rsidR="005D2C17">
        <w:t xml:space="preserve"> </w:t>
      </w:r>
      <w:r w:rsidR="00B33A3A">
        <w:t xml:space="preserve">est faite </w:t>
      </w:r>
      <w:r w:rsidR="00277DE9">
        <w:t xml:space="preserve">par l’enquêteur/enquêtrice. </w:t>
      </w:r>
    </w:p>
    <w:p w14:paraId="41129054" w14:textId="274F075A" w:rsidR="005D2C17" w:rsidRPr="004257AD" w:rsidRDefault="00091FC9" w:rsidP="002045E7">
      <w:pPr>
        <w:numPr>
          <w:ilvl w:val="0"/>
          <w:numId w:val="5"/>
        </w:numPr>
        <w:spacing w:before="0" w:line="276" w:lineRule="auto"/>
      </w:pPr>
      <w:r>
        <w:rPr>
          <w:i/>
        </w:rPr>
        <w:t>Le</w:t>
      </w:r>
      <w:r w:rsidR="005D2C17">
        <w:rPr>
          <w:i/>
        </w:rPr>
        <w:t xml:space="preserve"> respect du principe </w:t>
      </w:r>
      <w:r w:rsidR="005915E4">
        <w:rPr>
          <w:i/>
        </w:rPr>
        <w:t>« N</w:t>
      </w:r>
      <w:r w:rsidR="005D2C17">
        <w:rPr>
          <w:i/>
        </w:rPr>
        <w:t>e pas nuire</w:t>
      </w:r>
      <w:r w:rsidR="005915E4">
        <w:rPr>
          <w:i/>
        </w:rPr>
        <w:t> »</w:t>
      </w:r>
      <w:r w:rsidR="005D2C17">
        <w:rPr>
          <w:i/>
        </w:rPr>
        <w:t> :</w:t>
      </w:r>
      <w:r w:rsidR="005D2C17">
        <w:t xml:space="preserve"> </w:t>
      </w:r>
      <w:r w:rsidR="004510A9">
        <w:t xml:space="preserve">il s’agit d’éviter à tout prix même non intentionnellement, de porter </w:t>
      </w:r>
      <w:r w:rsidR="00BE63E6">
        <w:t xml:space="preserve">un quelconque </w:t>
      </w:r>
      <w:r w:rsidR="004510A9">
        <w:t xml:space="preserve">préjudice aux participants de l’enquête. Dans le contexte actuel de </w:t>
      </w:r>
      <w:r w:rsidR="00332592">
        <w:t>COVID-19</w:t>
      </w:r>
      <w:r w:rsidR="005E5E62">
        <w:t xml:space="preserve"> et d’insécurité</w:t>
      </w:r>
      <w:r w:rsidR="004510A9">
        <w:t xml:space="preserve">, le respect de ce principe a commandé l’option </w:t>
      </w:r>
      <w:r w:rsidR="005E5E62">
        <w:t xml:space="preserve">de combinaison </w:t>
      </w:r>
      <w:r w:rsidR="00F522FF">
        <w:t xml:space="preserve">des </w:t>
      </w:r>
      <w:r w:rsidR="005E5E62">
        <w:t>entretiens directs (en présentiel) avec la collecte à distance (entrevues virtuelles par zoom/teams ou par appel</w:t>
      </w:r>
      <w:r w:rsidR="004510A9">
        <w:t xml:space="preserve"> téléphonique</w:t>
      </w:r>
      <w:r w:rsidR="005E5E62">
        <w:t>) selon les réalités de chaque localité</w:t>
      </w:r>
      <w:r w:rsidR="004510A9">
        <w:t xml:space="preserve">. </w:t>
      </w:r>
      <w:r w:rsidR="005E5E62">
        <w:t xml:space="preserve">Les focus group </w:t>
      </w:r>
      <w:r w:rsidR="00B33A3A">
        <w:t xml:space="preserve">sont aussi </w:t>
      </w:r>
      <w:r w:rsidR="005E5E62">
        <w:t xml:space="preserve">organisés </w:t>
      </w:r>
      <w:r w:rsidR="00EF372A">
        <w:t>par les enquêteurs</w:t>
      </w:r>
      <w:r w:rsidR="00F90A47">
        <w:t>, selon les réalités locales</w:t>
      </w:r>
      <w:r w:rsidR="00EF372A">
        <w:t xml:space="preserve"> </w:t>
      </w:r>
      <w:r w:rsidR="005E5E62">
        <w:t>sous forme de thé</w:t>
      </w:r>
      <w:r w:rsidR="00F522FF">
        <w:t>-</w:t>
      </w:r>
      <w:r w:rsidR="005E5E62">
        <w:t>débat</w:t>
      </w:r>
      <w:r w:rsidR="00326845">
        <w:t xml:space="preserve"> par exemple</w:t>
      </w:r>
      <w:r w:rsidR="00793225">
        <w:t>,</w:t>
      </w:r>
      <w:r w:rsidR="005E5E62">
        <w:t xml:space="preserve"> pour éviter d’exposer les participants </w:t>
      </w:r>
      <w:r w:rsidR="0041615E">
        <w:t xml:space="preserve">à des risques de représailles </w:t>
      </w:r>
      <w:r w:rsidR="00C678F0">
        <w:t>et stimuler les échanges</w:t>
      </w:r>
      <w:r w:rsidR="00A25EA3">
        <w:t xml:space="preserve">. </w:t>
      </w:r>
      <w:r w:rsidR="000E259F">
        <w:t>C</w:t>
      </w:r>
      <w:r w:rsidR="00326845">
        <w:t xml:space="preserve">ette question pratique </w:t>
      </w:r>
      <w:r w:rsidR="00B33A3A">
        <w:t>est</w:t>
      </w:r>
      <w:r w:rsidR="00326845">
        <w:t xml:space="preserve"> discutée avec les participants afin de choisir de façon consensuelle les cadres et formes d’échanges les plus sûrs suivant les contraintes locales. </w:t>
      </w:r>
      <w:r w:rsidR="000E259F">
        <w:t xml:space="preserve">Des focus group (hommes et femmes) n’ont pas été tenus </w:t>
      </w:r>
      <w:r w:rsidR="0057360E">
        <w:t xml:space="preserve">et ce, conformément aux us et coutumes locales d’une part, et d’autre part pour favorise la pleine expression de tous les participants </w:t>
      </w:r>
      <w:r w:rsidR="00032788">
        <w:t>de</w:t>
      </w:r>
      <w:r w:rsidR="0057360E">
        <w:t xml:space="preserve"> chaque focus g</w:t>
      </w:r>
      <w:r w:rsidR="00032788">
        <w:t>roup.</w:t>
      </w:r>
      <w:r w:rsidR="0057360E">
        <w:t xml:space="preserve"> </w:t>
      </w:r>
      <w:r w:rsidR="0077622B">
        <w:t xml:space="preserve">Enfin, les agents de collecte des données ont </w:t>
      </w:r>
      <w:r w:rsidR="00B33A3A">
        <w:t xml:space="preserve">été </w:t>
      </w:r>
      <w:r w:rsidR="0077622B">
        <w:t xml:space="preserve">sensibilisés au contrôle de leur langage notamment sur les questions de </w:t>
      </w:r>
      <w:r w:rsidR="003569C4">
        <w:t>terrorisme.</w:t>
      </w:r>
    </w:p>
    <w:p w14:paraId="3F21E1FB" w14:textId="561A5CDA" w:rsidR="005D2C17" w:rsidRDefault="005D2C17" w:rsidP="00DC4CE1">
      <w:pPr>
        <w:numPr>
          <w:ilvl w:val="0"/>
          <w:numId w:val="5"/>
        </w:numPr>
        <w:spacing w:before="0" w:after="160" w:line="276" w:lineRule="auto"/>
      </w:pPr>
      <w:r w:rsidRPr="00C80E8E">
        <w:rPr>
          <w:i/>
        </w:rPr>
        <w:t xml:space="preserve">La </w:t>
      </w:r>
      <w:r>
        <w:rPr>
          <w:i/>
        </w:rPr>
        <w:t>m</w:t>
      </w:r>
      <w:r w:rsidRPr="00C80E8E">
        <w:rPr>
          <w:i/>
        </w:rPr>
        <w:t xml:space="preserve">inimisation des risques </w:t>
      </w:r>
      <w:r>
        <w:rPr>
          <w:i/>
        </w:rPr>
        <w:t>d’inconfort pour les</w:t>
      </w:r>
      <w:r w:rsidRPr="00C80E8E">
        <w:rPr>
          <w:i/>
        </w:rPr>
        <w:t xml:space="preserve"> personnes interrogées : </w:t>
      </w:r>
      <w:r w:rsidR="00043F1E" w:rsidRPr="00043F1E">
        <w:t xml:space="preserve">Les </w:t>
      </w:r>
      <w:r w:rsidR="00043F1E">
        <w:t xml:space="preserve">entretiens sont réalisés aux dates et heures de disponibilité des répondants. </w:t>
      </w:r>
      <w:r w:rsidR="009C4860">
        <w:t xml:space="preserve">Les agents ont </w:t>
      </w:r>
      <w:r w:rsidR="00B33A3A">
        <w:t xml:space="preserve">été </w:t>
      </w:r>
      <w:r w:rsidR="009C4860">
        <w:t xml:space="preserve">également formés et tenus au strict </w:t>
      </w:r>
      <w:r w:rsidR="005E5E62">
        <w:t xml:space="preserve">respect des us et coutumes locales, </w:t>
      </w:r>
      <w:r w:rsidR="009C4860">
        <w:t>tout en restant patients, compréhensifs et impartia</w:t>
      </w:r>
      <w:r w:rsidR="00F522FF">
        <w:t>ux</w:t>
      </w:r>
      <w:r w:rsidR="009C4860">
        <w:t xml:space="preserve"> devant toute situation.</w:t>
      </w:r>
    </w:p>
    <w:p w14:paraId="0C0A6999" w14:textId="2FFE5CE1" w:rsidR="006E308C" w:rsidRDefault="00A8088C" w:rsidP="00DC4CE1">
      <w:pPr>
        <w:numPr>
          <w:ilvl w:val="0"/>
          <w:numId w:val="5"/>
        </w:numPr>
        <w:spacing w:before="0" w:after="0" w:line="276" w:lineRule="auto"/>
      </w:pPr>
      <w:r w:rsidRPr="00C80E8E">
        <w:rPr>
          <w:i/>
        </w:rPr>
        <w:t xml:space="preserve">La </w:t>
      </w:r>
      <w:r>
        <w:rPr>
          <w:i/>
        </w:rPr>
        <w:t>c</w:t>
      </w:r>
      <w:r w:rsidRPr="00C80E8E">
        <w:rPr>
          <w:i/>
        </w:rPr>
        <w:t xml:space="preserve">onfidentialité </w:t>
      </w:r>
      <w:r w:rsidR="006E308C">
        <w:rPr>
          <w:i/>
        </w:rPr>
        <w:t xml:space="preserve">et </w:t>
      </w:r>
      <w:r w:rsidR="00F522FF">
        <w:rPr>
          <w:i/>
        </w:rPr>
        <w:t xml:space="preserve">la </w:t>
      </w:r>
      <w:r w:rsidR="006E308C">
        <w:rPr>
          <w:i/>
        </w:rPr>
        <w:t xml:space="preserve">protection des données </w:t>
      </w:r>
      <w:r w:rsidRPr="00C80E8E">
        <w:rPr>
          <w:i/>
        </w:rPr>
        <w:t>:</w:t>
      </w:r>
      <w:r w:rsidRPr="004257AD">
        <w:t xml:space="preserve"> les données </w:t>
      </w:r>
      <w:r w:rsidR="00B33A3A">
        <w:t>collectées</w:t>
      </w:r>
      <w:r w:rsidRPr="004257AD">
        <w:t xml:space="preserve"> restent anonymes. </w:t>
      </w:r>
      <w:r w:rsidR="006E308C">
        <w:t>Cela passera</w:t>
      </w:r>
      <w:r w:rsidR="00F522FF">
        <w:t>,</w:t>
      </w:r>
      <w:r w:rsidR="006E308C">
        <w:t xml:space="preserve"> entre autres</w:t>
      </w:r>
      <w:r w:rsidR="00F522FF">
        <w:t>,</w:t>
      </w:r>
      <w:r w:rsidR="006E308C">
        <w:t> par :</w:t>
      </w:r>
    </w:p>
    <w:p w14:paraId="69DFB125" w14:textId="32422E23" w:rsidR="006E308C" w:rsidRDefault="009C4860" w:rsidP="00DC4CE1">
      <w:pPr>
        <w:numPr>
          <w:ilvl w:val="0"/>
          <w:numId w:val="7"/>
        </w:numPr>
        <w:spacing w:before="0" w:after="0" w:line="276" w:lineRule="auto"/>
        <w:ind w:left="1276" w:hanging="425"/>
      </w:pPr>
      <w:r>
        <w:t>L’interdiction</w:t>
      </w:r>
      <w:r w:rsidR="006E308C">
        <w:t xml:space="preserve"> de collecter les données par SMS</w:t>
      </w:r>
      <w:r w:rsidR="00793225">
        <w:t> ;</w:t>
      </w:r>
      <w:r w:rsidR="006E308C">
        <w:t xml:space="preserve"> </w:t>
      </w:r>
    </w:p>
    <w:p w14:paraId="129E75B8" w14:textId="77777777" w:rsidR="009C4860" w:rsidRDefault="006E308C" w:rsidP="00DC4CE1">
      <w:pPr>
        <w:numPr>
          <w:ilvl w:val="0"/>
          <w:numId w:val="7"/>
        </w:numPr>
        <w:spacing w:before="0" w:after="0" w:line="276" w:lineRule="auto"/>
        <w:ind w:left="1276" w:hanging="425"/>
      </w:pPr>
      <w:r>
        <w:t xml:space="preserve">La codification des questionnaires renseignées de sorte que les répondants </w:t>
      </w:r>
      <w:r w:rsidR="00A8088C" w:rsidRPr="004257AD">
        <w:t xml:space="preserve">ne soient pas identifiables à travers leurs </w:t>
      </w:r>
      <w:r>
        <w:t>noms</w:t>
      </w:r>
      <w:r w:rsidR="009C4860">
        <w:t> ;</w:t>
      </w:r>
    </w:p>
    <w:p w14:paraId="05944653" w14:textId="21BA159E" w:rsidR="009C4860" w:rsidRDefault="009C4860" w:rsidP="00DC4CE1">
      <w:pPr>
        <w:numPr>
          <w:ilvl w:val="0"/>
          <w:numId w:val="7"/>
        </w:numPr>
        <w:spacing w:before="0" w:line="276" w:lineRule="auto"/>
        <w:ind w:left="1276" w:hanging="425"/>
      </w:pPr>
      <w:r>
        <w:t>La protection de la base de données avec un mot de passe</w:t>
      </w:r>
      <w:r w:rsidR="00793225">
        <w:t>.</w:t>
      </w:r>
    </w:p>
    <w:p w14:paraId="3003984A" w14:textId="77777777" w:rsidR="005F627D" w:rsidRDefault="005F627D" w:rsidP="005F627D">
      <w:pPr>
        <w:pStyle w:val="Paragraphedeliste"/>
        <w:spacing w:before="240" w:after="0" w:line="276" w:lineRule="auto"/>
        <w:ind w:left="540"/>
      </w:pPr>
    </w:p>
    <w:p w14:paraId="55121198" w14:textId="2BEC9CE1" w:rsidR="009B114C" w:rsidRDefault="009B114C" w:rsidP="00820BBD">
      <w:pPr>
        <w:pStyle w:val="Titre2"/>
        <w:numPr>
          <w:ilvl w:val="1"/>
          <w:numId w:val="81"/>
        </w:numPr>
      </w:pPr>
      <w:bookmarkStart w:id="940" w:name="_Toc95451865"/>
      <w:r>
        <w:t xml:space="preserve">Dispositif de </w:t>
      </w:r>
      <w:r w:rsidR="00460223">
        <w:t xml:space="preserve">mise en œuvre et de </w:t>
      </w:r>
      <w:r>
        <w:t xml:space="preserve">suivi </w:t>
      </w:r>
      <w:r w:rsidR="00460223">
        <w:t>de</w:t>
      </w:r>
      <w:r>
        <w:t xml:space="preserve"> l’évaluation</w:t>
      </w:r>
      <w:bookmarkEnd w:id="940"/>
    </w:p>
    <w:p w14:paraId="36D01813" w14:textId="3A642FD0" w:rsidR="00901828" w:rsidRPr="00901828" w:rsidRDefault="00901828" w:rsidP="00FB2B45">
      <w:pPr>
        <w:pStyle w:val="Paragraphedeliste"/>
        <w:numPr>
          <w:ilvl w:val="0"/>
          <w:numId w:val="23"/>
        </w:numPr>
        <w:spacing w:line="276" w:lineRule="auto"/>
      </w:pPr>
      <w:r w:rsidRPr="00901828">
        <w:t xml:space="preserve">La gestion (suivi et mise en œuvre) de l’évaluation </w:t>
      </w:r>
      <w:r w:rsidR="00B33A3A">
        <w:t xml:space="preserve">a </w:t>
      </w:r>
      <w:r w:rsidR="00440F5E">
        <w:t>m</w:t>
      </w:r>
      <w:r w:rsidR="00B33A3A">
        <w:t>is</w:t>
      </w:r>
      <w:r w:rsidR="00440F5E">
        <w:t xml:space="preserve"> en interaction plusieurs</w:t>
      </w:r>
      <w:r w:rsidR="00803A16">
        <w:t xml:space="preserve"> </w:t>
      </w:r>
      <w:r w:rsidR="00440F5E">
        <w:t xml:space="preserve">acteurs. </w:t>
      </w:r>
      <w:r w:rsidR="00EB0947">
        <w:t xml:space="preserve">Ces acteurs et leurs </w:t>
      </w:r>
      <w:r>
        <w:t xml:space="preserve">rôles et responsabilités </w:t>
      </w:r>
      <w:r w:rsidR="00EB0947">
        <w:t xml:space="preserve">sont décrits comme </w:t>
      </w:r>
      <w:r w:rsidR="00D945DB">
        <w:t>suit :</w:t>
      </w:r>
    </w:p>
    <w:p w14:paraId="46BE508E" w14:textId="47F1C56C" w:rsidR="00D945DB" w:rsidRPr="00EB0947" w:rsidRDefault="00D945DB" w:rsidP="00FB2B45">
      <w:pPr>
        <w:pStyle w:val="Paragraphedeliste"/>
        <w:numPr>
          <w:ilvl w:val="0"/>
          <w:numId w:val="23"/>
        </w:numPr>
        <w:spacing w:line="276" w:lineRule="auto"/>
      </w:pPr>
      <w:r w:rsidRPr="00803A16">
        <w:rPr>
          <w:b/>
          <w:bCs/>
          <w:i/>
          <w:iCs/>
        </w:rPr>
        <w:t>Le bureau d’études AMD Internationa</w:t>
      </w:r>
      <w:r w:rsidRPr="00EB0947">
        <w:rPr>
          <w:b/>
          <w:bCs/>
        </w:rPr>
        <w:t xml:space="preserve">l : </w:t>
      </w:r>
      <w:r w:rsidR="00EB0947" w:rsidRPr="00EB0947">
        <w:t>le</w:t>
      </w:r>
      <w:r w:rsidR="00EB0947">
        <w:t xml:space="preserve"> mandat de l’évaluation est confié au Bureau AMD International qui le met en œuvre à travers une équipe d’évaluation </w:t>
      </w:r>
      <w:r w:rsidR="00135DED">
        <w:t xml:space="preserve">(consultants) </w:t>
      </w:r>
      <w:r w:rsidR="00EB0947">
        <w:t>constitué</w:t>
      </w:r>
      <w:r w:rsidR="00135DED">
        <w:t>e</w:t>
      </w:r>
      <w:r w:rsidR="00EB0947">
        <w:t xml:space="preserve"> à cet effet. </w:t>
      </w:r>
      <w:r w:rsidR="00135DED">
        <w:t xml:space="preserve">Le Bureau assure la gestion administrative et financière du mandat avec ONU Femmes Mali tout en fournissant un support technique aux consultants </w:t>
      </w:r>
      <w:r w:rsidR="00F756DF">
        <w:t xml:space="preserve">et l’assurance qualité des livrables </w:t>
      </w:r>
      <w:r w:rsidR="00135DED">
        <w:t>à travers une équipe backstopping (</w:t>
      </w:r>
      <w:r w:rsidR="00867041">
        <w:t>d’</w:t>
      </w:r>
      <w:r w:rsidR="00135DED">
        <w:t>appui</w:t>
      </w:r>
      <w:r w:rsidR="00867041">
        <w:t xml:space="preserve"> technique</w:t>
      </w:r>
      <w:r w:rsidR="00135DED">
        <w:t>)</w:t>
      </w:r>
      <w:r w:rsidR="00413DB1">
        <w:t xml:space="preserve">. AMD International est responsable de la réalisation et de </w:t>
      </w:r>
      <w:r w:rsidR="00413DB1" w:rsidRPr="00413DB1">
        <w:t xml:space="preserve">la qualité des rapports </w:t>
      </w:r>
      <w:r w:rsidR="00413DB1">
        <w:t>conformément</w:t>
      </w:r>
      <w:r w:rsidR="00413DB1" w:rsidRPr="00413DB1">
        <w:t xml:space="preserve"> aux critères </w:t>
      </w:r>
      <w:r w:rsidR="0047086D">
        <w:t>du</w:t>
      </w:r>
      <w:r w:rsidR="0047086D" w:rsidRPr="0047086D">
        <w:t xml:space="preserve"> </w:t>
      </w:r>
      <w:r w:rsidR="0047086D">
        <w:t>S</w:t>
      </w:r>
      <w:r w:rsidR="0047086D" w:rsidRPr="0047086D">
        <w:t xml:space="preserve">ystème global d’évaluation et d’analyse des rapports d’évaluation </w:t>
      </w:r>
      <w:r w:rsidR="0047086D">
        <w:t>(</w:t>
      </w:r>
      <w:r w:rsidR="0047086D" w:rsidRPr="00413DB1">
        <w:t>GERAAS</w:t>
      </w:r>
      <w:r w:rsidR="0047086D">
        <w:t> en anglais)</w:t>
      </w:r>
      <w:r w:rsidR="00413DB1">
        <w:t>.</w:t>
      </w:r>
      <w:r w:rsidR="00F05BAB">
        <w:t xml:space="preserve"> </w:t>
      </w:r>
    </w:p>
    <w:p w14:paraId="6F66C7CF" w14:textId="1EE9D206" w:rsidR="00EB0947" w:rsidRPr="00EB0947" w:rsidRDefault="00EB0947" w:rsidP="00FB2B45">
      <w:pPr>
        <w:pStyle w:val="Paragraphedeliste"/>
        <w:numPr>
          <w:ilvl w:val="0"/>
          <w:numId w:val="23"/>
        </w:numPr>
        <w:spacing w:line="276" w:lineRule="auto"/>
      </w:pPr>
      <w:r w:rsidRPr="00803A16">
        <w:rPr>
          <w:b/>
          <w:bCs/>
          <w:i/>
          <w:iCs/>
        </w:rPr>
        <w:t>L’équipe d’évaluation</w:t>
      </w:r>
      <w:r w:rsidR="00135DED" w:rsidRPr="00803A16">
        <w:rPr>
          <w:b/>
          <w:bCs/>
          <w:i/>
          <w:iCs/>
        </w:rPr>
        <w:t xml:space="preserve"> :</w:t>
      </w:r>
      <w:r w:rsidR="00135DED">
        <w:rPr>
          <w:b/>
          <w:bCs/>
        </w:rPr>
        <w:t xml:space="preserve"> </w:t>
      </w:r>
      <w:r w:rsidR="00135DED" w:rsidRPr="00135DED">
        <w:t>elle est</w:t>
      </w:r>
      <w:r w:rsidR="00135DED">
        <w:t xml:space="preserve"> constituée</w:t>
      </w:r>
      <w:r w:rsidR="00413DB1">
        <w:t xml:space="preserve"> </w:t>
      </w:r>
      <w:r w:rsidR="00257BA4">
        <w:t xml:space="preserve">de deux consultants à savoir : </w:t>
      </w:r>
      <w:r w:rsidR="00F06C30">
        <w:t>une experte séniore</w:t>
      </w:r>
      <w:r w:rsidR="00257BA4">
        <w:t xml:space="preserve"> en S&amp;E</w:t>
      </w:r>
      <w:r w:rsidR="00413DB1">
        <w:t xml:space="preserve"> </w:t>
      </w:r>
      <w:r w:rsidR="00257BA4">
        <w:t>(</w:t>
      </w:r>
      <w:r w:rsidR="00413DB1">
        <w:t>chef</w:t>
      </w:r>
      <w:r w:rsidR="00D6061F">
        <w:t>fe</w:t>
      </w:r>
      <w:r w:rsidR="00413DB1">
        <w:t xml:space="preserve"> de mission</w:t>
      </w:r>
      <w:r w:rsidR="00257BA4">
        <w:t>) et un expert associé en S&amp;E</w:t>
      </w:r>
      <w:r w:rsidR="00413DB1">
        <w:t xml:space="preserve">. </w:t>
      </w:r>
      <w:r w:rsidR="00257BA4">
        <w:t xml:space="preserve">Cette équipe </w:t>
      </w:r>
      <w:r w:rsidR="00413DB1">
        <w:t xml:space="preserve">est responsable de la réalisation technique de l’évaluation conformément aux normes de qualité et aux critères </w:t>
      </w:r>
      <w:r w:rsidR="00413DB1" w:rsidRPr="00413DB1">
        <w:t>GERAAS</w:t>
      </w:r>
      <w:r w:rsidR="0047086D">
        <w:t>. Les experts interagissent avec le groupe de référence et le groupe de gestion de l’évaluation</w:t>
      </w:r>
      <w:r w:rsidR="00CC1245">
        <w:t xml:space="preserve"> sur toute</w:t>
      </w:r>
      <w:r w:rsidR="00D6061F">
        <w:t>s</w:t>
      </w:r>
      <w:r w:rsidR="00CC1245">
        <w:t xml:space="preserve"> les phases de l’évaluation sous forme de réunions virtuelles, de correspondances mail et de partage d’informations. </w:t>
      </w:r>
    </w:p>
    <w:p w14:paraId="79C041AB" w14:textId="70999101" w:rsidR="00803A16" w:rsidRDefault="00EB0947" w:rsidP="00FB2B45">
      <w:pPr>
        <w:pStyle w:val="Paragraphedeliste"/>
        <w:numPr>
          <w:ilvl w:val="0"/>
          <w:numId w:val="23"/>
        </w:numPr>
        <w:spacing w:line="276" w:lineRule="auto"/>
      </w:pPr>
      <w:r w:rsidRPr="00803A16">
        <w:rPr>
          <w:b/>
          <w:bCs/>
          <w:i/>
          <w:iCs/>
        </w:rPr>
        <w:t>Le groupe de gestion de l’évaluation</w:t>
      </w:r>
      <w:r w:rsidR="005F5DAD" w:rsidRPr="00803A16">
        <w:rPr>
          <w:b/>
          <w:bCs/>
          <w:i/>
          <w:iCs/>
        </w:rPr>
        <w:t> :</w:t>
      </w:r>
      <w:r w:rsidR="005F5DAD" w:rsidRPr="005F5DAD">
        <w:rPr>
          <w:b/>
          <w:bCs/>
        </w:rPr>
        <w:t xml:space="preserve"> </w:t>
      </w:r>
      <w:r w:rsidR="005F5DAD" w:rsidRPr="005F5DAD">
        <w:t xml:space="preserve">le groupe de gestion se </w:t>
      </w:r>
      <w:r w:rsidR="005F5DAD" w:rsidRPr="008E1E71">
        <w:t>compose des bureaux d’ON</w:t>
      </w:r>
      <w:r w:rsidR="005F5DAD" w:rsidRPr="00402EDE">
        <w:t xml:space="preserve">U Femmes et d’ONUDC </w:t>
      </w:r>
      <w:r w:rsidR="0032215B">
        <w:t xml:space="preserve">(nationaux et régionaux) </w:t>
      </w:r>
      <w:r w:rsidR="00F937EB">
        <w:t xml:space="preserve">avec </w:t>
      </w:r>
      <w:r w:rsidR="00CF22AF">
        <w:t xml:space="preserve">les principaux responsables </w:t>
      </w:r>
      <w:r w:rsidR="0041003A">
        <w:t>du</w:t>
      </w:r>
      <w:r w:rsidR="00CF22AF">
        <w:t xml:space="preserve"> projet</w:t>
      </w:r>
      <w:r w:rsidR="0041003A">
        <w:t>.</w:t>
      </w:r>
      <w:r w:rsidR="00867041">
        <w:t xml:space="preserve"> </w:t>
      </w:r>
      <w:r w:rsidR="005F5DAD">
        <w:t>Il supervis</w:t>
      </w:r>
      <w:r w:rsidR="00A406FC">
        <w:t xml:space="preserve">e </w:t>
      </w:r>
      <w:r w:rsidR="005F5DAD">
        <w:t xml:space="preserve">la </w:t>
      </w:r>
      <w:r w:rsidR="00A406FC">
        <w:t xml:space="preserve">gestion </w:t>
      </w:r>
      <w:r w:rsidR="005F5DAD">
        <w:t>d</w:t>
      </w:r>
      <w:r w:rsidR="00A406FC">
        <w:t>e l</w:t>
      </w:r>
      <w:r w:rsidR="005F5DAD">
        <w:t xml:space="preserve">’évaluation et </w:t>
      </w:r>
      <w:r w:rsidR="00A406FC">
        <w:t xml:space="preserve">prend les décisions clés afin de </w:t>
      </w:r>
      <w:r w:rsidR="005F5DAD">
        <w:t>s’assure</w:t>
      </w:r>
      <w:r w:rsidR="00A406FC">
        <w:t>r</w:t>
      </w:r>
      <w:r w:rsidR="005F5DAD">
        <w:t xml:space="preserve"> de </w:t>
      </w:r>
      <w:r w:rsidR="00F756DF">
        <w:t xml:space="preserve">la </w:t>
      </w:r>
      <w:r w:rsidR="005F5DAD">
        <w:t>qualité des résultats</w:t>
      </w:r>
      <w:r w:rsidR="004F210D">
        <w:t xml:space="preserve"> d’évaluation</w:t>
      </w:r>
      <w:r w:rsidR="005F5DAD">
        <w:t xml:space="preserve">. </w:t>
      </w:r>
    </w:p>
    <w:p w14:paraId="179144BE" w14:textId="24A60011" w:rsidR="00345C17" w:rsidRDefault="004F210D" w:rsidP="00FB2B45">
      <w:pPr>
        <w:pStyle w:val="Paragraphedeliste"/>
        <w:numPr>
          <w:ilvl w:val="0"/>
          <w:numId w:val="23"/>
        </w:numPr>
        <w:spacing w:line="276" w:lineRule="auto"/>
      </w:pPr>
      <w:r w:rsidRPr="00803A16">
        <w:rPr>
          <w:b/>
          <w:bCs/>
          <w:i/>
          <w:iCs/>
        </w:rPr>
        <w:t>Le g</w:t>
      </w:r>
      <w:r w:rsidR="005F5DAD" w:rsidRPr="00803A16">
        <w:rPr>
          <w:b/>
          <w:bCs/>
          <w:i/>
          <w:iCs/>
        </w:rPr>
        <w:t>roupe de référence</w:t>
      </w:r>
      <w:r w:rsidR="005F5DAD" w:rsidRPr="00803A16">
        <w:rPr>
          <w:b/>
          <w:bCs/>
        </w:rPr>
        <w:t xml:space="preserve"> : </w:t>
      </w:r>
      <w:r>
        <w:t>Il est constitué des gestionnaires du projet, du bailleur de fonds, des représentants du système des Nations Unies, des responsables des ONG</w:t>
      </w:r>
      <w:r w:rsidR="00675886">
        <w:t>s</w:t>
      </w:r>
      <w:r>
        <w:t xml:space="preserve"> locales et des structures étatiques partenaires de mise en œuvre. </w:t>
      </w:r>
      <w:r w:rsidR="00E84C9A">
        <w:t>Les membre</w:t>
      </w:r>
      <w:r w:rsidR="00671582">
        <w:t>s</w:t>
      </w:r>
      <w:r w:rsidR="00E84C9A">
        <w:t xml:space="preserve"> du groupe de référence joue</w:t>
      </w:r>
      <w:r w:rsidR="00A406FC">
        <w:t>nt</w:t>
      </w:r>
      <w:r w:rsidR="00E84C9A">
        <w:t xml:space="preserve"> un rôle important dans le processus d’évaluation</w:t>
      </w:r>
      <w:r w:rsidR="00A406FC">
        <w:t xml:space="preserve"> en tant qu’informateurs clés dans le cadre de la collecte des données, </w:t>
      </w:r>
      <w:r w:rsidR="00E84C9A">
        <w:t xml:space="preserve">la validation et la diffusion </w:t>
      </w:r>
      <w:r w:rsidR="00E84C9A" w:rsidRPr="002D3E79">
        <w:t xml:space="preserve">des résultats de l’évaluation. </w:t>
      </w:r>
    </w:p>
    <w:p w14:paraId="1F83817B" w14:textId="77777777" w:rsidR="008D3C5A" w:rsidRPr="002D3E79" w:rsidRDefault="008D3C5A" w:rsidP="008D3C5A">
      <w:pPr>
        <w:pStyle w:val="Paragraphedeliste"/>
        <w:spacing w:line="276" w:lineRule="auto"/>
        <w:ind w:left="360"/>
      </w:pPr>
    </w:p>
    <w:p w14:paraId="557BD7A4" w14:textId="37777121" w:rsidR="00345C17" w:rsidRPr="00E12050" w:rsidRDefault="00065010" w:rsidP="00820BBD">
      <w:pPr>
        <w:pStyle w:val="Titre2"/>
        <w:numPr>
          <w:ilvl w:val="1"/>
          <w:numId w:val="81"/>
        </w:numPr>
      </w:pPr>
      <w:bookmarkStart w:id="941" w:name="_Toc95451866"/>
      <w:r>
        <w:t>Difficultés et l</w:t>
      </w:r>
      <w:r w:rsidR="00345C17" w:rsidRPr="00E12050">
        <w:t>imites de l’évaluation</w:t>
      </w:r>
      <w:bookmarkEnd w:id="941"/>
      <w:r w:rsidR="00345C17" w:rsidRPr="00E12050">
        <w:t xml:space="preserve"> </w:t>
      </w:r>
    </w:p>
    <w:p w14:paraId="44C903D8" w14:textId="36E1C12F" w:rsidR="001942EA" w:rsidRPr="001942EA" w:rsidRDefault="001B5D3D" w:rsidP="00FB2B45">
      <w:pPr>
        <w:pStyle w:val="Paragraphedeliste"/>
        <w:numPr>
          <w:ilvl w:val="0"/>
          <w:numId w:val="23"/>
        </w:numPr>
        <w:spacing w:line="276" w:lineRule="auto"/>
      </w:pPr>
      <w:r w:rsidRPr="04F997C7">
        <w:rPr>
          <w:rFonts w:cs="Times New Roman"/>
        </w:rPr>
        <w:t xml:space="preserve">La </w:t>
      </w:r>
      <w:r w:rsidR="00051D8C">
        <w:rPr>
          <w:rFonts w:cs="Times New Roman"/>
        </w:rPr>
        <w:t>principale difficulté rencontrée sur le terrain</w:t>
      </w:r>
      <w:r w:rsidR="00675886">
        <w:rPr>
          <w:rFonts w:cs="Times New Roman"/>
        </w:rPr>
        <w:t xml:space="preserve"> est</w:t>
      </w:r>
      <w:r w:rsidR="00091FC9">
        <w:rPr>
          <w:rFonts w:cs="Times New Roman"/>
        </w:rPr>
        <w:t xml:space="preserve"> </w:t>
      </w:r>
      <w:r w:rsidR="00051D8C">
        <w:rPr>
          <w:rFonts w:cs="Times New Roman"/>
        </w:rPr>
        <w:t>la dégradation du contexte de sécurité dans la zone</w:t>
      </w:r>
      <w:r w:rsidR="003D3C96">
        <w:rPr>
          <w:rFonts w:cs="Times New Roman"/>
        </w:rPr>
        <w:t xml:space="preserve">. Les stratégies ou mesures alternatives ont permis de limiter l’impact de la </w:t>
      </w:r>
      <w:r w:rsidR="00051D8C">
        <w:rPr>
          <w:rFonts w:cs="Times New Roman"/>
        </w:rPr>
        <w:t>dégradation du contexte sécurité</w:t>
      </w:r>
      <w:r w:rsidR="003D3C96">
        <w:rPr>
          <w:rFonts w:cs="Times New Roman"/>
        </w:rPr>
        <w:t> </w:t>
      </w:r>
      <w:r w:rsidR="007170CA">
        <w:rPr>
          <w:rFonts w:cs="Times New Roman"/>
        </w:rPr>
        <w:t>(</w:t>
      </w:r>
      <w:r w:rsidR="003D3C96">
        <w:rPr>
          <w:rFonts w:cs="Times New Roman"/>
        </w:rPr>
        <w:t>retard dans l’exécution de l’évaluation et la non-atteinte des cibles</w:t>
      </w:r>
      <w:r w:rsidR="007170CA">
        <w:rPr>
          <w:rFonts w:cs="Times New Roman"/>
        </w:rPr>
        <w:t>)</w:t>
      </w:r>
      <w:r w:rsidR="003D3C96">
        <w:rPr>
          <w:rFonts w:cs="Times New Roman"/>
        </w:rPr>
        <w:t>.</w:t>
      </w:r>
      <w:r w:rsidR="00051D8C">
        <w:rPr>
          <w:rFonts w:cs="Times New Roman"/>
        </w:rPr>
        <w:t xml:space="preserve"> </w:t>
      </w:r>
      <w:r w:rsidR="00BB6FA3" w:rsidRPr="04F997C7">
        <w:rPr>
          <w:rFonts w:cs="Times New Roman"/>
        </w:rPr>
        <w:t>En effet</w:t>
      </w:r>
      <w:r w:rsidR="00DC0ED2" w:rsidRPr="04F997C7">
        <w:rPr>
          <w:rFonts w:cs="Times New Roman"/>
        </w:rPr>
        <w:t>, la dég</w:t>
      </w:r>
      <w:r w:rsidR="009115E0" w:rsidRPr="04F997C7">
        <w:rPr>
          <w:rFonts w:cs="Times New Roman"/>
        </w:rPr>
        <w:t xml:space="preserve">radation du contexte </w:t>
      </w:r>
      <w:r w:rsidR="00345C17" w:rsidRPr="04F997C7">
        <w:rPr>
          <w:rFonts w:cs="Times New Roman"/>
        </w:rPr>
        <w:t>sécuritaire dans la zone d’intervention du projet</w:t>
      </w:r>
      <w:r w:rsidR="0011062A" w:rsidRPr="04F997C7">
        <w:rPr>
          <w:rFonts w:cs="Times New Roman"/>
        </w:rPr>
        <w:t xml:space="preserve"> a</w:t>
      </w:r>
      <w:r w:rsidR="00973386" w:rsidRPr="04F997C7">
        <w:rPr>
          <w:rFonts w:cs="Times New Roman"/>
        </w:rPr>
        <w:t xml:space="preserve"> perturbé les travaux d’évaluation. </w:t>
      </w:r>
      <w:r w:rsidR="0011062A" w:rsidRPr="04F997C7">
        <w:rPr>
          <w:rFonts w:cs="Times New Roman"/>
        </w:rPr>
        <w:t>Les attaques de</w:t>
      </w:r>
      <w:r w:rsidR="00051D8C">
        <w:rPr>
          <w:rFonts w:cs="Times New Roman"/>
        </w:rPr>
        <w:t>s groupes armés non étatique</w:t>
      </w:r>
      <w:r w:rsidR="0011062A" w:rsidRPr="04F997C7">
        <w:rPr>
          <w:rFonts w:cs="Times New Roman"/>
        </w:rPr>
        <w:t xml:space="preserve"> qui se sont produites</w:t>
      </w:r>
      <w:r w:rsidR="00B56C01" w:rsidRPr="04F997C7">
        <w:rPr>
          <w:rFonts w:cs="Times New Roman"/>
        </w:rPr>
        <w:t xml:space="preserve"> dans</w:t>
      </w:r>
      <w:r w:rsidR="0011062A" w:rsidRPr="04F997C7">
        <w:rPr>
          <w:rFonts w:cs="Times New Roman"/>
        </w:rPr>
        <w:t xml:space="preserve"> les communes de Ouatagouna au Mali et de Banibangou au Niger, pendant la formation des enquêteurs et la collecte</w:t>
      </w:r>
      <w:r w:rsidR="00B56C01" w:rsidRPr="04F997C7">
        <w:rPr>
          <w:rFonts w:cs="Times New Roman"/>
        </w:rPr>
        <w:t xml:space="preserve"> des données</w:t>
      </w:r>
      <w:r w:rsidR="0011062A" w:rsidRPr="04F997C7">
        <w:rPr>
          <w:rFonts w:cs="Times New Roman"/>
        </w:rPr>
        <w:t xml:space="preserve"> ont </w:t>
      </w:r>
      <w:r w:rsidRPr="04F997C7">
        <w:rPr>
          <w:rFonts w:cs="Times New Roman"/>
        </w:rPr>
        <w:t>endommag</w:t>
      </w:r>
      <w:r w:rsidR="008D3C5A" w:rsidRPr="04F997C7">
        <w:rPr>
          <w:rFonts w:cs="Times New Roman"/>
        </w:rPr>
        <w:t>é</w:t>
      </w:r>
      <w:r w:rsidR="0011062A" w:rsidRPr="04F997C7">
        <w:rPr>
          <w:rFonts w:cs="Times New Roman"/>
        </w:rPr>
        <w:t xml:space="preserve"> </w:t>
      </w:r>
      <w:r w:rsidRPr="04F997C7">
        <w:rPr>
          <w:rFonts w:cs="Times New Roman"/>
        </w:rPr>
        <w:t>l</w:t>
      </w:r>
      <w:r w:rsidR="0011062A" w:rsidRPr="04F997C7">
        <w:rPr>
          <w:rFonts w:cs="Times New Roman"/>
        </w:rPr>
        <w:t>es installations de télécommunication</w:t>
      </w:r>
      <w:r w:rsidR="00B56C01" w:rsidRPr="04F997C7">
        <w:rPr>
          <w:rFonts w:cs="Times New Roman"/>
        </w:rPr>
        <w:t xml:space="preserve">. L’absence de réseau téléphonique et de connexion consécutive à ces sabotages </w:t>
      </w:r>
      <w:r w:rsidR="00613FD9" w:rsidRPr="04F997C7">
        <w:rPr>
          <w:rFonts w:cs="Times New Roman"/>
        </w:rPr>
        <w:t>a eu comme conséquences : une faible réactivité de certains agents de collecte sur la plateforme de formation WhatsApp,</w:t>
      </w:r>
      <w:r w:rsidR="00B56C01" w:rsidRPr="04F997C7">
        <w:rPr>
          <w:rFonts w:cs="Times New Roman"/>
        </w:rPr>
        <w:t xml:space="preserve"> un </w:t>
      </w:r>
      <w:r w:rsidR="00613FD9" w:rsidRPr="04F997C7">
        <w:rPr>
          <w:rFonts w:cs="Times New Roman"/>
        </w:rPr>
        <w:t>décalage /</w:t>
      </w:r>
      <w:r w:rsidR="00B56C01" w:rsidRPr="04F997C7">
        <w:rPr>
          <w:rFonts w:cs="Times New Roman"/>
        </w:rPr>
        <w:t>allongement des délais de réaction de</w:t>
      </w:r>
      <w:r w:rsidR="00613FD9" w:rsidRPr="04F997C7">
        <w:rPr>
          <w:rFonts w:cs="Times New Roman"/>
        </w:rPr>
        <w:t xml:space="preserve"> certains </w:t>
      </w:r>
      <w:r w:rsidR="00B56C01" w:rsidRPr="04F997C7">
        <w:rPr>
          <w:rFonts w:cs="Times New Roman"/>
        </w:rPr>
        <w:t>agents de collecte s</w:t>
      </w:r>
      <w:r w:rsidR="00613FD9" w:rsidRPr="04F997C7">
        <w:rPr>
          <w:rFonts w:cs="Times New Roman"/>
        </w:rPr>
        <w:t>uite aux</w:t>
      </w:r>
      <w:r w:rsidR="00B56C01" w:rsidRPr="04F997C7">
        <w:rPr>
          <w:rFonts w:cs="Times New Roman"/>
        </w:rPr>
        <w:t xml:space="preserve"> amendemen</w:t>
      </w:r>
      <w:r w:rsidR="00613FD9" w:rsidRPr="04F997C7">
        <w:rPr>
          <w:rFonts w:cs="Times New Roman"/>
        </w:rPr>
        <w:t>ts des experts sur les formulaires de collecte renseignés</w:t>
      </w:r>
      <w:r w:rsidR="00B56C01" w:rsidRPr="04F997C7">
        <w:rPr>
          <w:rFonts w:cs="Times New Roman"/>
        </w:rPr>
        <w:t>, l’interruption de</w:t>
      </w:r>
      <w:r w:rsidR="00613FD9" w:rsidRPr="04F997C7">
        <w:rPr>
          <w:rFonts w:cs="Times New Roman"/>
        </w:rPr>
        <w:t xml:space="preserve"> certains</w:t>
      </w:r>
      <w:r w:rsidR="00B56C01" w:rsidRPr="04F997C7">
        <w:rPr>
          <w:rFonts w:cs="Times New Roman"/>
        </w:rPr>
        <w:t xml:space="preserve"> </w:t>
      </w:r>
      <w:r w:rsidR="00613FD9" w:rsidRPr="04F997C7">
        <w:rPr>
          <w:rFonts w:cs="Times New Roman"/>
        </w:rPr>
        <w:t xml:space="preserve">entretiens de collecte par zoom ou teams ou par appels </w:t>
      </w:r>
      <w:r w:rsidR="00B56C01" w:rsidRPr="04F997C7">
        <w:rPr>
          <w:rFonts w:cs="Times New Roman"/>
        </w:rPr>
        <w:t>téléphoniques</w:t>
      </w:r>
      <w:r w:rsidR="00613FD9" w:rsidRPr="04F997C7">
        <w:rPr>
          <w:rFonts w:cs="Times New Roman"/>
        </w:rPr>
        <w:t xml:space="preserve">. </w:t>
      </w:r>
    </w:p>
    <w:p w14:paraId="7E8DE7F7" w14:textId="49A4A811" w:rsidR="00345C17" w:rsidRPr="00613FD9" w:rsidRDefault="00DC0ED2" w:rsidP="00FB2B45">
      <w:pPr>
        <w:pStyle w:val="Paragraphedeliste"/>
        <w:numPr>
          <w:ilvl w:val="0"/>
          <w:numId w:val="23"/>
        </w:numPr>
        <w:spacing w:line="276" w:lineRule="auto"/>
      </w:pPr>
      <w:r w:rsidRPr="00613FD9">
        <w:rPr>
          <w:rFonts w:cs="Times New Roman"/>
        </w:rPr>
        <w:t>Pour les bénéficiaires directs sélectionnés pour l’enquête qui se trouv</w:t>
      </w:r>
      <w:r w:rsidR="00613FD9">
        <w:rPr>
          <w:rFonts w:cs="Times New Roman"/>
        </w:rPr>
        <w:t>aie</w:t>
      </w:r>
      <w:r w:rsidRPr="00613FD9">
        <w:rPr>
          <w:rFonts w:cs="Times New Roman"/>
        </w:rPr>
        <w:t xml:space="preserve">nt dans des localités inaccessibles, les enquêteurs </w:t>
      </w:r>
      <w:r w:rsidR="00973386" w:rsidRPr="00613FD9">
        <w:rPr>
          <w:rFonts w:cs="Times New Roman"/>
        </w:rPr>
        <w:t xml:space="preserve">ont </w:t>
      </w:r>
      <w:r w:rsidRPr="00613FD9">
        <w:rPr>
          <w:rFonts w:cs="Times New Roman"/>
        </w:rPr>
        <w:t>procéd</w:t>
      </w:r>
      <w:r w:rsidR="00973386" w:rsidRPr="00613FD9">
        <w:rPr>
          <w:rFonts w:cs="Times New Roman"/>
        </w:rPr>
        <w:t>é</w:t>
      </w:r>
      <w:r w:rsidRPr="00613FD9">
        <w:rPr>
          <w:rFonts w:cs="Times New Roman"/>
        </w:rPr>
        <w:t xml:space="preserve"> à une collecte à distance</w:t>
      </w:r>
      <w:r w:rsidR="00613FD9">
        <w:rPr>
          <w:rFonts w:cs="Times New Roman"/>
        </w:rPr>
        <w:t xml:space="preserve"> par appels téléphoniques</w:t>
      </w:r>
      <w:r w:rsidRPr="00613FD9">
        <w:rPr>
          <w:rFonts w:cs="Times New Roman"/>
        </w:rPr>
        <w:t xml:space="preserve">. </w:t>
      </w:r>
      <w:r w:rsidR="001942EA">
        <w:rPr>
          <w:rFonts w:cs="Times New Roman"/>
        </w:rPr>
        <w:t>En outre, la formation des agents de collecte sur l’objet de l’évaluation et leur mandat a été anticipée en attendant la validation des outils de collecte, dans le but de tenir compte des problèmes de connexion.</w:t>
      </w:r>
      <w:r w:rsidR="007068E8">
        <w:rPr>
          <w:rFonts w:cs="Times New Roman"/>
        </w:rPr>
        <w:t xml:space="preserve"> </w:t>
      </w:r>
    </w:p>
    <w:p w14:paraId="54587CA5" w14:textId="08E675EA" w:rsidR="00C41F7F" w:rsidRDefault="00AA4588" w:rsidP="00FB2B45">
      <w:pPr>
        <w:pStyle w:val="Paragraphedeliste"/>
        <w:numPr>
          <w:ilvl w:val="0"/>
          <w:numId w:val="23"/>
        </w:numPr>
        <w:spacing w:line="276" w:lineRule="auto"/>
      </w:pPr>
      <w:r>
        <w:rPr>
          <w:rFonts w:cs="Times New Roman"/>
        </w:rPr>
        <w:t>Par ailleurs, il faut souligner l</w:t>
      </w:r>
      <w:r w:rsidRPr="00AA4588">
        <w:rPr>
          <w:rFonts w:cs="Times New Roman"/>
        </w:rPr>
        <w:t>a faible disponibilité</w:t>
      </w:r>
      <w:r w:rsidR="00C41F7F" w:rsidRPr="00AA4588">
        <w:t xml:space="preserve"> des acteurs institutionnels </w:t>
      </w:r>
      <w:r w:rsidR="00613FD9" w:rsidRPr="00AA4588">
        <w:t>et le r</w:t>
      </w:r>
      <w:r w:rsidR="00C41F7F" w:rsidRPr="00AA4588">
        <w:t>efus de participation de certaines cibles en particulier les FDS et ACP</w:t>
      </w:r>
      <w:r>
        <w:t>.</w:t>
      </w:r>
      <w:r w:rsidR="00C41F7F" w:rsidRPr="00AA4588">
        <w:t xml:space="preserve"> </w:t>
      </w:r>
      <w:r>
        <w:t>En effet, Il a été non seulement difficile d’avoir des rendez-vous d’entretien avec les acteurs institutionnels au niveau central, mais aussi quelques-uns de ces rendez-vous n’ont pas été respecté</w:t>
      </w:r>
      <w:r w:rsidR="00730EF3">
        <w:t>s</w:t>
      </w:r>
      <w:r>
        <w:t xml:space="preserve"> par ces </w:t>
      </w:r>
      <w:r w:rsidR="007170CA">
        <w:t>derniers</w:t>
      </w:r>
      <w:r>
        <w:t xml:space="preserve">. En ce qui concerne le refus de participation à la collecte des données, la principale raison évoquée notamment par les FDS et les ACP est </w:t>
      </w:r>
      <w:r w:rsidR="00C41F7F" w:rsidRPr="00AA4588">
        <w:t>la sensibilité de la question (selon eux) et la méfiance pour les entretiens par téléphone</w:t>
      </w:r>
      <w:r>
        <w:t xml:space="preserve">. </w:t>
      </w:r>
      <w:r w:rsidR="00CD500A">
        <w:t xml:space="preserve">Suite au débriefing sur la collecte des données et la présentation des constatations préliminaires, une seconde phase de collecte a été entamée auprès des acteurs institutionnels, des FDS et des ACP, ce qui a permis d’avoir quelques entretiens additionnels. </w:t>
      </w:r>
      <w:r w:rsidR="00464497">
        <w:t xml:space="preserve">L’insistance sur l’importance de l’évaluation et la contribution des ONG locales de mises en œuvre ont été déterminants dans l’obtention des entretiens additionnels. </w:t>
      </w:r>
    </w:p>
    <w:p w14:paraId="68121057" w14:textId="5B6C26BA" w:rsidR="002B11F8" w:rsidRPr="005246E3" w:rsidRDefault="001E34FE" w:rsidP="00FB2B45">
      <w:pPr>
        <w:pStyle w:val="Paragraphedeliste"/>
        <w:numPr>
          <w:ilvl w:val="0"/>
          <w:numId w:val="23"/>
        </w:numPr>
        <w:spacing w:line="276" w:lineRule="auto"/>
      </w:pPr>
      <w:r>
        <w:rPr>
          <w:rFonts w:cs="Times New Roman"/>
        </w:rPr>
        <w:t>Enfin, il faut souligner que</w:t>
      </w:r>
      <w:r w:rsidR="00CD500A">
        <w:rPr>
          <w:rFonts w:cs="Times New Roman"/>
        </w:rPr>
        <w:t> </w:t>
      </w:r>
      <w:r>
        <w:rPr>
          <w:rFonts w:cs="Times New Roman"/>
        </w:rPr>
        <w:t>l’évaluation a été confrontée à une contrainte majeure, celle de</w:t>
      </w:r>
      <w:r w:rsidRPr="001E34FE">
        <w:rPr>
          <w:rFonts w:cs="Times New Roman"/>
        </w:rPr>
        <w:t xml:space="preserve"> </w:t>
      </w:r>
      <w:r w:rsidRPr="005246E3">
        <w:rPr>
          <w:rFonts w:cs="Times New Roman"/>
        </w:rPr>
        <w:t xml:space="preserve">l’absence de désagrégation de la base de données des bénéficiaires directs du projet par âge. </w:t>
      </w:r>
      <w:r w:rsidR="002B11F8" w:rsidRPr="005246E3">
        <w:rPr>
          <w:rFonts w:cs="Times New Roman"/>
        </w:rPr>
        <w:t xml:space="preserve">La principale limite de cette évaluation tient à </w:t>
      </w:r>
      <w:r w:rsidR="005246E3" w:rsidRPr="005246E3">
        <w:rPr>
          <w:rFonts w:cs="Times New Roman"/>
        </w:rPr>
        <w:t>cette contrainte. En effet, l</w:t>
      </w:r>
      <w:r w:rsidR="002B11F8" w:rsidRPr="005246E3">
        <w:rPr>
          <w:rFonts w:cs="Times New Roman"/>
        </w:rPr>
        <w:t xml:space="preserve">a base de sondage de l’enquête constituée à partir des listes de bénéficiaires directs transmises par les ONG locales partenaires de mise en œuvre est au plus désagrégée par sexe (hommes et femmes), l’information sur l’âge de ces bénéficiaires étant absente. Il n’a donc pas été possible de prendre en compte le critère d’âge </w:t>
      </w:r>
      <w:r w:rsidR="005246E3" w:rsidRPr="005246E3">
        <w:rPr>
          <w:rFonts w:cs="Times New Roman"/>
        </w:rPr>
        <w:t xml:space="preserve">en amont, </w:t>
      </w:r>
      <w:r w:rsidR="002B11F8" w:rsidRPr="005246E3">
        <w:rPr>
          <w:rFonts w:cs="Times New Roman"/>
        </w:rPr>
        <w:t xml:space="preserve">dans la constitution de l’échantillon de collecte des données. </w:t>
      </w:r>
      <w:r w:rsidR="00054EB3">
        <w:rPr>
          <w:rFonts w:cs="Times New Roman"/>
        </w:rPr>
        <w:t>Dans la mise en œuvre de la technique d</w:t>
      </w:r>
      <w:r w:rsidR="00054EB3" w:rsidRPr="00054EB3">
        <w:rPr>
          <w:rFonts w:cs="Times New Roman"/>
        </w:rPr>
        <w:t xml:space="preserve">'échantillonnage « boule de neige » </w:t>
      </w:r>
      <w:r w:rsidR="002B32B6">
        <w:rPr>
          <w:rFonts w:cs="Times New Roman"/>
        </w:rPr>
        <w:t xml:space="preserve">utilisée dans les communes où la base de sondage était limitée, le critère d’âge a été communiqué aux premiers participants à qui il a été demandé d’identifier les autres bénéficiaires du projet.  </w:t>
      </w:r>
    </w:p>
    <w:p w14:paraId="3B61078B" w14:textId="7C3BD06F" w:rsidR="00C55565" w:rsidRPr="00AA4588" w:rsidRDefault="00C55565" w:rsidP="007007C9">
      <w:pPr>
        <w:rPr>
          <w:sz w:val="12"/>
          <w:szCs w:val="12"/>
        </w:rPr>
      </w:pPr>
    </w:p>
    <w:p w14:paraId="292C5ECE" w14:textId="77777777" w:rsidR="00BE789A" w:rsidRDefault="00BE789A">
      <w:pPr>
        <w:spacing w:before="0" w:after="160" w:line="259" w:lineRule="auto"/>
        <w:jc w:val="left"/>
        <w:rPr>
          <w:rFonts w:eastAsiaTheme="majorEastAsia" w:cstheme="majorBidi"/>
          <w:b/>
          <w:caps/>
          <w:color w:val="0070C0"/>
          <w:sz w:val="24"/>
          <w:szCs w:val="32"/>
        </w:rPr>
      </w:pPr>
      <w:r>
        <w:rPr>
          <w:caps/>
        </w:rPr>
        <w:br w:type="page"/>
      </w:r>
    </w:p>
    <w:p w14:paraId="7B22F9BD" w14:textId="014C6C4A" w:rsidR="005214DB" w:rsidRDefault="00065010" w:rsidP="0024178E">
      <w:pPr>
        <w:pStyle w:val="Titre1"/>
        <w:numPr>
          <w:ilvl w:val="0"/>
          <w:numId w:val="81"/>
        </w:numPr>
      </w:pPr>
      <w:bookmarkStart w:id="942" w:name="_Toc95451867"/>
      <w:r>
        <w:t>CONSTA</w:t>
      </w:r>
      <w:r w:rsidR="00731B4B">
        <w:t>TA</w:t>
      </w:r>
      <w:r>
        <w:t>TIONS</w:t>
      </w:r>
      <w:bookmarkEnd w:id="942"/>
    </w:p>
    <w:p w14:paraId="7EE252F8" w14:textId="77777777" w:rsidR="00D63386" w:rsidRDefault="00D63386" w:rsidP="008022B2">
      <w:pPr>
        <w:spacing w:after="0" w:line="276" w:lineRule="auto"/>
        <w:rPr>
          <w:rFonts w:cs="Times New Roman"/>
          <w:bCs/>
        </w:rPr>
      </w:pPr>
    </w:p>
    <w:p w14:paraId="745C572C" w14:textId="17E6734F" w:rsidR="00065010" w:rsidRDefault="008022B2" w:rsidP="008022B2">
      <w:pPr>
        <w:spacing w:after="0" w:line="276" w:lineRule="auto"/>
        <w:rPr>
          <w:rFonts w:cs="Times New Roman"/>
          <w:bCs/>
        </w:rPr>
      </w:pPr>
      <w:r w:rsidRPr="008022B2">
        <w:rPr>
          <w:rFonts w:cs="Times New Roman"/>
          <w:bCs/>
        </w:rPr>
        <w:t xml:space="preserve">Dans cette section, </w:t>
      </w:r>
      <w:r>
        <w:rPr>
          <w:rFonts w:cs="Times New Roman"/>
          <w:bCs/>
        </w:rPr>
        <w:t>les principaux constats sont documentés et organisés suivant les critères d’évaluation.</w:t>
      </w:r>
    </w:p>
    <w:p w14:paraId="560A771A" w14:textId="77777777" w:rsidR="008022B2" w:rsidRPr="008022B2" w:rsidRDefault="008022B2" w:rsidP="008022B2">
      <w:pPr>
        <w:spacing w:before="0" w:after="0" w:line="276" w:lineRule="auto"/>
        <w:rPr>
          <w:rFonts w:cs="Times New Roman"/>
          <w:bCs/>
        </w:rPr>
      </w:pPr>
    </w:p>
    <w:p w14:paraId="7BAC6870" w14:textId="74AB1A7F" w:rsidR="00065010" w:rsidRDefault="00065010" w:rsidP="00820BBD">
      <w:pPr>
        <w:pStyle w:val="Titre2"/>
        <w:numPr>
          <w:ilvl w:val="1"/>
          <w:numId w:val="81"/>
        </w:numPr>
      </w:pPr>
      <w:bookmarkStart w:id="943" w:name="_Toc95451868"/>
      <w:r>
        <w:t>Pertinence</w:t>
      </w:r>
      <w:bookmarkEnd w:id="943"/>
    </w:p>
    <w:p w14:paraId="0CA7C5E2" w14:textId="77777777" w:rsidR="00C3307C" w:rsidRDefault="00C3307C" w:rsidP="00DF4AC8">
      <w:pPr>
        <w:pStyle w:val="Titre3"/>
      </w:pPr>
      <w:r>
        <w:t>Constat 1</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040"/>
      </w:tblGrid>
      <w:tr w:rsidR="00C3307C" w14:paraId="48158755" w14:textId="77777777" w:rsidTr="00820BBD">
        <w:tc>
          <w:tcPr>
            <w:tcW w:w="9060" w:type="dxa"/>
            <w:shd w:val="clear" w:color="auto" w:fill="auto"/>
          </w:tcPr>
          <w:p w14:paraId="1B5F2D5F" w14:textId="1D9F02C0" w:rsidR="00C3307C" w:rsidRPr="005B1AD7" w:rsidRDefault="00C3307C" w:rsidP="009E2DEE">
            <w:pPr>
              <w:spacing w:line="276" w:lineRule="auto"/>
              <w:rPr>
                <w:rFonts w:cs="Times New Roman"/>
                <w:b/>
                <w:bCs/>
                <w:color w:val="0070C0"/>
              </w:rPr>
            </w:pPr>
            <w:r w:rsidRPr="005B1AD7">
              <w:rPr>
                <w:rFonts w:cs="Times New Roman"/>
                <w:b/>
                <w:bCs/>
                <w:color w:val="0070C0"/>
              </w:rPr>
              <w:t xml:space="preserve">Les activités du </w:t>
            </w:r>
            <w:r w:rsidR="000D30FA">
              <w:rPr>
                <w:rFonts w:cs="Times New Roman"/>
                <w:b/>
                <w:bCs/>
                <w:color w:val="0070C0"/>
              </w:rPr>
              <w:t>projet</w:t>
            </w:r>
            <w:r w:rsidRPr="005B1AD7">
              <w:rPr>
                <w:rFonts w:cs="Times New Roman"/>
                <w:b/>
                <w:bCs/>
                <w:color w:val="0070C0"/>
              </w:rPr>
              <w:t xml:space="preserve"> sont alignées sur les objectifs nationaux du Niger et Mali ainsi que les référentiels </w:t>
            </w:r>
            <w:r w:rsidR="000C7624">
              <w:rPr>
                <w:rFonts w:cs="Times New Roman"/>
                <w:b/>
                <w:bCs/>
                <w:color w:val="0070C0"/>
              </w:rPr>
              <w:t>inter</w:t>
            </w:r>
            <w:r w:rsidRPr="005B1AD7">
              <w:rPr>
                <w:rFonts w:cs="Times New Roman"/>
                <w:b/>
                <w:bCs/>
                <w:color w:val="0070C0"/>
              </w:rPr>
              <w:t>nationaux</w:t>
            </w:r>
            <w:r w:rsidR="000D30FA" w:rsidRPr="005B1AD7">
              <w:rPr>
                <w:rFonts w:cs="Times New Roman"/>
                <w:b/>
                <w:bCs/>
                <w:color w:val="0070C0"/>
              </w:rPr>
              <w:t xml:space="preserve"> en matière de consolidation de la paix et de cohésion sociale</w:t>
            </w:r>
            <w:r>
              <w:rPr>
                <w:rFonts w:cs="Times New Roman"/>
                <w:b/>
                <w:bCs/>
                <w:color w:val="0070C0"/>
              </w:rPr>
              <w:t>. Par ailleurs, les activités du projet sont cohérentes avec les domaines d’intervention de</w:t>
            </w:r>
            <w:r w:rsidRPr="00817308">
              <w:rPr>
                <w:rFonts w:cs="Times New Roman"/>
                <w:b/>
                <w:bCs/>
                <w:color w:val="0070C0"/>
              </w:rPr>
              <w:t xml:space="preserve"> PBF, de ONU Femmes et </w:t>
            </w:r>
            <w:r>
              <w:rPr>
                <w:rFonts w:cs="Times New Roman"/>
                <w:b/>
                <w:bCs/>
                <w:color w:val="0070C0"/>
              </w:rPr>
              <w:t xml:space="preserve">de </w:t>
            </w:r>
            <w:r w:rsidRPr="00817308">
              <w:rPr>
                <w:rFonts w:cs="Times New Roman"/>
                <w:b/>
                <w:bCs/>
                <w:color w:val="0070C0"/>
              </w:rPr>
              <w:t>ONUDC.</w:t>
            </w:r>
          </w:p>
          <w:p w14:paraId="2D5C46D1" w14:textId="77777777" w:rsidR="00C3307C" w:rsidRPr="008D3C5A" w:rsidRDefault="00C3307C" w:rsidP="009E2DEE">
            <w:pPr>
              <w:spacing w:before="0" w:after="0" w:line="240" w:lineRule="auto"/>
            </w:pPr>
            <w:r w:rsidRPr="009064E0">
              <w:rPr>
                <w:rStyle w:val="fontstyle01"/>
                <w:rFonts w:ascii="Century Gothic" w:hAnsi="Century Gothic"/>
                <w:i/>
                <w:iCs/>
              </w:rPr>
              <w:t xml:space="preserve">Ce constat répond à la QE1 </w:t>
            </w:r>
            <w:r>
              <w:rPr>
                <w:rStyle w:val="fontstyle01"/>
                <w:rFonts w:ascii="Century Gothic" w:hAnsi="Century Gothic"/>
                <w:i/>
                <w:iCs/>
              </w:rPr>
              <w:t xml:space="preserve">et la QE2 </w:t>
            </w:r>
          </w:p>
        </w:tc>
      </w:tr>
    </w:tbl>
    <w:p w14:paraId="7CF5A5B0" w14:textId="77777777" w:rsidR="00C3307C" w:rsidRDefault="00C3307C" w:rsidP="00C3307C">
      <w:pPr>
        <w:spacing w:after="0" w:line="276" w:lineRule="auto"/>
        <w:rPr>
          <w:rFonts w:cs="Times New Roman"/>
          <w:bCs/>
        </w:rPr>
      </w:pPr>
    </w:p>
    <w:p w14:paraId="76E23AA9" w14:textId="77777777" w:rsidR="00C3307C" w:rsidRPr="00CE183E" w:rsidRDefault="00C3307C" w:rsidP="00FB2B45">
      <w:pPr>
        <w:pStyle w:val="Paragraphedeliste"/>
        <w:numPr>
          <w:ilvl w:val="0"/>
          <w:numId w:val="23"/>
        </w:numPr>
        <w:spacing w:line="276" w:lineRule="auto"/>
        <w:rPr>
          <w:rFonts w:cs="Times New Roman"/>
        </w:rPr>
      </w:pPr>
      <w:r>
        <w:rPr>
          <w:rFonts w:cs="Times New Roman"/>
        </w:rPr>
        <w:t>La</w:t>
      </w:r>
      <w:r w:rsidRPr="00CE183E">
        <w:rPr>
          <w:rFonts w:cs="Times New Roman"/>
        </w:rPr>
        <w:t xml:space="preserve"> compatibilité du projet avec les objectifs nationaux (au Mali et au Niger) en matière de consolidation de la paix et la cohésion sociale</w:t>
      </w:r>
      <w:r>
        <w:rPr>
          <w:rFonts w:cs="Times New Roman"/>
        </w:rPr>
        <w:t xml:space="preserve"> a été confirmée à la lecture des documents de stratégie et de plans d’actions. On peut citer entre autres documents : </w:t>
      </w:r>
    </w:p>
    <w:p w14:paraId="5FF14A9F" w14:textId="126B06B9"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Plan d’action national du Niger de mise en œuvre de la Résolution 1325 de l’ONU (2017-2019)</w:t>
      </w:r>
      <w:r w:rsidR="00C3307C">
        <w:rPr>
          <w:rFonts w:cs="Times New Roman"/>
          <w:b/>
          <w:bCs/>
          <w:i/>
          <w:iCs/>
        </w:rPr>
        <w:t xml:space="preserve"> </w:t>
      </w:r>
      <w:r w:rsidR="00C3307C" w:rsidRPr="000F34E6">
        <w:rPr>
          <w:rFonts w:cs="Times New Roman"/>
        </w:rPr>
        <w:t>dont l’Axe 3</w:t>
      </w:r>
      <w:r w:rsidR="00C3307C">
        <w:rPr>
          <w:rFonts w:cs="Times New Roman"/>
        </w:rPr>
        <w:t xml:space="preserve"> de ce plan d’action vise à </w:t>
      </w:r>
      <w:r w:rsidR="00C3307C" w:rsidRPr="000F34E6">
        <w:rPr>
          <w:rFonts w:cs="Times New Roman"/>
        </w:rPr>
        <w:t xml:space="preserve">: </w:t>
      </w:r>
      <w:r w:rsidR="00C3307C">
        <w:rPr>
          <w:rFonts w:cs="Times New Roman"/>
        </w:rPr>
        <w:t>« </w:t>
      </w:r>
      <w:r w:rsidR="00C3307C" w:rsidRPr="000F34E6">
        <w:rPr>
          <w:rFonts w:cs="Times New Roman"/>
        </w:rPr>
        <w:t>Promouvoir la participation et la représentativité des femmes aux processus de médiation, de prévention et de gestion des conflits</w:t>
      </w:r>
      <w:r w:rsidR="00C3307C">
        <w:rPr>
          <w:rFonts w:cs="Times New Roman"/>
        </w:rPr>
        <w:t> » ;</w:t>
      </w:r>
    </w:p>
    <w:p w14:paraId="46C89EE3" w14:textId="2ADEAB04"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Plan d’action de mise en œuvre de la stratégie nationale de réforme du secteur de la sécurité du Mali.</w:t>
      </w:r>
      <w:r w:rsidR="00C3307C" w:rsidRPr="00DB1111">
        <w:rPr>
          <w:rFonts w:cs="Times New Roman"/>
          <w:i/>
          <w:iCs/>
        </w:rPr>
        <w:t xml:space="preserve"> </w:t>
      </w:r>
      <w:r w:rsidR="00C3307C" w:rsidRPr="00DB1111">
        <w:rPr>
          <w:rFonts w:cs="Times New Roman"/>
        </w:rPr>
        <w:t xml:space="preserve">Les questions d’’intégration du genre et de confiance entre la population et les FDS et ACP abordées par le projet sont ici traitées. En effet, L’Action 1.11 de ce plan intitulé </w:t>
      </w:r>
      <w:r w:rsidR="00C3307C" w:rsidRPr="00DB1111">
        <w:rPr>
          <w:rFonts w:cs="Times New Roman"/>
          <w:i/>
          <w:iCs/>
        </w:rPr>
        <w:t xml:space="preserve">« Intégrer le concept genre dans toutes les activités du secteur de la sécurité » </w:t>
      </w:r>
      <w:r w:rsidR="00C3307C" w:rsidRPr="00DB1111">
        <w:rPr>
          <w:rFonts w:cs="Times New Roman"/>
        </w:rPr>
        <w:t xml:space="preserve">poursuit comme Résultat : </w:t>
      </w:r>
      <w:r w:rsidR="00C3307C" w:rsidRPr="00DB1111">
        <w:rPr>
          <w:rFonts w:cs="Times New Roman"/>
          <w:i/>
          <w:iCs/>
        </w:rPr>
        <w:t>« Les acteurs du secteur de la sécurité notamment ceux des Forces de Défense et de Sécurité (FDS) et du secteur de la justice sont plus respectueux des implication pratiques du concept genre »</w:t>
      </w:r>
      <w:r w:rsidR="00C3307C" w:rsidRPr="00DB1111">
        <w:rPr>
          <w:rFonts w:cs="Times New Roman"/>
        </w:rPr>
        <w:t xml:space="preserve">. </w:t>
      </w:r>
      <w:r w:rsidR="00C3307C" w:rsidRPr="00871F3B">
        <w:rPr>
          <w:rFonts w:cs="Times New Roman"/>
        </w:rPr>
        <w:t>De même, l’Action 3.3. :</w:t>
      </w:r>
      <w:r w:rsidR="00C3307C" w:rsidRPr="00DB1111">
        <w:rPr>
          <w:rFonts w:cs="Times New Roman"/>
        </w:rPr>
        <w:t xml:space="preserve"> Intensifier les actions civilo-militaires vise comme Résultat : </w:t>
      </w:r>
      <w:r w:rsidR="00C3307C" w:rsidRPr="00DB1111">
        <w:rPr>
          <w:rFonts w:cs="Times New Roman"/>
          <w:i/>
          <w:iCs/>
        </w:rPr>
        <w:t>« Les relations de confiance sont raffermies entre les populations et les FDS ».</w:t>
      </w:r>
      <w:r w:rsidR="00C3307C" w:rsidRPr="00DB1111">
        <w:rPr>
          <w:rFonts w:cs="Times New Roman"/>
        </w:rPr>
        <w:t xml:space="preserve"> </w:t>
      </w:r>
    </w:p>
    <w:p w14:paraId="19843E3D" w14:textId="39A79DD7"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Cadre de politique de la CEDEAO pour la réforme et la gouvernance du secteur de la sécurité</w:t>
      </w:r>
      <w:r w:rsidR="00C3307C" w:rsidRPr="00871F3B">
        <w:rPr>
          <w:rFonts w:cs="Times New Roman"/>
          <w:b/>
          <w:bCs/>
          <w:i/>
          <w:iCs/>
        </w:rPr>
        <w:t>.</w:t>
      </w:r>
      <w:r w:rsidR="00C3307C" w:rsidRPr="00871F3B">
        <w:rPr>
          <w:rFonts w:cs="Times New Roman"/>
        </w:rPr>
        <w:t xml:space="preserve"> Ce cadre de politique auquel le Mali et le Niger sont parties prenantes appelle particulièrement à : une Implication des autorités coutumières et des prestataires locaux de services de sécurité dans le processus de RSS (section III, D) ; une Implication effective des organisations de la société civile et des médias (section III, E) ; une Prise en compte de la dimension genre (Section IV)</w:t>
      </w:r>
      <w:r w:rsidR="00C3307C">
        <w:rPr>
          <w:rFonts w:cs="Times New Roman"/>
        </w:rPr>
        <w:t xml:space="preserve">. Le projet a été cohérent avec ses recommandations en travaillant à la création/redynamisation des </w:t>
      </w:r>
      <w:r w:rsidR="00E90CF8">
        <w:rPr>
          <w:rFonts w:cs="Times New Roman"/>
        </w:rPr>
        <w:t>MCPGC</w:t>
      </w:r>
      <w:r w:rsidR="00C3307C">
        <w:rPr>
          <w:rFonts w:cs="Times New Roman"/>
        </w:rPr>
        <w:t xml:space="preserve"> par l’intégration des femmes et des jeunes, et en impliquant les radios communautaires dans la sensibilisation sur le vivre ensemble.</w:t>
      </w:r>
    </w:p>
    <w:p w14:paraId="0154607D" w14:textId="266CFF35" w:rsidR="00C3307C" w:rsidRPr="00871F3B"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R</w:t>
      </w:r>
      <w:r w:rsidR="00C3307C" w:rsidRPr="00871F3B">
        <w:rPr>
          <w:rFonts w:cs="Times New Roman"/>
          <w:i/>
          <w:iCs/>
          <w:u w:val="single"/>
        </w:rPr>
        <w:t>ésolution</w:t>
      </w:r>
      <w:r w:rsidR="003E7980">
        <w:rPr>
          <w:rFonts w:cs="Times New Roman"/>
          <w:i/>
          <w:iCs/>
          <w:u w:val="single"/>
        </w:rPr>
        <w:t>s des Nations Unies dont la Résolution</w:t>
      </w:r>
      <w:r w:rsidR="00C3307C" w:rsidRPr="00871F3B">
        <w:rPr>
          <w:rFonts w:cs="Times New Roman"/>
          <w:i/>
          <w:iCs/>
          <w:u w:val="single"/>
        </w:rPr>
        <w:t xml:space="preserve"> 2559 (2017)</w:t>
      </w:r>
      <w:r w:rsidR="007760A2">
        <w:rPr>
          <w:rFonts w:cs="Times New Roman"/>
          <w:i/>
          <w:iCs/>
          <w:u w:val="single"/>
        </w:rPr>
        <w:t xml:space="preserve"> </w:t>
      </w:r>
      <w:r w:rsidR="00C3307C" w:rsidRPr="00871F3B">
        <w:rPr>
          <w:rFonts w:cs="Times New Roman"/>
          <w:i/>
          <w:iCs/>
          <w:u w:val="single"/>
        </w:rPr>
        <w:t>:</w:t>
      </w:r>
      <w:r w:rsidR="00C3307C" w:rsidRPr="00871F3B">
        <w:rPr>
          <w:rFonts w:cs="Times New Roman"/>
          <w:b/>
          <w:bCs/>
          <w:i/>
          <w:iCs/>
        </w:rPr>
        <w:t xml:space="preserve"> </w:t>
      </w:r>
      <w:r w:rsidR="00C3307C" w:rsidRPr="00DC312B">
        <w:rPr>
          <w:rFonts w:cs="Times New Roman"/>
        </w:rPr>
        <w:t>Insiste</w:t>
      </w:r>
      <w:r w:rsidR="00C3307C" w:rsidRPr="00871F3B">
        <w:rPr>
          <w:rFonts w:cs="Times New Roman"/>
        </w:rPr>
        <w:t xml:space="preserve"> sur le rôle important des femmes en matière de prévention et de règlement des conflits comme </w:t>
      </w:r>
      <w:r w:rsidR="00C3307C">
        <w:rPr>
          <w:rFonts w:cs="Times New Roman"/>
        </w:rPr>
        <w:t>la</w:t>
      </w:r>
      <w:r w:rsidR="00C3307C" w:rsidRPr="00871F3B">
        <w:rPr>
          <w:rFonts w:cs="Times New Roman"/>
        </w:rPr>
        <w:t xml:space="preserve"> consolidation de la paix, ainsi qu’il l’a reconnu dans sa résolution 1325 (2000), et souligne que la FC-G5S doit tenir compte de la problématique hommes-femmes dans tous les aspects de l’exécution de son concept stratégique d’opérations</w:t>
      </w:r>
      <w:r w:rsidR="003E7980">
        <w:rPr>
          <w:rFonts w:cs="Times New Roman"/>
        </w:rPr>
        <w:t xml:space="preserve">. En </w:t>
      </w:r>
      <w:r w:rsidR="006C1CDA">
        <w:rPr>
          <w:rFonts w:cs="Times New Roman"/>
        </w:rPr>
        <w:t>œuvrant à l’implication accrue des femmes dans les MCPGC et à la</w:t>
      </w:r>
      <w:r w:rsidR="003E7980">
        <w:rPr>
          <w:rFonts w:cs="Times New Roman"/>
        </w:rPr>
        <w:t xml:space="preserve"> prise en compte du genre et des droits humains dans les procédures</w:t>
      </w:r>
      <w:r w:rsidR="006C1CDA">
        <w:rPr>
          <w:rFonts w:cs="Times New Roman"/>
        </w:rPr>
        <w:t xml:space="preserve"> opérationnelles</w:t>
      </w:r>
      <w:r w:rsidR="003E7980">
        <w:rPr>
          <w:rFonts w:cs="Times New Roman"/>
        </w:rPr>
        <w:t xml:space="preserve"> des FDS, le projet contribue aussi à la réalisation de la Résolution </w:t>
      </w:r>
      <w:r w:rsidR="003E7980" w:rsidRPr="003E7980">
        <w:rPr>
          <w:rFonts w:cs="Times New Roman"/>
        </w:rPr>
        <w:t>2242 (2015</w:t>
      </w:r>
      <w:r w:rsidR="003E7980">
        <w:rPr>
          <w:rFonts w:cs="Times New Roman"/>
        </w:rPr>
        <w:t xml:space="preserve">) qui </w:t>
      </w:r>
      <w:r w:rsidR="00D77390">
        <w:rPr>
          <w:rFonts w:cs="Times New Roman"/>
        </w:rPr>
        <w:t xml:space="preserve">aborde notamment la question </w:t>
      </w:r>
      <w:r w:rsidR="006C1CDA">
        <w:rPr>
          <w:rFonts w:cs="Times New Roman"/>
        </w:rPr>
        <w:t xml:space="preserve">du leadership des femmes en matière de paix et la question </w:t>
      </w:r>
      <w:r w:rsidR="00D77390">
        <w:rPr>
          <w:rFonts w:cs="Times New Roman"/>
        </w:rPr>
        <w:t>des atteintes sexuelles commises par les forces onusiennes et non onusiennes de maintien de la paix</w:t>
      </w:r>
      <w:r w:rsidR="003E7980">
        <w:rPr>
          <w:rFonts w:cs="Times New Roman"/>
        </w:rPr>
        <w:t> ;</w:t>
      </w:r>
    </w:p>
    <w:p w14:paraId="1D0642FA" w14:textId="5D1079E1" w:rsidR="00C3307C" w:rsidRDefault="00580E72" w:rsidP="04F997C7">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4F997C7">
        <w:rPr>
          <w:rFonts w:cs="Times New Roman"/>
          <w:i/>
          <w:iCs/>
          <w:u w:val="single"/>
        </w:rPr>
        <w:t>es ODD 10 et 16</w:t>
      </w:r>
      <w:r w:rsidR="00C3307C" w:rsidRPr="04F997C7">
        <w:rPr>
          <w:rFonts w:cs="Times New Roman"/>
          <w:b/>
          <w:bCs/>
          <w:i/>
          <w:iCs/>
        </w:rPr>
        <w:t xml:space="preserve"> : </w:t>
      </w:r>
      <w:r w:rsidR="00C3307C" w:rsidRPr="04F997C7">
        <w:rPr>
          <w:rFonts w:cs="Times New Roman"/>
        </w:rPr>
        <w:t>le projet contribue également à l’atteinte de l’ODD5 relatif à l’autonomisation des femmes et des filles et de l’ODD16 relatif à la promotion de sociétés pacifiques. Cette contribution passe par le renforcement des</w:t>
      </w:r>
      <w:r w:rsidR="00F5565E">
        <w:rPr>
          <w:rFonts w:cs="Times New Roman"/>
        </w:rPr>
        <w:t xml:space="preserve"> capacités des</w:t>
      </w:r>
      <w:r w:rsidR="00C3307C" w:rsidRPr="04F997C7">
        <w:rPr>
          <w:rFonts w:cs="Times New Roman"/>
        </w:rPr>
        <w:t xml:space="preserve"> femmes et de filles pour les impliquer activement dans la prévention et la résolution des conflits d’une part, et d’autre part, par la formation des ACP et FDS pour la prise en compte du genre dans leurs procédures opérationnelles ainsi que la promotion des cadres de dialogue entre communautés, FDS et ACP pour le rétablissement de la confiance entre ces acteurs.</w:t>
      </w:r>
      <w:r w:rsidR="007068E8" w:rsidRPr="04F997C7">
        <w:rPr>
          <w:rFonts w:cs="Times New Roman"/>
        </w:rPr>
        <w:t xml:space="preserve"> </w:t>
      </w:r>
    </w:p>
    <w:p w14:paraId="144420B4" w14:textId="1AC78357" w:rsidR="00C3307C" w:rsidRDefault="00C3307C" w:rsidP="00FB2B45">
      <w:pPr>
        <w:pStyle w:val="Paragraphedeliste"/>
        <w:numPr>
          <w:ilvl w:val="0"/>
          <w:numId w:val="23"/>
        </w:numPr>
        <w:spacing w:line="276" w:lineRule="auto"/>
        <w:rPr>
          <w:rFonts w:cs="Times New Roman"/>
          <w:bCs/>
        </w:rPr>
      </w:pPr>
      <w:r w:rsidRPr="0067417D">
        <w:rPr>
          <w:rFonts w:cs="Times New Roman"/>
        </w:rPr>
        <w:t>Relativement à l’alignement des activités du projet sur les domaines d’intervention de</w:t>
      </w:r>
      <w:r w:rsidRPr="00817308">
        <w:rPr>
          <w:rFonts w:cs="Times New Roman"/>
          <w:bCs/>
        </w:rPr>
        <w:t xml:space="preserve"> PBF, de ONU Femmes et de ONUDC</w:t>
      </w:r>
      <w:r>
        <w:rPr>
          <w:rFonts w:cs="Times New Roman"/>
          <w:bCs/>
        </w:rPr>
        <w:t>, la revue documentaire révèle les résultats suivants.</w:t>
      </w:r>
      <w:r w:rsidR="007068E8">
        <w:rPr>
          <w:rFonts w:cs="Times New Roman"/>
          <w:bCs/>
        </w:rPr>
        <w:t xml:space="preserve"> </w:t>
      </w:r>
    </w:p>
    <w:p w14:paraId="14A75AFE" w14:textId="1B7BF8D1" w:rsidR="00C3307C" w:rsidRPr="00E0702C" w:rsidRDefault="00580E72" w:rsidP="00FB2B45">
      <w:pPr>
        <w:pStyle w:val="Paragraphedeliste"/>
        <w:numPr>
          <w:ilvl w:val="1"/>
          <w:numId w:val="85"/>
        </w:numPr>
        <w:spacing w:before="0" w:after="160" w:line="276" w:lineRule="auto"/>
        <w:ind w:left="589" w:hanging="283"/>
        <w:rPr>
          <w:rFonts w:cs="Times New Roman"/>
        </w:rPr>
      </w:pPr>
      <w:r>
        <w:rPr>
          <w:rFonts w:cs="Times New Roman"/>
          <w:b/>
          <w:bCs/>
          <w:i/>
          <w:iCs/>
          <w:u w:val="single"/>
        </w:rPr>
        <w:t>P</w:t>
      </w:r>
      <w:r w:rsidR="00C3307C" w:rsidRPr="04F997C7">
        <w:rPr>
          <w:rFonts w:cs="Times New Roman"/>
          <w:b/>
          <w:bCs/>
          <w:i/>
          <w:iCs/>
          <w:u w:val="single"/>
        </w:rPr>
        <w:t>our le PBF</w:t>
      </w:r>
      <w:r w:rsidR="00C3307C" w:rsidRPr="04F997C7">
        <w:rPr>
          <w:rFonts w:cs="Times New Roman"/>
          <w:i/>
          <w:iCs/>
          <w:u w:val="single"/>
        </w:rPr>
        <w:t> :</w:t>
      </w:r>
      <w:r w:rsidR="00C3307C" w:rsidRPr="04F997C7">
        <w:rPr>
          <w:rFonts w:cs="Times New Roman"/>
          <w:b/>
          <w:bCs/>
        </w:rPr>
        <w:t xml:space="preserve"> </w:t>
      </w:r>
      <w:r w:rsidR="00C3307C" w:rsidRPr="04F997C7">
        <w:rPr>
          <w:rFonts w:cs="Times New Roman"/>
        </w:rPr>
        <w:t>le Plan stratégique 2017-2019</w:t>
      </w:r>
      <w:r w:rsidR="00C3307C" w:rsidRPr="04F997C7">
        <w:rPr>
          <w:rFonts w:cs="Times New Roman"/>
          <w:b/>
          <w:bCs/>
        </w:rPr>
        <w:t xml:space="preserve"> </w:t>
      </w:r>
      <w:r w:rsidR="00C3307C" w:rsidRPr="04F997C7">
        <w:rPr>
          <w:rFonts w:cs="Times New Roman"/>
        </w:rPr>
        <w:t xml:space="preserve">consacre l’extension du champ des priorités traditionnelles du PBF qui portait sur le maintien de la paix, pour prendre en compte le volet Prévention. En effet, la </w:t>
      </w:r>
      <w:r w:rsidR="00C3307C" w:rsidRPr="04F997C7">
        <w:rPr>
          <w:rFonts w:cs="Times New Roman"/>
          <w:b/>
          <w:bCs/>
          <w:i/>
          <w:iCs/>
        </w:rPr>
        <w:t xml:space="preserve">Priorité 2 : Dialogue et coexistence </w:t>
      </w:r>
      <w:r w:rsidR="00C3307C" w:rsidRPr="04F997C7">
        <w:rPr>
          <w:rFonts w:cs="Times New Roman"/>
        </w:rPr>
        <w:t>invite à construire et/ou renforcer les capacités nationales pour promouvoir la coexistence et la résolution pacifique des conflits. On montre aussi que les activités du projet cadre</w:t>
      </w:r>
      <w:r w:rsidR="0E428BD0" w:rsidRPr="04F997C7">
        <w:rPr>
          <w:rFonts w:cs="Times New Roman"/>
        </w:rPr>
        <w:t>nt</w:t>
      </w:r>
      <w:r w:rsidR="00C3307C" w:rsidRPr="04F997C7">
        <w:rPr>
          <w:rFonts w:cs="Times New Roman"/>
        </w:rPr>
        <w:t xml:space="preserve"> avec 2 des 3 fenêtres de priorité ouvertes par le Plan stratégique 2017-2019. Il s’agit de : (i) la Fenêtre transfrontalière et régionale appelant à fournir des financements catalytiques et à encourager l'analyse conjointe, l'échange d'expériences et la collaboration transfrontalière ; et (iii) la Fenêtre de l’autonomisation des femmes et des jeunes.</w:t>
      </w:r>
      <w:r w:rsidR="007068E8" w:rsidRPr="04F997C7">
        <w:rPr>
          <w:rFonts w:cs="Times New Roman"/>
        </w:rPr>
        <w:t xml:space="preserve"> </w:t>
      </w:r>
      <w:r w:rsidR="00C3307C" w:rsidRPr="04F997C7">
        <w:rPr>
          <w:rFonts w:cs="Times New Roman"/>
        </w:rPr>
        <w:t xml:space="preserve">Il faut ici rappeler que ce projet est un projet pilote par son caractère transfrontalier. En plus du plan stratégique, le projet est aussi cohérent avec les interventions financées par PBF dans la zone comme : </w:t>
      </w:r>
    </w:p>
    <w:p w14:paraId="735A89F1" w14:textId="77777777" w:rsidR="00C3307C" w:rsidRDefault="00C3307C" w:rsidP="00FB2B45">
      <w:pPr>
        <w:pStyle w:val="Paragraphedeliste"/>
        <w:numPr>
          <w:ilvl w:val="2"/>
          <w:numId w:val="85"/>
        </w:numPr>
        <w:spacing w:before="0" w:after="160" w:line="276" w:lineRule="auto"/>
        <w:ind w:left="851" w:hanging="284"/>
        <w:rPr>
          <w:rFonts w:cs="Times New Roman"/>
        </w:rPr>
      </w:pPr>
      <w:r w:rsidRPr="0011503D">
        <w:rPr>
          <w:rFonts w:cs="Times New Roman"/>
        </w:rPr>
        <w:t xml:space="preserve">PBF/IRF-182 : « Promotion de la sécurité communautaire et de la cohésion sociale dans la région Liptako-Gourma - Cross-border Initiative (Burkina, Mali, Niger) » mis en œuvre par le PNUD ; </w:t>
      </w:r>
    </w:p>
    <w:p w14:paraId="736AC591" w14:textId="77777777" w:rsidR="00C3307C" w:rsidRDefault="00C3307C" w:rsidP="00FB2B45">
      <w:pPr>
        <w:pStyle w:val="Paragraphedeliste"/>
        <w:numPr>
          <w:ilvl w:val="2"/>
          <w:numId w:val="85"/>
        </w:numPr>
        <w:spacing w:before="0" w:after="160" w:line="276" w:lineRule="auto"/>
        <w:ind w:left="851" w:hanging="284"/>
        <w:rPr>
          <w:rFonts w:cs="Times New Roman"/>
        </w:rPr>
      </w:pPr>
      <w:r w:rsidRPr="0067417D">
        <w:rPr>
          <w:rFonts w:cs="Times New Roman"/>
        </w:rPr>
        <w:t>PBF/IRF-158 : « Femmes, Défense et Sécurité. Participation des Femmes à la Réforme du Secteur de la sécurité et au renforcement de la confiance entre les populations et Forces de défense et de sécurité au Mali » mis en œuvre par Interpeace</w:t>
      </w:r>
      <w:r>
        <w:rPr>
          <w:rFonts w:cs="Times New Roman"/>
        </w:rPr>
        <w:t> ;</w:t>
      </w:r>
      <w:r w:rsidRPr="0067417D">
        <w:rPr>
          <w:rFonts w:cs="Times New Roman"/>
        </w:rPr>
        <w:t xml:space="preserve"> </w:t>
      </w:r>
    </w:p>
    <w:p w14:paraId="622A3A31" w14:textId="77777777" w:rsidR="00C3307C" w:rsidRDefault="00C3307C" w:rsidP="00FB2B45">
      <w:pPr>
        <w:pStyle w:val="Paragraphedeliste"/>
        <w:numPr>
          <w:ilvl w:val="2"/>
          <w:numId w:val="85"/>
        </w:numPr>
        <w:spacing w:before="0" w:after="160" w:line="276" w:lineRule="auto"/>
        <w:ind w:left="851" w:hanging="284"/>
        <w:rPr>
          <w:rFonts w:cs="Times New Roman"/>
        </w:rPr>
      </w:pPr>
      <w:r w:rsidRPr="0067417D">
        <w:rPr>
          <w:rFonts w:cs="Times New Roman"/>
        </w:rPr>
        <w:t>« Appui au renforcement de la cohésion sociale dans les communes de Bosso, Toumour, Kablewa, Gueskerou, Chetimari la région de Diffa » (PNUDUNHCR)</w:t>
      </w:r>
      <w:r>
        <w:rPr>
          <w:rFonts w:cs="Times New Roman"/>
        </w:rPr>
        <w:t>;</w:t>
      </w:r>
    </w:p>
    <w:p w14:paraId="09076702" w14:textId="77777777" w:rsidR="00C3307C" w:rsidRPr="0067417D" w:rsidRDefault="00C3307C" w:rsidP="00FB2B45">
      <w:pPr>
        <w:pStyle w:val="Paragraphedeliste"/>
        <w:numPr>
          <w:ilvl w:val="2"/>
          <w:numId w:val="85"/>
        </w:numPr>
        <w:spacing w:before="0" w:after="160" w:line="276" w:lineRule="auto"/>
        <w:ind w:left="851" w:hanging="284"/>
        <w:jc w:val="left"/>
        <w:rPr>
          <w:rFonts w:cs="Times New Roman"/>
        </w:rPr>
      </w:pPr>
      <w:r w:rsidRPr="0067417D">
        <w:rPr>
          <w:rFonts w:cs="Times New Roman"/>
        </w:rPr>
        <w:t>« Implication des jeunes et des femmes dans la résolution pacifique des conflits communautaires dans la zone nord Tillabery » UNHCR-UNICEF -UNFPA</w:t>
      </w:r>
    </w:p>
    <w:p w14:paraId="7C077F34" w14:textId="77777777" w:rsidR="00C3307C" w:rsidRPr="006F45E1" w:rsidRDefault="00C3307C" w:rsidP="00C3307C">
      <w:pPr>
        <w:pStyle w:val="Paragraphedeliste"/>
        <w:spacing w:line="276" w:lineRule="auto"/>
        <w:ind w:left="360"/>
        <w:rPr>
          <w:rFonts w:cs="Times New Roman"/>
        </w:rPr>
      </w:pPr>
    </w:p>
    <w:p w14:paraId="46A7F908" w14:textId="54D9FD47" w:rsidR="00C3307C" w:rsidRDefault="00580E72" w:rsidP="00FB2B45">
      <w:pPr>
        <w:pStyle w:val="Paragraphedeliste"/>
        <w:numPr>
          <w:ilvl w:val="1"/>
          <w:numId w:val="85"/>
        </w:numPr>
        <w:spacing w:before="0" w:after="160" w:line="276" w:lineRule="auto"/>
        <w:ind w:left="589" w:hanging="283"/>
        <w:jc w:val="left"/>
        <w:rPr>
          <w:rFonts w:cs="Times New Roman"/>
        </w:rPr>
      </w:pPr>
      <w:r>
        <w:rPr>
          <w:rFonts w:cs="Times New Roman"/>
          <w:b/>
          <w:bCs/>
          <w:u w:val="single"/>
        </w:rPr>
        <w:t>P</w:t>
      </w:r>
      <w:r w:rsidR="00C3307C" w:rsidRPr="009D0902">
        <w:rPr>
          <w:rFonts w:cs="Times New Roman"/>
          <w:b/>
          <w:bCs/>
          <w:u w:val="single"/>
        </w:rPr>
        <w:t>our ONU Femmes</w:t>
      </w:r>
      <w:r w:rsidR="00C3307C">
        <w:rPr>
          <w:rFonts w:cs="Times New Roman"/>
          <w:b/>
          <w:bCs/>
        </w:rPr>
        <w:t> :</w:t>
      </w:r>
      <w:r w:rsidR="00C3307C" w:rsidRPr="006F45E1">
        <w:rPr>
          <w:rFonts w:cs="Times New Roman"/>
          <w:b/>
          <w:bCs/>
        </w:rPr>
        <w:t xml:space="preserve"> </w:t>
      </w:r>
      <w:r w:rsidR="00C3307C" w:rsidRPr="009D0902">
        <w:rPr>
          <w:rFonts w:cs="Times New Roman"/>
        </w:rPr>
        <w:t xml:space="preserve">les </w:t>
      </w:r>
      <w:r w:rsidR="00C3307C">
        <w:rPr>
          <w:rFonts w:cs="Times New Roman"/>
        </w:rPr>
        <w:t xml:space="preserve">activités et les produits du projet sont étroitement liés à 2 des 5 résultats du </w:t>
      </w:r>
      <w:r w:rsidR="00C3307C" w:rsidRPr="0067417D">
        <w:rPr>
          <w:rFonts w:cs="Times New Roman"/>
        </w:rPr>
        <w:t>Plan stratégique 2018-2021</w:t>
      </w:r>
      <w:r w:rsidR="00C3307C">
        <w:rPr>
          <w:rFonts w:cs="Times New Roman"/>
        </w:rPr>
        <w:t xml:space="preserve"> de ONU Femmes. Ce sont précisément le : </w:t>
      </w:r>
    </w:p>
    <w:p w14:paraId="35098D96" w14:textId="59683B03"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R</w:t>
      </w:r>
      <w:r w:rsidR="00C3307C">
        <w:rPr>
          <w:rFonts w:cs="Times New Roman"/>
        </w:rPr>
        <w:t xml:space="preserve">ésultat 2 : </w:t>
      </w:r>
      <w:r w:rsidR="00C3307C" w:rsidRPr="006F45E1">
        <w:rPr>
          <w:rFonts w:cs="Times New Roman"/>
        </w:rPr>
        <w:t>Les femmes dirigent les systèmes de gouvernance, y participent et en bénéficient sur un pied d'égalité</w:t>
      </w:r>
      <w:r w:rsidR="00C3307C">
        <w:rPr>
          <w:rFonts w:cs="Times New Roman"/>
        </w:rPr>
        <w:t> ;</w:t>
      </w:r>
    </w:p>
    <w:p w14:paraId="4A8979A0" w14:textId="2ECF801F"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R</w:t>
      </w:r>
      <w:r w:rsidR="00C3307C">
        <w:rPr>
          <w:rFonts w:cs="Times New Roman"/>
        </w:rPr>
        <w:t xml:space="preserve">ésultat 5 : </w:t>
      </w:r>
      <w:r w:rsidR="00C3307C" w:rsidRPr="006F45E1">
        <w:rPr>
          <w:rFonts w:cs="Times New Roman"/>
        </w:rPr>
        <w:t>Les femmes et les filles contribuent à l'instauration d'une paix et d'une résilience durables et exercent une plus grande influence à cet égard, et bénéficient également de la prévention des catastrophes naturelles et des conflits ainsi que de l'action humanitaire.</w:t>
      </w:r>
    </w:p>
    <w:p w14:paraId="170BC991" w14:textId="64E1C993"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b/>
          <w:bCs/>
          <w:u w:val="single"/>
        </w:rPr>
        <w:t>P</w:t>
      </w:r>
      <w:r w:rsidR="00C3307C" w:rsidRPr="04F997C7">
        <w:rPr>
          <w:rFonts w:cs="Times New Roman"/>
          <w:b/>
          <w:bCs/>
          <w:u w:val="single"/>
        </w:rPr>
        <w:t>our ONUDC</w:t>
      </w:r>
      <w:r w:rsidR="00C3307C" w:rsidRPr="04F997C7">
        <w:rPr>
          <w:rFonts w:cs="Times New Roman"/>
        </w:rPr>
        <w:t xml:space="preserve"> : les activités de promotion de la paix et de la cohésion sociale à travers les sensibilisations et les </w:t>
      </w:r>
      <w:r w:rsidR="00E90CF8" w:rsidRPr="04F997C7">
        <w:rPr>
          <w:rFonts w:cs="Times New Roman"/>
        </w:rPr>
        <w:t>MCPGC</w:t>
      </w:r>
      <w:r w:rsidR="00C3307C" w:rsidRPr="04F997C7">
        <w:rPr>
          <w:rFonts w:cs="Times New Roman"/>
        </w:rPr>
        <w:t xml:space="preserve">, de même que la promotion du genre et des droits humains dans les missions des FDS et des ACP, sont alignées sur 2 des 5 grands domaines thématiques définis par ONUDC dans </w:t>
      </w:r>
      <w:r w:rsidR="711852EB" w:rsidRPr="04F997C7">
        <w:rPr>
          <w:rFonts w:cs="Times New Roman"/>
        </w:rPr>
        <w:t>le</w:t>
      </w:r>
      <w:r w:rsidR="0032215B">
        <w:rPr>
          <w:rFonts w:cs="Times New Roman"/>
        </w:rPr>
        <w:t xml:space="preserve"> </w:t>
      </w:r>
      <w:r w:rsidR="00C3307C" w:rsidRPr="04F997C7">
        <w:rPr>
          <w:rFonts w:cs="Times New Roman"/>
        </w:rPr>
        <w:t>Plan stratégique 2021-2025 de l’ONUDC. Il s’agit d</w:t>
      </w:r>
      <w:r w:rsidR="00EF6D51" w:rsidRPr="04F997C7">
        <w:rPr>
          <w:rFonts w:cs="Times New Roman"/>
        </w:rPr>
        <w:t>u</w:t>
      </w:r>
      <w:r w:rsidR="00C3307C" w:rsidRPr="04F997C7">
        <w:rPr>
          <w:rFonts w:cs="Times New Roman"/>
        </w:rPr>
        <w:t> :</w:t>
      </w:r>
    </w:p>
    <w:p w14:paraId="3A407C5E" w14:textId="0E89910B"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D</w:t>
      </w:r>
      <w:r w:rsidR="00C3307C">
        <w:rPr>
          <w:rFonts w:cs="Times New Roman"/>
        </w:rPr>
        <w:t xml:space="preserve">omaine thématique 4 : </w:t>
      </w:r>
      <w:r w:rsidR="00C3307C" w:rsidRPr="00725D86">
        <w:rPr>
          <w:rFonts w:cs="Times New Roman"/>
        </w:rPr>
        <w:t>Prévenir et combattre le terrorisme</w:t>
      </w:r>
    </w:p>
    <w:p w14:paraId="56F000EF" w14:textId="342B9317"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D</w:t>
      </w:r>
      <w:r w:rsidR="00C3307C">
        <w:rPr>
          <w:rFonts w:cs="Times New Roman"/>
        </w:rPr>
        <w:t xml:space="preserve">omaine thématique 5 : </w:t>
      </w:r>
      <w:r w:rsidR="00C3307C" w:rsidRPr="00725D86">
        <w:rPr>
          <w:rFonts w:cs="Times New Roman"/>
        </w:rPr>
        <w:t>Prévention de la criminalité et justice pénale</w:t>
      </w:r>
      <w:r w:rsidR="00C3307C" w:rsidRPr="00725D86">
        <w:rPr>
          <w:rFonts w:cs="Times New Roman"/>
        </w:rPr>
        <w:cr/>
      </w:r>
    </w:p>
    <w:p w14:paraId="3C66341E" w14:textId="63250C2B" w:rsidR="001A065A" w:rsidRDefault="001A065A" w:rsidP="00DF4AC8">
      <w:pPr>
        <w:pStyle w:val="Titre3"/>
      </w:pPr>
      <w:r>
        <w:t>Constat 2</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1A065A" w14:paraId="0657D1ED" w14:textId="77777777" w:rsidTr="00D90A05">
        <w:tc>
          <w:tcPr>
            <w:tcW w:w="9341" w:type="dxa"/>
            <w:shd w:val="clear" w:color="auto" w:fill="auto"/>
          </w:tcPr>
          <w:p w14:paraId="4965E030" w14:textId="3949D1BD" w:rsidR="001A065A" w:rsidRDefault="001A065A" w:rsidP="001A065A">
            <w:pPr>
              <w:spacing w:line="276" w:lineRule="auto"/>
              <w:rPr>
                <w:rFonts w:cs="Times New Roman"/>
                <w:b/>
                <w:bCs/>
                <w:color w:val="0070C0"/>
              </w:rPr>
            </w:pPr>
            <w:r w:rsidRPr="001A065A">
              <w:rPr>
                <w:rFonts w:cs="Times New Roman"/>
                <w:b/>
                <w:bCs/>
                <w:color w:val="0070C0"/>
              </w:rPr>
              <w:t xml:space="preserve">Dans sa conception </w:t>
            </w:r>
            <w:r>
              <w:rPr>
                <w:rFonts w:cs="Times New Roman"/>
                <w:b/>
                <w:bCs/>
                <w:color w:val="0070C0"/>
              </w:rPr>
              <w:t xml:space="preserve">et sa mise en œuvre, </w:t>
            </w:r>
            <w:r w:rsidRPr="001A065A">
              <w:rPr>
                <w:rFonts w:cs="Times New Roman"/>
                <w:b/>
                <w:bCs/>
                <w:color w:val="0070C0"/>
              </w:rPr>
              <w:t>le projet a pris en compte les besoins de cohésion sociale</w:t>
            </w:r>
            <w:r w:rsidR="00046512">
              <w:rPr>
                <w:rFonts w:cs="Times New Roman"/>
                <w:b/>
                <w:bCs/>
                <w:color w:val="0070C0"/>
              </w:rPr>
              <w:t xml:space="preserve"> et de promotion de la participation des</w:t>
            </w:r>
            <w:r w:rsidRPr="001A065A">
              <w:rPr>
                <w:rFonts w:cs="Times New Roman"/>
                <w:b/>
                <w:bCs/>
                <w:color w:val="0070C0"/>
              </w:rPr>
              <w:t xml:space="preserve"> femmes et des jeunes</w:t>
            </w:r>
            <w:r w:rsidR="00DF00F3">
              <w:rPr>
                <w:rFonts w:cs="Times New Roman"/>
                <w:b/>
                <w:bCs/>
                <w:color w:val="0070C0"/>
              </w:rPr>
              <w:t xml:space="preserve"> au niveau communautaire</w:t>
            </w:r>
            <w:r w:rsidR="00046512">
              <w:rPr>
                <w:rFonts w:cs="Times New Roman"/>
                <w:b/>
                <w:bCs/>
                <w:color w:val="0070C0"/>
              </w:rPr>
              <w:t xml:space="preserve">. </w:t>
            </w:r>
            <w:r w:rsidRPr="001A065A">
              <w:rPr>
                <w:rFonts w:cs="Times New Roman"/>
                <w:b/>
                <w:bCs/>
                <w:color w:val="0070C0"/>
              </w:rPr>
              <w:t xml:space="preserve">Les activités du projet </w:t>
            </w:r>
            <w:r w:rsidR="00046512">
              <w:rPr>
                <w:rFonts w:cs="Times New Roman"/>
                <w:b/>
                <w:bCs/>
                <w:color w:val="0070C0"/>
              </w:rPr>
              <w:t xml:space="preserve">ont aussi promu le genre et </w:t>
            </w:r>
            <w:r w:rsidRPr="001A065A">
              <w:rPr>
                <w:rFonts w:cs="Times New Roman"/>
                <w:b/>
                <w:bCs/>
                <w:color w:val="0070C0"/>
              </w:rPr>
              <w:t>les droits humains dans les missions des FDS</w:t>
            </w:r>
            <w:r w:rsidR="00046512">
              <w:rPr>
                <w:rFonts w:cs="Times New Roman"/>
                <w:b/>
                <w:bCs/>
                <w:color w:val="0070C0"/>
              </w:rPr>
              <w:t xml:space="preserve"> et des ACP, ainsi que </w:t>
            </w:r>
            <w:r w:rsidR="007E4514">
              <w:rPr>
                <w:rFonts w:cs="Times New Roman"/>
                <w:b/>
                <w:bCs/>
                <w:color w:val="0070C0"/>
              </w:rPr>
              <w:t>la collaboration</w:t>
            </w:r>
            <w:r w:rsidR="00046512">
              <w:rPr>
                <w:rFonts w:cs="Times New Roman"/>
                <w:b/>
                <w:bCs/>
                <w:color w:val="0070C0"/>
              </w:rPr>
              <w:t xml:space="preserve"> entre les communautés</w:t>
            </w:r>
            <w:r w:rsidR="00DF00F3">
              <w:rPr>
                <w:rFonts w:cs="Times New Roman"/>
                <w:b/>
                <w:bCs/>
                <w:color w:val="0070C0"/>
              </w:rPr>
              <w:t xml:space="preserve"> </w:t>
            </w:r>
            <w:r w:rsidR="008D3C5A">
              <w:rPr>
                <w:rFonts w:cs="Times New Roman"/>
                <w:b/>
                <w:bCs/>
                <w:color w:val="0070C0"/>
              </w:rPr>
              <w:t>et ces</w:t>
            </w:r>
            <w:r w:rsidR="00DF00F3">
              <w:rPr>
                <w:rFonts w:cs="Times New Roman"/>
                <w:b/>
                <w:bCs/>
                <w:color w:val="0070C0"/>
              </w:rPr>
              <w:t xml:space="preserve"> derniers</w:t>
            </w:r>
            <w:r w:rsidRPr="001A065A">
              <w:rPr>
                <w:rFonts w:cs="Times New Roman"/>
                <w:b/>
                <w:bCs/>
                <w:color w:val="0070C0"/>
              </w:rPr>
              <w:t>.</w:t>
            </w:r>
          </w:p>
          <w:p w14:paraId="2F5FB963" w14:textId="53D317DE" w:rsidR="001A065A" w:rsidRPr="009064E0" w:rsidRDefault="001A065A" w:rsidP="009E2DEE">
            <w:pPr>
              <w:spacing w:before="0" w:after="0" w:line="240" w:lineRule="auto"/>
              <w:rPr>
                <w:i/>
                <w:iCs/>
              </w:rPr>
            </w:pPr>
            <w:r w:rsidRPr="009064E0">
              <w:rPr>
                <w:rStyle w:val="fontstyle01"/>
                <w:rFonts w:ascii="Century Gothic" w:hAnsi="Century Gothic"/>
                <w:i/>
                <w:iCs/>
              </w:rPr>
              <w:t>Ce constat répond à la QE</w:t>
            </w:r>
            <w:r>
              <w:rPr>
                <w:rStyle w:val="fontstyle01"/>
                <w:rFonts w:ascii="Century Gothic" w:hAnsi="Century Gothic"/>
                <w:i/>
                <w:iCs/>
              </w:rPr>
              <w:t xml:space="preserve">1 et à la QE3. </w:t>
            </w:r>
          </w:p>
        </w:tc>
      </w:tr>
    </w:tbl>
    <w:p w14:paraId="4567BB33" w14:textId="37857FE0" w:rsidR="0095022A" w:rsidRDefault="0095022A" w:rsidP="008022B2">
      <w:pPr>
        <w:spacing w:after="0" w:line="276" w:lineRule="auto"/>
        <w:rPr>
          <w:rFonts w:cs="Times New Roman"/>
          <w:bCs/>
        </w:rPr>
      </w:pPr>
    </w:p>
    <w:p w14:paraId="3F166179" w14:textId="298AD309" w:rsidR="001A065A" w:rsidRPr="008D3C5A" w:rsidRDefault="00C74477" w:rsidP="00FB2B45">
      <w:pPr>
        <w:pStyle w:val="Paragraphedeliste"/>
        <w:numPr>
          <w:ilvl w:val="0"/>
          <w:numId w:val="23"/>
        </w:numPr>
        <w:spacing w:line="276" w:lineRule="auto"/>
      </w:pPr>
      <w:r w:rsidRPr="00B42B54">
        <w:rPr>
          <w:rFonts w:cs="Times New Roman"/>
        </w:rPr>
        <w:t>La</w:t>
      </w:r>
      <w:r>
        <w:t xml:space="preserve"> conception du projet procède d’une </w:t>
      </w:r>
      <w:r w:rsidR="0007107C">
        <w:t xml:space="preserve">analyse </w:t>
      </w:r>
      <w:r>
        <w:t xml:space="preserve">préalable </w:t>
      </w:r>
      <w:r w:rsidR="001A065A">
        <w:t xml:space="preserve">du contexte </w:t>
      </w:r>
      <w:r>
        <w:t xml:space="preserve">et d’une série de </w:t>
      </w:r>
      <w:r w:rsidRPr="008D3C5A">
        <w:t>consultations des différents acteurs du secteur de la sécurité et de la justice, des organisations de la société civile au Mali et au Niger</w:t>
      </w:r>
      <w:r w:rsidR="00FD1D1D" w:rsidRPr="008D3C5A">
        <w:t xml:space="preserve">. </w:t>
      </w:r>
      <w:r w:rsidR="00756048">
        <w:t>Ces analyses et consultations ont</w:t>
      </w:r>
      <w:r w:rsidR="001A065A">
        <w:t xml:space="preserve"> mis en évidence l’importance des conflits et l’existence de plusieurs causes structurelles</w:t>
      </w:r>
      <w:r w:rsidR="00756048">
        <w:t>. Ce sont entre autres l</w:t>
      </w:r>
      <w:r w:rsidR="001A065A" w:rsidRPr="00476B2F">
        <w:t>’érosion du pouvoir de gestion des conflits par les chefs traditionnels</w:t>
      </w:r>
      <w:r w:rsidR="00756048">
        <w:t xml:space="preserve">, </w:t>
      </w:r>
      <w:r w:rsidR="001A065A" w:rsidRPr="00476B2F">
        <w:t>la méfiance entre les communautés locales, les forces de défense et de sécurité (FDS) et les acteurs de la chaine pénale (ACP)</w:t>
      </w:r>
      <w:r w:rsidR="001A065A" w:rsidRPr="00476B2F">
        <w:rPr>
          <w:vertAlign w:val="superscript"/>
        </w:rPr>
        <w:footnoteReference w:id="30"/>
      </w:r>
      <w:r w:rsidR="001A065A">
        <w:t xml:space="preserve"> ainsi que la marginalisation des femmes et des jeunes dans les </w:t>
      </w:r>
      <w:r w:rsidR="00E90CF8">
        <w:t>MCPGC</w:t>
      </w:r>
      <w:r w:rsidR="001A065A" w:rsidRPr="00476B2F">
        <w:t>.</w:t>
      </w:r>
      <w:r w:rsidR="00756048">
        <w:t xml:space="preserve"> </w:t>
      </w:r>
      <w:r w:rsidR="001A065A">
        <w:t xml:space="preserve">Les études diagnostiques des </w:t>
      </w:r>
      <w:r w:rsidR="00E90CF8">
        <w:t>MCPGC</w:t>
      </w:r>
      <w:r w:rsidR="001A065A">
        <w:t xml:space="preserve"> réalisés en début de projet </w:t>
      </w:r>
      <w:r w:rsidR="00574D46">
        <w:t xml:space="preserve">en 2019 </w:t>
      </w:r>
      <w:r w:rsidR="001A065A">
        <w:t>par les ONG partenaires de mise en œuvre ont confirmé la faible inclusion des femmes et des jeunes dans ces mécanismes.</w:t>
      </w:r>
      <w:r w:rsidR="00756048">
        <w:t xml:space="preserve"> A Tessit et </w:t>
      </w:r>
      <w:r w:rsidR="004D7355">
        <w:t xml:space="preserve">à </w:t>
      </w:r>
      <w:r w:rsidR="00756048">
        <w:t xml:space="preserve">Ouatagouna </w:t>
      </w:r>
      <w:r w:rsidR="004D7355">
        <w:t xml:space="preserve">par exemple, </w:t>
      </w:r>
      <w:r w:rsidR="00756048">
        <w:t xml:space="preserve">seul </w:t>
      </w:r>
      <w:r w:rsidR="001A065A">
        <w:t>21</w:t>
      </w:r>
      <w:r w:rsidR="00574D46">
        <w:t>,8</w:t>
      </w:r>
      <w:r w:rsidR="001A065A">
        <w:t xml:space="preserve">% </w:t>
      </w:r>
      <w:r w:rsidR="004D7355">
        <w:t xml:space="preserve">des membres des mécanismes communautaires </w:t>
      </w:r>
      <w:r w:rsidR="00756048">
        <w:t xml:space="preserve">étaient des </w:t>
      </w:r>
      <w:r w:rsidR="001A065A">
        <w:t>femmes et 19</w:t>
      </w:r>
      <w:r w:rsidR="00574D46">
        <w:t>,3</w:t>
      </w:r>
      <w:r w:rsidR="001A065A">
        <w:t xml:space="preserve">% </w:t>
      </w:r>
      <w:r w:rsidR="00756048">
        <w:t>d</w:t>
      </w:r>
      <w:r w:rsidR="001A065A">
        <w:t>es jeunes</w:t>
      </w:r>
      <w:r w:rsidR="004D7355">
        <w:t>,</w:t>
      </w:r>
      <w:r w:rsidR="001A065A">
        <w:t xml:space="preserve"> avec des </w:t>
      </w:r>
      <w:r w:rsidR="001A065A" w:rsidRPr="00F47BD8">
        <w:t xml:space="preserve">rôles dévolus </w:t>
      </w:r>
      <w:r w:rsidR="001A065A">
        <w:t xml:space="preserve">qui sont le plus souvent </w:t>
      </w:r>
      <w:r w:rsidR="001A065A" w:rsidRPr="00F47BD8">
        <w:t>figuratifs</w:t>
      </w:r>
      <w:r w:rsidR="00574D46">
        <w:t xml:space="preserve"> (CAR.D, 2019)</w:t>
      </w:r>
      <w:r w:rsidR="001A065A" w:rsidRPr="00F47BD8">
        <w:t xml:space="preserve">. </w:t>
      </w:r>
      <w:r w:rsidR="00574D46">
        <w:t xml:space="preserve">A </w:t>
      </w:r>
      <w:r w:rsidR="00574D46" w:rsidRPr="008D3C5A">
        <w:t xml:space="preserve">Ménaka et à Anderamboukane, le taux représentativité était encore plus faible soit 11,5% (CRADE, 2019). </w:t>
      </w:r>
      <w:r w:rsidR="009A3DB3">
        <w:t>Suite à ces études diagnostiques, des ateliers participatifs d’élaboration de plan d’actions ont été tenus avec les différentes couches sociales de chaque communauté</w:t>
      </w:r>
      <w:r w:rsidR="00B42B54">
        <w:t xml:space="preserve"> en vue du renforcement des mécanismes communautaires dans le cadre de la prévention et la gestion des conflits locaux</w:t>
      </w:r>
      <w:r w:rsidR="009A3DB3">
        <w:t xml:space="preserve">. </w:t>
      </w:r>
      <w:r w:rsidR="004469BD" w:rsidRPr="008D3C5A">
        <w:t>Les conclusions d</w:t>
      </w:r>
      <w:r w:rsidR="00B42B54">
        <w:t>es</w:t>
      </w:r>
      <w:r w:rsidR="004469BD" w:rsidRPr="008D3C5A">
        <w:t xml:space="preserve"> diagnostic</w:t>
      </w:r>
      <w:r w:rsidR="00B42B54">
        <w:t>s</w:t>
      </w:r>
      <w:r w:rsidR="004469BD" w:rsidRPr="008D3C5A">
        <w:t xml:space="preserve"> mené auprès des FDS </w:t>
      </w:r>
      <w:r w:rsidR="00E03697">
        <w:t xml:space="preserve">par ONUDC </w:t>
      </w:r>
      <w:r w:rsidR="00B42B54">
        <w:t xml:space="preserve">dans les deux pays </w:t>
      </w:r>
      <w:r w:rsidR="004469BD" w:rsidRPr="008D3C5A">
        <w:t xml:space="preserve">ont aussi révélé un faible niveau de connaissance de ces derniers sur les questions de droits humains et de genre. </w:t>
      </w:r>
      <w:r w:rsidR="00B42B54">
        <w:t>Les priorités de renforcement des capacités de ces acteurs ont été aussi discutées et définies de façon participative.</w:t>
      </w:r>
    </w:p>
    <w:p w14:paraId="58A63652" w14:textId="77A88ED5" w:rsidR="001A065A" w:rsidRDefault="00175F76" w:rsidP="00FB2B45">
      <w:pPr>
        <w:pStyle w:val="Paragraphedeliste"/>
        <w:numPr>
          <w:ilvl w:val="0"/>
          <w:numId w:val="23"/>
        </w:numPr>
        <w:spacing w:line="276" w:lineRule="auto"/>
      </w:pPr>
      <w:r>
        <w:t xml:space="preserve">Les activités mises en œuvre par le projet en lien avec ce contexte sont une réponse aux différentes problématiques identifiées, </w:t>
      </w:r>
      <w:r w:rsidR="00D37C2A">
        <w:t xml:space="preserve">comme cela </w:t>
      </w:r>
      <w:r w:rsidR="5409A598">
        <w:t xml:space="preserve">a </w:t>
      </w:r>
      <w:r w:rsidR="00D37C2A">
        <w:t xml:space="preserve">été </w:t>
      </w:r>
      <w:r>
        <w:t xml:space="preserve">confirmé par les </w:t>
      </w:r>
      <w:r w:rsidR="00E81A22">
        <w:t>populations rencontrées lors de la collecte des données</w:t>
      </w:r>
      <w:r>
        <w:t xml:space="preserve">. </w:t>
      </w:r>
      <w:r w:rsidR="00D37C2A">
        <w:t>En effet</w:t>
      </w:r>
      <w:r w:rsidR="00F62821">
        <w:t xml:space="preserve">, selon les résultats de l’enquête quantitative, </w:t>
      </w:r>
      <w:r w:rsidR="00E03697">
        <w:t>78% estiment globalement que le projet a pris en compte leurs besoins. P</w:t>
      </w:r>
      <w:r w:rsidR="00F62821">
        <w:t>lus de 9 bénéficiaires directs sur 10 affirment que le projet répond non seulement au problème de participation des femmes et des jeunes dans les mécanismes de gestion des conflits (93%),</w:t>
      </w:r>
      <w:r w:rsidR="00AF1C7D">
        <w:t xml:space="preserve"> mais aussi</w:t>
      </w:r>
      <w:r w:rsidR="00F62821">
        <w:t xml:space="preserve"> aux besoins de</w:t>
      </w:r>
      <w:r w:rsidR="00AF1C7D">
        <w:t xml:space="preserve"> ces </w:t>
      </w:r>
      <w:r w:rsidR="008D3C5A">
        <w:t>derniers en</w:t>
      </w:r>
      <w:r w:rsidR="00F62821">
        <w:t xml:space="preserve"> matière de paix et de cohésion sociale </w:t>
      </w:r>
      <w:r w:rsidR="008519AF">
        <w:t>(9</w:t>
      </w:r>
      <w:r w:rsidR="007B25FE">
        <w:t>1</w:t>
      </w:r>
      <w:r w:rsidR="008519AF">
        <w:t xml:space="preserve">%). Cette appréciation est pratiquement la même entre les femmes et les hommes. Relativement à la prise en compte des priorités des personnes handicapées, les avis </w:t>
      </w:r>
      <w:r w:rsidR="00AF0698">
        <w:t>des acteurs enquêteurs (équipe projet, ONG locales, acteurs institutionnels) convergent sur l’absence d’activités spécifiques du projet adressées à ces personnes.</w:t>
      </w:r>
      <w:r w:rsidR="00E03697">
        <w:t xml:space="preserve"> Près de la moitié des répondants (49%) affirment que les priorités des personnes handicapées n’ont pas été pris en compte. </w:t>
      </w:r>
    </w:p>
    <w:p w14:paraId="266BC5D3" w14:textId="7304CD71" w:rsidR="00C00594" w:rsidRDefault="00FD1D1D" w:rsidP="042776B5">
      <w:pPr>
        <w:pStyle w:val="Paragraphedeliste"/>
        <w:numPr>
          <w:ilvl w:val="0"/>
          <w:numId w:val="23"/>
        </w:numPr>
        <w:spacing w:line="276" w:lineRule="auto"/>
        <w:rPr>
          <w:rFonts w:cs="Times New Roman"/>
        </w:rPr>
      </w:pPr>
      <w:r w:rsidRPr="042776B5">
        <w:rPr>
          <w:rFonts w:cs="Times New Roman"/>
        </w:rPr>
        <w:t xml:space="preserve">Le projet s’est aussi </w:t>
      </w:r>
      <w:r w:rsidR="008479F0" w:rsidRPr="042776B5">
        <w:rPr>
          <w:rFonts w:cs="Times New Roman"/>
        </w:rPr>
        <w:t xml:space="preserve">intéressé </w:t>
      </w:r>
      <w:r w:rsidRPr="042776B5">
        <w:rPr>
          <w:rFonts w:cs="Times New Roman"/>
        </w:rPr>
        <w:t xml:space="preserve">à la question </w:t>
      </w:r>
      <w:r w:rsidR="00A615B5" w:rsidRPr="042776B5">
        <w:rPr>
          <w:rFonts w:cs="Times New Roman"/>
        </w:rPr>
        <w:t>des droits humains et du genre</w:t>
      </w:r>
      <w:r w:rsidR="008479F0" w:rsidRPr="042776B5">
        <w:rPr>
          <w:rFonts w:cs="Times New Roman"/>
        </w:rPr>
        <w:t xml:space="preserve"> à</w:t>
      </w:r>
      <w:r w:rsidR="009A47D0">
        <w:rPr>
          <w:rFonts w:cs="Times New Roman"/>
        </w:rPr>
        <w:t xml:space="preserve"> travers</w:t>
      </w:r>
      <w:r w:rsidR="008479F0" w:rsidRPr="042776B5">
        <w:rPr>
          <w:rFonts w:cs="Times New Roman"/>
        </w:rPr>
        <w:t xml:space="preserve"> notamment les activités liées au </w:t>
      </w:r>
      <w:r w:rsidR="008479F0" w:rsidRPr="042776B5">
        <w:rPr>
          <w:rFonts w:cs="Times New Roman"/>
          <w:i/>
          <w:iCs/>
        </w:rPr>
        <w:t>« Résultat 2 : 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w:t>
      </w:r>
      <w:r w:rsidR="008479F0" w:rsidRPr="042776B5">
        <w:rPr>
          <w:rFonts w:cs="Times New Roman"/>
        </w:rPr>
        <w:t xml:space="preserve"> ». </w:t>
      </w:r>
      <w:r w:rsidR="00C00594" w:rsidRPr="042776B5">
        <w:rPr>
          <w:rFonts w:cs="Times New Roman"/>
        </w:rPr>
        <w:t>Ces activités étaient essentiellement des sensibilisations et des formations aussi bien pour les femmes et les jeunes que pour les FDS et les ACP. Par ailleurs, il faut noter la sensibilité du budget au genre. En effet, la proportion du budget des activités directement liées à l’égalité entre les sexes/le renforcement des capacités des femmes</w:t>
      </w:r>
      <w:r w:rsidR="008479F0" w:rsidRPr="042776B5">
        <w:rPr>
          <w:rFonts w:cs="Times New Roman"/>
        </w:rPr>
        <w:t xml:space="preserve"> </w:t>
      </w:r>
      <w:r w:rsidR="00C00594" w:rsidRPr="042776B5">
        <w:rPr>
          <w:rFonts w:cs="Times New Roman"/>
        </w:rPr>
        <w:t xml:space="preserve">est de 51% du budget total. </w:t>
      </w:r>
    </w:p>
    <w:p w14:paraId="1A4A688E" w14:textId="0B2EC8CC" w:rsidR="006C43AC" w:rsidRPr="0002439A" w:rsidRDefault="00262834" w:rsidP="0002439A">
      <w:pPr>
        <w:pStyle w:val="Paragraphedeliste"/>
        <w:numPr>
          <w:ilvl w:val="0"/>
          <w:numId w:val="23"/>
        </w:numPr>
        <w:spacing w:line="276" w:lineRule="auto"/>
        <w:rPr>
          <w:rFonts w:cs="Times New Roman"/>
        </w:rPr>
      </w:pPr>
      <w:r>
        <w:rPr>
          <w:rFonts w:cs="Times New Roman"/>
        </w:rPr>
        <w:t>Relativement à l’implication des acteurs, i</w:t>
      </w:r>
      <w:r w:rsidR="006C43AC" w:rsidRPr="0002439A">
        <w:rPr>
          <w:rFonts w:cs="Times New Roman"/>
        </w:rPr>
        <w:t>l est important de souligner que quelques acteurs pertinents sur la question transfrontalière de la zone d’intervention du projet comme l’</w:t>
      </w:r>
      <w:r w:rsidR="00BF7ED0">
        <w:rPr>
          <w:rFonts w:cs="Times New Roman"/>
        </w:rPr>
        <w:t>A</w:t>
      </w:r>
      <w:r w:rsidR="006C43AC" w:rsidRPr="0002439A">
        <w:rPr>
          <w:rFonts w:cs="Times New Roman"/>
        </w:rPr>
        <w:t xml:space="preserve">utorité de développement intégré de la région du Liptako Gourma (ALG) et les Groupement locaux de coopération transfrontalière (GLCT) n’ont pas associés au projet. </w:t>
      </w:r>
      <w:r w:rsidR="008F1A2B" w:rsidRPr="0002439A">
        <w:rPr>
          <w:rFonts w:cs="Times New Roman"/>
        </w:rPr>
        <w:t xml:space="preserve">Selon le </w:t>
      </w:r>
      <w:r w:rsidR="00FC723D" w:rsidRPr="0002439A">
        <w:rPr>
          <w:rFonts w:cs="Times New Roman"/>
        </w:rPr>
        <w:t>secrétaire exécutif</w:t>
      </w:r>
      <w:r w:rsidR="008F1A2B" w:rsidRPr="0002439A">
        <w:rPr>
          <w:rFonts w:cs="Times New Roman"/>
        </w:rPr>
        <w:t xml:space="preserve"> </w:t>
      </w:r>
      <w:r w:rsidR="0002439A">
        <w:rPr>
          <w:rFonts w:cs="Times New Roman"/>
        </w:rPr>
        <w:t xml:space="preserve">de </w:t>
      </w:r>
      <w:r w:rsidR="0002439A" w:rsidRPr="0002439A">
        <w:rPr>
          <w:rFonts w:cs="Times New Roman"/>
        </w:rPr>
        <w:t>la Cellule de Coopération Décentralisée Transfrontalière des Collectivités Territoriales du Sahel (</w:t>
      </w:r>
      <w:r w:rsidR="008F1A2B" w:rsidRPr="0002439A">
        <w:rPr>
          <w:rFonts w:cs="Times New Roman"/>
        </w:rPr>
        <w:t>C3Sahel</w:t>
      </w:r>
      <w:r w:rsidR="0002439A">
        <w:rPr>
          <w:rFonts w:cs="Times New Roman"/>
        </w:rPr>
        <w:t>),</w:t>
      </w:r>
      <w:r w:rsidR="00E61834">
        <w:rPr>
          <w:rFonts w:cs="Times New Roman"/>
        </w:rPr>
        <w:t xml:space="preserve"> </w:t>
      </w:r>
      <w:r w:rsidR="001D16E5" w:rsidRPr="001D16E5">
        <w:rPr>
          <w:rFonts w:cs="Times New Roman"/>
        </w:rPr>
        <w:t>«</w:t>
      </w:r>
      <w:r w:rsidR="00E61834">
        <w:rPr>
          <w:rFonts w:cs="Times New Roman"/>
        </w:rPr>
        <w:t xml:space="preserve"> </w:t>
      </w:r>
      <w:r w:rsidR="0002439A">
        <w:rPr>
          <w:rFonts w:cs="Times New Roman"/>
        </w:rPr>
        <w:t>l’ALG n’a pas n’a pas connaissance du projet, ce qui est bien dommage</w:t>
      </w:r>
      <w:r w:rsidR="00E61834">
        <w:rPr>
          <w:rFonts w:cs="Times New Roman"/>
        </w:rPr>
        <w:t xml:space="preserve"> </w:t>
      </w:r>
      <w:r w:rsidR="001D16E5" w:rsidRPr="001D16E5">
        <w:rPr>
          <w:rFonts w:cs="Times New Roman"/>
        </w:rPr>
        <w:t xml:space="preserve">». Pour </w:t>
      </w:r>
      <w:r w:rsidR="001D16E5">
        <w:rPr>
          <w:rFonts w:cs="Times New Roman"/>
        </w:rPr>
        <w:t>les GLCT</w:t>
      </w:r>
      <w:r w:rsidR="00040FAC">
        <w:rPr>
          <w:rFonts w:cs="Times New Roman"/>
        </w:rPr>
        <w:t>,</w:t>
      </w:r>
      <w:r w:rsidR="001D16E5">
        <w:rPr>
          <w:rFonts w:cs="Times New Roman"/>
        </w:rPr>
        <w:t xml:space="preserve"> il convient de préciser qu’il n’existe pas encore un GLCT réunissant les communes transfrontalières du Mali et du Niger. Les deux GLCT existant dans la zone du projet réunissent plutôt les communes transfrontalières du Niger et du Burkina (</w:t>
      </w:r>
      <w:r w:rsidR="00B8045B">
        <w:rPr>
          <w:rFonts w:cs="Times New Roman"/>
        </w:rPr>
        <w:t xml:space="preserve">GLCT/ Sahel-Tillabery et GLCT/ Gulmu-Tillabery. Toutefois, selon les responsables de l’ALG et des GLCT existants, leur consultation aurait permis </w:t>
      </w:r>
      <w:r w:rsidR="00040FAC">
        <w:rPr>
          <w:rFonts w:cs="Times New Roman"/>
        </w:rPr>
        <w:t>d’orienter la conception des activités transfrontalières ou de faciliter leur mise en œuvre opérationnelles.</w:t>
      </w:r>
      <w:r w:rsidR="00BE7E84">
        <w:rPr>
          <w:rFonts w:cs="Times New Roman"/>
        </w:rPr>
        <w:t xml:space="preserve"> </w:t>
      </w:r>
    </w:p>
    <w:p w14:paraId="7418EE26" w14:textId="7997487C" w:rsidR="0081417A" w:rsidRDefault="0081417A" w:rsidP="00DF4AC8">
      <w:pPr>
        <w:pStyle w:val="Titre3"/>
      </w:pPr>
      <w:r>
        <w:t xml:space="preserve">Constat </w:t>
      </w:r>
      <w:r w:rsidR="00A615B5">
        <w:t>3</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81417A" w14:paraId="2389FCB1" w14:textId="77777777" w:rsidTr="00D90A05">
        <w:trPr>
          <w:trHeight w:val="1683"/>
        </w:trPr>
        <w:tc>
          <w:tcPr>
            <w:tcW w:w="9341" w:type="dxa"/>
            <w:shd w:val="clear" w:color="auto" w:fill="auto"/>
          </w:tcPr>
          <w:p w14:paraId="7B750F21" w14:textId="7CE52BEE" w:rsidR="0081417A" w:rsidRDefault="0081417A" w:rsidP="009E2DEE">
            <w:pPr>
              <w:spacing w:line="276" w:lineRule="auto"/>
              <w:rPr>
                <w:rFonts w:cs="Times New Roman"/>
                <w:b/>
                <w:bCs/>
                <w:color w:val="0070C0"/>
              </w:rPr>
            </w:pPr>
            <w:r w:rsidRPr="0081417A">
              <w:rPr>
                <w:rFonts w:cs="Times New Roman"/>
                <w:b/>
                <w:bCs/>
                <w:color w:val="0070C0"/>
              </w:rPr>
              <w:t>Le projet s’est adapté à l’évolution du contexte liée à la pandémie du COVID-19 à travers la reformulation de certaines activités pour accompagner les initiatives gouvernementales de riposte</w:t>
            </w:r>
            <w:r w:rsidR="003A1945">
              <w:rPr>
                <w:rFonts w:cs="Times New Roman"/>
                <w:b/>
                <w:bCs/>
                <w:color w:val="0070C0"/>
              </w:rPr>
              <w:t xml:space="preserve"> à la pandémie de la COVID 19</w:t>
            </w:r>
            <w:r w:rsidRPr="001A065A">
              <w:rPr>
                <w:rFonts w:cs="Times New Roman"/>
                <w:b/>
                <w:bCs/>
                <w:color w:val="0070C0"/>
              </w:rPr>
              <w:t>.</w:t>
            </w:r>
          </w:p>
          <w:p w14:paraId="54D25169" w14:textId="192DC69D" w:rsidR="0081417A" w:rsidRPr="009064E0" w:rsidRDefault="0081417A" w:rsidP="009E2DEE">
            <w:pPr>
              <w:spacing w:before="0" w:after="0" w:line="240" w:lineRule="auto"/>
              <w:rPr>
                <w:i/>
                <w:iCs/>
              </w:rPr>
            </w:pPr>
            <w:r w:rsidRPr="009064E0">
              <w:rPr>
                <w:rStyle w:val="fontstyle01"/>
                <w:rFonts w:ascii="Century Gothic" w:hAnsi="Century Gothic"/>
                <w:i/>
                <w:iCs/>
              </w:rPr>
              <w:t>Ce constat répond à la QE</w:t>
            </w:r>
            <w:r>
              <w:rPr>
                <w:rStyle w:val="fontstyle01"/>
                <w:rFonts w:ascii="Century Gothic" w:hAnsi="Century Gothic"/>
                <w:i/>
                <w:iCs/>
              </w:rPr>
              <w:t xml:space="preserve">1 et à la QE3 </w:t>
            </w:r>
          </w:p>
        </w:tc>
      </w:tr>
    </w:tbl>
    <w:p w14:paraId="2CB525F2" w14:textId="77777777" w:rsidR="00A615B5" w:rsidRDefault="00A615B5" w:rsidP="00A615B5">
      <w:pPr>
        <w:spacing w:before="0" w:after="160" w:line="276" w:lineRule="auto"/>
        <w:jc w:val="left"/>
        <w:rPr>
          <w:rFonts w:cs="Times New Roman"/>
        </w:rPr>
      </w:pPr>
    </w:p>
    <w:p w14:paraId="3B3E959E" w14:textId="11BACB0E" w:rsidR="00A615B5" w:rsidRPr="00A615B5" w:rsidRDefault="00C96FC8" w:rsidP="00FB2B45">
      <w:pPr>
        <w:pStyle w:val="Paragraphedeliste"/>
        <w:numPr>
          <w:ilvl w:val="0"/>
          <w:numId w:val="23"/>
        </w:numPr>
        <w:spacing w:line="276" w:lineRule="auto"/>
        <w:rPr>
          <w:rFonts w:cs="Times New Roman"/>
        </w:rPr>
      </w:pPr>
      <w:r>
        <w:rPr>
          <w:rFonts w:cs="Times New Roman"/>
        </w:rPr>
        <w:t xml:space="preserve">Le projet s’est montré flexible et réactif suite à l’avènement de la COVID-19. </w:t>
      </w:r>
      <w:r w:rsidR="00A05510">
        <w:rPr>
          <w:rFonts w:cs="Times New Roman"/>
        </w:rPr>
        <w:t xml:space="preserve">Pour 16,4% des bénéficiaires, la COVID 19 était une menace réelle au fonctionnement des </w:t>
      </w:r>
      <w:r w:rsidR="00E90CF8">
        <w:t>MCPGC</w:t>
      </w:r>
      <w:r w:rsidR="00A05510">
        <w:rPr>
          <w:rFonts w:cs="Times New Roman"/>
        </w:rPr>
        <w:t xml:space="preserve"> mis en place par le projet. </w:t>
      </w:r>
      <w:r w:rsidR="00A615B5" w:rsidRPr="00A615B5">
        <w:rPr>
          <w:rFonts w:cs="Times New Roman"/>
        </w:rPr>
        <w:t xml:space="preserve">Une extension sans coût (NCE) a été </w:t>
      </w:r>
      <w:r w:rsidR="003A1945">
        <w:rPr>
          <w:rFonts w:cs="Times New Roman"/>
        </w:rPr>
        <w:t>sollicitée</w:t>
      </w:r>
      <w:r w:rsidR="00A615B5" w:rsidRPr="00A615B5">
        <w:rPr>
          <w:rFonts w:cs="Times New Roman"/>
        </w:rPr>
        <w:t xml:space="preserve"> et cela permis d’intégrer une dimension COVID-19 dans le projet</w:t>
      </w:r>
      <w:r w:rsidR="003A1945">
        <w:rPr>
          <w:rFonts w:cs="Times New Roman"/>
        </w:rPr>
        <w:t>. Un</w:t>
      </w:r>
      <w:r w:rsidR="00874D53">
        <w:rPr>
          <w:rFonts w:cs="Times New Roman"/>
        </w:rPr>
        <w:t xml:space="preserve"> budget de </w:t>
      </w:r>
      <w:r w:rsidR="003A1945" w:rsidRPr="00874D53">
        <w:rPr>
          <w:rFonts w:cs="Times New Roman"/>
        </w:rPr>
        <w:t>300</w:t>
      </w:r>
      <w:r w:rsidR="003A1945">
        <w:rPr>
          <w:rFonts w:cs="Times New Roman"/>
        </w:rPr>
        <w:t> </w:t>
      </w:r>
      <w:r w:rsidR="003A1945" w:rsidRPr="00874D53">
        <w:rPr>
          <w:rFonts w:cs="Times New Roman"/>
        </w:rPr>
        <w:t>055</w:t>
      </w:r>
      <w:r w:rsidR="003A1945">
        <w:rPr>
          <w:rFonts w:cs="Times New Roman"/>
        </w:rPr>
        <w:t xml:space="preserve"> USD a été alloué aux activités COVID 19 </w:t>
      </w:r>
      <w:r w:rsidR="001364BA">
        <w:rPr>
          <w:rFonts w:cs="Times New Roman"/>
        </w:rPr>
        <w:t xml:space="preserve">qui </w:t>
      </w:r>
      <w:r w:rsidR="001364BA" w:rsidRPr="00A615B5">
        <w:rPr>
          <w:rFonts w:cs="Times New Roman"/>
        </w:rPr>
        <w:t>ont porté</w:t>
      </w:r>
      <w:r w:rsidR="00A615B5" w:rsidRPr="00A615B5">
        <w:rPr>
          <w:rFonts w:cs="Times New Roman"/>
        </w:rPr>
        <w:t xml:space="preserve"> sur :</w:t>
      </w:r>
    </w:p>
    <w:p w14:paraId="6AFEB353"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w:t>
      </w:r>
      <w:r w:rsidRPr="00196664">
        <w:rPr>
          <w:rFonts w:cs="Times New Roman"/>
        </w:rPr>
        <w:t xml:space="preserve">ppui en équipements </w:t>
      </w:r>
      <w:r>
        <w:rPr>
          <w:rFonts w:cs="Times New Roman"/>
        </w:rPr>
        <w:t>des</w:t>
      </w:r>
      <w:r w:rsidRPr="00196664">
        <w:rPr>
          <w:rFonts w:cs="Times New Roman"/>
        </w:rPr>
        <w:t xml:space="preserve"> groupements de femmes et de jeunes en matériels de production locale des produits</w:t>
      </w:r>
      <w:r>
        <w:rPr>
          <w:rFonts w:cs="Times New Roman"/>
        </w:rPr>
        <w:t xml:space="preserve"> </w:t>
      </w:r>
      <w:r w:rsidRPr="00196664">
        <w:rPr>
          <w:rFonts w:cs="Times New Roman"/>
        </w:rPr>
        <w:t>nécessaires à la prévention du COVID-19</w:t>
      </w:r>
      <w:r>
        <w:rPr>
          <w:rFonts w:cs="Times New Roman"/>
        </w:rPr>
        <w:t> ;</w:t>
      </w:r>
    </w:p>
    <w:p w14:paraId="48326AB1"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 formation des leaders communautaires</w:t>
      </w:r>
      <w:r w:rsidRPr="00196664">
        <w:rPr>
          <w:rFonts w:cs="Times New Roman"/>
        </w:rPr>
        <w:t xml:space="preserve"> </w:t>
      </w:r>
      <w:r>
        <w:rPr>
          <w:rFonts w:cs="Times New Roman"/>
        </w:rPr>
        <w:t xml:space="preserve">et la sensibilisation des populations </w:t>
      </w:r>
      <w:r w:rsidRPr="00196664">
        <w:rPr>
          <w:rFonts w:cs="Times New Roman"/>
        </w:rPr>
        <w:t>sur le COVID-19 et les mesures barrières à respecter dans</w:t>
      </w:r>
      <w:r>
        <w:rPr>
          <w:rFonts w:cs="Times New Roman"/>
        </w:rPr>
        <w:t xml:space="preserve"> </w:t>
      </w:r>
      <w:r w:rsidRPr="00196664">
        <w:rPr>
          <w:rFonts w:cs="Times New Roman"/>
        </w:rPr>
        <w:t>le cadre de la prévention de la maladie</w:t>
      </w:r>
      <w:r>
        <w:rPr>
          <w:rFonts w:cs="Times New Roman"/>
        </w:rPr>
        <w:t> ;</w:t>
      </w:r>
    </w:p>
    <w:p w14:paraId="5133E5BC"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sidRPr="00196664">
        <w:rPr>
          <w:rFonts w:cs="Times New Roman"/>
        </w:rPr>
        <w:t>Appuyer les plans locaux</w:t>
      </w:r>
      <w:r>
        <w:rPr>
          <w:rFonts w:cs="Times New Roman"/>
        </w:rPr>
        <w:t xml:space="preserve"> </w:t>
      </w:r>
      <w:r w:rsidRPr="00196664">
        <w:rPr>
          <w:rFonts w:cs="Times New Roman"/>
        </w:rPr>
        <w:t>des zones d'interventions de prévention de</w:t>
      </w:r>
      <w:r>
        <w:rPr>
          <w:rFonts w:cs="Times New Roman"/>
        </w:rPr>
        <w:t xml:space="preserve"> </w:t>
      </w:r>
      <w:r w:rsidRPr="00196664">
        <w:rPr>
          <w:rFonts w:cs="Times New Roman"/>
        </w:rPr>
        <w:t>lutte contre le covid 19</w:t>
      </w:r>
    </w:p>
    <w:p w14:paraId="4F014A8B" w14:textId="36804D1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 dotation des</w:t>
      </w:r>
      <w:r w:rsidRPr="00196664">
        <w:rPr>
          <w:rFonts w:cs="Times New Roman"/>
        </w:rPr>
        <w:t xml:space="preserve"> lieux publics et de rencontres et formations en dispositif de prévention du virus (kit de lave des mains, savon, Gel hydro alcoolique, masques)</w:t>
      </w:r>
      <w:r w:rsidR="00874D53">
        <w:rPr>
          <w:rFonts w:cs="Times New Roman"/>
        </w:rPr>
        <w:t>.</w:t>
      </w:r>
    </w:p>
    <w:p w14:paraId="535312D0" w14:textId="42BD3583" w:rsidR="00832075" w:rsidRPr="00832075" w:rsidRDefault="00832075" w:rsidP="00FB2B45">
      <w:pPr>
        <w:pStyle w:val="Paragraphedeliste"/>
        <w:numPr>
          <w:ilvl w:val="0"/>
          <w:numId w:val="23"/>
        </w:numPr>
        <w:spacing w:line="276" w:lineRule="auto"/>
        <w:rPr>
          <w:rFonts w:cs="Times New Roman"/>
        </w:rPr>
      </w:pPr>
      <w:r>
        <w:rPr>
          <w:bCs/>
        </w:rPr>
        <w:t xml:space="preserve">Ces activités ont permis de toucher </w:t>
      </w:r>
      <w:r w:rsidRPr="00832075">
        <w:rPr>
          <w:bCs/>
        </w:rPr>
        <w:t>28 674 personnes dont 9786 hommes, 9643 femmes et de 9 245 jeunes dans les communes de Goroual, Ayerou, Banibangou et Bankilaré</w:t>
      </w:r>
      <w:r w:rsidR="00F721F1">
        <w:rPr>
          <w:bCs/>
        </w:rPr>
        <w:t xml:space="preserve"> au Niger</w:t>
      </w:r>
      <w:r w:rsidRPr="00832075">
        <w:rPr>
          <w:bCs/>
        </w:rPr>
        <w:t>.</w:t>
      </w:r>
    </w:p>
    <w:p w14:paraId="7F2A6EC8" w14:textId="5804F3F9" w:rsidR="00C96FC8" w:rsidRDefault="00C96FC8" w:rsidP="00DF4AC8">
      <w:pPr>
        <w:pStyle w:val="Titre3"/>
      </w:pPr>
      <w:r>
        <w:t>Constat 4</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96FC8" w14:paraId="0B11951F" w14:textId="77777777" w:rsidTr="00D90A05">
        <w:trPr>
          <w:trHeight w:val="2116"/>
        </w:trPr>
        <w:tc>
          <w:tcPr>
            <w:tcW w:w="9341" w:type="dxa"/>
            <w:shd w:val="clear" w:color="auto" w:fill="auto"/>
          </w:tcPr>
          <w:p w14:paraId="76034D2D" w14:textId="2A70D483" w:rsidR="00C96FC8" w:rsidRDefault="00C96FC8" w:rsidP="00C96FC8">
            <w:pPr>
              <w:spacing w:line="276" w:lineRule="auto"/>
              <w:rPr>
                <w:rFonts w:cs="Times New Roman"/>
                <w:b/>
                <w:bCs/>
                <w:color w:val="0070C0"/>
              </w:rPr>
            </w:pPr>
            <w:r w:rsidRPr="00C96FC8">
              <w:rPr>
                <w:rFonts w:cs="Times New Roman"/>
                <w:b/>
                <w:bCs/>
                <w:color w:val="0070C0"/>
              </w:rPr>
              <w:t>La théorie de changement du projet est fondée sur des liens de cause à effet logiques. La robuste</w:t>
            </w:r>
            <w:r w:rsidR="00811E66">
              <w:rPr>
                <w:rFonts w:cs="Times New Roman"/>
                <w:b/>
                <w:bCs/>
                <w:color w:val="0070C0"/>
              </w:rPr>
              <w:t>sse</w:t>
            </w:r>
            <w:r w:rsidRPr="00C96FC8">
              <w:rPr>
                <w:rFonts w:cs="Times New Roman"/>
                <w:b/>
                <w:bCs/>
                <w:color w:val="0070C0"/>
              </w:rPr>
              <w:t xml:space="preserve"> de la théorie est toutefois limitée du fait de la non prise en compte</w:t>
            </w:r>
            <w:r w:rsidR="007E4514">
              <w:rPr>
                <w:rFonts w:cs="Times New Roman"/>
                <w:b/>
                <w:bCs/>
                <w:color w:val="0070C0"/>
              </w:rPr>
              <w:t xml:space="preserve"> de</w:t>
            </w:r>
            <w:r w:rsidRPr="00C96FC8">
              <w:rPr>
                <w:rFonts w:cs="Times New Roman"/>
                <w:b/>
                <w:bCs/>
                <w:color w:val="0070C0"/>
              </w:rPr>
              <w:t xml:space="preserve"> la vulnérabilité économique comme une des causes fondamentales des conflits </w:t>
            </w:r>
            <w:r w:rsidR="007E4514">
              <w:rPr>
                <w:rFonts w:cs="Times New Roman"/>
                <w:b/>
                <w:bCs/>
                <w:color w:val="0070C0"/>
              </w:rPr>
              <w:t xml:space="preserve">d’une part, et d’autre part, </w:t>
            </w:r>
            <w:r w:rsidRPr="00C96FC8">
              <w:rPr>
                <w:rFonts w:cs="Times New Roman"/>
                <w:b/>
                <w:bCs/>
                <w:color w:val="0070C0"/>
              </w:rPr>
              <w:t>du fait de la non</w:t>
            </w:r>
            <w:r w:rsidR="00A05510">
              <w:rPr>
                <w:rFonts w:cs="Times New Roman"/>
                <w:b/>
                <w:bCs/>
                <w:color w:val="0070C0"/>
              </w:rPr>
              <w:t>-</w:t>
            </w:r>
            <w:r w:rsidRPr="00C96FC8">
              <w:rPr>
                <w:rFonts w:cs="Times New Roman"/>
                <w:b/>
                <w:bCs/>
                <w:color w:val="0070C0"/>
              </w:rPr>
              <w:t>explicitation des hypothèses qui sous-tendent la chaine de résultats.</w:t>
            </w:r>
            <w:r w:rsidR="007068E8">
              <w:rPr>
                <w:rFonts w:cs="Times New Roman"/>
                <w:b/>
                <w:bCs/>
                <w:color w:val="0070C0"/>
              </w:rPr>
              <w:t xml:space="preserve"> </w:t>
            </w:r>
          </w:p>
          <w:p w14:paraId="15B63B67" w14:textId="45F1839A" w:rsidR="00C96FC8" w:rsidRPr="009064E0" w:rsidRDefault="00C96FC8" w:rsidP="009E2DEE">
            <w:pPr>
              <w:spacing w:before="0" w:after="0" w:line="240" w:lineRule="auto"/>
              <w:rPr>
                <w:i/>
                <w:iCs/>
              </w:rPr>
            </w:pPr>
            <w:r w:rsidRPr="009064E0">
              <w:rPr>
                <w:rStyle w:val="fontstyle01"/>
                <w:rFonts w:ascii="Century Gothic" w:hAnsi="Century Gothic"/>
                <w:i/>
                <w:iCs/>
              </w:rPr>
              <w:t xml:space="preserve">Ce constat répond à la </w:t>
            </w:r>
            <w:r>
              <w:rPr>
                <w:rStyle w:val="fontstyle01"/>
                <w:rFonts w:ascii="Century Gothic" w:hAnsi="Century Gothic"/>
                <w:i/>
                <w:iCs/>
              </w:rPr>
              <w:t>QE4</w:t>
            </w:r>
          </w:p>
        </w:tc>
      </w:tr>
    </w:tbl>
    <w:p w14:paraId="45DD3B22" w14:textId="77777777" w:rsidR="0095022A" w:rsidRDefault="0095022A" w:rsidP="0095022A">
      <w:pPr>
        <w:spacing w:after="0" w:line="276" w:lineRule="auto"/>
        <w:rPr>
          <w:rFonts w:cs="Times New Roman"/>
          <w:bCs/>
        </w:rPr>
      </w:pPr>
    </w:p>
    <w:p w14:paraId="2697803D" w14:textId="13C7EF88" w:rsidR="00C53D4A" w:rsidRDefault="00C53D4A" w:rsidP="00FB2B45">
      <w:pPr>
        <w:pStyle w:val="Paragraphedeliste"/>
        <w:numPr>
          <w:ilvl w:val="0"/>
          <w:numId w:val="23"/>
        </w:numPr>
        <w:spacing w:line="276" w:lineRule="auto"/>
        <w:rPr>
          <w:rFonts w:cs="Times New Roman"/>
        </w:rPr>
      </w:pPr>
      <w:r w:rsidRPr="00791989">
        <w:rPr>
          <w:rFonts w:cs="Times New Roman"/>
        </w:rPr>
        <w:t xml:space="preserve">La théorie de changement définit clairement </w:t>
      </w:r>
      <w:bookmarkStart w:id="944" w:name="_Hlk86817984"/>
      <w:r w:rsidRPr="00791989">
        <w:rPr>
          <w:rFonts w:cs="Times New Roman"/>
        </w:rPr>
        <w:t>le but et l’articulation des résultats attendus.</w:t>
      </w:r>
      <w:bookmarkEnd w:id="944"/>
      <w:r w:rsidRPr="00791989">
        <w:rPr>
          <w:rFonts w:cs="Times New Roman"/>
        </w:rPr>
        <w:t xml:space="preserve"> </w:t>
      </w:r>
      <w:r>
        <w:rPr>
          <w:rFonts w:cs="Times New Roman"/>
        </w:rPr>
        <w:t xml:space="preserve">Cette articulation est décrite dans l’énoncé </w:t>
      </w:r>
      <w:r w:rsidR="00FD4CDA">
        <w:rPr>
          <w:rFonts w:cs="Times New Roman"/>
        </w:rPr>
        <w:t>présenté</w:t>
      </w:r>
      <w:r>
        <w:rPr>
          <w:rFonts w:cs="Times New Roman"/>
        </w:rPr>
        <w:t xml:space="preserve"> comme suit :</w:t>
      </w:r>
    </w:p>
    <w:p w14:paraId="1D1F7563"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mécanismes de prévention et de gestion des conflits sont renforcés et sensibilisés sur l’intégration des questions de genre, et mis en relation à travers la frontière entre le Mali et le Niger ;</w:t>
      </w:r>
    </w:p>
    <w:p w14:paraId="5AE7068B"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organisations communautaires et de femmes sont mobilisées, outillées et mises en réseau autour de la gestion, prévention des conflits, et informées sur leurs droits et recours ;</w:t>
      </w:r>
    </w:p>
    <w:p w14:paraId="6BF2E972"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capacités des FDS et des acteurs de la chaîne pénale sont renforcées pour davantage adopter une approche centrée sur les droits humains et le genre ;</w:t>
      </w:r>
    </w:p>
    <w:p w14:paraId="60F2AA48" w14:textId="535812D1" w:rsidR="00C53D4A" w:rsidRPr="00C53D4A" w:rsidRDefault="00C53D4A" w:rsidP="00D90A05">
      <w:pPr>
        <w:pStyle w:val="Paragraphedeliste"/>
        <w:numPr>
          <w:ilvl w:val="1"/>
          <w:numId w:val="85"/>
        </w:numPr>
        <w:shd w:val="clear" w:color="auto" w:fill="F2F2F2"/>
        <w:spacing w:before="0" w:after="160" w:line="276" w:lineRule="auto"/>
        <w:ind w:left="589" w:hanging="283"/>
        <w:jc w:val="left"/>
        <w:rPr>
          <w:rFonts w:cs="Times New Roman"/>
        </w:rPr>
      </w:pPr>
      <w:r w:rsidRPr="00E81585">
        <w:rPr>
          <w:rFonts w:cs="Times New Roman"/>
          <w:b/>
          <w:bCs/>
          <w:i/>
          <w:iCs/>
        </w:rPr>
        <w:t>SI</w:t>
      </w:r>
      <w:r w:rsidRPr="00E81585">
        <w:rPr>
          <w:rFonts w:cs="Times New Roman"/>
          <w:i/>
          <w:iCs/>
        </w:rPr>
        <w:t xml:space="preserve"> des espaces de dialogue sont facilités entre ces derniers acteurs au niveau local et transfrontalier</w:t>
      </w:r>
    </w:p>
    <w:p w14:paraId="74D6C44C" w14:textId="1857BD6B" w:rsidR="00C53D4A" w:rsidRPr="00C53D4A"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Pr>
          <w:rFonts w:cs="Times New Roman"/>
          <w:b/>
          <w:bCs/>
          <w:i/>
          <w:iCs/>
        </w:rPr>
        <w:t xml:space="preserve">ALORS </w:t>
      </w:r>
      <w:r w:rsidRPr="00C53D4A">
        <w:rPr>
          <w:rFonts w:cs="Times New Roman"/>
          <w:i/>
          <w:iCs/>
        </w:rPr>
        <w:t>un climat de confiance mutuel entre les communautés, les forces de sécurité et les acteurs de la chaine pénale sera développé et une réponse communautaire transfrontalière aux conflits sera plus conséquente</w:t>
      </w:r>
    </w:p>
    <w:p w14:paraId="465F81BB" w14:textId="216E2911" w:rsidR="00C53D4A" w:rsidRDefault="00A941EC" w:rsidP="00FB2B45">
      <w:pPr>
        <w:pStyle w:val="Paragraphedeliste"/>
        <w:numPr>
          <w:ilvl w:val="0"/>
          <w:numId w:val="23"/>
        </w:numPr>
        <w:spacing w:before="240" w:line="276" w:lineRule="auto"/>
        <w:rPr>
          <w:rFonts w:cs="Times New Roman"/>
        </w:rPr>
      </w:pPr>
      <w:r>
        <w:rPr>
          <w:rFonts w:cs="Times New Roman"/>
        </w:rPr>
        <w:t>En plus, le cadre de résultats décline cette théorie de changement</w:t>
      </w:r>
      <w:r w:rsidR="00C53D4A">
        <w:rPr>
          <w:rFonts w:cs="Times New Roman"/>
        </w:rPr>
        <w:t xml:space="preserve">, avec une articulation cohérente entre </w:t>
      </w:r>
      <w:r w:rsidR="008618D6">
        <w:rPr>
          <w:rFonts w:cs="Times New Roman"/>
        </w:rPr>
        <w:t xml:space="preserve">les activités, les résultats attendus, </w:t>
      </w:r>
      <w:r w:rsidRPr="00A941EC">
        <w:rPr>
          <w:rFonts w:cs="Times New Roman"/>
        </w:rPr>
        <w:t>les produits,</w:t>
      </w:r>
      <w:r w:rsidR="008618D6">
        <w:rPr>
          <w:rFonts w:cs="Times New Roman"/>
        </w:rPr>
        <w:t xml:space="preserve"> </w:t>
      </w:r>
      <w:r w:rsidR="008618D6" w:rsidRPr="00A941EC">
        <w:rPr>
          <w:rFonts w:cs="Times New Roman"/>
        </w:rPr>
        <w:t>les indicateurs et les moyens de vérification</w:t>
      </w:r>
      <w:r w:rsidR="008618D6">
        <w:rPr>
          <w:rFonts w:cs="Times New Roman"/>
        </w:rPr>
        <w:t xml:space="preserve"> de ces indicateurs.</w:t>
      </w:r>
    </w:p>
    <w:p w14:paraId="544EFF18" w14:textId="4A989660" w:rsidR="00C53D4A" w:rsidRPr="001364BA" w:rsidRDefault="00C53D4A" w:rsidP="00FB2B45">
      <w:pPr>
        <w:pStyle w:val="Paragraphedeliste"/>
        <w:numPr>
          <w:ilvl w:val="0"/>
          <w:numId w:val="23"/>
        </w:numPr>
        <w:spacing w:before="240" w:line="276" w:lineRule="auto"/>
        <w:rPr>
          <w:rFonts w:cs="Times New Roman"/>
        </w:rPr>
      </w:pPr>
      <w:r w:rsidRPr="00C53D4A">
        <w:rPr>
          <w:rFonts w:cs="Times New Roman"/>
        </w:rPr>
        <w:t>Toutefois, la théorie de changement reste incomplète parce qu’elle n’intègre pas la question de la vulnérabilité économique des jeunes qui sert pourtant de terreau fertile à leur enrôlement dans les conflits. Le document de projet souligne que la compétition pour l’accès aux ressources d’une part et d’autre part, l’état de chômage et de précarité financière ainsi que le manque de perspectives économiques pour les jeunes, constituent des causes structurelles des conflits. Le renforcement de la résilience économique des femmes et des jeunes aurait dû être pris en compte dans la théorie de changement</w:t>
      </w:r>
      <w:r w:rsidR="008618D6">
        <w:rPr>
          <w:rFonts w:cs="Times New Roman"/>
        </w:rPr>
        <w:t xml:space="preserve"> </w:t>
      </w:r>
      <w:r w:rsidR="000B7AF2">
        <w:rPr>
          <w:rFonts w:cs="Times New Roman"/>
        </w:rPr>
        <w:t xml:space="preserve">comme le souligne </w:t>
      </w:r>
      <w:r w:rsidR="00F43206">
        <w:rPr>
          <w:rFonts w:cs="Times New Roman"/>
        </w:rPr>
        <w:t>un responsable de Service local de p</w:t>
      </w:r>
      <w:r w:rsidR="00F43206" w:rsidRPr="00F43206">
        <w:rPr>
          <w:rFonts w:cs="Times New Roman"/>
        </w:rPr>
        <w:t>romotion de la femme de l’enfant et de la famille</w:t>
      </w:r>
      <w:r w:rsidR="00F43206">
        <w:rPr>
          <w:rFonts w:cs="Times New Roman"/>
        </w:rPr>
        <w:t xml:space="preserve"> (SLPFEF) au Mali : </w:t>
      </w:r>
      <w:r w:rsidR="00F43206" w:rsidRPr="00D90A05">
        <w:rPr>
          <w:i/>
          <w:shd w:val="clear" w:color="auto" w:fill="F2F2F2"/>
        </w:rPr>
        <w:t>« Il y a eu beaucoup de formations, mais nous voulons du concret c’est-à-dire le financement des actions à l’endroit des couches vulnérables. Le développement des AGR, la construction des centres de métier puis que l’artisanat est un métier de la région. La coupe-couture, la coiffure, le maraichage, l’embouche bovine se sont des priorités qui peuvent aider la population ».</w:t>
      </w:r>
      <w:r w:rsidR="00C3307C" w:rsidRPr="00C3307C">
        <w:rPr>
          <w:rFonts w:cs="Times New Roman"/>
          <w:i/>
          <w:iCs/>
        </w:rPr>
        <w:t xml:space="preserve"> </w:t>
      </w:r>
      <w:r w:rsidR="00C3307C">
        <w:rPr>
          <w:rFonts w:cs="Times New Roman"/>
        </w:rPr>
        <w:t xml:space="preserve">Ce besoin a été aussi largement exprimé par les populations rencontrées lors de la collecte des données. Une participation de FG à Ayerou précise à cet effet que </w:t>
      </w:r>
      <w:r w:rsidR="00C3307C" w:rsidRPr="00D90A05">
        <w:rPr>
          <w:i/>
          <w:shd w:val="clear" w:color="auto" w:fill="F2F2F2"/>
        </w:rPr>
        <w:t>« Les formations, les sensibilisations et les activités génératrices de revenus sur les thématiques choisis par les femmes sont ceux dont les femmes ont besoin ».</w:t>
      </w:r>
      <w:r w:rsidR="005666B2" w:rsidRPr="00D90A05">
        <w:rPr>
          <w:i/>
          <w:shd w:val="clear" w:color="auto" w:fill="F2F2F2"/>
        </w:rPr>
        <w:t xml:space="preserve"> </w:t>
      </w:r>
      <w:r w:rsidR="005666B2" w:rsidRPr="005666B2">
        <w:rPr>
          <w:rFonts w:cs="Times New Roman"/>
        </w:rPr>
        <w:t xml:space="preserve">Un autre participant recommande </w:t>
      </w:r>
      <w:r w:rsidR="005666B2">
        <w:rPr>
          <w:rFonts w:cs="Times New Roman"/>
        </w:rPr>
        <w:t xml:space="preserve">de </w:t>
      </w:r>
      <w:r w:rsidR="005666B2" w:rsidRPr="00D90A05">
        <w:rPr>
          <w:i/>
          <w:shd w:val="clear" w:color="auto" w:fill="F2F2F2"/>
        </w:rPr>
        <w:t>« combattre le chômage par le financement des activités génératrices de revenus et initiée des formations professionnelles aux jeunes et aux femmes, former les jeunes et les femmes sur la communication aussi ».</w:t>
      </w:r>
    </w:p>
    <w:p w14:paraId="26CF454C" w14:textId="0DF9ADAE" w:rsidR="00065010" w:rsidRPr="00212696" w:rsidRDefault="005E4580" w:rsidP="00FB2B45">
      <w:pPr>
        <w:pStyle w:val="Paragraphedeliste"/>
        <w:numPr>
          <w:ilvl w:val="0"/>
          <w:numId w:val="23"/>
        </w:numPr>
        <w:spacing w:before="240" w:line="276" w:lineRule="auto"/>
        <w:rPr>
          <w:rFonts w:cs="Times New Roman"/>
        </w:rPr>
      </w:pPr>
      <w:r w:rsidRPr="001364BA">
        <w:rPr>
          <w:rFonts w:cs="Times New Roman"/>
        </w:rPr>
        <w:t xml:space="preserve">Une </w:t>
      </w:r>
      <w:r w:rsidR="00F43206" w:rsidRPr="001364BA">
        <w:rPr>
          <w:rFonts w:cs="Times New Roman"/>
        </w:rPr>
        <w:t>autre</w:t>
      </w:r>
      <w:r w:rsidRPr="001364BA">
        <w:rPr>
          <w:rFonts w:cs="Times New Roman"/>
        </w:rPr>
        <w:t xml:space="preserve"> faiblesse de la </w:t>
      </w:r>
      <w:r w:rsidR="00C53D4A" w:rsidRPr="001364BA">
        <w:rPr>
          <w:rFonts w:cs="Times New Roman"/>
        </w:rPr>
        <w:t xml:space="preserve">théorie de changement </w:t>
      </w:r>
      <w:r w:rsidRPr="001364BA">
        <w:rPr>
          <w:rFonts w:cs="Times New Roman"/>
        </w:rPr>
        <w:t xml:space="preserve">est qu’elle </w:t>
      </w:r>
      <w:r w:rsidR="00C53D4A" w:rsidRPr="001364BA">
        <w:rPr>
          <w:rFonts w:cs="Times New Roman"/>
        </w:rPr>
        <w:t>n’indique pas les hypothèses sur lesquelles se fondent la chaine de résultats.</w:t>
      </w:r>
      <w:r w:rsidR="007068E8">
        <w:rPr>
          <w:rFonts w:cs="Times New Roman"/>
        </w:rPr>
        <w:t xml:space="preserve"> </w:t>
      </w:r>
      <w:r w:rsidRPr="001364BA">
        <w:rPr>
          <w:rFonts w:cs="Times New Roman"/>
        </w:rPr>
        <w:t>Pour ce projet, l</w:t>
      </w:r>
      <w:r w:rsidR="00C53D4A" w:rsidRPr="001364BA">
        <w:rPr>
          <w:rFonts w:cs="Times New Roman"/>
        </w:rPr>
        <w:t xml:space="preserve">es hypothèses comprises dans le sens de postulats </w:t>
      </w:r>
      <w:r w:rsidRPr="001364BA">
        <w:rPr>
          <w:rFonts w:cs="Times New Roman"/>
        </w:rPr>
        <w:t>pourraient être</w:t>
      </w:r>
      <w:r w:rsidR="00C53D4A" w:rsidRPr="001364BA">
        <w:rPr>
          <w:rFonts w:cs="Times New Roman"/>
        </w:rPr>
        <w:t xml:space="preserve"> : </w:t>
      </w:r>
      <w:r w:rsidR="001364BA" w:rsidRPr="001364BA">
        <w:rPr>
          <w:rFonts w:cs="Times New Roman"/>
        </w:rPr>
        <w:t xml:space="preserve">la disponibilité en temps (financières, matérielles et humaines) </w:t>
      </w:r>
      <w:r w:rsidR="00C53D4A" w:rsidRPr="001364BA">
        <w:rPr>
          <w:rFonts w:cs="Times New Roman"/>
        </w:rPr>
        <w:t xml:space="preserve">de qualité et en quantité suffisante, l’intérêt et l’engagement de l’équipe projet y compris les ONG partenaires sur la question de la paix et de la consolidation de la paix. </w:t>
      </w:r>
      <w:r w:rsidRPr="001364BA">
        <w:rPr>
          <w:rFonts w:cs="Times New Roman"/>
        </w:rPr>
        <w:t>Les menaces porteraient</w:t>
      </w:r>
      <w:r w:rsidR="00C53D4A" w:rsidRPr="001364BA">
        <w:rPr>
          <w:rFonts w:cs="Times New Roman"/>
        </w:rPr>
        <w:t xml:space="preserve"> sur l’insécurité au niveau national et sous-régional </w:t>
      </w:r>
      <w:r w:rsidRPr="001364BA">
        <w:rPr>
          <w:rFonts w:cs="Times New Roman"/>
        </w:rPr>
        <w:t>ainsi que</w:t>
      </w:r>
      <w:r w:rsidR="00C53D4A" w:rsidRPr="001364BA">
        <w:rPr>
          <w:rFonts w:cs="Times New Roman"/>
        </w:rPr>
        <w:t xml:space="preserve"> l’instabilité institutionnelle et politique</w:t>
      </w:r>
      <w:r w:rsidRPr="001364BA">
        <w:rPr>
          <w:rFonts w:cs="Times New Roman"/>
        </w:rPr>
        <w:t>.</w:t>
      </w:r>
      <w:r w:rsidR="00B53107" w:rsidRPr="001364BA">
        <w:t xml:space="preserve"> </w:t>
      </w:r>
    </w:p>
    <w:p w14:paraId="201069CD" w14:textId="77777777" w:rsidR="00212696" w:rsidRPr="001364BA" w:rsidRDefault="00212696" w:rsidP="00212696">
      <w:pPr>
        <w:pStyle w:val="Paragraphedeliste"/>
        <w:spacing w:before="240" w:line="276" w:lineRule="auto"/>
        <w:ind w:left="360"/>
        <w:rPr>
          <w:rFonts w:cs="Times New Roman"/>
        </w:rPr>
      </w:pPr>
    </w:p>
    <w:p w14:paraId="1D355AE7" w14:textId="552B460B" w:rsidR="00065010" w:rsidRDefault="00065010" w:rsidP="00820BBD">
      <w:pPr>
        <w:pStyle w:val="Titre2"/>
        <w:numPr>
          <w:ilvl w:val="1"/>
          <w:numId w:val="81"/>
        </w:numPr>
      </w:pPr>
      <w:bookmarkStart w:id="945" w:name="_Toc95451869"/>
      <w:r>
        <w:t>Efficacité</w:t>
      </w:r>
      <w:bookmarkEnd w:id="945"/>
    </w:p>
    <w:p w14:paraId="79F2B2BF" w14:textId="4949ADCE" w:rsidR="000B72A3" w:rsidRDefault="000B72A3" w:rsidP="00DF4AC8">
      <w:pPr>
        <w:pStyle w:val="Titre3"/>
      </w:pPr>
      <w:r>
        <w:t>Constat 5</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0B72A3" w14:paraId="436FDAEA" w14:textId="77777777" w:rsidTr="00D90A05">
        <w:trPr>
          <w:trHeight w:val="2116"/>
        </w:trPr>
        <w:tc>
          <w:tcPr>
            <w:tcW w:w="9341" w:type="dxa"/>
            <w:shd w:val="clear" w:color="auto" w:fill="auto"/>
          </w:tcPr>
          <w:p w14:paraId="159A5310" w14:textId="17CEC209" w:rsidR="00BB4B7D" w:rsidRDefault="00F46679" w:rsidP="00BB4B7D">
            <w:pPr>
              <w:spacing w:line="276" w:lineRule="auto"/>
              <w:rPr>
                <w:rFonts w:cs="Times New Roman"/>
                <w:b/>
                <w:bCs/>
                <w:color w:val="0070C0"/>
              </w:rPr>
            </w:pPr>
            <w:r>
              <w:rPr>
                <w:rFonts w:cs="Times New Roman"/>
                <w:b/>
                <w:bCs/>
                <w:color w:val="0070C0"/>
              </w:rPr>
              <w:t>L</w:t>
            </w:r>
            <w:r w:rsidRPr="000B72A3">
              <w:rPr>
                <w:rFonts w:cs="Times New Roman"/>
                <w:b/>
                <w:bCs/>
                <w:color w:val="0070C0"/>
              </w:rPr>
              <w:t>e taux moyen de réalisation</w:t>
            </w:r>
            <w:r>
              <w:rPr>
                <w:rFonts w:cs="Times New Roman"/>
                <w:b/>
                <w:bCs/>
                <w:color w:val="0070C0"/>
              </w:rPr>
              <w:t xml:space="preserve"> (atteinte) des indicateurs de résultats et de produits est de 7</w:t>
            </w:r>
            <w:r w:rsidR="00455ED5">
              <w:rPr>
                <w:rFonts w:cs="Times New Roman"/>
                <w:b/>
                <w:bCs/>
                <w:color w:val="0070C0"/>
              </w:rPr>
              <w:t>6</w:t>
            </w:r>
            <w:r>
              <w:rPr>
                <w:rFonts w:cs="Times New Roman"/>
                <w:b/>
                <w:bCs/>
                <w:color w:val="0070C0"/>
              </w:rPr>
              <w:t>%</w:t>
            </w:r>
            <w:r w:rsidR="000828F5">
              <w:rPr>
                <w:rFonts w:cs="Times New Roman"/>
                <w:b/>
                <w:bCs/>
                <w:color w:val="0070C0"/>
              </w:rPr>
              <w:t>. Le taux de réalisation des</w:t>
            </w:r>
            <w:r>
              <w:rPr>
                <w:rFonts w:cs="Times New Roman"/>
                <w:b/>
                <w:bCs/>
                <w:color w:val="0070C0"/>
              </w:rPr>
              <w:t xml:space="preserve"> </w:t>
            </w:r>
            <w:r w:rsidR="000828F5">
              <w:rPr>
                <w:rFonts w:cs="Times New Roman"/>
                <w:b/>
                <w:bCs/>
                <w:color w:val="0070C0"/>
              </w:rPr>
              <w:t xml:space="preserve">indicateurs de résultats est de </w:t>
            </w:r>
            <w:r w:rsidR="00455ED5">
              <w:rPr>
                <w:rFonts w:cs="Times New Roman"/>
                <w:b/>
                <w:bCs/>
                <w:color w:val="0070C0"/>
              </w:rPr>
              <w:t>6</w:t>
            </w:r>
            <w:r w:rsidR="00FA131D">
              <w:rPr>
                <w:rFonts w:cs="Times New Roman"/>
                <w:b/>
                <w:bCs/>
                <w:color w:val="0070C0"/>
              </w:rPr>
              <w:t>4</w:t>
            </w:r>
            <w:r w:rsidRPr="000B72A3">
              <w:rPr>
                <w:rFonts w:cs="Times New Roman"/>
                <w:b/>
                <w:bCs/>
                <w:color w:val="0070C0"/>
              </w:rPr>
              <w:t xml:space="preserve">% </w:t>
            </w:r>
            <w:r w:rsidR="000828F5">
              <w:rPr>
                <w:rFonts w:cs="Times New Roman"/>
                <w:b/>
                <w:bCs/>
                <w:color w:val="0070C0"/>
              </w:rPr>
              <w:t>et celui des indicateurs de produits est de</w:t>
            </w:r>
            <w:r>
              <w:rPr>
                <w:rFonts w:cs="Times New Roman"/>
                <w:b/>
                <w:bCs/>
                <w:color w:val="0070C0"/>
              </w:rPr>
              <w:t xml:space="preserve"> </w:t>
            </w:r>
            <w:r w:rsidRPr="000B72A3">
              <w:rPr>
                <w:rFonts w:cs="Times New Roman"/>
                <w:b/>
                <w:bCs/>
                <w:color w:val="0070C0"/>
              </w:rPr>
              <w:t>83%</w:t>
            </w:r>
            <w:r>
              <w:rPr>
                <w:rFonts w:cs="Times New Roman"/>
                <w:b/>
                <w:bCs/>
                <w:color w:val="0070C0"/>
              </w:rPr>
              <w:t xml:space="preserve">. </w:t>
            </w:r>
            <w:r w:rsidR="00BB4B7D">
              <w:rPr>
                <w:rFonts w:cs="Times New Roman"/>
                <w:b/>
                <w:bCs/>
                <w:color w:val="0070C0"/>
              </w:rPr>
              <w:t xml:space="preserve">Cette performance a été réalisée dans un contexte difficile marqué par </w:t>
            </w:r>
            <w:r w:rsidR="00BB4B7D" w:rsidRPr="00BB4B7D">
              <w:rPr>
                <w:rFonts w:cs="Times New Roman"/>
                <w:b/>
                <w:bCs/>
                <w:color w:val="0070C0"/>
              </w:rPr>
              <w:t xml:space="preserve">la détérioration du contexte sécuritaire, la pandémie de la COVID-19, les troubles socio-politiques et quelques difficultés d’ordre organisationnel. </w:t>
            </w:r>
          </w:p>
          <w:p w14:paraId="606CA7D7" w14:textId="60C8E231" w:rsidR="000B72A3" w:rsidRPr="009064E0" w:rsidRDefault="000B72A3" w:rsidP="00BB4B7D">
            <w:pPr>
              <w:spacing w:line="276" w:lineRule="auto"/>
              <w:rPr>
                <w:i/>
                <w:iCs/>
              </w:rPr>
            </w:pPr>
            <w:r w:rsidRPr="009064E0">
              <w:rPr>
                <w:rStyle w:val="fontstyle01"/>
                <w:rFonts w:ascii="Century Gothic" w:hAnsi="Century Gothic"/>
                <w:i/>
                <w:iCs/>
              </w:rPr>
              <w:t xml:space="preserve">Ce constat répond </w:t>
            </w:r>
            <w:r w:rsidR="00BB4B7D">
              <w:rPr>
                <w:rStyle w:val="fontstyle01"/>
                <w:rFonts w:ascii="Century Gothic" w:hAnsi="Century Gothic"/>
                <w:i/>
                <w:iCs/>
              </w:rPr>
              <w:t>aux question</w:t>
            </w:r>
            <w:r w:rsidRPr="009064E0">
              <w:rPr>
                <w:rStyle w:val="fontstyle01"/>
                <w:rFonts w:ascii="Century Gothic" w:hAnsi="Century Gothic"/>
                <w:i/>
                <w:iCs/>
              </w:rPr>
              <w:t xml:space="preserve"> </w:t>
            </w:r>
            <w:r>
              <w:rPr>
                <w:rStyle w:val="fontstyle01"/>
                <w:rFonts w:ascii="Century Gothic" w:hAnsi="Century Gothic"/>
                <w:i/>
                <w:iCs/>
              </w:rPr>
              <w:t>QE</w:t>
            </w:r>
            <w:r w:rsidR="00982B2E">
              <w:rPr>
                <w:rStyle w:val="fontstyle01"/>
                <w:rFonts w:ascii="Century Gothic" w:hAnsi="Century Gothic"/>
                <w:i/>
                <w:iCs/>
              </w:rPr>
              <w:t>5</w:t>
            </w:r>
            <w:r w:rsidR="00BB4B7D">
              <w:rPr>
                <w:rStyle w:val="fontstyle01"/>
                <w:rFonts w:ascii="Century Gothic" w:hAnsi="Century Gothic"/>
                <w:i/>
                <w:iCs/>
              </w:rPr>
              <w:t>, QE10 et QE11</w:t>
            </w:r>
          </w:p>
        </w:tc>
      </w:tr>
    </w:tbl>
    <w:p w14:paraId="0BF40661" w14:textId="27C9C092" w:rsidR="0095022A" w:rsidRDefault="0095022A" w:rsidP="00E61834">
      <w:pPr>
        <w:spacing w:before="0" w:after="0" w:line="276" w:lineRule="auto"/>
        <w:rPr>
          <w:rFonts w:cs="Times New Roman"/>
          <w:bCs/>
        </w:rPr>
      </w:pPr>
    </w:p>
    <w:p w14:paraId="2828D544" w14:textId="1FA4228F" w:rsidR="00A90C21" w:rsidRDefault="00E335A2" w:rsidP="00FB2B45">
      <w:pPr>
        <w:pStyle w:val="Paragraphedeliste"/>
        <w:numPr>
          <w:ilvl w:val="0"/>
          <w:numId w:val="23"/>
        </w:numPr>
        <w:spacing w:before="240" w:line="276" w:lineRule="auto"/>
        <w:rPr>
          <w:rFonts w:cs="Times New Roman"/>
        </w:rPr>
      </w:pPr>
      <w:r w:rsidRPr="042776B5">
        <w:rPr>
          <w:rFonts w:cs="Times New Roman"/>
        </w:rPr>
        <w:t>Selon la situation du cadre de résultat établi dans le rapport final du projet</w:t>
      </w:r>
      <w:r w:rsidR="00212696" w:rsidRPr="042776B5">
        <w:rPr>
          <w:rFonts w:cs="Times New Roman"/>
        </w:rPr>
        <w:t xml:space="preserve"> (Cf. Annexe </w:t>
      </w:r>
      <w:r w:rsidR="00A042D9">
        <w:rPr>
          <w:rFonts w:cs="Times New Roman"/>
        </w:rPr>
        <w:t>14</w:t>
      </w:r>
      <w:r w:rsidR="00212696" w:rsidRPr="042776B5">
        <w:rPr>
          <w:rFonts w:cs="Times New Roman"/>
        </w:rPr>
        <w:t>)</w:t>
      </w:r>
      <w:r w:rsidRPr="042776B5">
        <w:rPr>
          <w:rFonts w:cs="Times New Roman"/>
        </w:rPr>
        <w:t xml:space="preserve">, </w:t>
      </w:r>
      <w:r w:rsidR="001B66BF" w:rsidRPr="042776B5">
        <w:rPr>
          <w:rFonts w:cs="Times New Roman"/>
        </w:rPr>
        <w:t xml:space="preserve">sur les </w:t>
      </w:r>
      <w:r w:rsidRPr="042776B5">
        <w:rPr>
          <w:rFonts w:cs="Times New Roman"/>
        </w:rPr>
        <w:t xml:space="preserve">8 indicateurs de résultats </w:t>
      </w:r>
      <w:r w:rsidR="001B66BF" w:rsidRPr="042776B5">
        <w:rPr>
          <w:rFonts w:cs="Times New Roman"/>
        </w:rPr>
        <w:t>suivis par le</w:t>
      </w:r>
      <w:r w:rsidRPr="042776B5">
        <w:rPr>
          <w:rFonts w:cs="Times New Roman"/>
        </w:rPr>
        <w:t xml:space="preserve"> proje</w:t>
      </w:r>
      <w:r w:rsidR="001B66BF" w:rsidRPr="042776B5">
        <w:rPr>
          <w:rFonts w:cs="Times New Roman"/>
        </w:rPr>
        <w:t xml:space="preserve">t, </w:t>
      </w:r>
      <w:r w:rsidR="001364BA" w:rsidRPr="042776B5">
        <w:rPr>
          <w:rFonts w:cs="Times New Roman"/>
        </w:rPr>
        <w:t>3</w:t>
      </w:r>
      <w:r w:rsidR="001B66BF" w:rsidRPr="042776B5">
        <w:rPr>
          <w:rFonts w:cs="Times New Roman"/>
        </w:rPr>
        <w:t xml:space="preserve"> </w:t>
      </w:r>
      <w:r w:rsidRPr="042776B5">
        <w:rPr>
          <w:rFonts w:cs="Times New Roman"/>
        </w:rPr>
        <w:t>ont été complètement atteints à 100%</w:t>
      </w:r>
      <w:r w:rsidR="001B66BF" w:rsidRPr="042776B5">
        <w:rPr>
          <w:rFonts w:cs="Times New Roman"/>
        </w:rPr>
        <w:t xml:space="preserve"> et </w:t>
      </w:r>
      <w:r w:rsidR="001364BA" w:rsidRPr="042776B5">
        <w:rPr>
          <w:rFonts w:cs="Times New Roman"/>
        </w:rPr>
        <w:t>3</w:t>
      </w:r>
      <w:r w:rsidR="001B66BF" w:rsidRPr="042776B5">
        <w:rPr>
          <w:rFonts w:cs="Times New Roman"/>
        </w:rPr>
        <w:t xml:space="preserve"> autres sont à un taux de réalisation de 0%</w:t>
      </w:r>
      <w:r w:rsidRPr="042776B5">
        <w:rPr>
          <w:rFonts w:cs="Times New Roman"/>
        </w:rPr>
        <w:t>.</w:t>
      </w:r>
      <w:r w:rsidR="001B66BF" w:rsidRPr="042776B5">
        <w:rPr>
          <w:rFonts w:cs="Times New Roman"/>
        </w:rPr>
        <w:t xml:space="preserve"> Les </w:t>
      </w:r>
      <w:r w:rsidR="003C3D4B" w:rsidRPr="042776B5">
        <w:rPr>
          <w:rFonts w:cs="Times New Roman"/>
        </w:rPr>
        <w:t xml:space="preserve">indicateurs de </w:t>
      </w:r>
      <w:r w:rsidR="001B66BF" w:rsidRPr="042776B5">
        <w:rPr>
          <w:rFonts w:cs="Times New Roman"/>
        </w:rPr>
        <w:t>résultats complètement atteints sont</w:t>
      </w:r>
      <w:r w:rsidR="00A90C21" w:rsidRPr="042776B5">
        <w:rPr>
          <w:rFonts w:cs="Times New Roman"/>
        </w:rPr>
        <w:t> :</w:t>
      </w:r>
    </w:p>
    <w:p w14:paraId="57DE1C34" w14:textId="7B2E9932"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982B2E" w:rsidRPr="000D4710">
        <w:rPr>
          <w:rFonts w:cs="Times New Roman"/>
          <w:b/>
          <w:bCs/>
          <w:i/>
          <w:iCs/>
        </w:rPr>
        <w:t xml:space="preserve"> 1.2 :</w:t>
      </w:r>
      <w:r w:rsidR="00982B2E" w:rsidRPr="000D4710">
        <w:rPr>
          <w:rFonts w:cs="Times New Roman"/>
          <w:i/>
          <w:iCs/>
        </w:rPr>
        <w:t xml:space="preserve"> Niveau de satisfaction des communautés par rapport aux mécanismes de prévention et de gestion des conflits</w:t>
      </w:r>
      <w:r w:rsidR="00A90C21">
        <w:rPr>
          <w:rFonts w:cs="Times New Roman"/>
          <w:i/>
          <w:iCs/>
        </w:rPr>
        <w:t> </w:t>
      </w:r>
      <w:r w:rsidR="00A90C21">
        <w:rPr>
          <w:rFonts w:cs="Times New Roman"/>
        </w:rPr>
        <w:t xml:space="preserve">; </w:t>
      </w:r>
    </w:p>
    <w:p w14:paraId="541F24B7" w14:textId="173AE4EE" w:rsidR="00A90C21" w:rsidRDefault="00533C93" w:rsidP="00FB2B45">
      <w:pPr>
        <w:pStyle w:val="Paragraphedeliste"/>
        <w:numPr>
          <w:ilvl w:val="0"/>
          <w:numId w:val="88"/>
        </w:numPr>
        <w:spacing w:before="240" w:line="276" w:lineRule="auto"/>
        <w:rPr>
          <w:rFonts w:cs="Times New Roman"/>
        </w:rPr>
      </w:pPr>
      <w:r w:rsidRPr="00A90C21">
        <w:rPr>
          <w:rFonts w:cs="Times New Roman"/>
          <w:b/>
          <w:bCs/>
        </w:rPr>
        <w:t>L’indicateur</w:t>
      </w:r>
      <w:r w:rsidR="00A90C21" w:rsidRPr="00A90C21">
        <w:rPr>
          <w:rFonts w:cs="Times New Roman"/>
          <w:b/>
          <w:bCs/>
          <w:i/>
          <w:iCs/>
        </w:rPr>
        <w:t xml:space="preserve"> 2.1 :</w:t>
      </w:r>
      <w:r w:rsidR="00A90C21" w:rsidRPr="00A90C21">
        <w:rPr>
          <w:rFonts w:cs="Times New Roman"/>
        </w:rPr>
        <w:t xml:space="preserve"> Degré de confiance entre les communautés et les FDS / acteurs de la chaîne pénale</w:t>
      </w:r>
      <w:r w:rsidR="00A90C21">
        <w:rPr>
          <w:rFonts w:cs="Times New Roman"/>
        </w:rPr>
        <w:t xml:space="preserve"> </w:t>
      </w:r>
    </w:p>
    <w:p w14:paraId="2DCBBF54" w14:textId="24515388" w:rsidR="00A90C21" w:rsidRDefault="00533C93" w:rsidP="00FB2B45">
      <w:pPr>
        <w:pStyle w:val="Paragraphedeliste"/>
        <w:numPr>
          <w:ilvl w:val="0"/>
          <w:numId w:val="88"/>
        </w:numPr>
        <w:spacing w:before="240" w:line="276" w:lineRule="auto"/>
        <w:rPr>
          <w:rFonts w:cs="Times New Roman"/>
        </w:rPr>
      </w:pPr>
      <w:r w:rsidRPr="000D4710">
        <w:rPr>
          <w:rFonts w:cs="Times New Roman"/>
          <w:b/>
          <w:bCs/>
          <w:i/>
          <w:iCs/>
        </w:rPr>
        <w:t>L’Indicateur</w:t>
      </w:r>
      <w:r w:rsidR="00982B2E" w:rsidRPr="000D4710">
        <w:rPr>
          <w:rFonts w:cs="Times New Roman"/>
          <w:b/>
          <w:bCs/>
          <w:i/>
          <w:iCs/>
        </w:rPr>
        <w:t xml:space="preserve"> 3.2 :</w:t>
      </w:r>
      <w:r w:rsidR="00982B2E" w:rsidRPr="000D4710">
        <w:rPr>
          <w:rFonts w:cs="Times New Roman"/>
          <w:i/>
          <w:iCs/>
        </w:rPr>
        <w:t xml:space="preserve"> Appréciation de la pertinence des bonnes pratiques documentées par rapport aux besoins d’apprentissage</w:t>
      </w:r>
      <w:r w:rsidR="00E335A2" w:rsidRPr="000D4710">
        <w:rPr>
          <w:rFonts w:cs="Times New Roman"/>
          <w:i/>
          <w:iCs/>
        </w:rPr>
        <w:t>.</w:t>
      </w:r>
      <w:r w:rsidR="00E335A2" w:rsidRPr="000D4710">
        <w:rPr>
          <w:rFonts w:cs="Times New Roman"/>
        </w:rPr>
        <w:t xml:space="preserve"> </w:t>
      </w:r>
    </w:p>
    <w:p w14:paraId="6CD4675C" w14:textId="77777777" w:rsidR="00A90C21" w:rsidRDefault="000D4710" w:rsidP="00FB2B45">
      <w:pPr>
        <w:pStyle w:val="Paragraphedeliste"/>
        <w:numPr>
          <w:ilvl w:val="0"/>
          <w:numId w:val="23"/>
        </w:numPr>
        <w:spacing w:before="240" w:line="276" w:lineRule="auto"/>
        <w:rPr>
          <w:rFonts w:cs="Times New Roman"/>
        </w:rPr>
      </w:pPr>
      <w:r w:rsidRPr="00A90C21">
        <w:rPr>
          <w:rFonts w:cs="Times New Roman"/>
        </w:rPr>
        <w:t xml:space="preserve">Quant aux </w:t>
      </w:r>
      <w:r w:rsidR="001B66BF" w:rsidRPr="00A90C21">
        <w:rPr>
          <w:rFonts w:cs="Times New Roman"/>
        </w:rPr>
        <w:t xml:space="preserve">résultats </w:t>
      </w:r>
      <w:r w:rsidRPr="00A90C21">
        <w:rPr>
          <w:rFonts w:cs="Times New Roman"/>
        </w:rPr>
        <w:t xml:space="preserve">dont le taux de </w:t>
      </w:r>
      <w:r w:rsidR="001B66BF" w:rsidRPr="00A90C21">
        <w:rPr>
          <w:rFonts w:cs="Times New Roman"/>
        </w:rPr>
        <w:t>réalisation</w:t>
      </w:r>
      <w:r w:rsidRPr="00A90C21">
        <w:rPr>
          <w:rFonts w:cs="Times New Roman"/>
        </w:rPr>
        <w:t xml:space="preserve"> est nul (</w:t>
      </w:r>
      <w:r w:rsidR="001B66BF" w:rsidRPr="00A90C21">
        <w:rPr>
          <w:rFonts w:cs="Times New Roman"/>
        </w:rPr>
        <w:t>0%</w:t>
      </w:r>
      <w:r w:rsidRPr="00A90C21">
        <w:rPr>
          <w:rFonts w:cs="Times New Roman"/>
        </w:rPr>
        <w:t>), ce sont</w:t>
      </w:r>
      <w:r w:rsidR="00A90C21">
        <w:rPr>
          <w:rFonts w:cs="Times New Roman"/>
        </w:rPr>
        <w:t> :</w:t>
      </w:r>
    </w:p>
    <w:p w14:paraId="5EA97474" w14:textId="4E7B7494" w:rsidR="00A90C21" w:rsidRDefault="00533C93" w:rsidP="00FB2B45">
      <w:pPr>
        <w:pStyle w:val="Paragraphedeliste"/>
        <w:numPr>
          <w:ilvl w:val="0"/>
          <w:numId w:val="88"/>
        </w:numPr>
        <w:spacing w:before="240" w:line="276" w:lineRule="auto"/>
        <w:rPr>
          <w:rFonts w:cs="Times New Roman"/>
        </w:rPr>
      </w:pPr>
      <w:r w:rsidRPr="00533C93">
        <w:rPr>
          <w:rFonts w:cs="Times New Roman"/>
          <w:b/>
          <w:bCs/>
          <w:i/>
          <w:iCs/>
        </w:rPr>
        <w:t>L’Indicateur</w:t>
      </w:r>
      <w:r w:rsidR="000D4710" w:rsidRPr="00533C93">
        <w:rPr>
          <w:rFonts w:cs="Times New Roman"/>
          <w:b/>
          <w:bCs/>
          <w:i/>
          <w:iCs/>
        </w:rPr>
        <w:t xml:space="preserve"> 1</w:t>
      </w:r>
      <w:r w:rsidR="000D4710" w:rsidRPr="00A90C21">
        <w:rPr>
          <w:rFonts w:cs="Times New Roman"/>
          <w:b/>
          <w:bCs/>
          <w:i/>
          <w:iCs/>
        </w:rPr>
        <w:t>.3</w:t>
      </w:r>
      <w:r w:rsidR="000D4710" w:rsidRPr="00A90C21">
        <w:rPr>
          <w:rFonts w:cs="Times New Roman"/>
        </w:rPr>
        <w:t xml:space="preserve"> : Appréciation de la participation des femmes et des jeunes dans les mécanismes de prévention</w:t>
      </w:r>
      <w:r w:rsidR="00A90C21" w:rsidRPr="00A90C21">
        <w:rPr>
          <w:rFonts w:cs="Times New Roman"/>
        </w:rPr>
        <w:t xml:space="preserve"> ; </w:t>
      </w:r>
    </w:p>
    <w:p w14:paraId="6C4F49F7" w14:textId="38978164"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A90C21" w:rsidRPr="00A90C21">
        <w:rPr>
          <w:rFonts w:cs="Times New Roman"/>
          <w:b/>
          <w:bCs/>
          <w:i/>
          <w:iCs/>
        </w:rPr>
        <w:t xml:space="preserve"> 2.3 :</w:t>
      </w:r>
      <w:r w:rsidR="00A90C21" w:rsidRPr="00A90C21">
        <w:rPr>
          <w:rFonts w:cs="Times New Roman"/>
        </w:rPr>
        <w:t xml:space="preserve"> Niveau d’appréciation de la collaboration entre les FDS et les acteurs de la chaîne pénale dans la zone du projet </w:t>
      </w:r>
      <w:r w:rsidR="000D4710" w:rsidRPr="00A90C21">
        <w:rPr>
          <w:rFonts w:cs="Times New Roman"/>
        </w:rPr>
        <w:t>et de gestion des conflits</w:t>
      </w:r>
      <w:r w:rsidR="00A90C21">
        <w:rPr>
          <w:rFonts w:cs="Times New Roman"/>
        </w:rPr>
        <w:t> ;</w:t>
      </w:r>
    </w:p>
    <w:p w14:paraId="5EAAA2CB" w14:textId="1B176D79"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0D4710" w:rsidRPr="00A90C21">
        <w:rPr>
          <w:rFonts w:cs="Times New Roman"/>
          <w:b/>
          <w:bCs/>
          <w:i/>
          <w:iCs/>
        </w:rPr>
        <w:t xml:space="preserve"> 3.1 :</w:t>
      </w:r>
      <w:r w:rsidR="000D4710" w:rsidRPr="00A90C21">
        <w:rPr>
          <w:rFonts w:cs="Times New Roman"/>
        </w:rPr>
        <w:t xml:space="preserve"> Construction d’un agenda commun sur les thématiques transfrontalières par les réseaux de femmes. </w:t>
      </w:r>
    </w:p>
    <w:p w14:paraId="2920BA2A" w14:textId="77777777" w:rsidR="001E768B" w:rsidRDefault="001E768B" w:rsidP="00FB2B45">
      <w:pPr>
        <w:pStyle w:val="Paragraphedeliste"/>
        <w:numPr>
          <w:ilvl w:val="0"/>
          <w:numId w:val="23"/>
        </w:numPr>
        <w:spacing w:before="240" w:line="276" w:lineRule="auto"/>
        <w:rPr>
          <w:rFonts w:cs="Times New Roman"/>
        </w:rPr>
      </w:pPr>
      <w:r>
        <w:rPr>
          <w:rFonts w:cs="Times New Roman"/>
        </w:rPr>
        <w:t>Le</w:t>
      </w:r>
      <w:r w:rsidR="000D4710" w:rsidRPr="00A90C21">
        <w:rPr>
          <w:rFonts w:cs="Times New Roman"/>
        </w:rPr>
        <w:t xml:space="preserve"> taux de réalisation nul pour </w:t>
      </w:r>
      <w:r w:rsidRPr="00A90C21">
        <w:rPr>
          <w:rFonts w:cs="Times New Roman"/>
        </w:rPr>
        <w:t>l’indicateur 1.3</w:t>
      </w:r>
      <w:r>
        <w:rPr>
          <w:rFonts w:cs="Times New Roman"/>
        </w:rPr>
        <w:t xml:space="preserve"> </w:t>
      </w:r>
      <w:r w:rsidRPr="00A90C21">
        <w:rPr>
          <w:rFonts w:cs="Times New Roman"/>
        </w:rPr>
        <w:t>doit être nuancé</w:t>
      </w:r>
      <w:r>
        <w:rPr>
          <w:rFonts w:cs="Times New Roman"/>
        </w:rPr>
        <w:t xml:space="preserve">. </w:t>
      </w:r>
      <w:r w:rsidRPr="00A90C21">
        <w:rPr>
          <w:rFonts w:cs="Times New Roman"/>
        </w:rPr>
        <w:t xml:space="preserve">En effet, comme souligné dans le rapport final du projet et confirmé sur les résultats de l’enquête quantitative et qualitative, l’intégration et la participation accrue des femmes dans les </w:t>
      </w:r>
      <w:r>
        <w:t>MCPGC</w:t>
      </w:r>
      <w:r>
        <w:rPr>
          <w:rFonts w:cs="Times New Roman"/>
        </w:rPr>
        <w:t xml:space="preserve"> </w:t>
      </w:r>
      <w:r w:rsidRPr="00A90C21">
        <w:rPr>
          <w:rFonts w:cs="Times New Roman"/>
        </w:rPr>
        <w:t xml:space="preserve">reste l’un des principaux changements induits par le projet. </w:t>
      </w:r>
      <w:r>
        <w:rPr>
          <w:rFonts w:cs="Times New Roman"/>
        </w:rPr>
        <w:t xml:space="preserve">La </w:t>
      </w:r>
      <w:r w:rsidRPr="00533C93">
        <w:rPr>
          <w:rFonts w:cs="Times New Roman"/>
        </w:rPr>
        <w:t>représentativité</w:t>
      </w:r>
      <w:r>
        <w:rPr>
          <w:rFonts w:cs="Times New Roman"/>
        </w:rPr>
        <w:t xml:space="preserve"> des femmes est en effet</w:t>
      </w:r>
      <w:r w:rsidRPr="00533C93">
        <w:rPr>
          <w:rFonts w:cs="Times New Roman"/>
        </w:rPr>
        <w:t xml:space="preserve"> passée de 3% en 2019 à au moins 31% de femmes en 2021, selon le </w:t>
      </w:r>
      <w:r>
        <w:rPr>
          <w:rFonts w:cs="Times New Roman"/>
        </w:rPr>
        <w:t>R</w:t>
      </w:r>
      <w:r w:rsidRPr="00533C93">
        <w:rPr>
          <w:rFonts w:cs="Times New Roman"/>
        </w:rPr>
        <w:t>apport final</w:t>
      </w:r>
      <w:r>
        <w:rPr>
          <w:rFonts w:cs="Times New Roman"/>
        </w:rPr>
        <w:t xml:space="preserve"> du projet</w:t>
      </w:r>
      <w:r w:rsidRPr="00533C93">
        <w:rPr>
          <w:rFonts w:cs="Times New Roman"/>
        </w:rPr>
        <w:t>.</w:t>
      </w:r>
      <w:r>
        <w:rPr>
          <w:rFonts w:cs="Times New Roman"/>
        </w:rPr>
        <w:t xml:space="preserve"> </w:t>
      </w:r>
    </w:p>
    <w:p w14:paraId="171D685B" w14:textId="189CC90C" w:rsidR="00E335A2" w:rsidRPr="00A90C21" w:rsidRDefault="001E768B" w:rsidP="00FB2B45">
      <w:pPr>
        <w:pStyle w:val="Paragraphedeliste"/>
        <w:numPr>
          <w:ilvl w:val="0"/>
          <w:numId w:val="23"/>
        </w:numPr>
        <w:spacing w:before="240" w:line="276" w:lineRule="auto"/>
        <w:rPr>
          <w:rFonts w:cs="Times New Roman"/>
        </w:rPr>
      </w:pPr>
      <w:r>
        <w:rPr>
          <w:rFonts w:cs="Times New Roman"/>
        </w:rPr>
        <w:t xml:space="preserve">Pour </w:t>
      </w:r>
      <w:r w:rsidRPr="00A90C21">
        <w:rPr>
          <w:rFonts w:cs="Times New Roman"/>
        </w:rPr>
        <w:t>l’indicateur 3.1</w:t>
      </w:r>
      <w:r>
        <w:rPr>
          <w:rFonts w:cs="Times New Roman"/>
        </w:rPr>
        <w:t xml:space="preserve"> le</w:t>
      </w:r>
      <w:r w:rsidRPr="00A90C21">
        <w:rPr>
          <w:rFonts w:cs="Times New Roman"/>
        </w:rPr>
        <w:t xml:space="preserve"> taux de réalisation nul </w:t>
      </w:r>
      <w:r>
        <w:rPr>
          <w:rFonts w:cs="Times New Roman"/>
        </w:rPr>
        <w:t xml:space="preserve">s’explique par </w:t>
      </w:r>
      <w:r w:rsidR="000D4710" w:rsidRPr="00A90C21">
        <w:rPr>
          <w:rFonts w:cs="Times New Roman"/>
        </w:rPr>
        <w:t>la faible réalisation des activités transfrontalières</w:t>
      </w:r>
      <w:r>
        <w:rPr>
          <w:rFonts w:cs="Times New Roman"/>
        </w:rPr>
        <w:t xml:space="preserve"> à cause de la détérioration du contexte sécuritaire.</w:t>
      </w:r>
      <w:r w:rsidR="007068E8">
        <w:rPr>
          <w:rFonts w:cs="Times New Roman"/>
        </w:rPr>
        <w:t xml:space="preserve"> </w:t>
      </w:r>
    </w:p>
    <w:p w14:paraId="01ED7497" w14:textId="07EDBB90" w:rsidR="00982B2E" w:rsidRDefault="004665D5" w:rsidP="00FB2B45">
      <w:pPr>
        <w:pStyle w:val="Paragraphedeliste"/>
        <w:numPr>
          <w:ilvl w:val="0"/>
          <w:numId w:val="23"/>
        </w:numPr>
        <w:spacing w:before="240" w:line="276" w:lineRule="auto"/>
        <w:rPr>
          <w:rFonts w:cs="Times New Roman"/>
          <w:bCs/>
        </w:rPr>
      </w:pPr>
      <w:r>
        <w:rPr>
          <w:rFonts w:cs="Times New Roman"/>
          <w:bCs/>
        </w:rPr>
        <w:t xml:space="preserve">Relativement aux produits du projet, </w:t>
      </w:r>
      <w:r w:rsidRPr="004665D5">
        <w:rPr>
          <w:rFonts w:cs="Times New Roman"/>
          <w:bCs/>
        </w:rPr>
        <w:t xml:space="preserve">9 </w:t>
      </w:r>
      <w:r>
        <w:rPr>
          <w:rFonts w:cs="Times New Roman"/>
          <w:bCs/>
        </w:rPr>
        <w:t xml:space="preserve">ont été complètement réalisés sur les </w:t>
      </w:r>
      <w:r w:rsidRPr="004665D5">
        <w:rPr>
          <w:rFonts w:cs="Times New Roman"/>
          <w:bCs/>
        </w:rPr>
        <w:t xml:space="preserve">13 </w:t>
      </w:r>
      <w:r>
        <w:rPr>
          <w:rFonts w:cs="Times New Roman"/>
          <w:bCs/>
        </w:rPr>
        <w:t xml:space="preserve">suivis par le projet. </w:t>
      </w:r>
      <w:r w:rsidR="00DC631E">
        <w:rPr>
          <w:rFonts w:cs="Times New Roman"/>
          <w:bCs/>
        </w:rPr>
        <w:t>Pour le Résultat 2, les cibles de t</w:t>
      </w:r>
      <w:r w:rsidR="00AA34A0">
        <w:rPr>
          <w:rFonts w:cs="Times New Roman"/>
          <w:bCs/>
        </w:rPr>
        <w:t xml:space="preserve">ous les produits </w:t>
      </w:r>
      <w:r w:rsidR="00DC631E">
        <w:rPr>
          <w:rFonts w:cs="Times New Roman"/>
          <w:bCs/>
        </w:rPr>
        <w:t xml:space="preserve">attendus ont été atteintes à 100%, contre 87% pour les produits du Résultat 1 et 56% pour les produits du Résultat 3. </w:t>
      </w:r>
    </w:p>
    <w:p w14:paraId="72403A72" w14:textId="58136683" w:rsidR="004665D5" w:rsidRPr="00AA34A0" w:rsidRDefault="009F3149" w:rsidP="001E768B">
      <w:pPr>
        <w:pStyle w:val="Lgende"/>
        <w:keepNext/>
        <w:rPr>
          <w:rFonts w:cs="Times New Roman"/>
        </w:rPr>
      </w:pPr>
      <w:bookmarkStart w:id="946" w:name="_Toc92262107"/>
      <w:r>
        <w:t xml:space="preserve">Tableau </w:t>
      </w:r>
      <w:r>
        <w:fldChar w:fldCharType="begin"/>
      </w:r>
      <w:r>
        <w:instrText>SEQ Tableau \* ARABIC</w:instrText>
      </w:r>
      <w:r>
        <w:fldChar w:fldCharType="separate"/>
      </w:r>
      <w:r w:rsidR="0046716F">
        <w:rPr>
          <w:noProof/>
        </w:rPr>
        <w:t>6</w:t>
      </w:r>
      <w:r>
        <w:fldChar w:fldCharType="end"/>
      </w:r>
      <w:r>
        <w:t xml:space="preserve"> : </w:t>
      </w:r>
      <w:r w:rsidRPr="00730839">
        <w:t>Niveau d’exécution des résultats et produits du projet (taux d’atteinte des cibles)</w:t>
      </w:r>
      <w:bookmarkEnd w:id="946"/>
    </w:p>
    <w:tbl>
      <w:tblPr>
        <w:tblW w:w="0" w:type="auto"/>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19"/>
        <w:gridCol w:w="40"/>
        <w:gridCol w:w="1418"/>
        <w:gridCol w:w="1417"/>
        <w:gridCol w:w="987"/>
      </w:tblGrid>
      <w:tr w:rsidR="00C62F7E" w:rsidRPr="004665D5" w14:paraId="3DBAEC8C" w14:textId="77777777" w:rsidTr="009F5BDE">
        <w:trPr>
          <w:trHeight w:val="20"/>
        </w:trPr>
        <w:tc>
          <w:tcPr>
            <w:tcW w:w="4921" w:type="dxa"/>
            <w:shd w:val="clear" w:color="auto" w:fill="00B0F0"/>
            <w:noWrap/>
            <w:vAlign w:val="center"/>
            <w:hideMark/>
          </w:tcPr>
          <w:p w14:paraId="106EDEF5" w14:textId="77777777" w:rsidR="004665D5" w:rsidRPr="0068596D" w:rsidRDefault="004665D5" w:rsidP="001E768B">
            <w:pPr>
              <w:keepNext/>
              <w:spacing w:before="0" w:after="0" w:line="276" w:lineRule="auto"/>
              <w:jc w:val="left"/>
              <w:rPr>
                <w:color w:val="FFFFFF"/>
                <w:sz w:val="24"/>
              </w:rPr>
            </w:pPr>
          </w:p>
        </w:tc>
        <w:tc>
          <w:tcPr>
            <w:tcW w:w="1458" w:type="dxa"/>
            <w:gridSpan w:val="2"/>
            <w:shd w:val="clear" w:color="auto" w:fill="00B0F0"/>
            <w:vAlign w:val="center"/>
            <w:hideMark/>
          </w:tcPr>
          <w:p w14:paraId="086C24A4" w14:textId="36B9D144" w:rsidR="004665D5" w:rsidRPr="0068596D" w:rsidRDefault="00AA34A0" w:rsidP="001E768B">
            <w:pPr>
              <w:keepNext/>
              <w:spacing w:before="0" w:after="0" w:line="276" w:lineRule="auto"/>
              <w:jc w:val="center"/>
              <w:rPr>
                <w:b/>
                <w:color w:val="FFFFFF"/>
                <w:sz w:val="20"/>
              </w:rPr>
            </w:pPr>
            <w:r w:rsidRPr="0068596D">
              <w:rPr>
                <w:b/>
                <w:color w:val="FFFFFF"/>
                <w:sz w:val="20"/>
              </w:rPr>
              <w:t xml:space="preserve">Indicateurs de </w:t>
            </w:r>
            <w:r w:rsidR="004665D5" w:rsidRPr="0068596D">
              <w:rPr>
                <w:b/>
                <w:color w:val="FFFFFF"/>
                <w:sz w:val="20"/>
              </w:rPr>
              <w:t>Résultats</w:t>
            </w:r>
          </w:p>
        </w:tc>
        <w:tc>
          <w:tcPr>
            <w:tcW w:w="1417" w:type="dxa"/>
            <w:shd w:val="clear" w:color="auto" w:fill="00B0F0"/>
            <w:vAlign w:val="center"/>
            <w:hideMark/>
          </w:tcPr>
          <w:p w14:paraId="37C64D91" w14:textId="1BC04592" w:rsidR="004665D5" w:rsidRPr="0068596D" w:rsidRDefault="00AA34A0" w:rsidP="001E768B">
            <w:pPr>
              <w:keepNext/>
              <w:spacing w:before="0" w:after="0" w:line="276" w:lineRule="auto"/>
              <w:jc w:val="center"/>
              <w:rPr>
                <w:b/>
                <w:color w:val="FFFFFF"/>
                <w:sz w:val="20"/>
              </w:rPr>
            </w:pPr>
            <w:r w:rsidRPr="0068596D">
              <w:rPr>
                <w:b/>
                <w:color w:val="FFFFFF"/>
                <w:sz w:val="20"/>
              </w:rPr>
              <w:t xml:space="preserve">Indicateur de </w:t>
            </w:r>
            <w:r w:rsidR="004665D5" w:rsidRPr="0068596D">
              <w:rPr>
                <w:b/>
                <w:color w:val="FFFFFF"/>
                <w:sz w:val="20"/>
              </w:rPr>
              <w:t>Produits</w:t>
            </w:r>
          </w:p>
        </w:tc>
        <w:tc>
          <w:tcPr>
            <w:tcW w:w="987" w:type="dxa"/>
            <w:shd w:val="clear" w:color="auto" w:fill="00B0F0"/>
            <w:vAlign w:val="center"/>
            <w:hideMark/>
          </w:tcPr>
          <w:p w14:paraId="4D9A9109" w14:textId="704FDB20" w:rsidR="004665D5" w:rsidRPr="0068596D" w:rsidRDefault="00A16E9D" w:rsidP="001E768B">
            <w:pPr>
              <w:keepNext/>
              <w:spacing w:before="0" w:after="0" w:line="276" w:lineRule="auto"/>
              <w:jc w:val="center"/>
              <w:rPr>
                <w:b/>
                <w:color w:val="FFFFFF"/>
                <w:sz w:val="20"/>
              </w:rPr>
            </w:pPr>
            <w:r w:rsidRPr="0068596D">
              <w:rPr>
                <w:b/>
                <w:color w:val="FFFFFF"/>
                <w:sz w:val="20"/>
              </w:rPr>
              <w:t>Global</w:t>
            </w:r>
            <w:r w:rsidR="004665D5" w:rsidRPr="0068596D">
              <w:rPr>
                <w:b/>
                <w:color w:val="FFFFFF"/>
                <w:sz w:val="20"/>
              </w:rPr>
              <w:t xml:space="preserve"> </w:t>
            </w:r>
          </w:p>
        </w:tc>
      </w:tr>
      <w:tr w:rsidR="00F01CB8" w:rsidRPr="004665D5" w14:paraId="21496166" w14:textId="77777777" w:rsidTr="009F5BDE">
        <w:trPr>
          <w:trHeight w:val="20"/>
        </w:trPr>
        <w:tc>
          <w:tcPr>
            <w:tcW w:w="4921" w:type="dxa"/>
            <w:shd w:val="clear" w:color="auto" w:fill="auto"/>
            <w:noWrap/>
            <w:vAlign w:val="center"/>
            <w:hideMark/>
          </w:tcPr>
          <w:p w14:paraId="47118E60" w14:textId="5138F3F3" w:rsidR="004665D5" w:rsidRPr="0068596D" w:rsidRDefault="004665D5" w:rsidP="001E768B">
            <w:pPr>
              <w:keepNext/>
              <w:spacing w:before="0" w:after="0" w:line="276" w:lineRule="auto"/>
              <w:jc w:val="left"/>
              <w:rPr>
                <w:color w:val="000000"/>
              </w:rPr>
            </w:pPr>
            <w:r w:rsidRPr="0068596D">
              <w:rPr>
                <w:b/>
                <w:color w:val="000000"/>
              </w:rPr>
              <w:t>Résultat 1</w:t>
            </w:r>
            <w:r w:rsidR="00AA34A0" w:rsidRPr="0068596D">
              <w:rPr>
                <w:color w:val="000000"/>
              </w:rPr>
              <w:t> </w:t>
            </w:r>
            <w:r w:rsidR="00350240" w:rsidRPr="0068596D">
              <w:rPr>
                <w:color w:val="000000"/>
              </w:rPr>
              <w:t xml:space="preserve">relatif </w:t>
            </w:r>
            <w:r w:rsidR="00EF6D51" w:rsidRPr="0068596D">
              <w:rPr>
                <w:color w:val="000000"/>
              </w:rPr>
              <w:t>au</w:t>
            </w:r>
            <w:r w:rsidR="00350240" w:rsidRPr="0068596D">
              <w:rPr>
                <w:color w:val="000000"/>
              </w:rPr>
              <w:t xml:space="preserve"> renforcement</w:t>
            </w:r>
            <w:r w:rsidR="00EF6D51" w:rsidRPr="0068596D">
              <w:rPr>
                <w:color w:val="000000"/>
              </w:rPr>
              <w:t xml:space="preserve"> </w:t>
            </w:r>
            <w:r w:rsidR="00350240" w:rsidRPr="0068596D">
              <w:rPr>
                <w:color w:val="000000"/>
              </w:rPr>
              <w:t>des mécanismes de gestion de conflits</w:t>
            </w:r>
          </w:p>
        </w:tc>
        <w:tc>
          <w:tcPr>
            <w:tcW w:w="1458" w:type="dxa"/>
            <w:gridSpan w:val="2"/>
            <w:shd w:val="clear" w:color="auto" w:fill="auto"/>
            <w:noWrap/>
            <w:vAlign w:val="center"/>
            <w:hideMark/>
          </w:tcPr>
          <w:p w14:paraId="078FD8B6" w14:textId="77777777" w:rsidR="004665D5" w:rsidRPr="0068596D" w:rsidRDefault="004665D5" w:rsidP="001E768B">
            <w:pPr>
              <w:keepNext/>
              <w:spacing w:before="0" w:after="0" w:line="276" w:lineRule="auto"/>
              <w:jc w:val="center"/>
              <w:rPr>
                <w:color w:val="000000"/>
              </w:rPr>
            </w:pPr>
            <w:r w:rsidRPr="0068596D">
              <w:rPr>
                <w:color w:val="000000"/>
              </w:rPr>
              <w:t>60%</w:t>
            </w:r>
          </w:p>
        </w:tc>
        <w:tc>
          <w:tcPr>
            <w:tcW w:w="1417" w:type="dxa"/>
            <w:shd w:val="clear" w:color="auto" w:fill="auto"/>
            <w:noWrap/>
            <w:vAlign w:val="center"/>
            <w:hideMark/>
          </w:tcPr>
          <w:p w14:paraId="34797DCF" w14:textId="77777777" w:rsidR="004665D5" w:rsidRPr="0068596D" w:rsidRDefault="004665D5" w:rsidP="001E768B">
            <w:pPr>
              <w:keepNext/>
              <w:spacing w:before="0" w:after="0" w:line="276" w:lineRule="auto"/>
              <w:jc w:val="center"/>
              <w:rPr>
                <w:color w:val="000000"/>
              </w:rPr>
            </w:pPr>
            <w:r w:rsidRPr="0068596D">
              <w:rPr>
                <w:color w:val="000000"/>
              </w:rPr>
              <w:t>87%</w:t>
            </w:r>
          </w:p>
        </w:tc>
        <w:tc>
          <w:tcPr>
            <w:tcW w:w="987" w:type="dxa"/>
            <w:shd w:val="clear" w:color="auto" w:fill="auto"/>
            <w:noWrap/>
            <w:vAlign w:val="center"/>
            <w:hideMark/>
          </w:tcPr>
          <w:p w14:paraId="33DC30D0" w14:textId="77777777" w:rsidR="004665D5" w:rsidRPr="0068596D" w:rsidRDefault="004665D5" w:rsidP="001E768B">
            <w:pPr>
              <w:keepNext/>
              <w:spacing w:before="0" w:after="0" w:line="276" w:lineRule="auto"/>
              <w:jc w:val="center"/>
              <w:rPr>
                <w:b/>
                <w:color w:val="000000"/>
              </w:rPr>
            </w:pPr>
            <w:r w:rsidRPr="0068596D">
              <w:rPr>
                <w:b/>
                <w:color w:val="000000"/>
              </w:rPr>
              <w:t>75%</w:t>
            </w:r>
          </w:p>
        </w:tc>
      </w:tr>
      <w:tr w:rsidR="00F01CB8" w:rsidRPr="004665D5" w14:paraId="10EF8158" w14:textId="77777777" w:rsidTr="009F5BDE">
        <w:trPr>
          <w:trHeight w:val="20"/>
        </w:trPr>
        <w:tc>
          <w:tcPr>
            <w:tcW w:w="4921" w:type="dxa"/>
            <w:shd w:val="clear" w:color="auto" w:fill="auto"/>
            <w:noWrap/>
            <w:vAlign w:val="center"/>
            <w:hideMark/>
          </w:tcPr>
          <w:p w14:paraId="172A449F" w14:textId="74766820" w:rsidR="004665D5" w:rsidRPr="0068596D" w:rsidRDefault="00AA34A0" w:rsidP="001E768B">
            <w:pPr>
              <w:keepNext/>
              <w:spacing w:before="0" w:after="0" w:line="276" w:lineRule="auto"/>
              <w:jc w:val="left"/>
              <w:rPr>
                <w:color w:val="000000"/>
              </w:rPr>
            </w:pPr>
            <w:r w:rsidRPr="0068596D">
              <w:rPr>
                <w:b/>
                <w:color w:val="000000"/>
              </w:rPr>
              <w:t>Résultat 2</w:t>
            </w:r>
            <w:r w:rsidRPr="0068596D">
              <w:rPr>
                <w:color w:val="000000"/>
              </w:rPr>
              <w:t xml:space="preserve"> </w:t>
            </w:r>
            <w:r w:rsidR="00350240" w:rsidRPr="0068596D">
              <w:rPr>
                <w:color w:val="000000"/>
              </w:rPr>
              <w:t>relatif aux relations de confiance entre communautés, FDS et ACP</w:t>
            </w:r>
          </w:p>
        </w:tc>
        <w:tc>
          <w:tcPr>
            <w:tcW w:w="1458" w:type="dxa"/>
            <w:gridSpan w:val="2"/>
            <w:shd w:val="clear" w:color="auto" w:fill="auto"/>
            <w:noWrap/>
            <w:vAlign w:val="center"/>
            <w:hideMark/>
          </w:tcPr>
          <w:p w14:paraId="4B9754F0" w14:textId="375A9589" w:rsidR="004665D5" w:rsidRPr="0068596D" w:rsidRDefault="00B34547" w:rsidP="001E768B">
            <w:pPr>
              <w:keepNext/>
              <w:spacing w:before="0" w:after="0" w:line="276" w:lineRule="auto"/>
              <w:jc w:val="center"/>
              <w:rPr>
                <w:color w:val="000000"/>
              </w:rPr>
            </w:pPr>
            <w:r>
              <w:rPr>
                <w:color w:val="000000"/>
              </w:rPr>
              <w:t>6</w:t>
            </w:r>
            <w:r w:rsidR="004665D5" w:rsidRPr="0068596D">
              <w:rPr>
                <w:color w:val="000000"/>
              </w:rPr>
              <w:t>5%</w:t>
            </w:r>
          </w:p>
        </w:tc>
        <w:tc>
          <w:tcPr>
            <w:tcW w:w="1417" w:type="dxa"/>
            <w:shd w:val="clear" w:color="auto" w:fill="auto"/>
            <w:noWrap/>
            <w:vAlign w:val="center"/>
            <w:hideMark/>
          </w:tcPr>
          <w:p w14:paraId="07A2587A" w14:textId="77777777" w:rsidR="004665D5" w:rsidRPr="0068596D" w:rsidRDefault="004665D5" w:rsidP="001E768B">
            <w:pPr>
              <w:keepNext/>
              <w:spacing w:before="0" w:after="0" w:line="276" w:lineRule="auto"/>
              <w:jc w:val="center"/>
              <w:rPr>
                <w:color w:val="000000"/>
              </w:rPr>
            </w:pPr>
            <w:r w:rsidRPr="0068596D">
              <w:rPr>
                <w:color w:val="000000"/>
              </w:rPr>
              <w:t>100%</w:t>
            </w:r>
          </w:p>
        </w:tc>
        <w:tc>
          <w:tcPr>
            <w:tcW w:w="987" w:type="dxa"/>
            <w:shd w:val="clear" w:color="auto" w:fill="auto"/>
            <w:noWrap/>
            <w:vAlign w:val="center"/>
            <w:hideMark/>
          </w:tcPr>
          <w:p w14:paraId="7A28F943" w14:textId="270C9363" w:rsidR="004665D5" w:rsidRPr="0068596D" w:rsidRDefault="00B34547" w:rsidP="001E768B">
            <w:pPr>
              <w:keepNext/>
              <w:spacing w:before="0" w:after="0" w:line="276" w:lineRule="auto"/>
              <w:jc w:val="center"/>
              <w:rPr>
                <w:b/>
                <w:color w:val="000000"/>
              </w:rPr>
            </w:pPr>
            <w:r>
              <w:rPr>
                <w:b/>
                <w:color w:val="000000"/>
              </w:rPr>
              <w:t>91</w:t>
            </w:r>
            <w:r w:rsidR="004665D5" w:rsidRPr="0068596D">
              <w:rPr>
                <w:b/>
                <w:color w:val="000000"/>
              </w:rPr>
              <w:t>%</w:t>
            </w:r>
          </w:p>
        </w:tc>
      </w:tr>
      <w:tr w:rsidR="00F01CB8" w:rsidRPr="004665D5" w14:paraId="387039D0" w14:textId="77777777" w:rsidTr="009F5BDE">
        <w:trPr>
          <w:trHeight w:val="20"/>
        </w:trPr>
        <w:tc>
          <w:tcPr>
            <w:tcW w:w="4921" w:type="dxa"/>
            <w:shd w:val="clear" w:color="auto" w:fill="auto"/>
            <w:noWrap/>
            <w:vAlign w:val="center"/>
            <w:hideMark/>
          </w:tcPr>
          <w:p w14:paraId="4F41C623" w14:textId="2A89C346" w:rsidR="004665D5" w:rsidRPr="0068596D" w:rsidRDefault="004665D5" w:rsidP="001E768B">
            <w:pPr>
              <w:keepNext/>
              <w:spacing w:before="0" w:after="0" w:line="276" w:lineRule="auto"/>
              <w:jc w:val="left"/>
              <w:rPr>
                <w:color w:val="000000"/>
              </w:rPr>
            </w:pPr>
            <w:r w:rsidRPr="0068596D">
              <w:rPr>
                <w:b/>
                <w:color w:val="000000"/>
              </w:rPr>
              <w:t>Résultat 3</w:t>
            </w:r>
            <w:r w:rsidR="00350240">
              <w:t xml:space="preserve"> </w:t>
            </w:r>
            <w:r w:rsidR="00350240" w:rsidRPr="0068596D">
              <w:rPr>
                <w:color w:val="000000"/>
              </w:rPr>
              <w:t>relatif à la mise en réseau et la promotion du partage d’expériences et de bonnes pratiques au niveau transfrontalier</w:t>
            </w:r>
          </w:p>
        </w:tc>
        <w:tc>
          <w:tcPr>
            <w:tcW w:w="1458" w:type="dxa"/>
            <w:gridSpan w:val="2"/>
            <w:shd w:val="clear" w:color="auto" w:fill="auto"/>
            <w:noWrap/>
            <w:vAlign w:val="center"/>
            <w:hideMark/>
          </w:tcPr>
          <w:p w14:paraId="295B1D42" w14:textId="77777777" w:rsidR="004665D5" w:rsidRPr="0068596D" w:rsidRDefault="004665D5" w:rsidP="001E768B">
            <w:pPr>
              <w:keepNext/>
              <w:spacing w:before="0" w:after="0" w:line="276" w:lineRule="auto"/>
              <w:jc w:val="center"/>
              <w:rPr>
                <w:color w:val="000000"/>
              </w:rPr>
            </w:pPr>
            <w:r w:rsidRPr="0068596D">
              <w:rPr>
                <w:color w:val="000000"/>
              </w:rPr>
              <w:t>50%</w:t>
            </w:r>
          </w:p>
        </w:tc>
        <w:tc>
          <w:tcPr>
            <w:tcW w:w="1417" w:type="dxa"/>
            <w:shd w:val="clear" w:color="auto" w:fill="auto"/>
            <w:noWrap/>
            <w:vAlign w:val="center"/>
            <w:hideMark/>
          </w:tcPr>
          <w:p w14:paraId="277E4013" w14:textId="77777777" w:rsidR="004665D5" w:rsidRPr="0068596D" w:rsidRDefault="004665D5" w:rsidP="001E768B">
            <w:pPr>
              <w:keepNext/>
              <w:spacing w:before="0" w:after="0" w:line="276" w:lineRule="auto"/>
              <w:jc w:val="center"/>
              <w:rPr>
                <w:color w:val="000000"/>
              </w:rPr>
            </w:pPr>
            <w:r w:rsidRPr="0068596D">
              <w:rPr>
                <w:color w:val="000000"/>
              </w:rPr>
              <w:t>58%</w:t>
            </w:r>
          </w:p>
        </w:tc>
        <w:tc>
          <w:tcPr>
            <w:tcW w:w="987" w:type="dxa"/>
            <w:shd w:val="clear" w:color="auto" w:fill="auto"/>
            <w:noWrap/>
            <w:vAlign w:val="center"/>
            <w:hideMark/>
          </w:tcPr>
          <w:p w14:paraId="316CDD3D" w14:textId="77777777" w:rsidR="004665D5" w:rsidRPr="0068596D" w:rsidRDefault="004665D5" w:rsidP="001E768B">
            <w:pPr>
              <w:keepNext/>
              <w:spacing w:before="0" w:after="0" w:line="276" w:lineRule="auto"/>
              <w:jc w:val="center"/>
              <w:rPr>
                <w:b/>
                <w:color w:val="000000"/>
              </w:rPr>
            </w:pPr>
            <w:r w:rsidRPr="0068596D">
              <w:rPr>
                <w:b/>
                <w:color w:val="000000"/>
              </w:rPr>
              <w:t>56%</w:t>
            </w:r>
          </w:p>
        </w:tc>
      </w:tr>
      <w:tr w:rsidR="00C62F7E" w:rsidRPr="004665D5" w14:paraId="0D23B079" w14:textId="77777777" w:rsidTr="009F5BDE">
        <w:trPr>
          <w:trHeight w:val="20"/>
        </w:trPr>
        <w:tc>
          <w:tcPr>
            <w:tcW w:w="4961" w:type="dxa"/>
            <w:gridSpan w:val="2"/>
            <w:shd w:val="clear" w:color="auto" w:fill="F2F2F2"/>
            <w:noWrap/>
            <w:vAlign w:val="center"/>
            <w:hideMark/>
          </w:tcPr>
          <w:p w14:paraId="4466B36F" w14:textId="20905A01" w:rsidR="004665D5" w:rsidRPr="0068596D" w:rsidRDefault="00AA34A0" w:rsidP="001E768B">
            <w:pPr>
              <w:keepNext/>
              <w:spacing w:before="0" w:after="0" w:line="276" w:lineRule="auto"/>
              <w:jc w:val="right"/>
              <w:rPr>
                <w:b/>
                <w:color w:val="000000"/>
                <w:lang w:val="en-US"/>
              </w:rPr>
            </w:pPr>
            <w:r w:rsidRPr="0068596D">
              <w:rPr>
                <w:b/>
                <w:color w:val="000000"/>
                <w:lang w:val="en-US"/>
              </w:rPr>
              <w:t xml:space="preserve">Performance </w:t>
            </w:r>
            <w:r w:rsidRPr="0068596D">
              <w:rPr>
                <w:b/>
                <w:color w:val="000000"/>
              </w:rPr>
              <w:t>globale</w:t>
            </w:r>
            <w:r w:rsidR="007068E8" w:rsidRPr="0068596D">
              <w:rPr>
                <w:b/>
                <w:color w:val="000000"/>
                <w:lang w:val="en-US"/>
              </w:rPr>
              <w:t xml:space="preserve"> </w:t>
            </w:r>
          </w:p>
        </w:tc>
        <w:tc>
          <w:tcPr>
            <w:tcW w:w="1418" w:type="dxa"/>
            <w:shd w:val="clear" w:color="auto" w:fill="F2F2F2"/>
            <w:noWrap/>
            <w:vAlign w:val="center"/>
            <w:hideMark/>
          </w:tcPr>
          <w:p w14:paraId="32FE7F1E" w14:textId="7A3BB947" w:rsidR="004665D5" w:rsidRPr="0068596D" w:rsidRDefault="009B339D" w:rsidP="001E768B">
            <w:pPr>
              <w:keepNext/>
              <w:spacing w:before="0" w:after="0" w:line="276" w:lineRule="auto"/>
              <w:jc w:val="center"/>
              <w:rPr>
                <w:b/>
                <w:color w:val="000000"/>
                <w:lang w:val="en-US"/>
              </w:rPr>
            </w:pPr>
            <w:r>
              <w:rPr>
                <w:b/>
                <w:color w:val="000000"/>
                <w:lang w:val="en-US"/>
              </w:rPr>
              <w:t>6</w:t>
            </w:r>
            <w:r w:rsidR="009F3149" w:rsidRPr="0068596D">
              <w:rPr>
                <w:b/>
                <w:color w:val="000000"/>
                <w:lang w:val="en-US"/>
              </w:rPr>
              <w:t>4</w:t>
            </w:r>
            <w:r w:rsidR="004665D5" w:rsidRPr="0068596D">
              <w:rPr>
                <w:b/>
                <w:color w:val="000000"/>
                <w:lang w:val="en-US"/>
              </w:rPr>
              <w:t>%</w:t>
            </w:r>
          </w:p>
        </w:tc>
        <w:tc>
          <w:tcPr>
            <w:tcW w:w="1417" w:type="dxa"/>
            <w:shd w:val="clear" w:color="auto" w:fill="F2F2F2"/>
            <w:noWrap/>
            <w:vAlign w:val="center"/>
            <w:hideMark/>
          </w:tcPr>
          <w:p w14:paraId="685F7AE9" w14:textId="4B96CFD9" w:rsidR="004665D5" w:rsidRPr="0068596D" w:rsidRDefault="004665D5" w:rsidP="001E768B">
            <w:pPr>
              <w:keepNext/>
              <w:spacing w:before="0" w:after="0" w:line="276" w:lineRule="auto"/>
              <w:jc w:val="center"/>
              <w:rPr>
                <w:b/>
                <w:color w:val="000000"/>
                <w:lang w:val="en-US"/>
              </w:rPr>
            </w:pPr>
            <w:r w:rsidRPr="0068596D">
              <w:rPr>
                <w:b/>
                <w:color w:val="000000"/>
                <w:lang w:val="en-US"/>
              </w:rPr>
              <w:t>83%</w:t>
            </w:r>
          </w:p>
        </w:tc>
        <w:tc>
          <w:tcPr>
            <w:tcW w:w="987" w:type="dxa"/>
            <w:shd w:val="clear" w:color="auto" w:fill="F2F2F2"/>
            <w:noWrap/>
            <w:vAlign w:val="center"/>
            <w:hideMark/>
          </w:tcPr>
          <w:p w14:paraId="31FB34C1" w14:textId="67006EE7" w:rsidR="004665D5" w:rsidRPr="0068596D" w:rsidRDefault="00B34547" w:rsidP="001E768B">
            <w:pPr>
              <w:keepNext/>
              <w:spacing w:before="0" w:after="0" w:line="276" w:lineRule="auto"/>
              <w:jc w:val="center"/>
              <w:rPr>
                <w:b/>
                <w:color w:val="000000"/>
                <w:lang w:val="en-US"/>
              </w:rPr>
            </w:pPr>
            <w:r>
              <w:rPr>
                <w:b/>
                <w:color w:val="000000"/>
                <w:lang w:val="en-US"/>
              </w:rPr>
              <w:t>76</w:t>
            </w:r>
            <w:r w:rsidR="004665D5" w:rsidRPr="0068596D">
              <w:rPr>
                <w:b/>
                <w:color w:val="000000"/>
                <w:lang w:val="en-US"/>
              </w:rPr>
              <w:t>%</w:t>
            </w:r>
          </w:p>
        </w:tc>
      </w:tr>
    </w:tbl>
    <w:p w14:paraId="737080EE" w14:textId="62CA001E" w:rsidR="004665D5" w:rsidRDefault="009F3149" w:rsidP="001E768B">
      <w:pPr>
        <w:keepNext/>
        <w:spacing w:before="0" w:line="276" w:lineRule="auto"/>
        <w:rPr>
          <w:i/>
          <w:sz w:val="20"/>
        </w:rPr>
      </w:pPr>
      <w:r w:rsidRPr="002D3E79">
        <w:rPr>
          <w:i/>
          <w:sz w:val="20"/>
        </w:rPr>
        <w:t xml:space="preserve">Source : </w:t>
      </w:r>
      <w:r>
        <w:rPr>
          <w:i/>
          <w:sz w:val="20"/>
        </w:rPr>
        <w:t>Auteur, à partir des d</w:t>
      </w:r>
      <w:r w:rsidRPr="002D3E79">
        <w:rPr>
          <w:i/>
          <w:sz w:val="20"/>
        </w:rPr>
        <w:t xml:space="preserve">onnées </w:t>
      </w:r>
      <w:r>
        <w:rPr>
          <w:i/>
          <w:sz w:val="20"/>
        </w:rPr>
        <w:t>du Rapport final d’exécution du projet</w:t>
      </w:r>
    </w:p>
    <w:p w14:paraId="7A735CA1" w14:textId="404A0A8E" w:rsidR="009F3149" w:rsidRPr="00AB797B" w:rsidRDefault="00AB797B" w:rsidP="00146260">
      <w:pPr>
        <w:pStyle w:val="Paragraphedeliste"/>
        <w:numPr>
          <w:ilvl w:val="0"/>
          <w:numId w:val="23"/>
        </w:numPr>
        <w:spacing w:before="240" w:line="276" w:lineRule="auto"/>
        <w:rPr>
          <w:rFonts w:cs="Times New Roman"/>
          <w:bCs/>
        </w:rPr>
      </w:pPr>
      <w:r w:rsidRPr="00AB797B">
        <w:rPr>
          <w:rFonts w:cs="Times New Roman"/>
          <w:bCs/>
        </w:rPr>
        <w:t xml:space="preserve">Cette performance dans la mise en œuvre du projet s’est concrètement traduite sur le terrain par </w:t>
      </w:r>
      <w:r>
        <w:rPr>
          <w:rFonts w:cs="Times New Roman"/>
          <w:bCs/>
        </w:rPr>
        <w:t xml:space="preserve">plusieurs </w:t>
      </w:r>
      <w:r w:rsidR="00146260" w:rsidRPr="00AB797B">
        <w:rPr>
          <w:rFonts w:cs="Times New Roman"/>
          <w:bCs/>
        </w:rPr>
        <w:t>changements</w:t>
      </w:r>
      <w:r w:rsidR="00146260">
        <w:rPr>
          <w:rFonts w:cs="Times New Roman"/>
          <w:bCs/>
        </w:rPr>
        <w:t xml:space="preserve"> dans la zone d’intervention</w:t>
      </w:r>
      <w:r w:rsidR="00146260" w:rsidRPr="00AB797B">
        <w:rPr>
          <w:rFonts w:cs="Times New Roman"/>
          <w:bCs/>
        </w:rPr>
        <w:t>.</w:t>
      </w:r>
      <w:r w:rsidR="00046A16">
        <w:rPr>
          <w:rFonts w:cs="Times New Roman"/>
          <w:bCs/>
        </w:rPr>
        <w:t xml:space="preserve"> </w:t>
      </w:r>
      <w:r w:rsidR="004800C7">
        <w:rPr>
          <w:rFonts w:cs="Times New Roman"/>
          <w:bCs/>
        </w:rPr>
        <w:t xml:space="preserve">Les activités liées au Résultat 1 ont eu pour effet </w:t>
      </w:r>
      <w:r w:rsidR="00046A16">
        <w:rPr>
          <w:rFonts w:cs="Times New Roman"/>
          <w:bCs/>
        </w:rPr>
        <w:t>l</w:t>
      </w:r>
      <w:r w:rsidR="00046A16" w:rsidRPr="00046A16">
        <w:rPr>
          <w:rFonts w:cs="Times New Roman"/>
          <w:bCs/>
        </w:rPr>
        <w:t xml:space="preserve">’intégration et la participation des femmes </w:t>
      </w:r>
      <w:r w:rsidR="002B574E">
        <w:rPr>
          <w:rFonts w:cs="Times New Roman"/>
          <w:bCs/>
        </w:rPr>
        <w:t xml:space="preserve">et des jeunes </w:t>
      </w:r>
      <w:r w:rsidR="00046A16" w:rsidRPr="00046A16">
        <w:rPr>
          <w:rFonts w:cs="Times New Roman"/>
          <w:bCs/>
        </w:rPr>
        <w:t>dans les</w:t>
      </w:r>
      <w:r w:rsidR="002B574E">
        <w:rPr>
          <w:rFonts w:cs="Times New Roman"/>
          <w:bCs/>
        </w:rPr>
        <w:t xml:space="preserve"> MCPGC</w:t>
      </w:r>
      <w:r w:rsidR="00046A16" w:rsidRPr="00046A16">
        <w:rPr>
          <w:rFonts w:cs="Times New Roman"/>
          <w:bCs/>
        </w:rPr>
        <w:t xml:space="preserve"> ainsi que </w:t>
      </w:r>
      <w:r w:rsidR="004800C7">
        <w:rPr>
          <w:rFonts w:cs="Times New Roman"/>
          <w:bCs/>
        </w:rPr>
        <w:t xml:space="preserve">la reconnaissance de leur contribution </w:t>
      </w:r>
      <w:r w:rsidR="00046A16" w:rsidRPr="00046A16">
        <w:rPr>
          <w:rFonts w:cs="Times New Roman"/>
          <w:bCs/>
        </w:rPr>
        <w:t>par les leaders communautaire</w:t>
      </w:r>
      <w:r w:rsidR="002B574E">
        <w:rPr>
          <w:rFonts w:cs="Times New Roman"/>
          <w:bCs/>
        </w:rPr>
        <w:t>s</w:t>
      </w:r>
      <w:r w:rsidR="00046A16" w:rsidRPr="00046A16">
        <w:rPr>
          <w:rFonts w:cs="Times New Roman"/>
          <w:bCs/>
        </w:rPr>
        <w:t xml:space="preserve"> et religieux</w:t>
      </w:r>
      <w:r w:rsidR="00E66921">
        <w:rPr>
          <w:rFonts w:cs="Times New Roman"/>
          <w:bCs/>
        </w:rPr>
        <w:t>. Le dynamisme des MCPGC ainsi amélioré s’est aussi traduit par la réduction des conflits communautaires</w:t>
      </w:r>
      <w:r w:rsidR="00394BE3">
        <w:rPr>
          <w:rFonts w:cs="Times New Roman"/>
          <w:bCs/>
        </w:rPr>
        <w:t>, permettant ainsi de sauver des vies humaines</w:t>
      </w:r>
      <w:r w:rsidR="00C95CB0">
        <w:rPr>
          <w:rFonts w:cs="Times New Roman"/>
          <w:bCs/>
        </w:rPr>
        <w:t xml:space="preserve">. </w:t>
      </w:r>
      <w:r w:rsidR="00E66921">
        <w:rPr>
          <w:rFonts w:cs="Times New Roman"/>
          <w:bCs/>
        </w:rPr>
        <w:t xml:space="preserve">Au titre du Résultat 2, les différentes rencontres civilo-militaires ainsi que les séances de sensibilisations </w:t>
      </w:r>
      <w:r w:rsidR="00E66921" w:rsidRPr="00E66921">
        <w:rPr>
          <w:rFonts w:cs="Times New Roman"/>
          <w:bCs/>
        </w:rPr>
        <w:t xml:space="preserve">sur le mandat et les missions des </w:t>
      </w:r>
      <w:r w:rsidR="00E66921">
        <w:rPr>
          <w:rFonts w:cs="Times New Roman"/>
          <w:bCs/>
        </w:rPr>
        <w:t xml:space="preserve">FDS et des ACP ont permis de restaurer la confiance entre ces acteurs avec les </w:t>
      </w:r>
      <w:r w:rsidR="00E66921" w:rsidRPr="00E66921">
        <w:rPr>
          <w:rFonts w:cs="Times New Roman"/>
          <w:bCs/>
        </w:rPr>
        <w:t xml:space="preserve">communautés </w:t>
      </w:r>
      <w:r w:rsidR="00E66921">
        <w:rPr>
          <w:rFonts w:cs="Times New Roman"/>
          <w:bCs/>
        </w:rPr>
        <w:t xml:space="preserve">locales. </w:t>
      </w:r>
      <w:r w:rsidR="00C95CB0">
        <w:rPr>
          <w:rFonts w:cs="Times New Roman"/>
          <w:bCs/>
        </w:rPr>
        <w:t>La</w:t>
      </w:r>
      <w:r w:rsidR="00C95CB0" w:rsidRPr="00146260">
        <w:rPr>
          <w:rFonts w:cs="Times New Roman"/>
          <w:bCs/>
        </w:rPr>
        <w:t xml:space="preserve"> connaissance des populations sur les droits humains et les voies de recours</w:t>
      </w:r>
      <w:r w:rsidR="00C95CB0">
        <w:rPr>
          <w:rFonts w:cs="Times New Roman"/>
          <w:bCs/>
        </w:rPr>
        <w:t xml:space="preserve"> s’est aussi améliorée grâces aux différentes formations et rencontres d’échanges</w:t>
      </w:r>
      <w:r w:rsidR="00C95CB0" w:rsidRPr="00146260">
        <w:rPr>
          <w:rFonts w:cs="Times New Roman"/>
          <w:bCs/>
        </w:rPr>
        <w:t xml:space="preserve">. </w:t>
      </w:r>
      <w:r w:rsidR="00C95CB0">
        <w:rPr>
          <w:rFonts w:cs="Times New Roman"/>
          <w:bCs/>
        </w:rPr>
        <w:t xml:space="preserve">Relativement au Résultat 3, </w:t>
      </w:r>
      <w:r w:rsidR="00DF0F15">
        <w:rPr>
          <w:rFonts w:cs="Times New Roman"/>
          <w:bCs/>
        </w:rPr>
        <w:t>la documentation et le partage d’</w:t>
      </w:r>
      <w:r w:rsidR="00C95CB0">
        <w:rPr>
          <w:rFonts w:cs="Times New Roman"/>
          <w:bCs/>
        </w:rPr>
        <w:t xml:space="preserve">expériences et </w:t>
      </w:r>
      <w:r w:rsidR="00DF0F15">
        <w:rPr>
          <w:rFonts w:cs="Times New Roman"/>
          <w:bCs/>
        </w:rPr>
        <w:t xml:space="preserve">de </w:t>
      </w:r>
      <w:r w:rsidR="00C95CB0">
        <w:rPr>
          <w:rFonts w:cs="Times New Roman"/>
          <w:bCs/>
        </w:rPr>
        <w:t xml:space="preserve">bonnes pratiques </w:t>
      </w:r>
      <w:r w:rsidR="00C95CB0" w:rsidRPr="00AB797B">
        <w:rPr>
          <w:rFonts w:cs="Times New Roman"/>
          <w:bCs/>
        </w:rPr>
        <w:t>sur les MCPGC</w:t>
      </w:r>
      <w:r w:rsidR="00C95CB0" w:rsidRPr="00146260">
        <w:rPr>
          <w:rFonts w:cs="Times New Roman"/>
          <w:bCs/>
        </w:rPr>
        <w:t xml:space="preserve"> </w:t>
      </w:r>
      <w:r w:rsidR="00C95CB0">
        <w:rPr>
          <w:rFonts w:cs="Times New Roman"/>
          <w:bCs/>
        </w:rPr>
        <w:t xml:space="preserve">notamment sur l’implication des femmes </w:t>
      </w:r>
      <w:r w:rsidR="00DF0F15">
        <w:rPr>
          <w:rFonts w:cs="Times New Roman"/>
          <w:bCs/>
        </w:rPr>
        <w:t xml:space="preserve">ont été faits, ce qui favorise ainsi la diffusion et l’adoption de ces bonnes pratiques au-delà de la zone d’intervention du projet. </w:t>
      </w:r>
      <w:r w:rsidR="00CC0D73">
        <w:rPr>
          <w:rFonts w:cs="Times New Roman"/>
          <w:bCs/>
        </w:rPr>
        <w:t xml:space="preserve">Enfin, il faut souligner que les activités de sensibilisations, de distributions et de formation sur la fabrication de kits de protection contre la COVID-19 ont été salutaires, en ce qu’elles </w:t>
      </w:r>
      <w:r w:rsidR="00B40FBD">
        <w:rPr>
          <w:rFonts w:cs="Times New Roman"/>
          <w:bCs/>
        </w:rPr>
        <w:t>ont permis d</w:t>
      </w:r>
      <w:r w:rsidR="005603DB">
        <w:rPr>
          <w:rFonts w:cs="Times New Roman"/>
          <w:bCs/>
        </w:rPr>
        <w:t>e combler l’insuffisance de la réponse gouver</w:t>
      </w:r>
      <w:r w:rsidR="00394BE3">
        <w:rPr>
          <w:rFonts w:cs="Times New Roman"/>
          <w:bCs/>
        </w:rPr>
        <w:t xml:space="preserve">nementale contre la COVID-19 et d’éviter la propagation de la pandémie. Ces effets sont documentés plus en détail dans </w:t>
      </w:r>
      <w:r w:rsidR="00A61CBB">
        <w:rPr>
          <w:rFonts w:cs="Times New Roman"/>
          <w:bCs/>
        </w:rPr>
        <w:t>l’analyse du critère d’impact (Constat 12).</w:t>
      </w:r>
      <w:r w:rsidR="007760A2">
        <w:rPr>
          <w:rFonts w:cs="Times New Roman"/>
          <w:bCs/>
        </w:rPr>
        <w:t xml:space="preserve"> </w:t>
      </w:r>
    </w:p>
    <w:p w14:paraId="1BF7D9E1" w14:textId="70E5BF2B" w:rsidR="00BB4B7D" w:rsidRPr="00BB4B7D" w:rsidRDefault="00BB4B7D" w:rsidP="00FB2B45">
      <w:pPr>
        <w:pStyle w:val="Paragraphedeliste"/>
        <w:numPr>
          <w:ilvl w:val="0"/>
          <w:numId w:val="23"/>
        </w:numPr>
        <w:spacing w:before="240" w:line="276" w:lineRule="auto"/>
        <w:rPr>
          <w:rFonts w:cs="Times New Roman"/>
        </w:rPr>
      </w:pPr>
      <w:r>
        <w:rPr>
          <w:rFonts w:cs="Times New Roman"/>
        </w:rPr>
        <w:t xml:space="preserve">La mise en œuvre du projet a été confrontée à plusieurs </w:t>
      </w:r>
      <w:r w:rsidRPr="00BB4B7D">
        <w:rPr>
          <w:rFonts w:cs="Times New Roman"/>
        </w:rPr>
        <w:t>contraintes port</w:t>
      </w:r>
      <w:r>
        <w:rPr>
          <w:rFonts w:cs="Times New Roman"/>
        </w:rPr>
        <w:t>a</w:t>
      </w:r>
      <w:r w:rsidRPr="00BB4B7D">
        <w:rPr>
          <w:rFonts w:cs="Times New Roman"/>
        </w:rPr>
        <w:t xml:space="preserve">nt </w:t>
      </w:r>
      <w:r>
        <w:rPr>
          <w:rFonts w:cs="Times New Roman"/>
        </w:rPr>
        <w:t xml:space="preserve">notamment </w:t>
      </w:r>
      <w:r w:rsidRPr="00BB4B7D">
        <w:rPr>
          <w:rFonts w:cs="Times New Roman"/>
        </w:rPr>
        <w:t xml:space="preserve">sur la détérioration </w:t>
      </w:r>
      <w:r w:rsidR="00A71B55">
        <w:rPr>
          <w:rFonts w:cs="Times New Roman"/>
        </w:rPr>
        <w:t xml:space="preserve">crescendo </w:t>
      </w:r>
      <w:r w:rsidRPr="00BB4B7D">
        <w:rPr>
          <w:rFonts w:cs="Times New Roman"/>
        </w:rPr>
        <w:t xml:space="preserve">du contexte sécuritaire, la pandémie de la COVID-19, les troubles socio-politiques et quelques difficultés d’ordre organisationnel. La plupart des facteurs qui étaient identifiés dès la conception du projet comme des risques ont été gérés de sorte à assurer la continuité de la mise en œuvre. </w:t>
      </w:r>
    </w:p>
    <w:p w14:paraId="4530C0F7" w14:textId="17D37CC7" w:rsidR="00BB4B7D" w:rsidRPr="00673890" w:rsidRDefault="00BB4B7D" w:rsidP="042776B5">
      <w:pPr>
        <w:pStyle w:val="Paragraphedeliste"/>
        <w:numPr>
          <w:ilvl w:val="0"/>
          <w:numId w:val="23"/>
        </w:numPr>
        <w:spacing w:before="240" w:line="276" w:lineRule="auto"/>
        <w:rPr>
          <w:rFonts w:cs="Times New Roman"/>
        </w:rPr>
      </w:pPr>
      <w:r w:rsidRPr="042776B5">
        <w:rPr>
          <w:rFonts w:cs="Times New Roman"/>
          <w:b/>
          <w:bCs/>
          <w:i/>
          <w:iCs/>
        </w:rPr>
        <w:t>L’insécurité caractérisée par des attaques de nature terroriste</w:t>
      </w:r>
      <w:r w:rsidRPr="042776B5">
        <w:rPr>
          <w:rFonts w:cs="Times New Roman"/>
        </w:rPr>
        <w:t xml:space="preserve"> </w:t>
      </w:r>
      <w:r w:rsidR="1F766D6C" w:rsidRPr="042776B5">
        <w:rPr>
          <w:rFonts w:cs="Times New Roman"/>
        </w:rPr>
        <w:t xml:space="preserve">a </w:t>
      </w:r>
      <w:r w:rsidRPr="042776B5">
        <w:rPr>
          <w:rFonts w:cs="Times New Roman"/>
        </w:rPr>
        <w:t>constitué le premier facteur de blocage dans la mise en œuvre des activités du projet. Dès fin 2019, les attaques d’envergure contre les forces armées maliennes (à Indélicate et à Inatès) et nigériennes (à Chinagoder et à Ayerou), ont entrainé le repli des postes militaires des zones frontalières vers des zones plus sécurisées ou sécurisables. Il s’en est suivit une dégradation de la situation dans les zones délaissées avec la multiplication des menaces et des actes violents. Cette situation a sérieusement handicapé la mise en œuvre des activités du fait de l’inaccessibilité des communautés par les acteurs de mise en œuvre, les risques pour ces acteurs (personnel des agences d’exécution, ONG locales et acteurs institutionnels) devenant plus importants. Trois tentatives de rencontres avec les autorités locales (Gouverneurs, préfets, sous-préfets, maires) ont été avortées en raison de ces différentes contraintes et des évènements imprévus. Les déplacements des populations bénéficiaires des zones frontalières vers Gao et Ansongo au Mali et vers Tillabéry au Niger ont aussi contribué à vider certaines zones d’intervention de leurs populations. Au regard de la situation, les agences d’exécution ont élaboré en mars 2020, une note d’information à l’intention de PBF, demandant une extension sans cout du projet de 9 mois pour rattraper le retard accusé. Par la suite, le risque a aussi été géré par la mise en place et le respect des mesures de sécurité, la délocalisation des activités dans les chefs-lieux de région ou les capitales et la reformulation des activités rendues impossibles en des activités de lutte contre la COVID-19.</w:t>
      </w:r>
      <w:r w:rsidR="007068E8" w:rsidRPr="042776B5">
        <w:rPr>
          <w:rFonts w:cs="Times New Roman"/>
        </w:rPr>
        <w:t xml:space="preserve"> </w:t>
      </w:r>
      <w:r w:rsidRPr="042776B5">
        <w:rPr>
          <w:rFonts w:cs="Times New Roman"/>
        </w:rPr>
        <w:t xml:space="preserve">Cela </w:t>
      </w:r>
      <w:r w:rsidR="7D75D361" w:rsidRPr="042776B5">
        <w:rPr>
          <w:rFonts w:cs="Times New Roman"/>
        </w:rPr>
        <w:t xml:space="preserve">a </w:t>
      </w:r>
      <w:r w:rsidRPr="042776B5">
        <w:rPr>
          <w:rFonts w:cs="Times New Roman"/>
        </w:rPr>
        <w:t>permis de réaliser la plupart des activités à l’exception de</w:t>
      </w:r>
      <w:r w:rsidR="0032215B">
        <w:rPr>
          <w:rFonts w:cs="Times New Roman"/>
        </w:rPr>
        <w:t xml:space="preserve"> certaines</w:t>
      </w:r>
      <w:r w:rsidRPr="042776B5">
        <w:rPr>
          <w:rFonts w:cs="Times New Roman"/>
        </w:rPr>
        <w:t xml:space="preserve"> activités transfrontalières. </w:t>
      </w:r>
    </w:p>
    <w:p w14:paraId="7A679D31" w14:textId="58BFDCFE" w:rsidR="00BB4B7D" w:rsidRDefault="00BB4B7D" w:rsidP="00EF6D51">
      <w:pPr>
        <w:pStyle w:val="Paragraphedeliste"/>
        <w:numPr>
          <w:ilvl w:val="0"/>
          <w:numId w:val="23"/>
        </w:numPr>
        <w:spacing w:line="276" w:lineRule="auto"/>
        <w:rPr>
          <w:rFonts w:cs="Times New Roman"/>
          <w:bCs/>
        </w:rPr>
      </w:pPr>
      <w:r>
        <w:rPr>
          <w:rFonts w:cs="Times New Roman"/>
          <w:b/>
          <w:i/>
          <w:iCs/>
        </w:rPr>
        <w:t xml:space="preserve">La crise sanitaire liée à la COVID-19 : </w:t>
      </w:r>
      <w:r w:rsidRPr="00585320">
        <w:rPr>
          <w:rFonts w:cs="Times New Roman"/>
          <w:bCs/>
        </w:rPr>
        <w:t xml:space="preserve">les mesures </w:t>
      </w:r>
      <w:r>
        <w:rPr>
          <w:rFonts w:cs="Times New Roman"/>
          <w:bCs/>
        </w:rPr>
        <w:t xml:space="preserve">gouvernementales au </w:t>
      </w:r>
      <w:r w:rsidRPr="00585320">
        <w:rPr>
          <w:rFonts w:cs="Times New Roman"/>
          <w:bCs/>
        </w:rPr>
        <w:t xml:space="preserve">Mali et </w:t>
      </w:r>
      <w:r>
        <w:rPr>
          <w:rFonts w:cs="Times New Roman"/>
          <w:bCs/>
        </w:rPr>
        <w:t>a</w:t>
      </w:r>
      <w:r w:rsidRPr="00585320">
        <w:rPr>
          <w:rFonts w:cs="Times New Roman"/>
          <w:bCs/>
        </w:rPr>
        <w:t>u Niger sur les regroupements de personnes, les restrictions de mouvemen</w:t>
      </w:r>
      <w:r>
        <w:rPr>
          <w:rFonts w:cs="Times New Roman"/>
          <w:bCs/>
        </w:rPr>
        <w:t xml:space="preserve">ts </w:t>
      </w:r>
      <w:r w:rsidRPr="00585320">
        <w:rPr>
          <w:rFonts w:cs="Times New Roman"/>
          <w:bCs/>
        </w:rPr>
        <w:t xml:space="preserve">y compris </w:t>
      </w:r>
      <w:r>
        <w:rPr>
          <w:rFonts w:cs="Times New Roman"/>
          <w:bCs/>
        </w:rPr>
        <w:t xml:space="preserve">au niveau </w:t>
      </w:r>
      <w:r w:rsidRPr="00585320">
        <w:rPr>
          <w:rFonts w:cs="Times New Roman"/>
          <w:bCs/>
        </w:rPr>
        <w:t xml:space="preserve">transfrontalier, </w:t>
      </w:r>
      <w:r>
        <w:rPr>
          <w:rFonts w:cs="Times New Roman"/>
          <w:bCs/>
        </w:rPr>
        <w:t xml:space="preserve">ainsi que </w:t>
      </w:r>
      <w:r w:rsidRPr="00585320">
        <w:rPr>
          <w:rFonts w:cs="Times New Roman"/>
          <w:bCs/>
        </w:rPr>
        <w:t>les mesures de protection et de prévention</w:t>
      </w:r>
      <w:r>
        <w:rPr>
          <w:rFonts w:cs="Times New Roman"/>
          <w:bCs/>
        </w:rPr>
        <w:t xml:space="preserve"> </w:t>
      </w:r>
      <w:r w:rsidRPr="00585320">
        <w:rPr>
          <w:rFonts w:cs="Times New Roman"/>
          <w:bCs/>
        </w:rPr>
        <w:t>ont</w:t>
      </w:r>
      <w:r>
        <w:rPr>
          <w:rFonts w:cs="Times New Roman"/>
          <w:bCs/>
        </w:rPr>
        <w:t xml:space="preserve"> </w:t>
      </w:r>
      <w:r w:rsidRPr="00585320">
        <w:rPr>
          <w:rFonts w:cs="Times New Roman"/>
          <w:bCs/>
        </w:rPr>
        <w:t>empêché la tenue de certaines activités</w:t>
      </w:r>
      <w:r>
        <w:rPr>
          <w:rFonts w:cs="Times New Roman"/>
          <w:bCs/>
        </w:rPr>
        <w:t xml:space="preserve"> terrain. La stratégie de gestion de ce risque a consisté surtout en l’intégration des activités de riposte contre la pandémie à travers la reformulation des activités impossibles à réaliser en vertu du contexte sécuritaire.</w:t>
      </w:r>
      <w:r w:rsidR="007068E8">
        <w:rPr>
          <w:rFonts w:cs="Times New Roman"/>
          <w:bCs/>
        </w:rPr>
        <w:t xml:space="preserve"> </w:t>
      </w:r>
    </w:p>
    <w:p w14:paraId="74065C5B" w14:textId="77777777" w:rsidR="00BB4B7D" w:rsidRPr="00251979" w:rsidRDefault="00BB4B7D" w:rsidP="00FB2B45">
      <w:pPr>
        <w:pStyle w:val="Paragraphedeliste"/>
        <w:numPr>
          <w:ilvl w:val="0"/>
          <w:numId w:val="23"/>
        </w:numPr>
        <w:spacing w:before="240" w:line="276" w:lineRule="auto"/>
        <w:rPr>
          <w:rFonts w:cs="Times New Roman"/>
          <w:bCs/>
        </w:rPr>
      </w:pPr>
      <w:r w:rsidRPr="00184029">
        <w:rPr>
          <w:rFonts w:cs="Times New Roman"/>
          <w:b/>
          <w:i/>
          <w:iCs/>
        </w:rPr>
        <w:t xml:space="preserve">Les troubles socio-politiques ayant caractérisé la période des élections législatives maliennes de </w:t>
      </w:r>
      <w:r w:rsidRPr="00184029">
        <w:rPr>
          <w:rFonts w:cs="Times New Roman"/>
          <w:b/>
        </w:rPr>
        <w:t>mars à avril 2020</w:t>
      </w:r>
      <w:r w:rsidRPr="00184029">
        <w:rPr>
          <w:rFonts w:cs="Times New Roman"/>
          <w:bCs/>
        </w:rPr>
        <w:t> :</w:t>
      </w:r>
      <w:r w:rsidRPr="007422F1">
        <w:t xml:space="preserve"> </w:t>
      </w:r>
      <w:r>
        <w:t xml:space="preserve">les tensions nées des </w:t>
      </w:r>
      <w:r w:rsidRPr="00184029">
        <w:rPr>
          <w:rFonts w:cs="Times New Roman"/>
          <w:bCs/>
        </w:rPr>
        <w:t xml:space="preserve">velléités de contestation du processus électoral et des menaces à l’endroit des votants et des candidats ont eu pour effet d’installer un climat hostile à la continuité des activités terrains. </w:t>
      </w:r>
      <w:r>
        <w:rPr>
          <w:rFonts w:cs="Times New Roman"/>
          <w:bCs/>
        </w:rPr>
        <w:t>Ainsi, d</w:t>
      </w:r>
      <w:r w:rsidRPr="00184029">
        <w:rPr>
          <w:rFonts w:cs="Times New Roman"/>
          <w:bCs/>
        </w:rPr>
        <w:t xml:space="preserve">ans les zones </w:t>
      </w:r>
      <w:r>
        <w:rPr>
          <w:rFonts w:cs="Times New Roman"/>
          <w:bCs/>
        </w:rPr>
        <w:t>critiques (</w:t>
      </w:r>
      <w:r w:rsidRPr="00184029">
        <w:rPr>
          <w:rFonts w:cs="Times New Roman"/>
          <w:bCs/>
        </w:rPr>
        <w:t>frontalières</w:t>
      </w:r>
      <w:r>
        <w:rPr>
          <w:rFonts w:cs="Times New Roman"/>
          <w:bCs/>
        </w:rPr>
        <w:t xml:space="preserve"> notamment)</w:t>
      </w:r>
      <w:r w:rsidRPr="00184029">
        <w:rPr>
          <w:rFonts w:cs="Times New Roman"/>
          <w:bCs/>
        </w:rPr>
        <w:t xml:space="preserve">, </w:t>
      </w:r>
      <w:r>
        <w:rPr>
          <w:rFonts w:cs="Times New Roman"/>
          <w:bCs/>
        </w:rPr>
        <w:t xml:space="preserve">les activités terrain ont été </w:t>
      </w:r>
      <w:r w:rsidRPr="00184029">
        <w:rPr>
          <w:rFonts w:cs="Times New Roman"/>
          <w:bCs/>
        </w:rPr>
        <w:t>suspen</w:t>
      </w:r>
      <w:r>
        <w:rPr>
          <w:rFonts w:cs="Times New Roman"/>
          <w:bCs/>
        </w:rPr>
        <w:t>dues</w:t>
      </w:r>
      <w:r w:rsidRPr="00184029">
        <w:rPr>
          <w:rFonts w:cs="Times New Roman"/>
          <w:bCs/>
        </w:rPr>
        <w:t xml:space="preserve"> </w:t>
      </w:r>
      <w:r>
        <w:rPr>
          <w:rFonts w:cs="Times New Roman"/>
          <w:bCs/>
        </w:rPr>
        <w:t xml:space="preserve">par les autorités locales </w:t>
      </w:r>
      <w:r w:rsidRPr="00251979">
        <w:rPr>
          <w:rFonts w:cs="Times New Roman"/>
          <w:bCs/>
        </w:rPr>
        <w:t>pour prévenir les dommages collatéraux.</w:t>
      </w:r>
    </w:p>
    <w:p w14:paraId="3311FD21" w14:textId="78EEE6D5" w:rsidR="00BB4B7D" w:rsidRPr="00251979" w:rsidRDefault="00BB4B7D" w:rsidP="00FB2B45">
      <w:pPr>
        <w:pStyle w:val="Paragraphedeliste"/>
        <w:numPr>
          <w:ilvl w:val="0"/>
          <w:numId w:val="23"/>
        </w:numPr>
        <w:spacing w:before="240" w:line="276" w:lineRule="auto"/>
        <w:rPr>
          <w:rFonts w:cs="Times New Roman"/>
          <w:bCs/>
        </w:rPr>
      </w:pPr>
      <w:r w:rsidRPr="00251979">
        <w:rPr>
          <w:rFonts w:cs="Times New Roman"/>
          <w:b/>
          <w:i/>
          <w:iCs/>
        </w:rPr>
        <w:t>Les difficultés d’ordre organisationnel </w:t>
      </w:r>
      <w:r w:rsidRPr="00251979">
        <w:rPr>
          <w:rFonts w:cs="Times New Roman"/>
          <w:bCs/>
        </w:rPr>
        <w:t xml:space="preserve">: ces difficultés sont surtout liées aux contraintes logistiques dans la mobilisation des </w:t>
      </w:r>
      <w:r w:rsidR="0068596D">
        <w:rPr>
          <w:rFonts w:cs="Times New Roman"/>
          <w:bCs/>
        </w:rPr>
        <w:t>ACP</w:t>
      </w:r>
      <w:r w:rsidR="0068596D" w:rsidRPr="00251979">
        <w:rPr>
          <w:rFonts w:cs="Times New Roman"/>
          <w:bCs/>
        </w:rPr>
        <w:t xml:space="preserve"> </w:t>
      </w:r>
      <w:r w:rsidR="0068596D">
        <w:rPr>
          <w:rFonts w:cs="Times New Roman"/>
          <w:bCs/>
        </w:rPr>
        <w:t xml:space="preserve">basés à Bamako </w:t>
      </w:r>
      <w:r w:rsidRPr="00251979">
        <w:rPr>
          <w:rFonts w:cs="Times New Roman"/>
          <w:bCs/>
        </w:rPr>
        <w:t xml:space="preserve">pour </w:t>
      </w:r>
      <w:r w:rsidR="0068596D">
        <w:rPr>
          <w:rFonts w:cs="Times New Roman"/>
          <w:bCs/>
        </w:rPr>
        <w:t>la participation aux</w:t>
      </w:r>
      <w:r w:rsidR="0068596D" w:rsidRPr="00251979">
        <w:rPr>
          <w:rFonts w:cs="Times New Roman"/>
          <w:bCs/>
        </w:rPr>
        <w:t xml:space="preserve"> </w:t>
      </w:r>
      <w:r w:rsidRPr="00251979">
        <w:rPr>
          <w:rFonts w:cs="Times New Roman"/>
          <w:bCs/>
        </w:rPr>
        <w:t>activités du projet</w:t>
      </w:r>
      <w:r w:rsidR="0068596D">
        <w:rPr>
          <w:rFonts w:cs="Times New Roman"/>
          <w:bCs/>
        </w:rPr>
        <w:t xml:space="preserve"> à Gao et à Ménaka</w:t>
      </w:r>
      <w:r w:rsidRPr="00251979">
        <w:rPr>
          <w:rFonts w:cs="Times New Roman"/>
          <w:bCs/>
        </w:rPr>
        <w:t xml:space="preserve">, entrainant des surcoûts. Pour y faire face, ONUDC a mis en place une organisation logistique avec l’appui de la MINUSMA pour faciliter leur participation. Les acteurs de mise en œuvre ont aussi souligné les intempéries comme les tempêtes de sable et les pluies diluviennes qui rendent impraticables les routes d’accès aux zones d’intervention ou causent d’énormes dégâts aux moyens roulants. </w:t>
      </w:r>
    </w:p>
    <w:p w14:paraId="5428AE62" w14:textId="0F95FE64" w:rsidR="00BB4B7D" w:rsidRPr="007E5827" w:rsidRDefault="00FB2EF2" w:rsidP="042776B5">
      <w:pPr>
        <w:pStyle w:val="Paragraphedeliste"/>
        <w:numPr>
          <w:ilvl w:val="0"/>
          <w:numId w:val="23"/>
        </w:numPr>
        <w:spacing w:before="240" w:line="276" w:lineRule="auto"/>
        <w:rPr>
          <w:rFonts w:cs="Times New Roman"/>
        </w:rPr>
      </w:pPr>
      <w:r w:rsidRPr="042776B5">
        <w:rPr>
          <w:rFonts w:cs="Times New Roman"/>
          <w:b/>
          <w:bCs/>
          <w:i/>
          <w:iCs/>
        </w:rPr>
        <w:t xml:space="preserve">Le fort ancrage des pesanteurs socio-culturelles a aussi constitué un facteur de blocage en matière d’implication effective des femmes et des jeunes aux initiatives communautaires de paix et de cohésion sociale. </w:t>
      </w:r>
      <w:r w:rsidR="00BB4B7D" w:rsidRPr="042776B5">
        <w:rPr>
          <w:rFonts w:cs="Times New Roman"/>
        </w:rPr>
        <w:t xml:space="preserve">Les pesanteurs socio-culturelles </w:t>
      </w:r>
      <w:r w:rsidR="00202937">
        <w:rPr>
          <w:rFonts w:cs="Times New Roman"/>
        </w:rPr>
        <w:t>comme la division sexuelle du travail cantonnant la femme aux travaux ménagers,</w:t>
      </w:r>
      <w:r w:rsidR="007E6ED4">
        <w:rPr>
          <w:rFonts w:cs="Times New Roman"/>
        </w:rPr>
        <w:t xml:space="preserve"> l</w:t>
      </w:r>
      <w:r w:rsidR="00A60877">
        <w:rPr>
          <w:rFonts w:cs="Times New Roman"/>
        </w:rPr>
        <w:t>es stéréotypes d’infériorité et de subordination de la femme hérités du patriarcat et leur intériorisation par les femmes</w:t>
      </w:r>
      <w:r w:rsidR="00202937">
        <w:rPr>
          <w:rFonts w:cs="Times New Roman"/>
        </w:rPr>
        <w:t xml:space="preserve"> </w:t>
      </w:r>
      <w:r w:rsidR="00BB4B7D" w:rsidRPr="042776B5">
        <w:rPr>
          <w:rFonts w:cs="Times New Roman"/>
        </w:rPr>
        <w:t>sont généralement défavorables à la participation des femmes et des jeunes à la gestion de la cité. Ces résistances ont été ressenties lorsqu’il s’est agi d’augmenter la représentativité des femmes et des jeunes dans les comités locaux de veilles et de gestion des conflits.</w:t>
      </w:r>
      <w:r w:rsidR="00BB4B7D">
        <w:t xml:space="preserve"> Toutefois, avec la c</w:t>
      </w:r>
      <w:r w:rsidR="00BB4B7D" w:rsidRPr="042776B5">
        <w:rPr>
          <w:rFonts w:cs="Times New Roman"/>
        </w:rPr>
        <w:t>ommunication et l’implication des chefs et leaders traditionnels et religieux dans le processus, cela a été possible.</w:t>
      </w:r>
      <w:r w:rsidR="007068E8" w:rsidRPr="042776B5">
        <w:rPr>
          <w:rFonts w:cs="Times New Roman"/>
        </w:rPr>
        <w:t xml:space="preserve"> </w:t>
      </w:r>
    </w:p>
    <w:p w14:paraId="1F0CB2B6" w14:textId="77777777" w:rsidR="00BB4B7D" w:rsidRDefault="00BB4B7D" w:rsidP="009F3149">
      <w:pPr>
        <w:spacing w:before="0" w:line="276" w:lineRule="auto"/>
        <w:rPr>
          <w:rFonts w:cs="Times New Roman"/>
          <w:bCs/>
        </w:rPr>
      </w:pPr>
    </w:p>
    <w:p w14:paraId="20EE4B81" w14:textId="0AD331B2" w:rsidR="006F5235" w:rsidRDefault="006F5235" w:rsidP="00DF4AC8">
      <w:pPr>
        <w:pStyle w:val="Titre3"/>
      </w:pPr>
      <w:bookmarkStart w:id="947" w:name="_Hlk86823771"/>
      <w:r>
        <w:t xml:space="preserve">Constat </w:t>
      </w:r>
      <w:r w:rsidR="00D137F5">
        <w:t>6</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6F5235" w14:paraId="6D056029" w14:textId="77777777" w:rsidTr="0068596D">
        <w:trPr>
          <w:trHeight w:val="821"/>
        </w:trPr>
        <w:tc>
          <w:tcPr>
            <w:tcW w:w="9341" w:type="dxa"/>
            <w:shd w:val="clear" w:color="auto" w:fill="auto"/>
          </w:tcPr>
          <w:p w14:paraId="7BB2A4CA" w14:textId="7ACF3A34" w:rsidR="006F5235" w:rsidRDefault="006F5235" w:rsidP="009E2DEE">
            <w:pPr>
              <w:spacing w:line="276" w:lineRule="auto"/>
              <w:rPr>
                <w:rFonts w:cs="Times New Roman"/>
                <w:b/>
                <w:bCs/>
                <w:color w:val="0070C0"/>
              </w:rPr>
            </w:pPr>
            <w:r w:rsidRPr="006F5235">
              <w:rPr>
                <w:rFonts w:cs="Times New Roman"/>
                <w:b/>
                <w:bCs/>
                <w:color w:val="0070C0"/>
              </w:rPr>
              <w:t xml:space="preserve">Les activités mises en œuvre </w:t>
            </w:r>
            <w:r w:rsidR="00191FD2">
              <w:rPr>
                <w:rFonts w:cs="Times New Roman"/>
                <w:b/>
                <w:bCs/>
                <w:color w:val="0070C0"/>
              </w:rPr>
              <w:t>par le projet ont apporté</w:t>
            </w:r>
            <w:r w:rsidRPr="006F5235">
              <w:rPr>
                <w:rFonts w:cs="Times New Roman"/>
                <w:b/>
                <w:bCs/>
                <w:color w:val="0070C0"/>
              </w:rPr>
              <w:t xml:space="preserve"> une réponse</w:t>
            </w:r>
            <w:r w:rsidR="00A12C4A">
              <w:rPr>
                <w:rFonts w:cs="Times New Roman"/>
                <w:b/>
                <w:bCs/>
                <w:color w:val="0070C0"/>
              </w:rPr>
              <w:t xml:space="preserve"> </w:t>
            </w:r>
            <w:r w:rsidRPr="006F5235">
              <w:rPr>
                <w:rFonts w:cs="Times New Roman"/>
                <w:b/>
                <w:bCs/>
                <w:color w:val="0070C0"/>
              </w:rPr>
              <w:t>aux problèmes identifiés par l’analyse du contexte</w:t>
            </w:r>
            <w:r w:rsidR="007C4DC5">
              <w:rPr>
                <w:rFonts w:cs="Times New Roman"/>
                <w:b/>
                <w:bCs/>
                <w:color w:val="0070C0"/>
              </w:rPr>
              <w:t xml:space="preserve">. Ces activités allient dans une </w:t>
            </w:r>
            <w:r w:rsidR="00DC6181">
              <w:rPr>
                <w:rFonts w:cs="Times New Roman"/>
                <w:b/>
                <w:bCs/>
                <w:color w:val="0070C0"/>
              </w:rPr>
              <w:t xml:space="preserve">certaine mesure, </w:t>
            </w:r>
            <w:r w:rsidR="007C4DC5">
              <w:rPr>
                <w:rFonts w:cs="Times New Roman"/>
                <w:b/>
                <w:bCs/>
                <w:color w:val="0070C0"/>
              </w:rPr>
              <w:t>des solutions de court terme et de long terme en s’attaquant aux défis de la</w:t>
            </w:r>
            <w:r w:rsidR="007068E8">
              <w:rPr>
                <w:rFonts w:cs="Times New Roman"/>
                <w:b/>
                <w:bCs/>
                <w:color w:val="0070C0"/>
              </w:rPr>
              <w:t xml:space="preserve"> </w:t>
            </w:r>
            <w:r w:rsidR="007C4DC5">
              <w:rPr>
                <w:rFonts w:cs="Times New Roman"/>
                <w:b/>
                <w:bCs/>
                <w:color w:val="0070C0"/>
              </w:rPr>
              <w:t xml:space="preserve">COVID-19, et aux </w:t>
            </w:r>
            <w:r w:rsidR="007C4DC5" w:rsidRPr="009F3149">
              <w:rPr>
                <w:rFonts w:cs="Times New Roman"/>
                <w:b/>
                <w:bCs/>
                <w:color w:val="0070C0"/>
              </w:rPr>
              <w:t>questions de sécurité et de cohésion sociale à travers la promotion du genre et des droits humains.</w:t>
            </w:r>
            <w:r w:rsidR="007068E8">
              <w:rPr>
                <w:rFonts w:cs="Times New Roman"/>
                <w:b/>
                <w:bCs/>
                <w:color w:val="0070C0"/>
              </w:rPr>
              <w:t xml:space="preserve"> </w:t>
            </w:r>
            <w:r w:rsidRPr="009F3149">
              <w:rPr>
                <w:rFonts w:cs="Times New Roman"/>
                <w:b/>
                <w:bCs/>
                <w:color w:val="0070C0"/>
              </w:rPr>
              <w:t xml:space="preserve">La plupart des populations bénéficiaires </w:t>
            </w:r>
            <w:r w:rsidR="00F87064" w:rsidRPr="009F3149">
              <w:rPr>
                <w:rFonts w:cs="Times New Roman"/>
                <w:b/>
                <w:bCs/>
                <w:color w:val="0070C0"/>
              </w:rPr>
              <w:t>et</w:t>
            </w:r>
            <w:r w:rsidRPr="009F3149">
              <w:rPr>
                <w:rFonts w:cs="Times New Roman"/>
                <w:b/>
                <w:bCs/>
                <w:color w:val="0070C0"/>
              </w:rPr>
              <w:t xml:space="preserve"> des FDS &amp; ACP </w:t>
            </w:r>
            <w:r w:rsidR="00271241">
              <w:rPr>
                <w:rFonts w:cs="Times New Roman"/>
                <w:b/>
                <w:bCs/>
                <w:color w:val="0070C0"/>
              </w:rPr>
              <w:t xml:space="preserve">enquêtés </w:t>
            </w:r>
            <w:r w:rsidRPr="009F3149">
              <w:rPr>
                <w:rFonts w:cs="Times New Roman"/>
                <w:b/>
                <w:bCs/>
                <w:color w:val="0070C0"/>
              </w:rPr>
              <w:t>apprécient positivement les activités exécutées</w:t>
            </w:r>
            <w:r w:rsidR="00A12C4A" w:rsidRPr="009F3149">
              <w:rPr>
                <w:rFonts w:cs="Times New Roman"/>
                <w:b/>
                <w:bCs/>
                <w:color w:val="0070C0"/>
              </w:rPr>
              <w:t>.</w:t>
            </w:r>
            <w:r w:rsidR="00DC6181" w:rsidRPr="009F3149">
              <w:rPr>
                <w:rFonts w:cs="Times New Roman"/>
                <w:b/>
                <w:bCs/>
                <w:color w:val="0070C0"/>
              </w:rPr>
              <w:t xml:space="preserve"> Toutefois, le volet relatif au renforcement de la résilience économique des </w:t>
            </w:r>
            <w:r w:rsidR="00271241">
              <w:rPr>
                <w:rFonts w:cs="Times New Roman"/>
                <w:b/>
                <w:bCs/>
                <w:color w:val="0070C0"/>
              </w:rPr>
              <w:t>communautés</w:t>
            </w:r>
            <w:r w:rsidR="00DC6181" w:rsidRPr="009F3149">
              <w:rPr>
                <w:rFonts w:cs="Times New Roman"/>
                <w:b/>
                <w:bCs/>
                <w:color w:val="0070C0"/>
              </w:rPr>
              <w:t xml:space="preserve"> n’a pas </w:t>
            </w:r>
            <w:r w:rsidR="00797B4C" w:rsidRPr="009F3149">
              <w:rPr>
                <w:rFonts w:cs="Times New Roman"/>
                <w:b/>
                <w:bCs/>
                <w:color w:val="0070C0"/>
              </w:rPr>
              <w:t xml:space="preserve">suffisamment </w:t>
            </w:r>
            <w:r w:rsidR="00DC6181" w:rsidRPr="009F3149">
              <w:rPr>
                <w:rFonts w:cs="Times New Roman"/>
                <w:b/>
                <w:bCs/>
                <w:color w:val="0070C0"/>
              </w:rPr>
              <w:t>été traité.</w:t>
            </w:r>
          </w:p>
          <w:p w14:paraId="79A5E9C0" w14:textId="55EBAD32" w:rsidR="006F5235" w:rsidRPr="00191FD2" w:rsidRDefault="00191FD2" w:rsidP="009E2DEE">
            <w:pPr>
              <w:spacing w:line="276" w:lineRule="auto"/>
              <w:rPr>
                <w:i/>
                <w:iCs/>
              </w:rPr>
            </w:pPr>
            <w:r w:rsidRPr="00191FD2">
              <w:rPr>
                <w:rStyle w:val="fontstyle01"/>
                <w:rFonts w:ascii="Century Gothic" w:hAnsi="Century Gothic"/>
                <w:i/>
                <w:iCs/>
              </w:rPr>
              <w:t xml:space="preserve">Ce constat répond aux questions QE6, </w:t>
            </w:r>
            <w:r w:rsidR="00D137F5">
              <w:rPr>
                <w:rStyle w:val="fontstyle01"/>
                <w:rFonts w:ascii="Century Gothic" w:hAnsi="Century Gothic"/>
                <w:i/>
                <w:iCs/>
              </w:rPr>
              <w:t>QE9</w:t>
            </w:r>
            <w:r w:rsidR="00271241">
              <w:rPr>
                <w:rStyle w:val="fontstyle01"/>
                <w:rFonts w:ascii="Century Gothic" w:hAnsi="Century Gothic"/>
                <w:i/>
                <w:iCs/>
              </w:rPr>
              <w:t xml:space="preserve"> </w:t>
            </w:r>
            <w:r w:rsidR="00BD7BC6">
              <w:rPr>
                <w:rStyle w:val="fontstyle01"/>
                <w:rFonts w:ascii="Century Gothic" w:hAnsi="Century Gothic"/>
                <w:i/>
                <w:iCs/>
              </w:rPr>
              <w:t>et</w:t>
            </w:r>
            <w:r w:rsidRPr="00191FD2">
              <w:rPr>
                <w:rStyle w:val="fontstyle01"/>
                <w:rFonts w:ascii="Century Gothic" w:hAnsi="Century Gothic"/>
                <w:i/>
                <w:iCs/>
              </w:rPr>
              <w:t xml:space="preserve"> QE13</w:t>
            </w:r>
            <w:r w:rsidR="00D137F5">
              <w:rPr>
                <w:rStyle w:val="fontstyle01"/>
                <w:rFonts w:ascii="Century Gothic" w:hAnsi="Century Gothic"/>
                <w:i/>
                <w:iCs/>
              </w:rPr>
              <w:t>.</w:t>
            </w:r>
          </w:p>
        </w:tc>
      </w:tr>
    </w:tbl>
    <w:bookmarkEnd w:id="947"/>
    <w:p w14:paraId="624B0E8E" w14:textId="04AEA965" w:rsidR="00AA3D40" w:rsidRDefault="00487A4F" w:rsidP="00FB2B45">
      <w:pPr>
        <w:pStyle w:val="Paragraphedeliste"/>
        <w:numPr>
          <w:ilvl w:val="0"/>
          <w:numId w:val="23"/>
        </w:numPr>
        <w:spacing w:before="240" w:line="276" w:lineRule="auto"/>
        <w:rPr>
          <w:rFonts w:cs="Times New Roman"/>
        </w:rPr>
      </w:pPr>
      <w:r w:rsidRPr="00A30950">
        <w:rPr>
          <w:rFonts w:cs="Times New Roman"/>
        </w:rPr>
        <w:t xml:space="preserve">Les activités </w:t>
      </w:r>
      <w:r w:rsidR="001F1B85" w:rsidRPr="00A30950">
        <w:rPr>
          <w:rFonts w:cs="Times New Roman"/>
        </w:rPr>
        <w:t xml:space="preserve">mises en œuvre dans le cadre de ce projet </w:t>
      </w:r>
      <w:r w:rsidR="009A0E58" w:rsidRPr="00A30950">
        <w:rPr>
          <w:rFonts w:cs="Times New Roman"/>
        </w:rPr>
        <w:t>relèvent</w:t>
      </w:r>
      <w:r w:rsidR="001F1B85" w:rsidRPr="00A30950">
        <w:rPr>
          <w:rFonts w:cs="Times New Roman"/>
        </w:rPr>
        <w:t xml:space="preserve"> du secteur de la consolidation de la paix, </w:t>
      </w:r>
      <w:r w:rsidR="00D47E8F" w:rsidRPr="00A30950">
        <w:rPr>
          <w:rFonts w:cs="Times New Roman"/>
        </w:rPr>
        <w:t>et entretiennent un lien étroit entre les objectifs humanitaire (court terme) et de développement (moyen et long terme)</w:t>
      </w:r>
      <w:r w:rsidR="001F1B85" w:rsidRPr="00A30950">
        <w:rPr>
          <w:rFonts w:cs="Times New Roman"/>
        </w:rPr>
        <w:t>.</w:t>
      </w:r>
      <w:r w:rsidR="009A0E58" w:rsidRPr="00A30950">
        <w:rPr>
          <w:rFonts w:cs="Times New Roman"/>
        </w:rPr>
        <w:t xml:space="preserve"> </w:t>
      </w:r>
      <w:r w:rsidR="00D47E8F" w:rsidRPr="00A30950">
        <w:rPr>
          <w:rFonts w:cs="Times New Roman"/>
        </w:rPr>
        <w:t xml:space="preserve">Comme le reconnaissent </w:t>
      </w:r>
      <w:r w:rsidR="009A0E58" w:rsidRPr="00A30950">
        <w:rPr>
          <w:rFonts w:cs="Times New Roman"/>
        </w:rPr>
        <w:t>l’Agenda 2030 pour le développement durable (</w:t>
      </w:r>
      <w:r w:rsidR="00D47E8F" w:rsidRPr="00A30950">
        <w:rPr>
          <w:rFonts w:cs="Times New Roman"/>
        </w:rPr>
        <w:t xml:space="preserve">l’ODD16 en particulier), </w:t>
      </w:r>
      <w:r w:rsidR="009A0E58" w:rsidRPr="00A30950">
        <w:rPr>
          <w:rFonts w:cs="Times New Roman"/>
        </w:rPr>
        <w:t xml:space="preserve">les résolutions sur </w:t>
      </w:r>
      <w:r w:rsidR="00D47E8F" w:rsidRPr="00A30950">
        <w:rPr>
          <w:rFonts w:cs="Times New Roman"/>
        </w:rPr>
        <w:t>la pérennisation</w:t>
      </w:r>
      <w:r w:rsidR="009A0E58" w:rsidRPr="00A30950">
        <w:rPr>
          <w:rFonts w:cs="Times New Roman"/>
        </w:rPr>
        <w:t xml:space="preserve"> de la paix, </w:t>
      </w:r>
      <w:r w:rsidR="00D47E8F" w:rsidRPr="00A30950">
        <w:rPr>
          <w:rFonts w:cs="Times New Roman"/>
        </w:rPr>
        <w:t>et</w:t>
      </w:r>
      <w:r w:rsidR="009A0E58" w:rsidRPr="00A30950">
        <w:rPr>
          <w:rFonts w:cs="Times New Roman"/>
        </w:rPr>
        <w:t xml:space="preserve"> les discussions autour du </w:t>
      </w:r>
      <w:r w:rsidR="000B7AF2">
        <w:rPr>
          <w:rFonts w:cs="Times New Roman"/>
        </w:rPr>
        <w:t>N</w:t>
      </w:r>
      <w:r w:rsidR="009A0E58" w:rsidRPr="00A30950">
        <w:rPr>
          <w:rFonts w:cs="Times New Roman"/>
        </w:rPr>
        <w:t>exus Humanitaire-Développement-Paix (HDP)</w:t>
      </w:r>
      <w:r w:rsidR="00D47E8F" w:rsidRPr="00A30950">
        <w:rPr>
          <w:rFonts w:cs="Times New Roman"/>
        </w:rPr>
        <w:t>, la prévention et la gestion des conflits contribuent à réduire les besoins humanitaires et sont un préalable au développement durable (OIT, 2021</w:t>
      </w:r>
      <w:r w:rsidR="00730A62" w:rsidRPr="00A30950">
        <w:rPr>
          <w:rFonts w:cs="Times New Roman"/>
        </w:rPr>
        <w:t>)</w:t>
      </w:r>
      <w:r w:rsidR="00D47E8F" w:rsidRPr="00A30950">
        <w:rPr>
          <w:rStyle w:val="Appelnotedebasdep"/>
          <w:rFonts w:cs="Times New Roman"/>
        </w:rPr>
        <w:footnoteReference w:id="31"/>
      </w:r>
      <w:r w:rsidR="00730A62" w:rsidRPr="00A30950">
        <w:rPr>
          <w:rFonts w:cs="Times New Roman"/>
        </w:rPr>
        <w:t xml:space="preserve">. </w:t>
      </w:r>
      <w:r w:rsidR="0018618D" w:rsidRPr="00A30950">
        <w:rPr>
          <w:rFonts w:cs="Times New Roman"/>
        </w:rPr>
        <w:t xml:space="preserve">Le projet s’est </w:t>
      </w:r>
      <w:r w:rsidR="00730A62" w:rsidRPr="00A30950">
        <w:rPr>
          <w:rFonts w:cs="Times New Roman"/>
        </w:rPr>
        <w:t>particulièrement attaqué</w:t>
      </w:r>
      <w:r w:rsidR="0018618D" w:rsidRPr="00A30950">
        <w:rPr>
          <w:rFonts w:cs="Times New Roman"/>
        </w:rPr>
        <w:t xml:space="preserve"> aux problèmes de représentativité et d</w:t>
      </w:r>
      <w:r w:rsidR="007C4DC5" w:rsidRPr="00A30950">
        <w:rPr>
          <w:rFonts w:cs="Times New Roman"/>
        </w:rPr>
        <w:t xml:space="preserve">’implication des femmes et des jeunes dans les </w:t>
      </w:r>
      <w:r w:rsidR="00E90CF8">
        <w:t>MCPGC</w:t>
      </w:r>
      <w:r w:rsidR="007C4DC5" w:rsidRPr="00A30950">
        <w:rPr>
          <w:rFonts w:cs="Times New Roman"/>
        </w:rPr>
        <w:t xml:space="preserve">, </w:t>
      </w:r>
      <w:r w:rsidR="00730A62" w:rsidRPr="00A30950">
        <w:rPr>
          <w:rFonts w:cs="Times New Roman"/>
        </w:rPr>
        <w:t>aux mentalités sur le rôle et la place des femmes et des jeunes dans les processus de paix, l</w:t>
      </w:r>
      <w:r w:rsidR="007C4DC5" w:rsidRPr="00A30950">
        <w:rPr>
          <w:rFonts w:cs="Times New Roman"/>
        </w:rPr>
        <w:t>a méfiance entre les communautés et les FDS et ACP ainsi que la prise en compte du genre et des droits humains dans les missions des FDS et des ACP dans la zone transfrontalière Mali – Niger.</w:t>
      </w:r>
      <w:r w:rsidR="00027306" w:rsidRPr="00A30950">
        <w:rPr>
          <w:rFonts w:cs="Times New Roman"/>
        </w:rPr>
        <w:t xml:space="preserve"> </w:t>
      </w:r>
    </w:p>
    <w:p w14:paraId="0FFC15DF" w14:textId="18974AD9" w:rsidR="007C4DC5" w:rsidRPr="00A30950" w:rsidRDefault="00A30950" w:rsidP="00FB2B45">
      <w:pPr>
        <w:pStyle w:val="Paragraphedeliste"/>
        <w:numPr>
          <w:ilvl w:val="0"/>
          <w:numId w:val="23"/>
        </w:numPr>
        <w:spacing w:before="240" w:line="276" w:lineRule="auto"/>
        <w:rPr>
          <w:rFonts w:cs="Times New Roman"/>
        </w:rPr>
      </w:pPr>
      <w:r w:rsidRPr="00A30950">
        <w:rPr>
          <w:rFonts w:cs="Times New Roman"/>
        </w:rPr>
        <w:t>Le projet a su aussi répondre aux besoins urgents nés de la crise sanitaire de la COVID-19 en reformulant</w:t>
      </w:r>
      <w:r w:rsidR="00027306" w:rsidRPr="00A30950">
        <w:rPr>
          <w:rFonts w:cs="Times New Roman"/>
        </w:rPr>
        <w:t xml:space="preserve"> de</w:t>
      </w:r>
      <w:r w:rsidRPr="00A30950">
        <w:rPr>
          <w:rFonts w:cs="Times New Roman"/>
        </w:rPr>
        <w:t xml:space="preserve">s </w:t>
      </w:r>
      <w:r w:rsidRPr="00E43B2A">
        <w:rPr>
          <w:rFonts w:cs="Times New Roman"/>
        </w:rPr>
        <w:t xml:space="preserve">activités difficiles/impossibles à réaliser suite à l’aggravation du contexte sécuritaire. </w:t>
      </w:r>
      <w:r w:rsidR="001C66F4">
        <w:rPr>
          <w:rFonts w:cs="Times New Roman"/>
        </w:rPr>
        <w:t xml:space="preserve">Il faut préciser que la COVID-19 est un facteur externe non prévue dans le projet mais auquel le projet a du s’adapter à travers notamment ces reformulations. </w:t>
      </w:r>
      <w:r w:rsidRPr="00E43B2A">
        <w:rPr>
          <w:rFonts w:cs="Times New Roman"/>
        </w:rPr>
        <w:t xml:space="preserve">Toutefois, l’absence d’activités de renforcement de la résilience économique des femmes et des jeunes </w:t>
      </w:r>
      <w:r w:rsidR="000B7AF2" w:rsidRPr="00E43B2A">
        <w:rPr>
          <w:rFonts w:cs="Times New Roman"/>
        </w:rPr>
        <w:t>(renforcement des moyens d’existence) reste le lien faible du nexus HDP dans ce projet</w:t>
      </w:r>
      <w:r w:rsidR="004C59BC">
        <w:rPr>
          <w:rFonts w:cs="Times New Roman"/>
        </w:rPr>
        <w:t>.</w:t>
      </w:r>
    </w:p>
    <w:p w14:paraId="73DD996A" w14:textId="29F7FDBF" w:rsidR="00A30950" w:rsidRDefault="00217241" w:rsidP="00FB2B45">
      <w:pPr>
        <w:pStyle w:val="Paragraphedeliste"/>
        <w:numPr>
          <w:ilvl w:val="0"/>
          <w:numId w:val="23"/>
        </w:numPr>
        <w:spacing w:before="240" w:line="276" w:lineRule="auto"/>
        <w:rPr>
          <w:rFonts w:cs="Times New Roman"/>
        </w:rPr>
      </w:pPr>
      <w:r>
        <w:rPr>
          <w:rFonts w:cs="Times New Roman"/>
        </w:rPr>
        <w:t xml:space="preserve">Par ailleurs, </w:t>
      </w:r>
      <w:bookmarkStart w:id="948" w:name="_Hlk86834421"/>
      <w:r w:rsidR="00E43B2A">
        <w:rPr>
          <w:rFonts w:cs="Times New Roman"/>
        </w:rPr>
        <w:t xml:space="preserve">les données de l’enquête quantitative indiquent </w:t>
      </w:r>
      <w:r w:rsidR="00AA3D40">
        <w:rPr>
          <w:rFonts w:cs="Times New Roman"/>
        </w:rPr>
        <w:t xml:space="preserve">que </w:t>
      </w:r>
      <w:r>
        <w:rPr>
          <w:rFonts w:cs="Times New Roman"/>
        </w:rPr>
        <w:t>8</w:t>
      </w:r>
      <w:r w:rsidR="00E43B2A">
        <w:rPr>
          <w:rFonts w:cs="Times New Roman"/>
        </w:rPr>
        <w:t>1</w:t>
      </w:r>
      <w:r>
        <w:rPr>
          <w:rFonts w:cs="Times New Roman"/>
        </w:rPr>
        <w:t>% des avis émis par les bénéficiaires directs livrent une appréciation positive des activités du projet</w:t>
      </w:r>
      <w:bookmarkEnd w:id="948"/>
      <w:r w:rsidR="00E43B2A">
        <w:rPr>
          <w:rFonts w:cs="Times New Roman"/>
        </w:rPr>
        <w:t>, aussi bien pour les femmes (80% de leurs avis) que les hommes (82%)</w:t>
      </w:r>
      <w:r>
        <w:rPr>
          <w:rFonts w:cs="Times New Roman"/>
        </w:rPr>
        <w:t>.</w:t>
      </w:r>
      <w:r w:rsidR="007068E8">
        <w:rPr>
          <w:rFonts w:cs="Times New Roman"/>
        </w:rPr>
        <w:t xml:space="preserve"> </w:t>
      </w:r>
      <w:r w:rsidR="00E43B2A">
        <w:rPr>
          <w:rFonts w:cs="Times New Roman"/>
        </w:rPr>
        <w:t>L</w:t>
      </w:r>
      <w:r w:rsidR="00945C5E">
        <w:rPr>
          <w:rFonts w:cs="Times New Roman"/>
        </w:rPr>
        <w:t xml:space="preserve">es activités </w:t>
      </w:r>
      <w:r w:rsidR="00B262A3">
        <w:rPr>
          <w:rFonts w:cs="Times New Roman"/>
        </w:rPr>
        <w:t xml:space="preserve">les plus appréciées sont : </w:t>
      </w:r>
      <w:r w:rsidR="00E43B2A">
        <w:rPr>
          <w:rFonts w:cs="Times New Roman"/>
        </w:rPr>
        <w:t>les s</w:t>
      </w:r>
      <w:r w:rsidR="00E43B2A" w:rsidRPr="00B262A3">
        <w:rPr>
          <w:rFonts w:cs="Times New Roman"/>
        </w:rPr>
        <w:t>ensibilisations</w:t>
      </w:r>
      <w:r w:rsidR="00B262A3" w:rsidRPr="00B262A3">
        <w:rPr>
          <w:rFonts w:cs="Times New Roman"/>
        </w:rPr>
        <w:t xml:space="preserve"> des populations sur leurs droits et devoirs en matière de sécurité et de cohésion sociale</w:t>
      </w:r>
      <w:r w:rsidR="00B262A3">
        <w:rPr>
          <w:rFonts w:cs="Times New Roman"/>
        </w:rPr>
        <w:t xml:space="preserve"> (95% des répondants), la </w:t>
      </w:r>
      <w:r w:rsidR="00AA3D40">
        <w:rPr>
          <w:rFonts w:cs="Times New Roman"/>
        </w:rPr>
        <w:t>m</w:t>
      </w:r>
      <w:r w:rsidR="00B262A3" w:rsidRPr="00B262A3">
        <w:rPr>
          <w:rFonts w:cs="Times New Roman"/>
        </w:rPr>
        <w:t>ise en place/redynamisation des comités locaux de veille et de prévention des conflits</w:t>
      </w:r>
      <w:r w:rsidR="00B262A3">
        <w:rPr>
          <w:rFonts w:cs="Times New Roman"/>
        </w:rPr>
        <w:t xml:space="preserve"> (79%)</w:t>
      </w:r>
      <w:r w:rsidR="00F77178">
        <w:rPr>
          <w:rFonts w:cs="Times New Roman"/>
        </w:rPr>
        <w:t>,</w:t>
      </w:r>
      <w:r w:rsidR="00F77178" w:rsidRPr="00F77178">
        <w:t xml:space="preserve"> </w:t>
      </w:r>
      <w:r w:rsidR="00F77178">
        <w:t xml:space="preserve">la </w:t>
      </w:r>
      <w:r w:rsidR="00AA3D40">
        <w:rPr>
          <w:rFonts w:cs="Times New Roman"/>
        </w:rPr>
        <w:t>g</w:t>
      </w:r>
      <w:r w:rsidR="00F77178" w:rsidRPr="00F77178">
        <w:rPr>
          <w:rFonts w:cs="Times New Roman"/>
        </w:rPr>
        <w:t>estion des conflits par les comités de veille</w:t>
      </w:r>
      <w:r w:rsidR="00F77178">
        <w:rPr>
          <w:rFonts w:cs="Times New Roman"/>
        </w:rPr>
        <w:t xml:space="preserve"> (76%) ;</w:t>
      </w:r>
      <w:r w:rsidR="00B262A3">
        <w:rPr>
          <w:rFonts w:cs="Times New Roman"/>
        </w:rPr>
        <w:t xml:space="preserve"> </w:t>
      </w:r>
      <w:r w:rsidR="00F77178">
        <w:rPr>
          <w:rFonts w:cs="Times New Roman"/>
        </w:rPr>
        <w:t xml:space="preserve">la </w:t>
      </w:r>
      <w:r w:rsidR="00AA3D40">
        <w:rPr>
          <w:rFonts w:cs="Times New Roman"/>
        </w:rPr>
        <w:t>f</w:t>
      </w:r>
      <w:r w:rsidR="00F77178" w:rsidRPr="00F77178">
        <w:rPr>
          <w:rFonts w:cs="Times New Roman"/>
        </w:rPr>
        <w:t>ormation des responsables et membres des organisations de femmes et de jeunes</w:t>
      </w:r>
      <w:r w:rsidR="00F77178">
        <w:rPr>
          <w:rFonts w:cs="Times New Roman"/>
        </w:rPr>
        <w:t xml:space="preserve"> (72%). </w:t>
      </w:r>
      <w:r w:rsidR="00212696">
        <w:rPr>
          <w:rFonts w:cs="Times New Roman"/>
        </w:rPr>
        <w:t>Des détails sont fournis dans le tableau 9 en Annexe 9.</w:t>
      </w:r>
    </w:p>
    <w:p w14:paraId="46B65AFD" w14:textId="5B0FED99" w:rsidR="00A12C4A" w:rsidRDefault="00A12C4A" w:rsidP="0095022A">
      <w:pPr>
        <w:spacing w:after="0" w:line="276" w:lineRule="auto"/>
        <w:rPr>
          <w:rFonts w:cs="Times New Roman"/>
          <w:bCs/>
        </w:rPr>
      </w:pPr>
    </w:p>
    <w:p w14:paraId="7218CA48" w14:textId="34B8E46F" w:rsidR="00BA6DCE" w:rsidRDefault="00BA6DCE" w:rsidP="00DF4AC8">
      <w:pPr>
        <w:pStyle w:val="Titre3"/>
      </w:pPr>
      <w:bookmarkStart w:id="949" w:name="_Hlk86823811"/>
      <w:r>
        <w:t xml:space="preserve">Constat </w:t>
      </w:r>
      <w:r w:rsidR="0035751D">
        <w:t>7</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BA6DCE" w14:paraId="30B4D2FE" w14:textId="77777777" w:rsidTr="0068596D">
        <w:trPr>
          <w:trHeight w:val="821"/>
        </w:trPr>
        <w:tc>
          <w:tcPr>
            <w:tcW w:w="9341" w:type="dxa"/>
            <w:shd w:val="clear" w:color="auto" w:fill="auto"/>
          </w:tcPr>
          <w:p w14:paraId="35851838" w14:textId="038DD68B" w:rsidR="00BA6DCE" w:rsidRDefault="00BA6DCE" w:rsidP="009E2DEE">
            <w:pPr>
              <w:spacing w:line="276" w:lineRule="auto"/>
              <w:rPr>
                <w:rStyle w:val="fontstyle01"/>
                <w:rFonts w:ascii="Century Gothic" w:hAnsi="Century Gothic" w:cs="Times New Roman"/>
                <w:b/>
                <w:bCs/>
                <w:color w:val="0070C0"/>
              </w:rPr>
            </w:pPr>
            <w:r w:rsidRPr="00BA6DCE">
              <w:rPr>
                <w:rFonts w:cs="Times New Roman"/>
                <w:b/>
                <w:bCs/>
                <w:color w:val="0070C0"/>
              </w:rPr>
              <w:t xml:space="preserve">Le projet a manqué d’un plan pour guider le </w:t>
            </w:r>
            <w:r w:rsidR="003111D5" w:rsidRPr="00BA6DCE">
              <w:rPr>
                <w:rFonts w:cs="Times New Roman"/>
                <w:b/>
                <w:bCs/>
                <w:color w:val="0070C0"/>
              </w:rPr>
              <w:t xml:space="preserve">suivi-évaluation </w:t>
            </w:r>
            <w:r w:rsidRPr="00BA6DCE">
              <w:rPr>
                <w:rFonts w:cs="Times New Roman"/>
                <w:b/>
                <w:bCs/>
                <w:color w:val="0070C0"/>
              </w:rPr>
              <w:t>des activités et des résultats du projet</w:t>
            </w:r>
            <w:r w:rsidR="0035751D">
              <w:rPr>
                <w:rFonts w:cs="Times New Roman"/>
                <w:b/>
                <w:bCs/>
                <w:color w:val="0070C0"/>
              </w:rPr>
              <w:t xml:space="preserve">. Les livrables contractuels notamment les rapports </w:t>
            </w:r>
            <w:r w:rsidR="007C735A">
              <w:rPr>
                <w:rFonts w:cs="Times New Roman"/>
                <w:b/>
                <w:bCs/>
                <w:color w:val="0070C0"/>
              </w:rPr>
              <w:t xml:space="preserve">de progrès </w:t>
            </w:r>
            <w:r w:rsidR="0035751D">
              <w:rPr>
                <w:rFonts w:cs="Times New Roman"/>
                <w:b/>
                <w:bCs/>
                <w:color w:val="0070C0"/>
              </w:rPr>
              <w:t xml:space="preserve">ont certes été produits et transmis, mais </w:t>
            </w:r>
            <w:r w:rsidR="00B97D23">
              <w:rPr>
                <w:rFonts w:cs="Times New Roman"/>
                <w:b/>
                <w:bCs/>
                <w:color w:val="0070C0"/>
              </w:rPr>
              <w:t>l’évaluateur a noté quelques incohérences de données et un manque d’harmonisation dans la mesure des indicateurs.</w:t>
            </w:r>
          </w:p>
          <w:p w14:paraId="10769813" w14:textId="3E0EA8AB" w:rsidR="00BA6DCE" w:rsidRPr="00191FD2" w:rsidRDefault="00BA6DCE" w:rsidP="009E2DEE">
            <w:pPr>
              <w:spacing w:line="276" w:lineRule="auto"/>
              <w:rPr>
                <w:i/>
                <w:iCs/>
              </w:rPr>
            </w:pPr>
            <w:r w:rsidRPr="00191FD2">
              <w:rPr>
                <w:rStyle w:val="fontstyle01"/>
                <w:rFonts w:ascii="Century Gothic" w:hAnsi="Century Gothic"/>
                <w:i/>
                <w:iCs/>
              </w:rPr>
              <w:t xml:space="preserve">Ce constat répond </w:t>
            </w:r>
            <w:r w:rsidR="00BD7BC6">
              <w:rPr>
                <w:rStyle w:val="fontstyle01"/>
                <w:rFonts w:ascii="Century Gothic" w:hAnsi="Century Gothic"/>
                <w:i/>
                <w:iCs/>
              </w:rPr>
              <w:t>à la question</w:t>
            </w:r>
            <w:r w:rsidR="004A4E13">
              <w:rPr>
                <w:rStyle w:val="fontstyle01"/>
                <w:rFonts w:ascii="Century Gothic" w:hAnsi="Century Gothic"/>
                <w:i/>
                <w:iCs/>
              </w:rPr>
              <w:t xml:space="preserve"> QE12</w:t>
            </w:r>
            <w:r w:rsidRPr="00191FD2">
              <w:rPr>
                <w:rStyle w:val="fontstyle01"/>
                <w:rFonts w:ascii="Century Gothic" w:hAnsi="Century Gothic"/>
                <w:i/>
                <w:iCs/>
              </w:rPr>
              <w:t xml:space="preserve"> </w:t>
            </w:r>
          </w:p>
        </w:tc>
      </w:tr>
    </w:tbl>
    <w:bookmarkEnd w:id="949"/>
    <w:p w14:paraId="44A564C6" w14:textId="035CB144" w:rsidR="002C601B" w:rsidRDefault="002C601B" w:rsidP="042776B5">
      <w:pPr>
        <w:pStyle w:val="Paragraphedeliste"/>
        <w:numPr>
          <w:ilvl w:val="0"/>
          <w:numId w:val="23"/>
        </w:numPr>
        <w:spacing w:before="240" w:line="276" w:lineRule="auto"/>
        <w:rPr>
          <w:rFonts w:cs="Times New Roman"/>
        </w:rPr>
      </w:pPr>
      <w:r w:rsidRPr="19424E78">
        <w:rPr>
          <w:rFonts w:cs="Times New Roman"/>
        </w:rPr>
        <w:t xml:space="preserve">Le dispositif de suivi-évaluation du projet </w:t>
      </w:r>
      <w:r w:rsidR="00992F70" w:rsidRPr="19424E78">
        <w:rPr>
          <w:rFonts w:cs="Times New Roman"/>
        </w:rPr>
        <w:t>a produit l</w:t>
      </w:r>
      <w:r w:rsidR="007C735A" w:rsidRPr="19424E78">
        <w:rPr>
          <w:rFonts w:cs="Times New Roman"/>
        </w:rPr>
        <w:t xml:space="preserve">es rapports de progrès (semestriels et annuels) transmis </w:t>
      </w:r>
      <w:r w:rsidR="009461C6" w:rsidRPr="19424E78">
        <w:rPr>
          <w:rFonts w:cs="Times New Roman"/>
        </w:rPr>
        <w:t>au bailleur</w:t>
      </w:r>
      <w:r w:rsidR="00992F70" w:rsidRPr="19424E78">
        <w:rPr>
          <w:rFonts w:cs="Times New Roman"/>
        </w:rPr>
        <w:t xml:space="preserve"> conformément au canevas de rapport (Template) fourni pas BPF</w:t>
      </w:r>
      <w:r w:rsidR="009461C6" w:rsidRPr="19424E78">
        <w:rPr>
          <w:rFonts w:cs="Times New Roman"/>
        </w:rPr>
        <w:t xml:space="preserve">. Pour ce faire, les ONG locales partenaires de mise en œuvre élaborent et transmettent à ONU Femmes des rapports trimestriels sur l’état d’exécution de </w:t>
      </w:r>
      <w:r w:rsidR="004D71E0" w:rsidRPr="19424E78">
        <w:rPr>
          <w:rFonts w:cs="Times New Roman"/>
        </w:rPr>
        <w:t>leur paquet</w:t>
      </w:r>
      <w:r w:rsidR="001C22FF">
        <w:rPr>
          <w:rFonts w:cs="Times New Roman"/>
        </w:rPr>
        <w:t xml:space="preserve"> d’activités</w:t>
      </w:r>
      <w:r w:rsidR="009461C6" w:rsidRPr="19424E78">
        <w:rPr>
          <w:rFonts w:cs="Times New Roman"/>
        </w:rPr>
        <w:t xml:space="preserve"> sur le terrain, étant donné l’approche de faire-faire adoptée par les bureaux pays de ONU Femmes. </w:t>
      </w:r>
      <w:r w:rsidR="00C47663" w:rsidRPr="19424E78">
        <w:rPr>
          <w:rFonts w:cs="Times New Roman"/>
        </w:rPr>
        <w:t>Ces rapports font l’objet d’une synthèse qui est ensuite compilé</w:t>
      </w:r>
      <w:r w:rsidR="007C735A" w:rsidRPr="19424E78">
        <w:rPr>
          <w:rFonts w:cs="Times New Roman"/>
        </w:rPr>
        <w:t>e</w:t>
      </w:r>
      <w:r w:rsidR="00C47663" w:rsidRPr="19424E78">
        <w:rPr>
          <w:rFonts w:cs="Times New Roman"/>
        </w:rPr>
        <w:t xml:space="preserve"> avec les </w:t>
      </w:r>
      <w:r w:rsidR="00C459C8" w:rsidRPr="19424E78">
        <w:rPr>
          <w:rFonts w:cs="Times New Roman"/>
        </w:rPr>
        <w:t xml:space="preserve">contributions au </w:t>
      </w:r>
      <w:r w:rsidR="00C47663" w:rsidRPr="19424E78">
        <w:rPr>
          <w:rFonts w:cs="Times New Roman"/>
        </w:rPr>
        <w:t xml:space="preserve">rapports </w:t>
      </w:r>
      <w:r w:rsidR="007C735A" w:rsidRPr="19424E78">
        <w:rPr>
          <w:rFonts w:cs="Times New Roman"/>
        </w:rPr>
        <w:t>semestriels produit</w:t>
      </w:r>
      <w:r w:rsidR="00C459C8" w:rsidRPr="19424E78">
        <w:rPr>
          <w:rFonts w:cs="Times New Roman"/>
        </w:rPr>
        <w:t>es</w:t>
      </w:r>
      <w:r w:rsidR="007C735A" w:rsidRPr="19424E78">
        <w:rPr>
          <w:rFonts w:cs="Times New Roman"/>
        </w:rPr>
        <w:t xml:space="preserve"> par ONUDC qui a </w:t>
      </w:r>
      <w:r w:rsidR="0032215B">
        <w:rPr>
          <w:rFonts w:cs="Times New Roman"/>
        </w:rPr>
        <w:t>ad</w:t>
      </w:r>
      <w:r w:rsidR="007C735A" w:rsidRPr="19424E78">
        <w:rPr>
          <w:rFonts w:cs="Times New Roman"/>
        </w:rPr>
        <w:t>opté une approche directe de mise en œuvre. La comp</w:t>
      </w:r>
      <w:r w:rsidR="009461C6" w:rsidRPr="19424E78">
        <w:rPr>
          <w:rFonts w:cs="Times New Roman"/>
        </w:rPr>
        <w:t>ilation</w:t>
      </w:r>
      <w:r w:rsidR="00423E8F">
        <w:rPr>
          <w:rFonts w:cs="Times New Roman"/>
        </w:rPr>
        <w:t>/consolidation</w:t>
      </w:r>
      <w:r w:rsidR="009461C6" w:rsidRPr="19424E78">
        <w:rPr>
          <w:rFonts w:cs="Times New Roman"/>
        </w:rPr>
        <w:t xml:space="preserve"> et la transmission du rapport est assurée par l’agence lead (ONU Femmes Mali)</w:t>
      </w:r>
      <w:r w:rsidR="00C459C8" w:rsidRPr="19424E78">
        <w:rPr>
          <w:rFonts w:cs="Times New Roman"/>
        </w:rPr>
        <w:t xml:space="preserve">. </w:t>
      </w:r>
      <w:r w:rsidR="006520BC" w:rsidRPr="19424E78">
        <w:rPr>
          <w:rFonts w:cs="Times New Roman"/>
        </w:rPr>
        <w:t xml:space="preserve">Ce dispositif de suivi-évaluation mis en place du projet </w:t>
      </w:r>
      <w:r w:rsidR="00992F70" w:rsidRPr="19424E78">
        <w:rPr>
          <w:rFonts w:cs="Times New Roman"/>
        </w:rPr>
        <w:t xml:space="preserve">qui </w:t>
      </w:r>
      <w:r w:rsidR="006520BC" w:rsidRPr="19424E78">
        <w:rPr>
          <w:rFonts w:cs="Times New Roman"/>
        </w:rPr>
        <w:t>s’est adossé à ceux des agences d’exécution</w:t>
      </w:r>
      <w:r w:rsidR="00992F70" w:rsidRPr="19424E78">
        <w:rPr>
          <w:rFonts w:cs="Times New Roman"/>
        </w:rPr>
        <w:t>,</w:t>
      </w:r>
      <w:r w:rsidR="006520BC" w:rsidRPr="19424E78">
        <w:rPr>
          <w:rFonts w:cs="Times New Roman"/>
        </w:rPr>
        <w:t xml:space="preserve"> a bénéficié du dispositif d’assurance qualité interne des deux agences.</w:t>
      </w:r>
    </w:p>
    <w:p w14:paraId="4746D3A3" w14:textId="160930E2" w:rsidR="004D67A3" w:rsidRPr="004D67A3" w:rsidRDefault="006520BC" w:rsidP="00FB2B45">
      <w:pPr>
        <w:pStyle w:val="Paragraphedeliste"/>
        <w:numPr>
          <w:ilvl w:val="0"/>
          <w:numId w:val="23"/>
        </w:numPr>
        <w:spacing w:before="240" w:line="276" w:lineRule="auto"/>
        <w:rPr>
          <w:rFonts w:cs="Times New Roman"/>
          <w:bCs/>
        </w:rPr>
      </w:pPr>
      <w:r w:rsidRPr="004D67A3">
        <w:rPr>
          <w:rFonts w:cs="Times New Roman"/>
          <w:bCs/>
        </w:rPr>
        <w:t xml:space="preserve">Tous les rapports dus ont été produits et transmis </w:t>
      </w:r>
      <w:r w:rsidR="00752BC4">
        <w:rPr>
          <w:rFonts w:cs="Times New Roman"/>
          <w:bCs/>
        </w:rPr>
        <w:t>au</w:t>
      </w:r>
      <w:r w:rsidRPr="004D67A3">
        <w:rPr>
          <w:rFonts w:cs="Times New Roman"/>
          <w:bCs/>
        </w:rPr>
        <w:t xml:space="preserve"> PBF,</w:t>
      </w:r>
      <w:r w:rsidR="00EE2125" w:rsidRPr="004D67A3">
        <w:rPr>
          <w:rFonts w:cs="Times New Roman"/>
          <w:bCs/>
        </w:rPr>
        <w:t xml:space="preserve"> tout en s’adossant sur le système de suivi-évaluation et le dispositif d’assurance qualité interne des deux agences d’exécution.</w:t>
      </w:r>
      <w:r w:rsidR="007068E8">
        <w:rPr>
          <w:rFonts w:cs="Times New Roman"/>
          <w:bCs/>
        </w:rPr>
        <w:t xml:space="preserve"> </w:t>
      </w:r>
      <w:r w:rsidR="00EE2125" w:rsidRPr="004D67A3">
        <w:rPr>
          <w:rFonts w:cs="Times New Roman"/>
          <w:bCs/>
        </w:rPr>
        <w:t>Toutefois,</w:t>
      </w:r>
      <w:r w:rsidR="004D67A3" w:rsidRPr="004D67A3">
        <w:rPr>
          <w:rFonts w:cs="Times New Roman"/>
          <w:bCs/>
        </w:rPr>
        <w:t xml:space="preserve"> les évaluateurs notent que le dispositif de S&amp;E mis en place par le projet comporte des points de faiblesse liés principalement à l’absence d’un plan de suivi-évaluation</w:t>
      </w:r>
      <w:r w:rsidR="00423E8F">
        <w:rPr>
          <w:rFonts w:cs="Times New Roman"/>
          <w:bCs/>
        </w:rPr>
        <w:t xml:space="preserve"> global</w:t>
      </w:r>
      <w:r w:rsidR="004D67A3" w:rsidRPr="004D67A3">
        <w:rPr>
          <w:rFonts w:cs="Times New Roman"/>
          <w:bCs/>
        </w:rPr>
        <w:t>.</w:t>
      </w:r>
      <w:r w:rsidR="007068E8">
        <w:rPr>
          <w:rFonts w:cs="Times New Roman"/>
          <w:bCs/>
        </w:rPr>
        <w:t xml:space="preserve"> </w:t>
      </w:r>
      <w:r w:rsidR="004D67A3" w:rsidRPr="004D67A3">
        <w:rPr>
          <w:rFonts w:cs="Times New Roman"/>
          <w:bCs/>
        </w:rPr>
        <w:t>Il s’agit notamment de :</w:t>
      </w:r>
    </w:p>
    <w:p w14:paraId="624B22CC" w14:textId="13D06C2A" w:rsidR="004D67A3" w:rsidRPr="00DA6816" w:rsidRDefault="00992F70" w:rsidP="009F5BDE">
      <w:pPr>
        <w:pStyle w:val="Paragraphedeliste"/>
        <w:numPr>
          <w:ilvl w:val="1"/>
          <w:numId w:val="85"/>
        </w:numPr>
        <w:spacing w:before="0" w:after="160" w:line="276" w:lineRule="auto"/>
        <w:ind w:left="589" w:hanging="283"/>
        <w:rPr>
          <w:rFonts w:cs="Times New Roman"/>
        </w:rPr>
      </w:pPr>
      <w:r w:rsidRPr="00DA6816">
        <w:rPr>
          <w:rFonts w:cs="Times New Roman"/>
          <w:i/>
          <w:iCs/>
        </w:rPr>
        <w:t xml:space="preserve">: </w:t>
      </w:r>
      <w:r w:rsidR="00AF4965" w:rsidRPr="00DA6816">
        <w:rPr>
          <w:rFonts w:cs="Times New Roman"/>
          <w:i/>
          <w:iCs/>
        </w:rPr>
        <w:t>L’absence de plan de Suivi-evaluation </w:t>
      </w:r>
      <w:r w:rsidR="00255AB9" w:rsidRPr="00DA6816">
        <w:rPr>
          <w:rFonts w:cs="Times New Roman"/>
          <w:i/>
          <w:iCs/>
        </w:rPr>
        <w:t xml:space="preserve">conjoint </w:t>
      </w:r>
      <w:r w:rsidR="00AF4965" w:rsidRPr="00DA6816">
        <w:rPr>
          <w:rFonts w:cs="Times New Roman"/>
          <w:i/>
          <w:iCs/>
        </w:rPr>
        <w:t>qui a pour conséquence l</w:t>
      </w:r>
      <w:r w:rsidR="004D67A3" w:rsidRPr="00DA6816">
        <w:rPr>
          <w:rFonts w:cs="Times New Roman"/>
          <w:i/>
          <w:iCs/>
        </w:rPr>
        <w:t>a n</w:t>
      </w:r>
      <w:r w:rsidR="004A4E13" w:rsidRPr="00DA6816">
        <w:rPr>
          <w:rFonts w:cs="Times New Roman"/>
          <w:i/>
          <w:iCs/>
        </w:rPr>
        <w:t>on</w:t>
      </w:r>
      <w:r w:rsidRPr="00DA6816">
        <w:rPr>
          <w:rFonts w:cs="Times New Roman"/>
          <w:i/>
          <w:iCs/>
        </w:rPr>
        <w:t>-</w:t>
      </w:r>
      <w:r w:rsidR="004A4E13" w:rsidRPr="00DA6816">
        <w:rPr>
          <w:rFonts w:cs="Times New Roman"/>
          <w:i/>
          <w:iCs/>
        </w:rPr>
        <w:t xml:space="preserve">harmonisation de la définition et </w:t>
      </w:r>
      <w:r w:rsidR="004D67A3" w:rsidRPr="00DA6816">
        <w:rPr>
          <w:rFonts w:cs="Times New Roman"/>
          <w:i/>
          <w:iCs/>
        </w:rPr>
        <w:t xml:space="preserve">du </w:t>
      </w:r>
      <w:r w:rsidR="004A4E13" w:rsidRPr="00DA6816">
        <w:rPr>
          <w:rFonts w:cs="Times New Roman"/>
          <w:i/>
          <w:iCs/>
        </w:rPr>
        <w:t>mode de calcul des indicateurs</w:t>
      </w:r>
      <w:r w:rsidR="00892FF5" w:rsidRPr="00DA6816">
        <w:rPr>
          <w:rFonts w:cs="Times New Roman"/>
        </w:rPr>
        <w:t xml:space="preserve"> : </w:t>
      </w:r>
      <w:r w:rsidR="00AF4965" w:rsidRPr="00DA6816">
        <w:rPr>
          <w:rFonts w:cs="Times New Roman"/>
        </w:rPr>
        <w:t>C</w:t>
      </w:r>
      <w:r w:rsidR="00892FF5" w:rsidRPr="00DA6816">
        <w:rPr>
          <w:rFonts w:cs="Times New Roman"/>
        </w:rPr>
        <w:t xml:space="preserve">ette situation </w:t>
      </w:r>
      <w:r w:rsidR="0022379E" w:rsidRPr="00DA6816">
        <w:rPr>
          <w:rFonts w:cs="Times New Roman"/>
        </w:rPr>
        <w:t>a</w:t>
      </w:r>
      <w:r w:rsidR="00892FF5" w:rsidRPr="00DA6816">
        <w:rPr>
          <w:rFonts w:cs="Times New Roman"/>
        </w:rPr>
        <w:t xml:space="preserve"> entrain</w:t>
      </w:r>
      <w:r w:rsidR="00AF4965" w:rsidRPr="00DA6816">
        <w:rPr>
          <w:rFonts w:cs="Times New Roman"/>
        </w:rPr>
        <w:t>é</w:t>
      </w:r>
      <w:r w:rsidR="00892FF5" w:rsidRPr="00DA6816">
        <w:rPr>
          <w:rFonts w:cs="Times New Roman"/>
        </w:rPr>
        <w:t xml:space="preserve"> une incompréhension des indicateurs entre les membres de l’équipe projet d’une part, et d’autre part entre l’équipe projet et l’évaluateur. </w:t>
      </w:r>
      <w:r w:rsidR="00F4096B" w:rsidRPr="00DA6816">
        <w:rPr>
          <w:rFonts w:cs="Times New Roman"/>
        </w:rPr>
        <w:t xml:space="preserve">En effet, pour </w:t>
      </w:r>
      <w:r w:rsidR="000E3415">
        <w:rPr>
          <w:rFonts w:cs="Times New Roman"/>
        </w:rPr>
        <w:t>la mesure de</w:t>
      </w:r>
      <w:r w:rsidR="00F4096B" w:rsidRPr="00DA6816">
        <w:rPr>
          <w:rFonts w:cs="Times New Roman"/>
        </w:rPr>
        <w:t xml:space="preserve">s indicateurs d’effet en lien avec la perception et la satisfaction des communautés, ONU Femmes estime que la base de sondage </w:t>
      </w:r>
      <w:r w:rsidR="007E54BE" w:rsidRPr="00DA6816">
        <w:rPr>
          <w:rFonts w:cs="Times New Roman"/>
        </w:rPr>
        <w:t>est constituée d</w:t>
      </w:r>
      <w:r w:rsidR="00F4096B" w:rsidRPr="00DA6816">
        <w:rPr>
          <w:rFonts w:cs="Times New Roman"/>
        </w:rPr>
        <w:t xml:space="preserve">es bénéficiaires directs, </w:t>
      </w:r>
      <w:r w:rsidR="007E54BE" w:rsidRPr="00DA6816">
        <w:rPr>
          <w:rFonts w:cs="Times New Roman"/>
        </w:rPr>
        <w:t xml:space="preserve">par contre </w:t>
      </w:r>
      <w:r w:rsidR="000E3415">
        <w:rPr>
          <w:rFonts w:cs="Times New Roman"/>
        </w:rPr>
        <w:t xml:space="preserve">dans l’étude relative au </w:t>
      </w:r>
      <w:r w:rsidR="000E3415" w:rsidRPr="00DA6816">
        <w:rPr>
          <w:rFonts w:cs="Times New Roman"/>
        </w:rPr>
        <w:t xml:space="preserve">« diagnostic détaillé sur l’efficacité, la redevabilité et le degré d’inclusion et d’intégration des questions des droits humains et du genre dans les missions des FDS et des ACP » </w:t>
      </w:r>
      <w:r w:rsidR="000E3415">
        <w:rPr>
          <w:rFonts w:cs="Times New Roman"/>
        </w:rPr>
        <w:t xml:space="preserve">commandité par </w:t>
      </w:r>
      <w:r w:rsidR="00F4096B" w:rsidRPr="00DA6816">
        <w:rPr>
          <w:rFonts w:cs="Times New Roman"/>
        </w:rPr>
        <w:t xml:space="preserve">ONUDC, c’est plutôt les </w:t>
      </w:r>
      <w:r w:rsidR="007E54BE" w:rsidRPr="00DA6816">
        <w:rPr>
          <w:rFonts w:cs="Times New Roman"/>
        </w:rPr>
        <w:t>populations (ménage, femmes et hommes)</w:t>
      </w:r>
      <w:r w:rsidR="000E3415">
        <w:rPr>
          <w:rFonts w:cs="Times New Roman"/>
        </w:rPr>
        <w:t xml:space="preserve"> qui ont constitué la base de sondage</w:t>
      </w:r>
      <w:r w:rsidR="00F4096B" w:rsidRPr="00DA6816">
        <w:rPr>
          <w:rFonts w:cs="Times New Roman"/>
        </w:rPr>
        <w:t>.</w:t>
      </w:r>
      <w:r w:rsidR="004D31DC">
        <w:rPr>
          <w:rFonts w:cs="Times New Roman"/>
        </w:rPr>
        <w:t xml:space="preserve"> L’étude</w:t>
      </w:r>
      <w:r w:rsidR="00DA6816" w:rsidRPr="00DA6816">
        <w:rPr>
          <w:rFonts w:cs="Times New Roman"/>
        </w:rPr>
        <w:t xml:space="preserve"> a utilisé </w:t>
      </w:r>
      <w:r w:rsidR="00DA6816">
        <w:rPr>
          <w:rFonts w:cs="Times New Roman"/>
        </w:rPr>
        <w:t>la « </w:t>
      </w:r>
      <w:r w:rsidR="00DA6816" w:rsidRPr="00DA6816">
        <w:rPr>
          <w:rFonts w:cs="Times New Roman"/>
        </w:rPr>
        <w:t>technique d’empilage proportionnelle prônée</w:t>
      </w:r>
      <w:r w:rsidR="00DA6816">
        <w:rPr>
          <w:rFonts w:cs="Times New Roman"/>
        </w:rPr>
        <w:t xml:space="preserve"> </w:t>
      </w:r>
      <w:r w:rsidR="00DA6816" w:rsidRPr="00DA6816">
        <w:rPr>
          <w:rFonts w:cs="Times New Roman"/>
        </w:rPr>
        <w:t>par HEA (Household Economic Approach)</w:t>
      </w:r>
      <w:r w:rsidR="00DA6816">
        <w:rPr>
          <w:rFonts w:cs="Times New Roman"/>
        </w:rPr>
        <w:t> »</w:t>
      </w:r>
      <w:r w:rsidR="001A4BB0">
        <w:rPr>
          <w:rFonts w:cs="Times New Roman"/>
        </w:rPr>
        <w:t xml:space="preserve"> qui cibles les ménages au sein de la zone d’intervention du projet. </w:t>
      </w:r>
      <w:r w:rsidR="0022379E" w:rsidRPr="00DA6816">
        <w:rPr>
          <w:rFonts w:cs="Times New Roman"/>
        </w:rPr>
        <w:t xml:space="preserve">Cela </w:t>
      </w:r>
      <w:r w:rsidR="00892FF5" w:rsidRPr="00DA6816">
        <w:rPr>
          <w:rFonts w:cs="Times New Roman"/>
        </w:rPr>
        <w:t>pose aussi et surtout</w:t>
      </w:r>
      <w:r w:rsidR="004A4E13" w:rsidRPr="00DA6816">
        <w:rPr>
          <w:rFonts w:cs="Times New Roman"/>
        </w:rPr>
        <w:t xml:space="preserve"> des problèmes de comparabilité et de compilation</w:t>
      </w:r>
      <w:r w:rsidR="00892FF5" w:rsidRPr="00DA6816">
        <w:rPr>
          <w:rFonts w:cs="Times New Roman"/>
        </w:rPr>
        <w:t xml:space="preserve"> des résultats étant donné la multiplicité des acteurs de mise en œuvre </w:t>
      </w:r>
      <w:r w:rsidR="002C7BBA" w:rsidRPr="00DA6816">
        <w:rPr>
          <w:rFonts w:cs="Times New Roman"/>
        </w:rPr>
        <w:t>et de suivi</w:t>
      </w:r>
      <w:r w:rsidR="00F4096B" w:rsidRPr="00DA6816">
        <w:rPr>
          <w:rFonts w:cs="Times New Roman"/>
        </w:rPr>
        <w:t xml:space="preserve">. </w:t>
      </w:r>
      <w:r w:rsidR="00255AB9" w:rsidRPr="00DA6816">
        <w:rPr>
          <w:rFonts w:cs="Times New Roman"/>
        </w:rPr>
        <w:t>La</w:t>
      </w:r>
      <w:r w:rsidR="00F4096B" w:rsidRPr="00DA6816">
        <w:rPr>
          <w:rFonts w:cs="Times New Roman"/>
        </w:rPr>
        <w:t xml:space="preserve"> consolidation des données et informations </w:t>
      </w:r>
      <w:r w:rsidR="00255AB9" w:rsidRPr="00DA6816">
        <w:rPr>
          <w:rFonts w:cs="Times New Roman"/>
        </w:rPr>
        <w:t>transmises par les</w:t>
      </w:r>
      <w:r w:rsidR="00F4096B" w:rsidRPr="00DA6816">
        <w:rPr>
          <w:rFonts w:cs="Times New Roman"/>
        </w:rPr>
        <w:t xml:space="preserve"> ONG locales</w:t>
      </w:r>
      <w:r w:rsidR="00255AB9" w:rsidRPr="00DA6816">
        <w:rPr>
          <w:rFonts w:cs="Times New Roman"/>
        </w:rPr>
        <w:t xml:space="preserve"> </w:t>
      </w:r>
      <w:r w:rsidR="004D71E0" w:rsidRPr="00DA6816">
        <w:rPr>
          <w:rFonts w:cs="Times New Roman"/>
        </w:rPr>
        <w:t>pose un problème de qualité des données du fait de la non</w:t>
      </w:r>
      <w:r w:rsidR="00E61834" w:rsidRPr="00DA6816">
        <w:rPr>
          <w:rFonts w:cs="Times New Roman"/>
        </w:rPr>
        <w:t>-</w:t>
      </w:r>
      <w:r w:rsidR="004D71E0" w:rsidRPr="00DA6816">
        <w:rPr>
          <w:rFonts w:cs="Times New Roman"/>
        </w:rPr>
        <w:t xml:space="preserve">harmonisation des </w:t>
      </w:r>
      <w:r w:rsidR="00F4096B" w:rsidRPr="00DA6816">
        <w:rPr>
          <w:rFonts w:cs="Times New Roman"/>
        </w:rPr>
        <w:t xml:space="preserve">outils et méthodes de </w:t>
      </w:r>
      <w:r w:rsidR="004D71E0" w:rsidRPr="00DA6816">
        <w:rPr>
          <w:rFonts w:cs="Times New Roman"/>
        </w:rPr>
        <w:t xml:space="preserve">collecte des données. </w:t>
      </w:r>
      <w:r w:rsidR="0035751D" w:rsidRPr="00DA6816">
        <w:rPr>
          <w:rFonts w:cs="Times New Roman"/>
        </w:rPr>
        <w:t>;</w:t>
      </w:r>
    </w:p>
    <w:p w14:paraId="4B55EBC7" w14:textId="39377433" w:rsidR="00892FF5" w:rsidRDefault="004D67A3" w:rsidP="00FB2B45">
      <w:pPr>
        <w:pStyle w:val="Paragraphedeliste"/>
        <w:numPr>
          <w:ilvl w:val="1"/>
          <w:numId w:val="85"/>
        </w:numPr>
        <w:spacing w:before="0" w:after="160" w:line="276" w:lineRule="auto"/>
        <w:ind w:left="589" w:hanging="283"/>
        <w:rPr>
          <w:rFonts w:cs="Times New Roman"/>
          <w:bCs/>
        </w:rPr>
      </w:pPr>
      <w:r w:rsidRPr="00892FF5">
        <w:rPr>
          <w:rFonts w:cs="Times New Roman"/>
          <w:i/>
          <w:iCs/>
        </w:rPr>
        <w:t xml:space="preserve">La </w:t>
      </w:r>
      <w:r w:rsidR="00992F70" w:rsidRPr="00892FF5">
        <w:rPr>
          <w:rFonts w:cs="Times New Roman"/>
          <w:i/>
          <w:iCs/>
        </w:rPr>
        <w:t>non</w:t>
      </w:r>
      <w:r w:rsidR="00AF4965">
        <w:rPr>
          <w:rFonts w:cs="Times New Roman"/>
          <w:i/>
          <w:iCs/>
        </w:rPr>
        <w:t>-</w:t>
      </w:r>
      <w:r w:rsidR="00992F70" w:rsidRPr="00892FF5">
        <w:rPr>
          <w:rFonts w:cs="Times New Roman"/>
          <w:i/>
          <w:iCs/>
        </w:rPr>
        <w:t>disponibilité</w:t>
      </w:r>
      <w:r w:rsidRPr="00892FF5">
        <w:rPr>
          <w:rFonts w:cs="Times New Roman"/>
          <w:i/>
          <w:iCs/>
        </w:rPr>
        <w:t xml:space="preserve"> d’une base de données centralisées des bénéficiaires</w:t>
      </w:r>
      <w:r w:rsidR="00892FF5">
        <w:rPr>
          <w:rFonts w:cs="Times New Roman"/>
          <w:bCs/>
        </w:rPr>
        <w:t>. Pour la constitution de la base de sondage, il a fallu reconstituer cette base à partir des listes de bénéficiaires transmises par les ONG locales de mise en œuvre. Ces listes n’étaient pas désagrégées par tranche d’âge ;</w:t>
      </w:r>
    </w:p>
    <w:p w14:paraId="71C78FCC" w14:textId="7C17CE5C" w:rsidR="00892FF5" w:rsidRPr="00212696" w:rsidRDefault="002C7BBA" w:rsidP="00FB2B45">
      <w:pPr>
        <w:pStyle w:val="Paragraphedeliste"/>
        <w:numPr>
          <w:ilvl w:val="1"/>
          <w:numId w:val="85"/>
        </w:numPr>
        <w:spacing w:before="0" w:after="160" w:line="276" w:lineRule="auto"/>
        <w:ind w:left="589" w:hanging="283"/>
        <w:rPr>
          <w:rFonts w:cs="Times New Roman"/>
          <w:bCs/>
        </w:rPr>
      </w:pPr>
      <w:r w:rsidRPr="005020C0">
        <w:rPr>
          <w:rFonts w:cs="Times New Roman"/>
          <w:i/>
          <w:iCs/>
        </w:rPr>
        <w:t xml:space="preserve">La </w:t>
      </w:r>
      <w:r w:rsidR="00E61834" w:rsidRPr="005020C0">
        <w:rPr>
          <w:rFonts w:cs="Times New Roman"/>
          <w:i/>
          <w:iCs/>
        </w:rPr>
        <w:t>non-réalisation</w:t>
      </w:r>
      <w:r w:rsidRPr="005020C0">
        <w:rPr>
          <w:rFonts w:cs="Times New Roman"/>
          <w:i/>
          <w:iCs/>
        </w:rPr>
        <w:t xml:space="preserve"> des enquêtes de perception devant servir de </w:t>
      </w:r>
      <w:r w:rsidR="005020C0" w:rsidRPr="005020C0">
        <w:rPr>
          <w:rFonts w:cs="Times New Roman"/>
          <w:i/>
          <w:iCs/>
        </w:rPr>
        <w:t>moyens</w:t>
      </w:r>
      <w:r w:rsidRPr="005020C0">
        <w:rPr>
          <w:rFonts w:cs="Times New Roman"/>
          <w:i/>
          <w:iCs/>
        </w:rPr>
        <w:t xml:space="preserve"> de vérification </w:t>
      </w:r>
      <w:r w:rsidR="005020C0" w:rsidRPr="005020C0">
        <w:rPr>
          <w:rFonts w:cs="Times New Roman"/>
          <w:i/>
          <w:iCs/>
        </w:rPr>
        <w:t>de certains indicateurs du cadre de résultats</w:t>
      </w:r>
      <w:r w:rsidR="005020C0" w:rsidRPr="005020C0">
        <w:rPr>
          <w:rFonts w:cs="Times New Roman"/>
          <w:bCs/>
        </w:rPr>
        <w:t xml:space="preserve"> : </w:t>
      </w:r>
      <w:r w:rsidR="005020C0">
        <w:rPr>
          <w:rFonts w:cs="Times New Roman"/>
          <w:bCs/>
        </w:rPr>
        <w:t xml:space="preserve">le cadre de résultats contenu dans le Prodoc prévoyait </w:t>
      </w:r>
      <w:r w:rsidR="006E51AA">
        <w:rPr>
          <w:rFonts w:cs="Times New Roman"/>
          <w:bCs/>
        </w:rPr>
        <w:t xml:space="preserve">pour la mesure de la plupart des indicateurs de résultats, la conduite d’enquêtes de perceptions/sondage. </w:t>
      </w:r>
      <w:r w:rsidR="00A65129">
        <w:rPr>
          <w:rFonts w:cs="Times New Roman"/>
          <w:bCs/>
        </w:rPr>
        <w:t>Même si les indicateurs concernés</w:t>
      </w:r>
      <w:r w:rsidR="007E54BE">
        <w:rPr>
          <w:rFonts w:cs="Times New Roman"/>
          <w:bCs/>
        </w:rPr>
        <w:t>,</w:t>
      </w:r>
      <w:r w:rsidR="00A65129">
        <w:rPr>
          <w:rFonts w:cs="Times New Roman"/>
          <w:bCs/>
        </w:rPr>
        <w:t xml:space="preserve"> ont fait l’objet de mesure, l</w:t>
      </w:r>
      <w:r w:rsidR="006E51AA">
        <w:rPr>
          <w:rFonts w:cs="Times New Roman"/>
          <w:bCs/>
        </w:rPr>
        <w:t xml:space="preserve">es évaluateurs n’ont pas eu </w:t>
      </w:r>
      <w:r w:rsidR="006E51AA" w:rsidRPr="00212696">
        <w:rPr>
          <w:rFonts w:cs="Times New Roman"/>
          <w:bCs/>
        </w:rPr>
        <w:t>c</w:t>
      </w:r>
      <w:r w:rsidR="00A65129" w:rsidRPr="00212696">
        <w:rPr>
          <w:rFonts w:cs="Times New Roman"/>
          <w:bCs/>
        </w:rPr>
        <w:t xml:space="preserve">onnaissance de la réalisation des enquêtes envisagées. </w:t>
      </w:r>
    </w:p>
    <w:p w14:paraId="1B101B47" w14:textId="70A1FFC8" w:rsidR="00B97D23" w:rsidRDefault="00B97D23" w:rsidP="042776B5">
      <w:pPr>
        <w:pStyle w:val="Paragraphedeliste"/>
        <w:numPr>
          <w:ilvl w:val="1"/>
          <w:numId w:val="85"/>
        </w:numPr>
        <w:spacing w:before="0" w:after="160" w:line="276" w:lineRule="auto"/>
        <w:ind w:left="589" w:hanging="283"/>
        <w:rPr>
          <w:rFonts w:cs="Times New Roman"/>
        </w:rPr>
      </w:pPr>
      <w:r w:rsidRPr="042776B5">
        <w:rPr>
          <w:rFonts w:cs="Times New Roman"/>
          <w:i/>
          <w:iCs/>
        </w:rPr>
        <w:t>Des incohérences de données</w:t>
      </w:r>
      <w:r w:rsidR="004C59BC" w:rsidRPr="042776B5">
        <w:rPr>
          <w:rFonts w:cs="Times New Roman"/>
          <w:i/>
          <w:iCs/>
        </w:rPr>
        <w:t xml:space="preserve"> entre les rapports annuel 2020 et le rapport final d’exécution</w:t>
      </w:r>
      <w:r w:rsidRPr="042776B5">
        <w:rPr>
          <w:rFonts w:cs="Times New Roman"/>
          <w:i/>
          <w:iCs/>
        </w:rPr>
        <w:t> </w:t>
      </w:r>
      <w:r w:rsidRPr="042776B5">
        <w:rPr>
          <w:rFonts w:cs="Times New Roman"/>
        </w:rPr>
        <w:t>:</w:t>
      </w:r>
      <w:r w:rsidR="004C59BC" w:rsidRPr="042776B5">
        <w:rPr>
          <w:rFonts w:cs="Times New Roman"/>
        </w:rPr>
        <w:t xml:space="preserve"> la situation de référence du taux de représentativité des femmes dans les MCPGC </w:t>
      </w:r>
      <w:r w:rsidR="00212696" w:rsidRPr="042776B5">
        <w:rPr>
          <w:rFonts w:cs="Times New Roman"/>
        </w:rPr>
        <w:t xml:space="preserve">est de 10% dans le rapport de progrès annuel 2020 contre 3% dans le rapport final d’exécution en 2021. </w:t>
      </w:r>
    </w:p>
    <w:p w14:paraId="11DE93EB" w14:textId="2BAF42D2" w:rsidR="00C7437C" w:rsidRPr="00212696" w:rsidRDefault="00C7437C" w:rsidP="00C7437C">
      <w:pPr>
        <w:pStyle w:val="Paragraphedeliste"/>
        <w:numPr>
          <w:ilvl w:val="0"/>
          <w:numId w:val="23"/>
        </w:numPr>
        <w:spacing w:before="240" w:line="276" w:lineRule="auto"/>
        <w:rPr>
          <w:rFonts w:cs="Times New Roman"/>
        </w:rPr>
      </w:pPr>
      <w:r>
        <w:rPr>
          <w:rFonts w:cs="Times New Roman"/>
        </w:rPr>
        <w:t>Enfin, il faut rappeler que l’évaluation finale a démarré</w:t>
      </w:r>
      <w:r w:rsidR="00407379">
        <w:rPr>
          <w:rFonts w:cs="Times New Roman"/>
        </w:rPr>
        <w:t xml:space="preserve"> 02 mois après la fin du projet (</w:t>
      </w:r>
      <w:r w:rsidR="0024459A">
        <w:rPr>
          <w:rFonts w:cs="Times New Roman"/>
        </w:rPr>
        <w:t>qui a eu lieu en mars</w:t>
      </w:r>
      <w:r w:rsidR="00407379">
        <w:rPr>
          <w:rFonts w:cs="Times New Roman"/>
        </w:rPr>
        <w:t xml:space="preserve"> </w:t>
      </w:r>
      <w:r>
        <w:rPr>
          <w:rFonts w:cs="Times New Roman"/>
        </w:rPr>
        <w:t>2021</w:t>
      </w:r>
      <w:r w:rsidR="00407379">
        <w:rPr>
          <w:rFonts w:cs="Times New Roman"/>
        </w:rPr>
        <w:t>) et a duré</w:t>
      </w:r>
      <w:r w:rsidR="0024459A">
        <w:rPr>
          <w:rFonts w:cs="Times New Roman"/>
        </w:rPr>
        <w:t xml:space="preserve"> 6 mois (janvier 2022)</w:t>
      </w:r>
      <w:r>
        <w:rPr>
          <w:rFonts w:cs="Times New Roman"/>
        </w:rPr>
        <w:t>.</w:t>
      </w:r>
      <w:r w:rsidR="0024459A">
        <w:rPr>
          <w:rFonts w:cs="Times New Roman"/>
        </w:rPr>
        <w:t xml:space="preserve"> Les résultats de l’évaluation finale n’ont été disponibles qu’après 8 mois donc de la fin du projet. </w:t>
      </w:r>
      <w:r w:rsidR="00051DC8">
        <w:rPr>
          <w:rFonts w:cs="Times New Roman"/>
        </w:rPr>
        <w:t>Une telle situation ne permet pas d’une part, d’</w:t>
      </w:r>
      <w:r w:rsidR="0024459A">
        <w:rPr>
          <w:rFonts w:cs="Times New Roman"/>
        </w:rPr>
        <w:t xml:space="preserve">intégrer les résultats de cette évaluation dans le rapport final </w:t>
      </w:r>
      <w:r w:rsidR="00051DC8">
        <w:rPr>
          <w:rFonts w:cs="Times New Roman"/>
        </w:rPr>
        <w:t xml:space="preserve">d’exécution et d’autre part, </w:t>
      </w:r>
      <w:r w:rsidR="0024459A">
        <w:rPr>
          <w:rFonts w:cs="Times New Roman"/>
        </w:rPr>
        <w:t xml:space="preserve">de prendre </w:t>
      </w:r>
      <w:r w:rsidR="00051DC8">
        <w:rPr>
          <w:rFonts w:cs="Times New Roman"/>
        </w:rPr>
        <w:t>en compte</w:t>
      </w:r>
      <w:r w:rsidR="0024459A">
        <w:rPr>
          <w:rFonts w:cs="Times New Roman"/>
        </w:rPr>
        <w:t xml:space="preserve"> les leçons apprises et recommandations dans les interventions </w:t>
      </w:r>
      <w:r w:rsidR="00051DC8">
        <w:rPr>
          <w:rFonts w:cs="Times New Roman"/>
        </w:rPr>
        <w:t>commençant</w:t>
      </w:r>
      <w:r w:rsidR="0024459A">
        <w:rPr>
          <w:rFonts w:cs="Times New Roman"/>
        </w:rPr>
        <w:t xml:space="preserve"> immédiatement après </w:t>
      </w:r>
      <w:r w:rsidR="00051DC8">
        <w:rPr>
          <w:rFonts w:cs="Times New Roman"/>
        </w:rPr>
        <w:t>c</w:t>
      </w:r>
      <w:r w:rsidR="0024459A">
        <w:rPr>
          <w:rFonts w:cs="Times New Roman"/>
        </w:rPr>
        <w:t xml:space="preserve">e projet.  </w:t>
      </w:r>
      <w:r w:rsidR="00407379">
        <w:rPr>
          <w:rFonts w:cs="Times New Roman"/>
        </w:rPr>
        <w:t xml:space="preserve"> </w:t>
      </w:r>
      <w:r>
        <w:rPr>
          <w:rFonts w:cs="Times New Roman"/>
        </w:rPr>
        <w:t xml:space="preserve"> </w:t>
      </w:r>
    </w:p>
    <w:p w14:paraId="19140D13" w14:textId="77777777" w:rsidR="00CD41BA" w:rsidRDefault="00CD41BA" w:rsidP="00DF4AC8">
      <w:pPr>
        <w:pStyle w:val="Titre3"/>
      </w:pPr>
      <w:bookmarkStart w:id="950" w:name="_Hlk86823861"/>
      <w:r>
        <w:t>Constat 8</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D41BA" w14:paraId="7BD90BC0" w14:textId="77777777" w:rsidTr="00F9020C">
        <w:trPr>
          <w:trHeight w:val="821"/>
        </w:trPr>
        <w:tc>
          <w:tcPr>
            <w:tcW w:w="9341" w:type="dxa"/>
            <w:shd w:val="clear" w:color="auto" w:fill="auto"/>
          </w:tcPr>
          <w:p w14:paraId="314647A1" w14:textId="5124C477" w:rsidR="00CD41BA" w:rsidRDefault="00CD41BA" w:rsidP="009E2DEE">
            <w:pPr>
              <w:spacing w:line="276" w:lineRule="auto"/>
              <w:rPr>
                <w:rFonts w:cs="Times New Roman"/>
                <w:b/>
                <w:bCs/>
                <w:color w:val="0070C0"/>
              </w:rPr>
            </w:pPr>
            <w:r w:rsidRPr="00A65129">
              <w:rPr>
                <w:rFonts w:cs="Times New Roman"/>
                <w:b/>
                <w:bCs/>
                <w:color w:val="0070C0"/>
              </w:rPr>
              <w:t>Les difficultés de communication et de coordination ont limité les potentiels effets synergiques du partenariat entre ONU Femmes et ONUDC et entre les ONG partenaires de mise en œuvre d’une part</w:t>
            </w:r>
            <w:r>
              <w:rPr>
                <w:rFonts w:cs="Times New Roman"/>
                <w:b/>
                <w:bCs/>
                <w:color w:val="0070C0"/>
              </w:rPr>
              <w:t>, ainsi que le</w:t>
            </w:r>
            <w:r w:rsidRPr="00A65129">
              <w:rPr>
                <w:rFonts w:cs="Times New Roman"/>
                <w:b/>
                <w:bCs/>
                <w:color w:val="0070C0"/>
              </w:rPr>
              <w:t xml:space="preserve"> partenariat entre ce projet </w:t>
            </w:r>
            <w:r>
              <w:rPr>
                <w:rFonts w:cs="Times New Roman"/>
                <w:b/>
                <w:bCs/>
                <w:color w:val="0070C0"/>
              </w:rPr>
              <w:t xml:space="preserve">et </w:t>
            </w:r>
            <w:r w:rsidRPr="00A65129">
              <w:rPr>
                <w:rFonts w:cs="Times New Roman"/>
                <w:b/>
                <w:bCs/>
                <w:color w:val="0070C0"/>
              </w:rPr>
              <w:t xml:space="preserve">les </w:t>
            </w:r>
            <w:r w:rsidR="007E54BE">
              <w:rPr>
                <w:rFonts w:cs="Times New Roman"/>
                <w:b/>
                <w:bCs/>
                <w:color w:val="0070C0"/>
              </w:rPr>
              <w:t xml:space="preserve">autres </w:t>
            </w:r>
            <w:r w:rsidRPr="00A65129">
              <w:rPr>
                <w:rFonts w:cs="Times New Roman"/>
                <w:b/>
                <w:bCs/>
                <w:color w:val="0070C0"/>
              </w:rPr>
              <w:t>projets</w:t>
            </w:r>
            <w:r w:rsidR="00B97D23">
              <w:rPr>
                <w:rFonts w:cs="Times New Roman"/>
                <w:b/>
                <w:bCs/>
                <w:color w:val="0070C0"/>
              </w:rPr>
              <w:t xml:space="preserve"> financés par</w:t>
            </w:r>
            <w:r w:rsidRPr="00A65129">
              <w:rPr>
                <w:rFonts w:cs="Times New Roman"/>
                <w:b/>
                <w:bCs/>
                <w:color w:val="0070C0"/>
              </w:rPr>
              <w:t xml:space="preserve"> </w:t>
            </w:r>
            <w:r w:rsidR="007E54BE">
              <w:rPr>
                <w:rFonts w:cs="Times New Roman"/>
                <w:b/>
                <w:bCs/>
                <w:color w:val="0070C0"/>
              </w:rPr>
              <w:t xml:space="preserve">PBF </w:t>
            </w:r>
            <w:r w:rsidRPr="00A65129">
              <w:rPr>
                <w:rFonts w:cs="Times New Roman"/>
                <w:b/>
                <w:bCs/>
                <w:color w:val="0070C0"/>
              </w:rPr>
              <w:t>d’autre part</w:t>
            </w:r>
            <w:r>
              <w:rPr>
                <w:rFonts w:cs="Times New Roman"/>
                <w:b/>
                <w:bCs/>
                <w:color w:val="0070C0"/>
              </w:rPr>
              <w:t>.</w:t>
            </w:r>
            <w:r w:rsidRPr="00A65129">
              <w:rPr>
                <w:rFonts w:cs="Times New Roman"/>
                <w:b/>
                <w:bCs/>
                <w:color w:val="0070C0"/>
              </w:rPr>
              <w:t xml:space="preserve"> </w:t>
            </w:r>
          </w:p>
          <w:p w14:paraId="7036A807" w14:textId="254A0F16" w:rsidR="00CD41BA" w:rsidRPr="00191FD2" w:rsidRDefault="00CD41BA" w:rsidP="009E2DEE">
            <w:pPr>
              <w:spacing w:line="276" w:lineRule="auto"/>
              <w:rPr>
                <w:i/>
                <w:iCs/>
              </w:rPr>
            </w:pPr>
            <w:r w:rsidRPr="00191FD2">
              <w:rPr>
                <w:rStyle w:val="fontstyle01"/>
                <w:rFonts w:ascii="Century Gothic" w:hAnsi="Century Gothic"/>
                <w:i/>
                <w:iCs/>
              </w:rPr>
              <w:t xml:space="preserve">Ce constat répond </w:t>
            </w:r>
            <w:r w:rsidR="00BD7BC6">
              <w:rPr>
                <w:rStyle w:val="fontstyle01"/>
                <w:rFonts w:ascii="Century Gothic" w:hAnsi="Century Gothic"/>
                <w:i/>
                <w:iCs/>
              </w:rPr>
              <w:t>à la question</w:t>
            </w:r>
            <w:r>
              <w:rPr>
                <w:rStyle w:val="fontstyle01"/>
                <w:rFonts w:ascii="Century Gothic" w:hAnsi="Century Gothic"/>
                <w:i/>
                <w:iCs/>
              </w:rPr>
              <w:t xml:space="preserve"> QE7</w:t>
            </w:r>
          </w:p>
        </w:tc>
      </w:tr>
      <w:bookmarkEnd w:id="950"/>
    </w:tbl>
    <w:p w14:paraId="3509B296" w14:textId="69A3D90F" w:rsidR="00E75368" w:rsidRDefault="00E75368" w:rsidP="00A52835">
      <w:pPr>
        <w:pStyle w:val="Paragraphedeliste"/>
        <w:spacing w:before="240" w:line="276" w:lineRule="auto"/>
        <w:ind w:left="360"/>
        <w:rPr>
          <w:rFonts w:cs="Times New Roman"/>
          <w:bCs/>
        </w:rPr>
      </w:pPr>
    </w:p>
    <w:p w14:paraId="403AE90A" w14:textId="0DD28CF3" w:rsidR="00A93682" w:rsidRDefault="009057DA" w:rsidP="00FB2B45">
      <w:pPr>
        <w:pStyle w:val="Paragraphedeliste"/>
        <w:numPr>
          <w:ilvl w:val="0"/>
          <w:numId w:val="23"/>
        </w:numPr>
        <w:spacing w:before="240" w:line="276" w:lineRule="auto"/>
        <w:rPr>
          <w:rFonts w:cs="Times New Roman"/>
          <w:bCs/>
        </w:rPr>
      </w:pPr>
      <w:r>
        <w:rPr>
          <w:rFonts w:cs="Times New Roman"/>
          <w:bCs/>
        </w:rPr>
        <w:t xml:space="preserve">Les échanges avec les acteurs du projet </w:t>
      </w:r>
      <w:r w:rsidR="00A93682">
        <w:rPr>
          <w:rFonts w:cs="Times New Roman"/>
          <w:bCs/>
        </w:rPr>
        <w:t>révèlent</w:t>
      </w:r>
      <w:r>
        <w:rPr>
          <w:rFonts w:cs="Times New Roman"/>
          <w:bCs/>
        </w:rPr>
        <w:t xml:space="preserve"> que </w:t>
      </w:r>
      <w:r w:rsidR="00202EE0">
        <w:rPr>
          <w:rFonts w:cs="Times New Roman"/>
          <w:bCs/>
        </w:rPr>
        <w:t>l</w:t>
      </w:r>
      <w:r w:rsidR="00202EE0" w:rsidRPr="009057DA">
        <w:rPr>
          <w:rFonts w:cs="Times New Roman"/>
          <w:bCs/>
        </w:rPr>
        <w:t>e</w:t>
      </w:r>
      <w:r w:rsidR="00202EE0">
        <w:rPr>
          <w:rFonts w:cs="Times New Roman"/>
          <w:bCs/>
        </w:rPr>
        <w:t>s effets synergiques</w:t>
      </w:r>
      <w:r w:rsidRPr="009057DA">
        <w:rPr>
          <w:rFonts w:cs="Times New Roman"/>
          <w:bCs/>
        </w:rPr>
        <w:t xml:space="preserve"> liés </w:t>
      </w:r>
      <w:r>
        <w:rPr>
          <w:rFonts w:cs="Times New Roman"/>
          <w:bCs/>
        </w:rPr>
        <w:t xml:space="preserve">au partenariat à différents niveaux </w:t>
      </w:r>
      <w:r w:rsidRPr="009057DA">
        <w:rPr>
          <w:rFonts w:cs="Times New Roman"/>
          <w:bCs/>
        </w:rPr>
        <w:t>n’ont pas été pleinement exploités</w:t>
      </w:r>
      <w:r w:rsidR="00414B79">
        <w:rPr>
          <w:rFonts w:cs="Times New Roman"/>
          <w:bCs/>
        </w:rPr>
        <w:t xml:space="preserve"> : collaboration entre agences d’exécution, collaboration entre ONG Locales du Mali et celles du Niger et collaboration entre le projet et </w:t>
      </w:r>
      <w:r w:rsidR="00752BC4">
        <w:rPr>
          <w:rFonts w:cs="Times New Roman"/>
          <w:bCs/>
        </w:rPr>
        <w:t xml:space="preserve">les </w:t>
      </w:r>
      <w:r w:rsidR="00414B79">
        <w:rPr>
          <w:rFonts w:cs="Times New Roman"/>
          <w:bCs/>
        </w:rPr>
        <w:t>autres projets PBF</w:t>
      </w:r>
      <w:r w:rsidRPr="009057DA">
        <w:rPr>
          <w:rFonts w:cs="Times New Roman"/>
          <w:bCs/>
        </w:rPr>
        <w:t>.</w:t>
      </w:r>
      <w:r w:rsidR="00A93682">
        <w:rPr>
          <w:rFonts w:cs="Times New Roman"/>
          <w:bCs/>
        </w:rPr>
        <w:t xml:space="preserve"> </w:t>
      </w:r>
    </w:p>
    <w:p w14:paraId="28B9D62F" w14:textId="1C14D8B7" w:rsidR="009C02FA" w:rsidRDefault="00202EE0" w:rsidP="042776B5">
      <w:pPr>
        <w:pStyle w:val="Paragraphedeliste"/>
        <w:numPr>
          <w:ilvl w:val="1"/>
          <w:numId w:val="85"/>
        </w:numPr>
        <w:spacing w:before="0" w:after="160" w:line="276" w:lineRule="auto"/>
        <w:ind w:left="589" w:hanging="283"/>
        <w:rPr>
          <w:rFonts w:cs="Times New Roman"/>
        </w:rPr>
      </w:pPr>
      <w:r w:rsidRPr="042776B5">
        <w:rPr>
          <w:rFonts w:cs="Times New Roman"/>
          <w:b/>
          <w:bCs/>
          <w:i/>
          <w:iCs/>
        </w:rPr>
        <w:t>Au niveau du partenariat entre les agences ONU Femmes et ONUDC </w:t>
      </w:r>
      <w:r w:rsidRPr="042776B5">
        <w:rPr>
          <w:rFonts w:cs="Times New Roman"/>
        </w:rPr>
        <w:t xml:space="preserve">: la </w:t>
      </w:r>
      <w:r w:rsidR="00801DE2" w:rsidRPr="042776B5">
        <w:rPr>
          <w:rFonts w:cs="Times New Roman"/>
        </w:rPr>
        <w:t>pr</w:t>
      </w:r>
      <w:r w:rsidR="00801DE2">
        <w:rPr>
          <w:rFonts w:cs="Times New Roman"/>
        </w:rPr>
        <w:t>incipale</w:t>
      </w:r>
      <w:r w:rsidR="00801DE2" w:rsidRPr="042776B5">
        <w:rPr>
          <w:rFonts w:cs="Times New Roman"/>
        </w:rPr>
        <w:t xml:space="preserve"> </w:t>
      </w:r>
      <w:r w:rsidRPr="042776B5">
        <w:rPr>
          <w:rFonts w:cs="Times New Roman"/>
        </w:rPr>
        <w:t>insuffisance est relative à la f</w:t>
      </w:r>
      <w:r w:rsidR="00A52835" w:rsidRPr="042776B5">
        <w:rPr>
          <w:rFonts w:cs="Times New Roman"/>
        </w:rPr>
        <w:t xml:space="preserve">aible fonctionnalité des </w:t>
      </w:r>
      <w:r w:rsidR="005B5178">
        <w:rPr>
          <w:rFonts w:cs="Times New Roman"/>
        </w:rPr>
        <w:t xml:space="preserve">comités techniques </w:t>
      </w:r>
      <w:r w:rsidR="00A52835" w:rsidRPr="042776B5">
        <w:rPr>
          <w:rFonts w:cs="Times New Roman"/>
        </w:rPr>
        <w:t>cadres de concertation</w:t>
      </w:r>
      <w:r w:rsidR="005B5178">
        <w:rPr>
          <w:rFonts w:cs="Times New Roman"/>
        </w:rPr>
        <w:t xml:space="preserve"> en l’occurrence le comité technique</w:t>
      </w:r>
      <w:r w:rsidR="009312F5">
        <w:rPr>
          <w:rFonts w:cs="Times New Roman"/>
        </w:rPr>
        <w:t xml:space="preserve"> de coordination</w:t>
      </w:r>
      <w:r w:rsidR="00A52835" w:rsidRPr="042776B5">
        <w:rPr>
          <w:rFonts w:cs="Times New Roman"/>
        </w:rPr>
        <w:t xml:space="preserve"> </w:t>
      </w:r>
      <w:r w:rsidR="001D559F" w:rsidRPr="042776B5">
        <w:rPr>
          <w:rFonts w:cs="Times New Roman"/>
        </w:rPr>
        <w:t xml:space="preserve">. </w:t>
      </w:r>
      <w:r w:rsidR="00801DE2">
        <w:rPr>
          <w:rFonts w:cs="Times New Roman"/>
        </w:rPr>
        <w:t>En effet, toutes les deux agences n’étaient pas systématiquement</w:t>
      </w:r>
      <w:r w:rsidR="005B5178">
        <w:rPr>
          <w:rFonts w:cs="Times New Roman"/>
        </w:rPr>
        <w:t xml:space="preserve"> présentes</w:t>
      </w:r>
      <w:r w:rsidR="00801DE2">
        <w:rPr>
          <w:rFonts w:cs="Times New Roman"/>
        </w:rPr>
        <w:t xml:space="preserve"> aux sessions </w:t>
      </w:r>
      <w:r w:rsidR="005B5178">
        <w:rPr>
          <w:rFonts w:cs="Times New Roman"/>
        </w:rPr>
        <w:t>du comité technique, ce qui a limité le partage d’informations et la mutualisation des ressources</w:t>
      </w:r>
      <w:r w:rsidR="009312F5">
        <w:rPr>
          <w:rFonts w:cs="Times New Roman"/>
        </w:rPr>
        <w:t>.</w:t>
      </w:r>
      <w:r w:rsidR="005B5178">
        <w:rPr>
          <w:rFonts w:cs="Times New Roman"/>
        </w:rPr>
        <w:t xml:space="preserve"> </w:t>
      </w:r>
      <w:r w:rsidR="00A866F3">
        <w:rPr>
          <w:rFonts w:cs="Times New Roman"/>
        </w:rPr>
        <w:t xml:space="preserve"> </w:t>
      </w:r>
    </w:p>
    <w:p w14:paraId="69FFD124" w14:textId="4BAE7687" w:rsidR="00A52835" w:rsidRPr="00A9263F" w:rsidRDefault="002B6A33" w:rsidP="042776B5">
      <w:pPr>
        <w:pStyle w:val="Paragraphedeliste"/>
        <w:numPr>
          <w:ilvl w:val="1"/>
          <w:numId w:val="85"/>
        </w:numPr>
        <w:spacing w:before="0" w:after="160" w:line="276" w:lineRule="auto"/>
        <w:ind w:left="589" w:hanging="283"/>
        <w:rPr>
          <w:rFonts w:cs="Times New Roman"/>
        </w:rPr>
      </w:pPr>
      <w:r w:rsidRPr="042776B5">
        <w:rPr>
          <w:rFonts w:cs="Times New Roman"/>
        </w:rPr>
        <w:t xml:space="preserve">Ces difficultés dans la communication et la coordination </w:t>
      </w:r>
      <w:r w:rsidR="007E54BE" w:rsidRPr="042776B5">
        <w:rPr>
          <w:rFonts w:cs="Times New Roman"/>
        </w:rPr>
        <w:t xml:space="preserve">qui auraient trouvé des solutions lors des rencontres avec le bailleur </w:t>
      </w:r>
      <w:r w:rsidRPr="042776B5">
        <w:rPr>
          <w:rFonts w:cs="Times New Roman"/>
        </w:rPr>
        <w:t>n’</w:t>
      </w:r>
      <w:r w:rsidR="007E54BE" w:rsidRPr="042776B5">
        <w:rPr>
          <w:rFonts w:cs="Times New Roman"/>
        </w:rPr>
        <w:t xml:space="preserve">y </w:t>
      </w:r>
      <w:r w:rsidRPr="042776B5">
        <w:rPr>
          <w:rFonts w:cs="Times New Roman"/>
        </w:rPr>
        <w:t xml:space="preserve">ont pas été posées </w:t>
      </w:r>
      <w:r w:rsidR="007E54BE" w:rsidRPr="042776B5">
        <w:rPr>
          <w:rFonts w:cs="Times New Roman"/>
        </w:rPr>
        <w:t>clairement</w:t>
      </w:r>
      <w:r w:rsidR="00717CA3" w:rsidRPr="042776B5">
        <w:rPr>
          <w:rFonts w:cs="Times New Roman"/>
        </w:rPr>
        <w:t xml:space="preserve">. </w:t>
      </w:r>
      <w:r w:rsidR="003D500E" w:rsidRPr="042776B5">
        <w:rPr>
          <w:rFonts w:cs="Times New Roman"/>
        </w:rPr>
        <w:t xml:space="preserve">En plus, </w:t>
      </w:r>
      <w:r w:rsidR="00454E1C" w:rsidRPr="042776B5">
        <w:rPr>
          <w:rFonts w:cs="Times New Roman"/>
        </w:rPr>
        <w:t xml:space="preserve">la coordination est restée limitée </w:t>
      </w:r>
      <w:r w:rsidR="00E477E7" w:rsidRPr="042776B5">
        <w:rPr>
          <w:rFonts w:cs="Times New Roman"/>
        </w:rPr>
        <w:t>faute de planification conjointe entre agences</w:t>
      </w:r>
      <w:r w:rsidR="00454E1C" w:rsidRPr="042776B5">
        <w:rPr>
          <w:rFonts w:cs="Times New Roman"/>
        </w:rPr>
        <w:t xml:space="preserve">. </w:t>
      </w:r>
      <w:r w:rsidR="00414B79" w:rsidRPr="042776B5">
        <w:rPr>
          <w:rFonts w:cs="Times New Roman"/>
        </w:rPr>
        <w:t>Le document de projet avait indiqué la nécessité de la planification conjointe et cela a été rappelé lors de la</w:t>
      </w:r>
      <w:r w:rsidR="00454E1C" w:rsidRPr="042776B5">
        <w:rPr>
          <w:rFonts w:cs="Times New Roman"/>
        </w:rPr>
        <w:t xml:space="preserve"> réunion du comité technique du 09 juillet 2019 à G</w:t>
      </w:r>
      <w:r w:rsidR="00752BC4">
        <w:rPr>
          <w:rFonts w:cs="Times New Roman"/>
        </w:rPr>
        <w:t>ao</w:t>
      </w:r>
      <w:r w:rsidR="00454E1C" w:rsidRPr="042776B5">
        <w:rPr>
          <w:rFonts w:cs="Times New Roman"/>
        </w:rPr>
        <w:t xml:space="preserve"> </w:t>
      </w:r>
      <w:r w:rsidR="0022379E" w:rsidRPr="042776B5">
        <w:rPr>
          <w:rFonts w:cs="Times New Roman"/>
        </w:rPr>
        <w:t>qui</w:t>
      </w:r>
      <w:r w:rsidR="00414B79" w:rsidRPr="042776B5">
        <w:rPr>
          <w:rFonts w:cs="Times New Roman"/>
        </w:rPr>
        <w:t xml:space="preserve"> </w:t>
      </w:r>
      <w:r w:rsidR="3FD072D1" w:rsidRPr="042776B5">
        <w:rPr>
          <w:rFonts w:cs="Times New Roman"/>
        </w:rPr>
        <w:t xml:space="preserve">a </w:t>
      </w:r>
      <w:r w:rsidR="00414B79" w:rsidRPr="042776B5">
        <w:rPr>
          <w:rFonts w:cs="Times New Roman"/>
        </w:rPr>
        <w:t>préconis</w:t>
      </w:r>
      <w:r w:rsidR="0022379E" w:rsidRPr="042776B5">
        <w:rPr>
          <w:rFonts w:cs="Times New Roman"/>
        </w:rPr>
        <w:t xml:space="preserve">é en outre </w:t>
      </w:r>
      <w:r w:rsidR="00A9263F" w:rsidRPr="042776B5">
        <w:rPr>
          <w:rFonts w:cs="Times New Roman"/>
        </w:rPr>
        <w:t>«</w:t>
      </w:r>
      <w:r w:rsidR="0022379E" w:rsidRPr="042776B5">
        <w:rPr>
          <w:rFonts w:cs="Times New Roman"/>
        </w:rPr>
        <w:t xml:space="preserve"> </w:t>
      </w:r>
      <w:r w:rsidR="0022379E" w:rsidRPr="042776B5">
        <w:rPr>
          <w:rFonts w:cs="Times New Roman"/>
          <w:i/>
          <w:iCs/>
        </w:rPr>
        <w:t xml:space="preserve">… </w:t>
      </w:r>
      <w:r w:rsidR="00F84CC7" w:rsidRPr="042776B5">
        <w:rPr>
          <w:rFonts w:cs="Times New Roman"/>
          <w:i/>
          <w:iCs/>
        </w:rPr>
        <w:t xml:space="preserve">un mécanisme de partage entre </w:t>
      </w:r>
      <w:r w:rsidR="00A805BA" w:rsidRPr="042776B5">
        <w:rPr>
          <w:rFonts w:cs="Times New Roman"/>
          <w:i/>
          <w:iCs/>
        </w:rPr>
        <w:t>l</w:t>
      </w:r>
      <w:r w:rsidR="00F84CC7" w:rsidRPr="042776B5">
        <w:rPr>
          <w:rFonts w:cs="Times New Roman"/>
          <w:i/>
          <w:iCs/>
        </w:rPr>
        <w:t>es différents acteurs</w:t>
      </w:r>
      <w:r w:rsidR="0022379E" w:rsidRPr="042776B5">
        <w:rPr>
          <w:rFonts w:cs="Times New Roman"/>
          <w:i/>
          <w:iCs/>
        </w:rPr>
        <w:t xml:space="preserve"> </w:t>
      </w:r>
      <w:r w:rsidR="00F84CC7" w:rsidRPr="042776B5">
        <w:rPr>
          <w:rFonts w:cs="Times New Roman"/>
          <w:i/>
          <w:iCs/>
        </w:rPr>
        <w:t>des TDRS et des rapports d’activités pour permettre aux uns et aux autres de faire leurs observations et de prendre les dispositions pour participer aux activités</w:t>
      </w:r>
      <w:r w:rsidR="00454E1C" w:rsidRPr="042776B5">
        <w:rPr>
          <w:rFonts w:cs="Times New Roman"/>
          <w:i/>
          <w:iCs/>
        </w:rPr>
        <w:t> »</w:t>
      </w:r>
      <w:r w:rsidR="00A9263F" w:rsidRPr="042776B5">
        <w:rPr>
          <w:rStyle w:val="Appelnotedebasdep"/>
          <w:rFonts w:cs="Times New Roman"/>
          <w:i/>
          <w:iCs/>
        </w:rPr>
        <w:footnoteReference w:id="32"/>
      </w:r>
      <w:r w:rsidR="00F84CC7" w:rsidRPr="042776B5">
        <w:rPr>
          <w:rFonts w:cs="Times New Roman"/>
          <w:i/>
          <w:iCs/>
        </w:rPr>
        <w:t>.</w:t>
      </w:r>
      <w:r w:rsidR="002D78EC" w:rsidRPr="042776B5">
        <w:rPr>
          <w:rFonts w:cs="Times New Roman"/>
          <w:i/>
          <w:iCs/>
        </w:rPr>
        <w:t xml:space="preserve"> </w:t>
      </w:r>
    </w:p>
    <w:p w14:paraId="2B9B2174" w14:textId="6AA2700E" w:rsidR="00A52835" w:rsidRPr="00A52835" w:rsidRDefault="00A9263F" w:rsidP="042776B5">
      <w:pPr>
        <w:pStyle w:val="Paragraphedeliste"/>
        <w:numPr>
          <w:ilvl w:val="1"/>
          <w:numId w:val="85"/>
        </w:numPr>
        <w:spacing w:before="0" w:after="160" w:line="276" w:lineRule="auto"/>
        <w:ind w:left="589" w:hanging="283"/>
        <w:rPr>
          <w:rFonts w:cs="Times New Roman"/>
        </w:rPr>
      </w:pPr>
      <w:r w:rsidRPr="042776B5">
        <w:rPr>
          <w:rFonts w:cs="Times New Roman"/>
          <w:b/>
          <w:bCs/>
          <w:i/>
          <w:iCs/>
        </w:rPr>
        <w:t>Au niveau du partenariat entre les ONG locales partenaires de mise en œuvre :</w:t>
      </w:r>
      <w:r w:rsidR="007068E8" w:rsidRPr="042776B5">
        <w:rPr>
          <w:rFonts w:cs="Times New Roman"/>
          <w:b/>
          <w:bCs/>
          <w:i/>
          <w:iCs/>
        </w:rPr>
        <w:t xml:space="preserve"> </w:t>
      </w:r>
      <w:r w:rsidR="00E477E7" w:rsidRPr="042776B5">
        <w:rPr>
          <w:rFonts w:cs="Times New Roman"/>
        </w:rPr>
        <w:t xml:space="preserve">quelques initiatives de coordination entre les ONG locales du </w:t>
      </w:r>
      <w:r w:rsidR="00EC2EF4" w:rsidRPr="042776B5">
        <w:rPr>
          <w:rFonts w:cs="Times New Roman"/>
        </w:rPr>
        <w:t>Mali</w:t>
      </w:r>
      <w:r w:rsidR="00E477E7" w:rsidRPr="042776B5">
        <w:rPr>
          <w:rFonts w:cs="Times New Roman"/>
        </w:rPr>
        <w:t xml:space="preserve"> ont été rapportées par leurs responsables. </w:t>
      </w:r>
      <w:r w:rsidR="00CF4928" w:rsidRPr="042776B5">
        <w:rPr>
          <w:rFonts w:cs="Times New Roman"/>
        </w:rPr>
        <w:t>Ces initiatives</w:t>
      </w:r>
      <w:r w:rsidR="002B6A33" w:rsidRPr="042776B5">
        <w:rPr>
          <w:rFonts w:cs="Times New Roman"/>
        </w:rPr>
        <w:t xml:space="preserve"> qui ont</w:t>
      </w:r>
      <w:r w:rsidR="00CF4928" w:rsidRPr="042776B5">
        <w:rPr>
          <w:rFonts w:cs="Times New Roman"/>
        </w:rPr>
        <w:t xml:space="preserve"> consisté en des rencontres entre les responsables de projet des deux ONG pour planifier la mise en œuvre de quelques activités et partager des expériences</w:t>
      </w:r>
      <w:r w:rsidR="002B6A33" w:rsidRPr="042776B5">
        <w:rPr>
          <w:rFonts w:cs="Times New Roman"/>
        </w:rPr>
        <w:t xml:space="preserve"> étaient juste ponctuelles</w:t>
      </w:r>
      <w:r w:rsidR="00CF4928" w:rsidRPr="042776B5">
        <w:rPr>
          <w:rFonts w:cs="Times New Roman"/>
        </w:rPr>
        <w:t>.</w:t>
      </w:r>
      <w:r w:rsidR="002B6A33" w:rsidRPr="042776B5">
        <w:rPr>
          <w:rFonts w:cs="Times New Roman"/>
        </w:rPr>
        <w:t xml:space="preserve"> </w:t>
      </w:r>
      <w:r w:rsidR="00C32ABF" w:rsidRPr="00F9020C">
        <w:rPr>
          <w:i/>
          <w:shd w:val="clear" w:color="auto" w:fill="F2F2F2"/>
        </w:rPr>
        <w:t>« </w:t>
      </w:r>
      <w:r w:rsidR="00734D6A" w:rsidRPr="00F9020C">
        <w:rPr>
          <w:i/>
          <w:shd w:val="clear" w:color="auto" w:fill="F2F2F2"/>
        </w:rPr>
        <w:t>N</w:t>
      </w:r>
      <w:r w:rsidR="00C32ABF" w:rsidRPr="00F9020C">
        <w:rPr>
          <w:i/>
          <w:shd w:val="clear" w:color="auto" w:fill="F2F2F2"/>
        </w:rPr>
        <w:t>ous nous sommes concertés au bureau pour savoir s’il y a lieu que les animateurs aillent les aider sur le terrain. On fait des partages dans les ateliers pour traiter les thématiques. On échange sur les expériences passées pour savoir comment</w:t>
      </w:r>
      <w:r w:rsidR="00734D6A" w:rsidRPr="00F9020C">
        <w:rPr>
          <w:i/>
          <w:shd w:val="clear" w:color="auto" w:fill="F2F2F2"/>
        </w:rPr>
        <w:t>,</w:t>
      </w:r>
      <w:r w:rsidR="00C32ABF" w:rsidRPr="00F9020C">
        <w:rPr>
          <w:i/>
          <w:shd w:val="clear" w:color="auto" w:fill="F2F2F2"/>
        </w:rPr>
        <w:t xml:space="preserve"> ils ont fait pour faire participer les gens et ensuite comment entreprendre une activité en cas de délocalisation d’une activité » </w:t>
      </w:r>
      <w:r w:rsidR="00C32ABF" w:rsidRPr="00F9020C">
        <w:rPr>
          <w:shd w:val="clear" w:color="auto" w:fill="F2F2F2"/>
        </w:rPr>
        <w:t>(Propos d’un Responsable d’une partenaire de mise en œuvre)</w:t>
      </w:r>
      <w:r w:rsidR="00C32ABF" w:rsidRPr="042776B5">
        <w:rPr>
          <w:rFonts w:cs="Times New Roman"/>
        </w:rPr>
        <w:t>.</w:t>
      </w:r>
      <w:r w:rsidR="00C32ABF" w:rsidRPr="042776B5">
        <w:rPr>
          <w:rFonts w:cs="Times New Roman"/>
          <w:i/>
          <w:iCs/>
        </w:rPr>
        <w:t xml:space="preserve"> </w:t>
      </w:r>
      <w:r w:rsidR="00C32ABF" w:rsidRPr="042776B5">
        <w:rPr>
          <w:rFonts w:cs="Times New Roman"/>
        </w:rPr>
        <w:t>Au Niger par contre, des initiatives similaires</w:t>
      </w:r>
      <w:r w:rsidR="00BB4B7D" w:rsidRPr="042776B5">
        <w:rPr>
          <w:rFonts w:cs="Times New Roman"/>
        </w:rPr>
        <w:t xml:space="preserve"> entre les ONG locales</w:t>
      </w:r>
      <w:r w:rsidR="00734D6A" w:rsidRPr="042776B5">
        <w:rPr>
          <w:rFonts w:cs="Times New Roman"/>
        </w:rPr>
        <w:t xml:space="preserve"> </w:t>
      </w:r>
      <w:r w:rsidR="0022379E" w:rsidRPr="042776B5">
        <w:rPr>
          <w:rFonts w:cs="Times New Roman"/>
        </w:rPr>
        <w:t>n’</w:t>
      </w:r>
      <w:r w:rsidR="00734D6A" w:rsidRPr="042776B5">
        <w:rPr>
          <w:rFonts w:cs="Times New Roman"/>
        </w:rPr>
        <w:t xml:space="preserve">ont </w:t>
      </w:r>
      <w:r w:rsidR="011E63F3" w:rsidRPr="042776B5">
        <w:rPr>
          <w:rFonts w:cs="Times New Roman"/>
        </w:rPr>
        <w:t xml:space="preserve">pas </w:t>
      </w:r>
      <w:r w:rsidR="00734D6A" w:rsidRPr="042776B5">
        <w:rPr>
          <w:rFonts w:cs="Times New Roman"/>
        </w:rPr>
        <w:t>eu lieu</w:t>
      </w:r>
      <w:r w:rsidR="0022379E" w:rsidRPr="042776B5">
        <w:rPr>
          <w:rFonts w:cs="Times New Roman"/>
        </w:rPr>
        <w:t xml:space="preserve">, même si </w:t>
      </w:r>
      <w:r w:rsidR="00BB4B7D" w:rsidRPr="042776B5">
        <w:rPr>
          <w:rFonts w:cs="Times New Roman"/>
        </w:rPr>
        <w:t>elles ont parfois tenté de</w:t>
      </w:r>
      <w:r w:rsidR="00734D6A" w:rsidRPr="042776B5">
        <w:rPr>
          <w:rFonts w:cs="Times New Roman"/>
        </w:rPr>
        <w:t xml:space="preserve"> faire un rapport commun.</w:t>
      </w:r>
      <w:r w:rsidR="007068E8" w:rsidRPr="042776B5">
        <w:rPr>
          <w:rFonts w:cs="Times New Roman"/>
        </w:rPr>
        <w:t xml:space="preserve"> </w:t>
      </w:r>
      <w:r w:rsidR="00BB4B7D" w:rsidRPr="042776B5">
        <w:rPr>
          <w:rFonts w:cs="Times New Roman"/>
        </w:rPr>
        <w:t>En outre</w:t>
      </w:r>
      <w:r w:rsidR="00734D6A" w:rsidRPr="042776B5">
        <w:rPr>
          <w:rFonts w:cs="Times New Roman"/>
        </w:rPr>
        <w:t>, il n’y a pas eu de collaboration entre les ONG du Mali et celles du Niger. Ces relations qui qui marquent le caractère transfrontalier du projet n’ont pas réellement fonctionné.</w:t>
      </w:r>
    </w:p>
    <w:p w14:paraId="16074CBD" w14:textId="1E235477" w:rsidR="00A52835" w:rsidRPr="001D6FD7" w:rsidRDefault="00717CA3" w:rsidP="00FB2B45">
      <w:pPr>
        <w:pStyle w:val="Paragraphedeliste"/>
        <w:numPr>
          <w:ilvl w:val="1"/>
          <w:numId w:val="85"/>
        </w:numPr>
        <w:spacing w:before="0" w:after="160" w:line="276" w:lineRule="auto"/>
        <w:ind w:left="589" w:hanging="283"/>
        <w:rPr>
          <w:rFonts w:cs="Times New Roman"/>
          <w:bCs/>
        </w:rPr>
      </w:pPr>
      <w:r w:rsidRPr="00454E1C">
        <w:rPr>
          <w:rFonts w:cs="Times New Roman"/>
          <w:b/>
          <w:i/>
          <w:iCs/>
        </w:rPr>
        <w:t>Au niveau d</w:t>
      </w:r>
      <w:r w:rsidR="009C02FA">
        <w:rPr>
          <w:rFonts w:cs="Times New Roman"/>
          <w:b/>
          <w:i/>
          <w:iCs/>
        </w:rPr>
        <w:t xml:space="preserve">e la collaboration </w:t>
      </w:r>
      <w:r w:rsidR="00734D6A">
        <w:rPr>
          <w:rFonts w:cs="Times New Roman"/>
          <w:b/>
          <w:i/>
          <w:iCs/>
        </w:rPr>
        <w:t xml:space="preserve">entre </w:t>
      </w:r>
      <w:r>
        <w:rPr>
          <w:rFonts w:cs="Times New Roman"/>
          <w:b/>
          <w:i/>
          <w:iCs/>
        </w:rPr>
        <w:t>ce projet et les autres interventions de PBF dans la zone d’intervention</w:t>
      </w:r>
      <w:r w:rsidRPr="00454E1C">
        <w:rPr>
          <w:rFonts w:cs="Times New Roman"/>
          <w:b/>
          <w:i/>
          <w:iCs/>
        </w:rPr>
        <w:t> </w:t>
      </w:r>
      <w:r w:rsidRPr="00454E1C">
        <w:rPr>
          <w:rFonts w:cs="Times New Roman"/>
          <w:bCs/>
        </w:rPr>
        <w:t xml:space="preserve">: </w:t>
      </w:r>
      <w:r>
        <w:rPr>
          <w:rFonts w:cs="Times New Roman"/>
          <w:bCs/>
        </w:rPr>
        <w:t>on note à ce niveau l’a</w:t>
      </w:r>
      <w:r w:rsidR="00A52835" w:rsidRPr="00A52835">
        <w:rPr>
          <w:rFonts w:cs="Times New Roman"/>
          <w:bCs/>
        </w:rPr>
        <w:t xml:space="preserve">bsence de contact </w:t>
      </w:r>
      <w:r>
        <w:rPr>
          <w:rFonts w:cs="Times New Roman"/>
          <w:bCs/>
        </w:rPr>
        <w:t xml:space="preserve">du projet </w:t>
      </w:r>
      <w:r w:rsidR="00A52835" w:rsidRPr="00A52835">
        <w:rPr>
          <w:rFonts w:cs="Times New Roman"/>
          <w:bCs/>
        </w:rPr>
        <w:t>avec les autres projets de PBF dans la zon</w:t>
      </w:r>
      <w:r>
        <w:rPr>
          <w:rFonts w:cs="Times New Roman"/>
          <w:bCs/>
        </w:rPr>
        <w:t>e d’intervention</w:t>
      </w:r>
      <w:r w:rsidR="009C02FA">
        <w:rPr>
          <w:rFonts w:cs="Times New Roman"/>
          <w:bCs/>
        </w:rPr>
        <w:t xml:space="preserve">, </w:t>
      </w:r>
      <w:r w:rsidR="009C02FA" w:rsidRPr="00F9020C">
        <w:rPr>
          <w:shd w:val="clear" w:color="auto" w:fill="F2F2F2"/>
        </w:rPr>
        <w:t>« </w:t>
      </w:r>
      <w:r w:rsidR="009C02FA" w:rsidRPr="00F9020C">
        <w:rPr>
          <w:i/>
          <w:shd w:val="clear" w:color="auto" w:fill="F2F2F2"/>
        </w:rPr>
        <w:t>parce que nous n’étions pas informés d’un projet PBF mis en œuvre dans la zone transfrontalière</w:t>
      </w:r>
      <w:r w:rsidR="009C02FA">
        <w:rPr>
          <w:rFonts w:cs="Times New Roman"/>
          <w:bCs/>
        </w:rPr>
        <w:t> » justifie un membre d’une agence d’exécution</w:t>
      </w:r>
      <w:r>
        <w:rPr>
          <w:rFonts w:cs="Times New Roman"/>
          <w:bCs/>
        </w:rPr>
        <w:t>.</w:t>
      </w:r>
      <w:r w:rsidR="007068E8">
        <w:rPr>
          <w:rFonts w:cs="Times New Roman"/>
          <w:bCs/>
        </w:rPr>
        <w:t xml:space="preserve"> </w:t>
      </w:r>
      <w:r w:rsidR="00414B79">
        <w:rPr>
          <w:rFonts w:cs="Times New Roman"/>
          <w:bCs/>
        </w:rPr>
        <w:t>L</w:t>
      </w:r>
      <w:r w:rsidR="009C02FA">
        <w:rPr>
          <w:rFonts w:cs="Times New Roman"/>
          <w:bCs/>
        </w:rPr>
        <w:t>e document de projet,</w:t>
      </w:r>
      <w:r w:rsidR="00414B79">
        <w:rPr>
          <w:rFonts w:cs="Times New Roman"/>
          <w:bCs/>
        </w:rPr>
        <w:t xml:space="preserve"> précise cependant </w:t>
      </w:r>
      <w:r w:rsidR="009C7153">
        <w:rPr>
          <w:rFonts w:cs="Times New Roman"/>
          <w:bCs/>
        </w:rPr>
        <w:t xml:space="preserve">que </w:t>
      </w:r>
      <w:r w:rsidR="00285121">
        <w:rPr>
          <w:rFonts w:cs="Times New Roman"/>
          <w:bCs/>
        </w:rPr>
        <w:t xml:space="preserve">le projet sera complémentaire à d’autres intervention dans la zone d’intervention : </w:t>
      </w:r>
      <w:r w:rsidR="00284CB1">
        <w:rPr>
          <w:rFonts w:cs="Times New Roman"/>
          <w:bCs/>
        </w:rPr>
        <w:t>1</w:t>
      </w:r>
      <w:r w:rsidR="00285121">
        <w:rPr>
          <w:rFonts w:cs="Times New Roman"/>
          <w:bCs/>
        </w:rPr>
        <w:t>) le</w:t>
      </w:r>
      <w:r w:rsidR="00284CB1">
        <w:rPr>
          <w:rFonts w:cs="Times New Roman"/>
          <w:bCs/>
        </w:rPr>
        <w:t xml:space="preserve"> projet PBF/IRF-182</w:t>
      </w:r>
      <w:r w:rsidR="00285121">
        <w:rPr>
          <w:rFonts w:cs="Times New Roman"/>
          <w:bCs/>
        </w:rPr>
        <w:t xml:space="preserve"> </w:t>
      </w:r>
      <w:r w:rsidR="00284CB1">
        <w:t xml:space="preserve">: </w:t>
      </w:r>
      <w:r w:rsidR="00284CB1" w:rsidRPr="000D1694">
        <w:rPr>
          <w:i/>
          <w:iCs/>
        </w:rPr>
        <w:t>Promotion de la sécurité communautaire et de la cohésion sociale dans la région Liptako-Gourma - Cross-border Initiative (Burkina, Mali, Niger)</w:t>
      </w:r>
      <w:r w:rsidR="00284CB1">
        <w:t xml:space="preserve"> » mis en œuvre par le PNUD, 2) le pr</w:t>
      </w:r>
      <w:r w:rsidR="00752BC4">
        <w:t>o</w:t>
      </w:r>
      <w:r w:rsidR="00284CB1">
        <w:t>jetpr</w:t>
      </w:r>
      <w:r w:rsidR="00752BC4">
        <w:t>o</w:t>
      </w:r>
      <w:r w:rsidR="00284CB1">
        <w:t xml:space="preserve">jet PBF/IRF-158 : « </w:t>
      </w:r>
      <w:r w:rsidR="00284CB1" w:rsidRPr="000D1694">
        <w:rPr>
          <w:i/>
          <w:iCs/>
        </w:rPr>
        <w:t>Femmes, Défense et Sécurité. Participation des Femmes à la Réforme du Secteur de la sécurité et au renforcement de la confiance entre les populations et Forces de défense et de sécurité au Mali</w:t>
      </w:r>
      <w:r w:rsidR="00284CB1">
        <w:t xml:space="preserve"> » mis en œuvre par Interpeace, 3) le projet en cours de développement « </w:t>
      </w:r>
      <w:r w:rsidR="00284CB1" w:rsidRPr="000D1694">
        <w:rPr>
          <w:i/>
          <w:iCs/>
        </w:rPr>
        <w:t>Appui au renforcement de la cohésion sociale dans les communes de Bosso, Toumour, Kablewa, Gueskerou, Chetimari la région de Diff</w:t>
      </w:r>
      <w:r w:rsidR="00284CB1">
        <w:t>a » (PNUD</w:t>
      </w:r>
      <w:r w:rsidR="00F04541">
        <w:t xml:space="preserve"> ; </w:t>
      </w:r>
      <w:r w:rsidR="00284CB1">
        <w:t xml:space="preserve">UNHCR) et 4) le projet cours de développement iv) </w:t>
      </w:r>
      <w:r w:rsidR="00284CB1" w:rsidRPr="000D1694">
        <w:rPr>
          <w:i/>
          <w:iCs/>
        </w:rPr>
        <w:t>Implication des jeunes et des femmes dans la résolution pacifique des conflits communautaires dans la zone nord Tillabery</w:t>
      </w:r>
      <w:r w:rsidR="00284CB1">
        <w:t xml:space="preserve"> » UNHCR-UNICEF -UNFPA</w:t>
      </w:r>
      <w:r w:rsidR="009C7153">
        <w:t>. La recherche active de l’information aurait permis d’avoir les contacts des équipes en charge de ces projets afin d’améliorer la coordination.</w:t>
      </w:r>
    </w:p>
    <w:p w14:paraId="07319696" w14:textId="77777777" w:rsidR="001D6FD7" w:rsidRPr="00A52835" w:rsidRDefault="001D6FD7" w:rsidP="001D6FD7">
      <w:pPr>
        <w:pStyle w:val="Paragraphedeliste"/>
        <w:spacing w:before="0" w:after="160" w:line="276" w:lineRule="auto"/>
        <w:ind w:left="589"/>
        <w:rPr>
          <w:rFonts w:cs="Times New Roman"/>
          <w:bCs/>
        </w:rPr>
      </w:pPr>
    </w:p>
    <w:p w14:paraId="236038A1" w14:textId="7D9EA18F" w:rsidR="00CD41BA" w:rsidRDefault="00CD41BA" w:rsidP="00DF4AC8">
      <w:pPr>
        <w:pStyle w:val="Titre3"/>
      </w:pPr>
      <w:bookmarkStart w:id="951" w:name="_Hlk86823922"/>
      <w:r>
        <w:t xml:space="preserve">Constat </w:t>
      </w:r>
      <w:r w:rsidR="00FB2EF2">
        <w:t>9</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D41BA" w14:paraId="2D11ADE3" w14:textId="77777777" w:rsidTr="00F9020C">
        <w:trPr>
          <w:trHeight w:val="821"/>
        </w:trPr>
        <w:tc>
          <w:tcPr>
            <w:tcW w:w="9341" w:type="dxa"/>
            <w:shd w:val="clear" w:color="auto" w:fill="auto"/>
          </w:tcPr>
          <w:p w14:paraId="0396A270" w14:textId="533F414B" w:rsidR="00875AC0" w:rsidRPr="00875AC0" w:rsidRDefault="00875AC0" w:rsidP="00875AC0">
            <w:pPr>
              <w:spacing w:line="276" w:lineRule="auto"/>
              <w:rPr>
                <w:rFonts w:cs="Times New Roman"/>
                <w:b/>
                <w:bCs/>
                <w:color w:val="0070C0"/>
              </w:rPr>
            </w:pPr>
            <w:r>
              <w:rPr>
                <w:rFonts w:cs="Times New Roman"/>
                <w:b/>
                <w:bCs/>
                <w:color w:val="0070C0"/>
              </w:rPr>
              <w:t>Dans la zone d’intervention du projet, d’autre</w:t>
            </w:r>
            <w:r w:rsidR="000071F3">
              <w:rPr>
                <w:rFonts w:cs="Times New Roman"/>
                <w:b/>
                <w:bCs/>
                <w:color w:val="0070C0"/>
              </w:rPr>
              <w:t>s</w:t>
            </w:r>
            <w:r>
              <w:rPr>
                <w:rFonts w:cs="Times New Roman"/>
                <w:b/>
                <w:bCs/>
                <w:color w:val="0070C0"/>
              </w:rPr>
              <w:t xml:space="preserve"> partenaires au </w:t>
            </w:r>
            <w:r w:rsidRPr="00875AC0">
              <w:rPr>
                <w:rFonts w:cs="Times New Roman"/>
                <w:b/>
                <w:bCs/>
                <w:color w:val="0070C0"/>
              </w:rPr>
              <w:t>développement</w:t>
            </w:r>
            <w:r w:rsidR="000071F3">
              <w:rPr>
                <w:rFonts w:cs="Times New Roman"/>
                <w:b/>
                <w:bCs/>
                <w:color w:val="0070C0"/>
              </w:rPr>
              <w:t xml:space="preserve"> </w:t>
            </w:r>
            <w:r w:rsidR="00BF37FC">
              <w:rPr>
                <w:rFonts w:cs="Times New Roman"/>
                <w:b/>
                <w:bCs/>
                <w:color w:val="0070C0"/>
              </w:rPr>
              <w:t xml:space="preserve">ont mis en œuvre durant la période couverte, </w:t>
            </w:r>
            <w:r>
              <w:rPr>
                <w:rFonts w:cs="Times New Roman"/>
                <w:b/>
                <w:bCs/>
                <w:color w:val="0070C0"/>
              </w:rPr>
              <w:t xml:space="preserve">des interventions en lien avec le renforcement de la cohésion sociale, </w:t>
            </w:r>
            <w:r w:rsidR="00AD5F08">
              <w:rPr>
                <w:rFonts w:cs="Times New Roman"/>
                <w:b/>
                <w:bCs/>
                <w:color w:val="0070C0"/>
              </w:rPr>
              <w:t>la participation des femmes et des jeunes à la gestion des conflits et le rétablissement des relations de confiance entre les populations et les FDS</w:t>
            </w:r>
            <w:r w:rsidRPr="00875AC0">
              <w:rPr>
                <w:rFonts w:cs="Times New Roman"/>
                <w:b/>
                <w:bCs/>
                <w:color w:val="0070C0"/>
              </w:rPr>
              <w:t xml:space="preserve">. Les actions de ces partenaires </w:t>
            </w:r>
            <w:r w:rsidR="00AD5F08">
              <w:rPr>
                <w:rFonts w:cs="Times New Roman"/>
                <w:b/>
                <w:bCs/>
                <w:color w:val="0070C0"/>
              </w:rPr>
              <w:t>contribuent</w:t>
            </w:r>
            <w:r w:rsidRPr="00875AC0">
              <w:rPr>
                <w:rFonts w:cs="Times New Roman"/>
                <w:b/>
                <w:bCs/>
                <w:color w:val="0070C0"/>
              </w:rPr>
              <w:t xml:space="preserve"> </w:t>
            </w:r>
            <w:r w:rsidR="009B170B">
              <w:rPr>
                <w:rFonts w:cs="Times New Roman"/>
                <w:b/>
                <w:bCs/>
                <w:color w:val="0070C0"/>
              </w:rPr>
              <w:t xml:space="preserve">aux changements observés sur le terrain. </w:t>
            </w:r>
          </w:p>
          <w:p w14:paraId="0AC7C65E" w14:textId="2038148B" w:rsidR="00CD41BA" w:rsidRPr="00191FD2" w:rsidRDefault="00CD41BA" w:rsidP="00875AC0">
            <w:pPr>
              <w:spacing w:line="276" w:lineRule="auto"/>
              <w:rPr>
                <w:i/>
                <w:iCs/>
              </w:rPr>
            </w:pPr>
            <w:r w:rsidRPr="00191FD2">
              <w:rPr>
                <w:rStyle w:val="fontstyle01"/>
                <w:rFonts w:ascii="Century Gothic" w:hAnsi="Century Gothic"/>
                <w:i/>
                <w:iCs/>
              </w:rPr>
              <w:t xml:space="preserve">Ce constat répond </w:t>
            </w:r>
            <w:r w:rsidR="00AD5F08">
              <w:rPr>
                <w:rStyle w:val="fontstyle01"/>
                <w:rFonts w:ascii="Century Gothic" w:hAnsi="Century Gothic"/>
                <w:i/>
                <w:iCs/>
              </w:rPr>
              <w:t xml:space="preserve">à la </w:t>
            </w:r>
            <w:r w:rsidR="00BD7BC6">
              <w:rPr>
                <w:rStyle w:val="fontstyle01"/>
                <w:rFonts w:ascii="Century Gothic" w:hAnsi="Century Gothic"/>
                <w:i/>
                <w:iCs/>
              </w:rPr>
              <w:t xml:space="preserve">question </w:t>
            </w:r>
            <w:r w:rsidR="00AD5F08">
              <w:rPr>
                <w:rStyle w:val="fontstyle01"/>
                <w:rFonts w:ascii="Century Gothic" w:hAnsi="Century Gothic"/>
                <w:i/>
                <w:iCs/>
              </w:rPr>
              <w:t xml:space="preserve">QE8 </w:t>
            </w:r>
          </w:p>
        </w:tc>
      </w:tr>
      <w:bookmarkEnd w:id="951"/>
    </w:tbl>
    <w:p w14:paraId="7F275FD4" w14:textId="77777777" w:rsidR="00E75368" w:rsidRDefault="00E75368" w:rsidP="00E75368">
      <w:pPr>
        <w:spacing w:after="0" w:line="276" w:lineRule="auto"/>
        <w:rPr>
          <w:rFonts w:cs="Times New Roman"/>
          <w:bCs/>
        </w:rPr>
      </w:pPr>
    </w:p>
    <w:p w14:paraId="6B750D5F" w14:textId="07EE370C" w:rsidR="005C4C5B" w:rsidRDefault="005C4C5B" w:rsidP="00FB2B45">
      <w:pPr>
        <w:pStyle w:val="Paragraphedeliste"/>
        <w:numPr>
          <w:ilvl w:val="0"/>
          <w:numId w:val="23"/>
        </w:numPr>
        <w:spacing w:before="240" w:line="276" w:lineRule="auto"/>
        <w:rPr>
          <w:rFonts w:cs="Times New Roman"/>
          <w:bCs/>
        </w:rPr>
      </w:pPr>
      <w:r w:rsidRPr="00C769C8">
        <w:rPr>
          <w:rFonts w:cs="Times New Roman"/>
          <w:bCs/>
        </w:rPr>
        <w:t xml:space="preserve">Les données primaires et la revue documentaire montrent l’existence de plusieurs interventions traitant du renforcement de la cohésion sociale, la participation des femmes et des jeunes à la gestion des conflits et le rétablissement des relations de confiance entre les populations et les FDS dans la même zone d’intervention du projet évalué. Dans le document de projet, il est précisé que ce projet est complémentaire à 4 autres interventions dans la zone d’intervention </w:t>
      </w:r>
      <w:r w:rsidR="00FE2270" w:rsidRPr="00C769C8">
        <w:rPr>
          <w:rFonts w:cs="Times New Roman"/>
          <w:bCs/>
        </w:rPr>
        <w:t>tels que rappelés plus haut. Ces 4 projets sont mis en œuvre par</w:t>
      </w:r>
      <w:r w:rsidR="00C769C8" w:rsidRPr="00C769C8">
        <w:rPr>
          <w:rFonts w:cs="Times New Roman"/>
          <w:bCs/>
        </w:rPr>
        <w:t xml:space="preserve"> des agences onusiennes (</w:t>
      </w:r>
      <w:r w:rsidR="00FE2270" w:rsidRPr="00C769C8">
        <w:rPr>
          <w:rFonts w:cs="Times New Roman"/>
          <w:bCs/>
        </w:rPr>
        <w:t>PNUD, UNHCR</w:t>
      </w:r>
      <w:r w:rsidR="00C769C8" w:rsidRPr="00C769C8">
        <w:rPr>
          <w:rFonts w:cs="Times New Roman"/>
          <w:bCs/>
        </w:rPr>
        <w:t>, UNICEF, UNFPA) et une organisation internationale (Interpeace) sur financement du PBF.</w:t>
      </w:r>
      <w:r w:rsidR="00C769C8">
        <w:rPr>
          <w:rFonts w:cs="Times New Roman"/>
          <w:bCs/>
        </w:rPr>
        <w:t xml:space="preserve"> Il ressort également que</w:t>
      </w:r>
      <w:r w:rsidR="00F9020C">
        <w:rPr>
          <w:rFonts w:cs="Times New Roman"/>
          <w:bCs/>
        </w:rPr>
        <w:t xml:space="preserve"> le </w:t>
      </w:r>
      <w:r w:rsidR="00F9020C" w:rsidRPr="00F9020C">
        <w:rPr>
          <w:rFonts w:cs="Times New Roman"/>
          <w:bCs/>
        </w:rPr>
        <w:t>Conseil danois pour les réfugiés</w:t>
      </w:r>
      <w:r w:rsidR="00F9020C">
        <w:rPr>
          <w:rFonts w:cs="Times New Roman"/>
          <w:bCs/>
        </w:rPr>
        <w:t xml:space="preserve"> (</w:t>
      </w:r>
      <w:r w:rsidR="00FE2270" w:rsidRPr="00C769C8">
        <w:rPr>
          <w:rFonts w:cs="Times New Roman"/>
          <w:bCs/>
        </w:rPr>
        <w:t>DRC</w:t>
      </w:r>
      <w:r w:rsidR="00F9020C">
        <w:rPr>
          <w:rFonts w:cs="Times New Roman"/>
          <w:bCs/>
        </w:rPr>
        <w:t>)</w:t>
      </w:r>
      <w:r w:rsidR="00FE2270" w:rsidRPr="00C769C8">
        <w:rPr>
          <w:rFonts w:cs="Times New Roman"/>
          <w:bCs/>
        </w:rPr>
        <w:t xml:space="preserve"> a exécuté entre décembre 2018 et juin 2021, dans les zones transfrontalières du Burkina Faso (Sahel et Nord), du Mali (Gao) et du Niger (Tillabéry), un projet intitulé : « Renforcer la résilience des communautés frontalières face aux conflits et à la violence armée dans le Liptako-Gourma »</w:t>
      </w:r>
      <w:r w:rsidR="00C769C8">
        <w:rPr>
          <w:rFonts w:cs="Times New Roman"/>
          <w:bCs/>
        </w:rPr>
        <w:t xml:space="preserve"> sur financement de l’Union européenne. </w:t>
      </w:r>
    </w:p>
    <w:p w14:paraId="40E5A470" w14:textId="146A9B0A" w:rsidR="009F515C" w:rsidRPr="001D6FD7" w:rsidRDefault="00C769C8" w:rsidP="00FB2B45">
      <w:pPr>
        <w:pStyle w:val="Paragraphedeliste"/>
        <w:numPr>
          <w:ilvl w:val="0"/>
          <w:numId w:val="23"/>
        </w:numPr>
        <w:spacing w:before="240" w:line="276" w:lineRule="auto"/>
        <w:rPr>
          <w:i/>
          <w:iCs/>
        </w:rPr>
      </w:pPr>
      <w:r>
        <w:rPr>
          <w:rFonts w:cs="Times New Roman"/>
          <w:bCs/>
        </w:rPr>
        <w:t xml:space="preserve">Les résultats des entretiens au niveau communautaire </w:t>
      </w:r>
      <w:r w:rsidR="009F515C">
        <w:rPr>
          <w:rFonts w:cs="Times New Roman"/>
          <w:bCs/>
        </w:rPr>
        <w:t>montrent</w:t>
      </w:r>
      <w:r>
        <w:rPr>
          <w:rFonts w:cs="Times New Roman"/>
          <w:bCs/>
        </w:rPr>
        <w:t xml:space="preserve"> également </w:t>
      </w:r>
      <w:r w:rsidR="009F515C">
        <w:rPr>
          <w:rFonts w:cs="Times New Roman"/>
          <w:bCs/>
        </w:rPr>
        <w:t>l’existence</w:t>
      </w:r>
      <w:r>
        <w:rPr>
          <w:rFonts w:cs="Times New Roman"/>
          <w:bCs/>
        </w:rPr>
        <w:t xml:space="preserve"> des interventions similaires dans la zone d’intervention du projet. </w:t>
      </w:r>
      <w:r w:rsidR="009F515C">
        <w:rPr>
          <w:rFonts w:cs="Times New Roman"/>
          <w:bCs/>
        </w:rPr>
        <w:t>Selon le représentant d’une autorité locale à Anderamboukane « l’</w:t>
      </w:r>
      <w:r w:rsidR="009F515C" w:rsidRPr="00F9020C">
        <w:rPr>
          <w:i/>
          <w:shd w:val="clear" w:color="auto" w:fill="F2F2F2"/>
        </w:rPr>
        <w:t>ONG Demesso a formé un moment des parajuristes qui travaillent sur le terrain pour le renforcement de la confiance entre communauté et chaine pénale de 2018-2020. A part l’ONG Dèmesso, la Minusma intervient aussi sur la thématique. Souvent elle travaille avec les autorités intérimaires, la jeunesse, la CAFO dans le cadre des formations </w:t>
      </w:r>
      <w:r w:rsidR="009F515C" w:rsidRPr="009F515C">
        <w:rPr>
          <w:rFonts w:cs="Times New Roman"/>
          <w:bCs/>
        </w:rPr>
        <w:t>». Au Niger</w:t>
      </w:r>
      <w:r w:rsidR="009F515C">
        <w:rPr>
          <w:rFonts w:cs="Times New Roman"/>
          <w:bCs/>
        </w:rPr>
        <w:t xml:space="preserve">, un jeune leader ajoute </w:t>
      </w:r>
      <w:r w:rsidR="009F515C" w:rsidRPr="00F9020C">
        <w:rPr>
          <w:i/>
          <w:shd w:val="clear" w:color="auto" w:fill="F2F2F2"/>
        </w:rPr>
        <w:t>« Il y a des comités de paix mis en place par des partenaires comme OIM, PNUD et la HACP dans certains villages de la commune et les femmes et les jeunes sont représentés dans ces comités »</w:t>
      </w:r>
      <w:r w:rsidR="009F515C" w:rsidRPr="00F04541">
        <w:rPr>
          <w:i/>
          <w:iCs/>
        </w:rPr>
        <w:t>.</w:t>
      </w:r>
      <w:r w:rsidR="009F515C">
        <w:rPr>
          <w:i/>
          <w:iCs/>
        </w:rPr>
        <w:t xml:space="preserve"> </w:t>
      </w:r>
      <w:r w:rsidR="009F515C" w:rsidRPr="00771E11">
        <w:rPr>
          <w:rFonts w:cs="Times New Roman"/>
          <w:bCs/>
        </w:rPr>
        <w:t>La multiplicité des interventions sur les mêmes thématiques du projet a été</w:t>
      </w:r>
      <w:r w:rsidR="00771E11" w:rsidRPr="00771E11">
        <w:rPr>
          <w:rFonts w:cs="Times New Roman"/>
          <w:bCs/>
        </w:rPr>
        <w:t xml:space="preserve"> d’ailleurs</w:t>
      </w:r>
      <w:r w:rsidR="009F515C" w:rsidRPr="00771E11">
        <w:rPr>
          <w:rFonts w:cs="Times New Roman"/>
          <w:bCs/>
        </w:rPr>
        <w:t xml:space="preserve"> </w:t>
      </w:r>
      <w:r w:rsidR="00771E11" w:rsidRPr="00771E11">
        <w:rPr>
          <w:rFonts w:cs="Times New Roman"/>
          <w:bCs/>
        </w:rPr>
        <w:t>révélée dans les rapports d’études portant élaboration de</w:t>
      </w:r>
      <w:r w:rsidR="009F515C" w:rsidRPr="00771E11">
        <w:rPr>
          <w:rFonts w:cs="Times New Roman"/>
          <w:bCs/>
        </w:rPr>
        <w:t xml:space="preserve"> Répertoire des organisations intervenant sur les questions de femmes, paix et sécurité dans </w:t>
      </w:r>
      <w:r w:rsidR="00771E11" w:rsidRPr="00771E11">
        <w:rPr>
          <w:rFonts w:cs="Times New Roman"/>
          <w:bCs/>
        </w:rPr>
        <w:t xml:space="preserve">la zone d’intervention du projet. </w:t>
      </w:r>
      <w:r w:rsidR="00935B83" w:rsidRPr="00771E11">
        <w:rPr>
          <w:rFonts w:cs="Times New Roman"/>
          <w:bCs/>
        </w:rPr>
        <w:t>Deux répertoires portant sur le cercle d’Ansongo et sur les 4 communes d’intervention du Niger son</w:t>
      </w:r>
      <w:r w:rsidR="00935B83">
        <w:rPr>
          <w:rFonts w:cs="Times New Roman"/>
          <w:bCs/>
        </w:rPr>
        <w:t xml:space="preserve">t présentés en Annexe 9 à titre d’exemples. </w:t>
      </w:r>
      <w:r w:rsidR="000D4E8B">
        <w:rPr>
          <w:rFonts w:cs="Times New Roman"/>
          <w:bCs/>
        </w:rPr>
        <w:t>Le nombre important d’interventions</w:t>
      </w:r>
      <w:r w:rsidR="00771E11">
        <w:rPr>
          <w:rFonts w:cs="Times New Roman"/>
          <w:bCs/>
        </w:rPr>
        <w:t xml:space="preserve"> implique que les changements observés ne peuvent être uniquement attribués au seul projet transfrontalier en cours d’évaluation</w:t>
      </w:r>
      <w:r w:rsidR="00935B83">
        <w:rPr>
          <w:rFonts w:cs="Times New Roman"/>
          <w:bCs/>
        </w:rPr>
        <w:t xml:space="preserve">. </w:t>
      </w:r>
    </w:p>
    <w:p w14:paraId="58CA77FE" w14:textId="77777777" w:rsidR="001D6FD7" w:rsidRDefault="001D6FD7" w:rsidP="001D6FD7">
      <w:pPr>
        <w:pStyle w:val="Paragraphedeliste"/>
        <w:spacing w:before="240" w:line="276" w:lineRule="auto"/>
        <w:ind w:left="360"/>
        <w:rPr>
          <w:i/>
          <w:iCs/>
        </w:rPr>
      </w:pPr>
    </w:p>
    <w:p w14:paraId="31EFD582" w14:textId="6B1101EE" w:rsidR="00065010" w:rsidRDefault="00065010" w:rsidP="00820BBD">
      <w:pPr>
        <w:pStyle w:val="Titre2"/>
        <w:numPr>
          <w:ilvl w:val="1"/>
          <w:numId w:val="81"/>
        </w:numPr>
      </w:pPr>
      <w:bookmarkStart w:id="952" w:name="_Toc95451870"/>
      <w:r>
        <w:t>Efficience</w:t>
      </w:r>
      <w:bookmarkEnd w:id="952"/>
    </w:p>
    <w:p w14:paraId="0D3C2308" w14:textId="7AB5C0BB" w:rsidR="007E5827" w:rsidRDefault="007E5827" w:rsidP="00DF4AC8">
      <w:pPr>
        <w:pStyle w:val="Titre3"/>
      </w:pPr>
      <w:bookmarkStart w:id="953" w:name="_Hlk86823981"/>
      <w:r>
        <w:t xml:space="preserve">Constat </w:t>
      </w:r>
      <w:r w:rsidR="00274AA5">
        <w:t>1</w:t>
      </w:r>
      <w:r w:rsidR="00DC4D0B">
        <w:t>0</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7E5827" w14:paraId="2CAAC7F2" w14:textId="77777777" w:rsidTr="00F9020C">
        <w:trPr>
          <w:trHeight w:val="1869"/>
        </w:trPr>
        <w:tc>
          <w:tcPr>
            <w:tcW w:w="9341" w:type="dxa"/>
            <w:shd w:val="clear" w:color="auto" w:fill="auto"/>
          </w:tcPr>
          <w:p w14:paraId="57189DFB" w14:textId="4DEB42E2" w:rsidR="007E5827" w:rsidRDefault="007E5827" w:rsidP="009E2DEE">
            <w:pPr>
              <w:spacing w:line="276" w:lineRule="auto"/>
              <w:rPr>
                <w:rFonts w:cs="Times New Roman"/>
                <w:b/>
                <w:bCs/>
                <w:color w:val="0070C0"/>
              </w:rPr>
            </w:pPr>
            <w:r w:rsidRPr="007E5827">
              <w:rPr>
                <w:rFonts w:cs="Times New Roman"/>
                <w:b/>
                <w:bCs/>
                <w:color w:val="0070C0"/>
              </w:rPr>
              <w:t>Les ressources financières planifié</w:t>
            </w:r>
            <w:r w:rsidR="00E512E4">
              <w:rPr>
                <w:rFonts w:cs="Times New Roman"/>
                <w:b/>
                <w:bCs/>
                <w:color w:val="0070C0"/>
              </w:rPr>
              <w:t>e</w:t>
            </w:r>
            <w:r w:rsidRPr="007E5827">
              <w:rPr>
                <w:rFonts w:cs="Times New Roman"/>
                <w:b/>
                <w:bCs/>
                <w:color w:val="0070C0"/>
              </w:rPr>
              <w:t xml:space="preserve">s dans le cadre du projet ont été mobilisées et exécutées conformément </w:t>
            </w:r>
            <w:r w:rsidR="00D220EA">
              <w:rPr>
                <w:rFonts w:cs="Times New Roman"/>
                <w:b/>
                <w:bCs/>
                <w:color w:val="0070C0"/>
              </w:rPr>
              <w:t>aux</w:t>
            </w:r>
            <w:r w:rsidRPr="007E5827">
              <w:rPr>
                <w:rFonts w:cs="Times New Roman"/>
                <w:b/>
                <w:bCs/>
                <w:color w:val="0070C0"/>
              </w:rPr>
              <w:t xml:space="preserve"> procédures</w:t>
            </w:r>
            <w:r w:rsidR="00D220EA" w:rsidRPr="007E5827">
              <w:rPr>
                <w:rFonts w:cs="Times New Roman"/>
                <w:b/>
                <w:bCs/>
                <w:color w:val="0070C0"/>
              </w:rPr>
              <w:t xml:space="preserve"> </w:t>
            </w:r>
            <w:r w:rsidR="00D220EA">
              <w:rPr>
                <w:rFonts w:cs="Times New Roman"/>
                <w:b/>
                <w:bCs/>
                <w:color w:val="0070C0"/>
              </w:rPr>
              <w:t>d</w:t>
            </w:r>
            <w:r w:rsidR="00D220EA" w:rsidRPr="007E5827">
              <w:rPr>
                <w:rFonts w:cs="Times New Roman"/>
                <w:b/>
                <w:bCs/>
                <w:color w:val="0070C0"/>
              </w:rPr>
              <w:t>es agences d’exécution</w:t>
            </w:r>
            <w:r w:rsidRPr="007E5827">
              <w:rPr>
                <w:rFonts w:cs="Times New Roman"/>
                <w:b/>
                <w:bCs/>
                <w:color w:val="0070C0"/>
              </w:rPr>
              <w:t xml:space="preserve">. </w:t>
            </w:r>
            <w:r w:rsidR="00D220EA">
              <w:rPr>
                <w:rFonts w:cs="Times New Roman"/>
                <w:b/>
                <w:bCs/>
                <w:color w:val="0070C0"/>
              </w:rPr>
              <w:t>L</w:t>
            </w:r>
            <w:r w:rsidR="0082402E">
              <w:rPr>
                <w:rFonts w:cs="Times New Roman"/>
                <w:b/>
                <w:bCs/>
                <w:color w:val="0070C0"/>
              </w:rPr>
              <w:t>e</w:t>
            </w:r>
            <w:r w:rsidR="00D220EA">
              <w:rPr>
                <w:rFonts w:cs="Times New Roman"/>
                <w:b/>
                <w:bCs/>
                <w:color w:val="0070C0"/>
              </w:rPr>
              <w:t xml:space="preserve"> taux d’exécution financière est évalué à</w:t>
            </w:r>
            <w:r w:rsidRPr="007E5827">
              <w:rPr>
                <w:rFonts w:cs="Times New Roman"/>
                <w:b/>
                <w:bCs/>
                <w:color w:val="0070C0"/>
              </w:rPr>
              <w:t xml:space="preserve"> </w:t>
            </w:r>
            <w:r w:rsidR="00E67BFA">
              <w:rPr>
                <w:rFonts w:cs="Times New Roman"/>
                <w:b/>
                <w:bCs/>
                <w:color w:val="0070C0"/>
              </w:rPr>
              <w:t>95,2</w:t>
            </w:r>
            <w:r w:rsidRPr="007E5827">
              <w:rPr>
                <w:rFonts w:cs="Times New Roman"/>
                <w:b/>
                <w:bCs/>
                <w:color w:val="0070C0"/>
              </w:rPr>
              <w:t xml:space="preserve">% des </w:t>
            </w:r>
            <w:r w:rsidR="00D220EA">
              <w:rPr>
                <w:rFonts w:cs="Times New Roman"/>
                <w:b/>
                <w:bCs/>
                <w:color w:val="0070C0"/>
              </w:rPr>
              <w:t>ressources du projet</w:t>
            </w:r>
            <w:r w:rsidRPr="007E5827">
              <w:rPr>
                <w:rFonts w:cs="Times New Roman"/>
                <w:b/>
                <w:bCs/>
                <w:color w:val="0070C0"/>
              </w:rPr>
              <w:t xml:space="preserve"> (rapport final)</w:t>
            </w:r>
            <w:r>
              <w:rPr>
                <w:rFonts w:cs="Times New Roman"/>
                <w:b/>
                <w:bCs/>
                <w:color w:val="0070C0"/>
              </w:rPr>
              <w:t>.</w:t>
            </w:r>
            <w:r w:rsidR="00E512E4">
              <w:rPr>
                <w:rFonts w:cs="Times New Roman"/>
                <w:b/>
                <w:bCs/>
                <w:color w:val="0070C0"/>
              </w:rPr>
              <w:t xml:space="preserve"> </w:t>
            </w:r>
            <w:r w:rsidR="001B37F1">
              <w:rPr>
                <w:rFonts w:cs="Times New Roman"/>
                <w:b/>
                <w:bCs/>
                <w:color w:val="0070C0"/>
              </w:rPr>
              <w:t>T</w:t>
            </w:r>
            <w:r w:rsidR="001B37F1" w:rsidRPr="001B37F1">
              <w:rPr>
                <w:rFonts w:cs="Times New Roman"/>
                <w:b/>
                <w:bCs/>
                <w:color w:val="0070C0"/>
              </w:rPr>
              <w:t xml:space="preserve">outes les ressources humaines et matérielles mobilisées ont </w:t>
            </w:r>
            <w:r w:rsidR="001B37F1">
              <w:rPr>
                <w:rFonts w:cs="Times New Roman"/>
                <w:b/>
                <w:bCs/>
                <w:color w:val="0070C0"/>
              </w:rPr>
              <w:t xml:space="preserve">aussi </w:t>
            </w:r>
            <w:r w:rsidR="001B37F1" w:rsidRPr="001B37F1">
              <w:rPr>
                <w:rFonts w:cs="Times New Roman"/>
                <w:b/>
                <w:bCs/>
                <w:color w:val="0070C0"/>
              </w:rPr>
              <w:t xml:space="preserve">été employées </w:t>
            </w:r>
            <w:r w:rsidR="003167F3">
              <w:rPr>
                <w:rFonts w:cs="Times New Roman"/>
                <w:b/>
                <w:bCs/>
                <w:color w:val="0070C0"/>
              </w:rPr>
              <w:t>pour la réalisation effective des activités programmées</w:t>
            </w:r>
            <w:r w:rsidR="001B37F1">
              <w:rPr>
                <w:rFonts w:cs="Times New Roman"/>
                <w:b/>
                <w:bCs/>
                <w:color w:val="0070C0"/>
              </w:rPr>
              <w:t>.</w:t>
            </w:r>
          </w:p>
          <w:p w14:paraId="6671893D" w14:textId="784B20F3" w:rsidR="007E5827" w:rsidRPr="00191FD2" w:rsidRDefault="00A234E4"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aux questions QE15, QE16</w:t>
            </w:r>
            <w:r w:rsidR="00CA0E7B">
              <w:rPr>
                <w:rStyle w:val="fontstyle01"/>
                <w:rFonts w:ascii="Century Gothic" w:hAnsi="Century Gothic"/>
                <w:i/>
                <w:iCs/>
              </w:rPr>
              <w:t xml:space="preserve"> et</w:t>
            </w:r>
            <w:r w:rsidR="00BD7BC6">
              <w:rPr>
                <w:rStyle w:val="fontstyle01"/>
                <w:rFonts w:ascii="Century Gothic" w:hAnsi="Century Gothic"/>
                <w:i/>
                <w:iCs/>
              </w:rPr>
              <w:t xml:space="preserve"> </w:t>
            </w:r>
            <w:r>
              <w:rPr>
                <w:rStyle w:val="fontstyle01"/>
                <w:rFonts w:ascii="Century Gothic" w:hAnsi="Century Gothic"/>
                <w:i/>
                <w:iCs/>
              </w:rPr>
              <w:t>QE17.</w:t>
            </w:r>
          </w:p>
        </w:tc>
      </w:tr>
      <w:bookmarkEnd w:id="953"/>
    </w:tbl>
    <w:p w14:paraId="71BE8583" w14:textId="77777777" w:rsidR="0095022A" w:rsidRDefault="0095022A" w:rsidP="0095022A">
      <w:pPr>
        <w:spacing w:after="0" w:line="276" w:lineRule="auto"/>
        <w:rPr>
          <w:rFonts w:cs="Times New Roman"/>
          <w:bCs/>
        </w:rPr>
      </w:pPr>
    </w:p>
    <w:p w14:paraId="28841021" w14:textId="1388D3D7" w:rsidR="0095022A" w:rsidRDefault="00E512E4" w:rsidP="042776B5">
      <w:pPr>
        <w:pStyle w:val="Paragraphedeliste"/>
        <w:numPr>
          <w:ilvl w:val="0"/>
          <w:numId w:val="23"/>
        </w:numPr>
        <w:spacing w:before="240" w:line="276" w:lineRule="auto"/>
        <w:rPr>
          <w:rFonts w:cs="Times New Roman"/>
        </w:rPr>
      </w:pPr>
      <w:r w:rsidRPr="042776B5">
        <w:rPr>
          <w:rFonts w:cs="Times New Roman"/>
        </w:rPr>
        <w:t xml:space="preserve">Le budget global du projet est de </w:t>
      </w:r>
      <w:r w:rsidR="003D75E1" w:rsidRPr="042776B5">
        <w:rPr>
          <w:rFonts w:cs="Times New Roman"/>
          <w:b/>
          <w:bCs/>
        </w:rPr>
        <w:t>3 014 164,00 USD</w:t>
      </w:r>
      <w:r w:rsidR="003D75E1" w:rsidRPr="042776B5">
        <w:rPr>
          <w:rFonts w:cs="Times New Roman"/>
        </w:rPr>
        <w:t xml:space="preserve"> et a été répartie à raison de 68% pour ONU Femmes et 32% pour ONUDC. Les c</w:t>
      </w:r>
      <w:r w:rsidR="00765810" w:rsidRPr="042776B5">
        <w:rPr>
          <w:rFonts w:cs="Times New Roman"/>
        </w:rPr>
        <w:t>oû</w:t>
      </w:r>
      <w:r w:rsidR="003D75E1" w:rsidRPr="042776B5">
        <w:rPr>
          <w:rFonts w:cs="Times New Roman"/>
        </w:rPr>
        <w:t>t</w:t>
      </w:r>
      <w:r w:rsidR="00765810" w:rsidRPr="042776B5">
        <w:rPr>
          <w:rFonts w:cs="Times New Roman"/>
        </w:rPr>
        <w:t>s directs ont représenté 93,5% du budget contre 6,5% pour les coûts indirects.</w:t>
      </w:r>
      <w:r w:rsidR="003D75E1" w:rsidRPr="042776B5">
        <w:rPr>
          <w:rFonts w:cs="Times New Roman"/>
        </w:rPr>
        <w:t xml:space="preserve"> </w:t>
      </w:r>
      <w:r w:rsidR="00765810" w:rsidRPr="042776B5">
        <w:rPr>
          <w:rFonts w:cs="Times New Roman"/>
        </w:rPr>
        <w:t xml:space="preserve">Les coûts directs de mise en œuvre comprennent 7 rubriques : (i) le Personnel et autres employés, (ii) les Fournitures, produits de base, matériels, (iii) les Equipements, véhicules et mobilier, (iv) les Services contractuels, (v) Frais de déplacement, (vi) les Transferts et subventions aux homologues, (vii) les Frais généraux de fonctionnement et autres coûts directs. </w:t>
      </w:r>
      <w:r w:rsidR="003D75E1" w:rsidRPr="042776B5">
        <w:rPr>
          <w:rFonts w:cs="Times New Roman"/>
        </w:rPr>
        <w:t xml:space="preserve">La répartition détaillée </w:t>
      </w:r>
      <w:r w:rsidR="00765810" w:rsidRPr="042776B5">
        <w:rPr>
          <w:rFonts w:cs="Times New Roman"/>
        </w:rPr>
        <w:t xml:space="preserve">du budget par agence d’exécution et par rubrique de coût </w:t>
      </w:r>
      <w:r w:rsidR="003D75E1" w:rsidRPr="042776B5">
        <w:rPr>
          <w:rFonts w:cs="Times New Roman"/>
        </w:rPr>
        <w:t xml:space="preserve">est fournie dans le tableau </w:t>
      </w:r>
      <w:r w:rsidR="00102459" w:rsidRPr="042776B5">
        <w:rPr>
          <w:rFonts w:cs="Times New Roman"/>
        </w:rPr>
        <w:t xml:space="preserve">10 </w:t>
      </w:r>
      <w:r w:rsidR="00FB2EF2" w:rsidRPr="042776B5">
        <w:rPr>
          <w:rFonts w:cs="Times New Roman"/>
        </w:rPr>
        <w:t>en Annexe 9</w:t>
      </w:r>
      <w:r w:rsidR="003D75E1" w:rsidRPr="042776B5">
        <w:rPr>
          <w:rFonts w:cs="Times New Roman"/>
        </w:rPr>
        <w:t xml:space="preserve">. </w:t>
      </w:r>
    </w:p>
    <w:p w14:paraId="25D3C7DA" w14:textId="216777D6" w:rsidR="001B37F1" w:rsidRDefault="00765810" w:rsidP="042776B5">
      <w:pPr>
        <w:pStyle w:val="Paragraphedeliste"/>
        <w:numPr>
          <w:ilvl w:val="0"/>
          <w:numId w:val="23"/>
        </w:numPr>
        <w:spacing w:before="240" w:line="276" w:lineRule="auto"/>
        <w:rPr>
          <w:rFonts w:cs="Times New Roman"/>
        </w:rPr>
      </w:pPr>
      <w:r w:rsidRPr="042776B5">
        <w:rPr>
          <w:rFonts w:cs="Times New Roman"/>
        </w:rPr>
        <w:t>Les ressources financières ainsi réparties ont été exécutées suivant les procédures financières des deux agences (</w:t>
      </w:r>
      <w:r w:rsidR="00C129E0" w:rsidRPr="042776B5">
        <w:rPr>
          <w:rFonts w:cs="Times New Roman"/>
        </w:rPr>
        <w:t>ONU Femmes et ONUDC)</w:t>
      </w:r>
      <w:r w:rsidRPr="042776B5">
        <w:rPr>
          <w:rFonts w:cs="Times New Roman"/>
        </w:rPr>
        <w:t xml:space="preserve">. Ce sont des procédures </w:t>
      </w:r>
      <w:r w:rsidR="00C129E0" w:rsidRPr="042776B5">
        <w:rPr>
          <w:rFonts w:cs="Times New Roman"/>
        </w:rPr>
        <w:t xml:space="preserve">du système des Nations Unies </w:t>
      </w:r>
      <w:r w:rsidRPr="042776B5">
        <w:rPr>
          <w:rFonts w:cs="Times New Roman"/>
        </w:rPr>
        <w:t>basées sur les normes internationalement reconnues comme faisant partie des bonnes pratiques de gestion financière. Les ressources sont décaissées versées par tranche après justification d’au moins 75% de la tranche précédente</w:t>
      </w:r>
      <w:r w:rsidR="001B37F1" w:rsidRPr="042776B5">
        <w:rPr>
          <w:rFonts w:cs="Times New Roman"/>
        </w:rPr>
        <w:t xml:space="preserve"> auprès de PBF</w:t>
      </w:r>
      <w:r w:rsidRPr="042776B5">
        <w:rPr>
          <w:rFonts w:cs="Times New Roman"/>
        </w:rPr>
        <w:t xml:space="preserve">. </w:t>
      </w:r>
      <w:r w:rsidR="001B37F1" w:rsidRPr="042776B5">
        <w:rPr>
          <w:rFonts w:cs="Times New Roman"/>
        </w:rPr>
        <w:t>Ce principe de décaissement et de justification des ressources est aussi appliqué par ONU Femmes avec les ONG partenaires de mise en œuvre sur une base trimestrielle</w:t>
      </w:r>
      <w:r w:rsidR="00D51B30" w:rsidRPr="042776B5">
        <w:rPr>
          <w:rFonts w:cs="Times New Roman"/>
        </w:rPr>
        <w:t>, avec le remplissage des Formulaire</w:t>
      </w:r>
      <w:r w:rsidR="005A2E11" w:rsidRPr="042776B5">
        <w:rPr>
          <w:rFonts w:cs="Times New Roman"/>
        </w:rPr>
        <w:t>s</w:t>
      </w:r>
      <w:r w:rsidR="00D51B30" w:rsidRPr="042776B5">
        <w:rPr>
          <w:rFonts w:cs="Times New Roman"/>
        </w:rPr>
        <w:t xml:space="preserve"> d'autorisation de financement et de certification de dépenses (FACE)</w:t>
      </w:r>
      <w:r w:rsidR="001B37F1" w:rsidRPr="042776B5">
        <w:rPr>
          <w:rFonts w:cs="Times New Roman"/>
        </w:rPr>
        <w:t xml:space="preserve">. </w:t>
      </w:r>
      <w:r w:rsidR="008D1CEE" w:rsidRPr="042776B5">
        <w:rPr>
          <w:rFonts w:cs="Times New Roman"/>
        </w:rPr>
        <w:t xml:space="preserve">Etant </w:t>
      </w:r>
      <w:r w:rsidR="005A2E11" w:rsidRPr="042776B5">
        <w:rPr>
          <w:rFonts w:cs="Times New Roman"/>
        </w:rPr>
        <w:t xml:space="preserve">donné </w:t>
      </w:r>
      <w:r w:rsidR="008D1CEE" w:rsidRPr="042776B5">
        <w:rPr>
          <w:rFonts w:cs="Times New Roman"/>
        </w:rPr>
        <w:t xml:space="preserve">l’expérience </w:t>
      </w:r>
      <w:r w:rsidR="005A2E11" w:rsidRPr="042776B5">
        <w:rPr>
          <w:rFonts w:cs="Times New Roman"/>
        </w:rPr>
        <w:t>de travail des</w:t>
      </w:r>
      <w:r w:rsidR="008D1CEE" w:rsidRPr="042776B5">
        <w:rPr>
          <w:rFonts w:cs="Times New Roman"/>
        </w:rPr>
        <w:t xml:space="preserve"> ONG avec ONU Femmes, ces procédures n’ont pas posé un problème particulier. </w:t>
      </w:r>
      <w:r w:rsidR="00C129E0" w:rsidRPr="00F9020C">
        <w:rPr>
          <w:i/>
          <w:shd w:val="clear" w:color="auto" w:fill="F2F2F2"/>
        </w:rPr>
        <w:t>« On travaille avec ONU Femmes depuis 2016, donc on n’a pas de problème de renseignements des FACE »</w:t>
      </w:r>
      <w:r w:rsidR="00C129E0" w:rsidRPr="00F9020C">
        <w:rPr>
          <w:shd w:val="clear" w:color="auto" w:fill="F2F2F2"/>
        </w:rPr>
        <w:t>.</w:t>
      </w:r>
      <w:r w:rsidR="00C129E0" w:rsidRPr="042776B5">
        <w:rPr>
          <w:rFonts w:cs="Times New Roman"/>
        </w:rPr>
        <w:t xml:space="preserve"> </w:t>
      </w:r>
      <w:r w:rsidR="008D1CEE" w:rsidRPr="042776B5">
        <w:rPr>
          <w:rFonts w:cs="Times New Roman"/>
        </w:rPr>
        <w:t xml:space="preserve">Toutefois, </w:t>
      </w:r>
      <w:r w:rsidR="00C129E0" w:rsidRPr="042776B5">
        <w:rPr>
          <w:rFonts w:cs="Times New Roman"/>
        </w:rPr>
        <w:t xml:space="preserve">des </w:t>
      </w:r>
      <w:r w:rsidR="008D1CEE" w:rsidRPr="042776B5">
        <w:rPr>
          <w:rFonts w:cs="Times New Roman"/>
        </w:rPr>
        <w:t xml:space="preserve">cas de retard de décaissement </w:t>
      </w:r>
      <w:r w:rsidR="00C129E0" w:rsidRPr="042776B5">
        <w:rPr>
          <w:rFonts w:cs="Times New Roman"/>
        </w:rPr>
        <w:t>de plusieurs mois ont été signalés</w:t>
      </w:r>
      <w:r w:rsidR="00752BC4">
        <w:rPr>
          <w:rFonts w:cs="Times New Roman"/>
        </w:rPr>
        <w:t xml:space="preserve"> </w:t>
      </w:r>
      <w:r w:rsidR="008D1CEE" w:rsidRPr="042776B5">
        <w:rPr>
          <w:rFonts w:cs="Times New Roman"/>
        </w:rPr>
        <w:t>par ces ONG</w:t>
      </w:r>
      <w:r w:rsidR="00D51B30" w:rsidRPr="042776B5">
        <w:rPr>
          <w:rFonts w:cs="Times New Roman"/>
        </w:rPr>
        <w:t xml:space="preserve">, lesquels retards ont affecté la planification </w:t>
      </w:r>
      <w:r w:rsidR="005A2E11" w:rsidRPr="042776B5">
        <w:rPr>
          <w:rFonts w:cs="Times New Roman"/>
        </w:rPr>
        <w:t>trimestrielle</w:t>
      </w:r>
      <w:r w:rsidR="008D1CEE" w:rsidRPr="042776B5">
        <w:rPr>
          <w:rFonts w:cs="Times New Roman"/>
        </w:rPr>
        <w:t xml:space="preserve">. </w:t>
      </w:r>
      <w:r w:rsidR="001B37F1" w:rsidRPr="042776B5">
        <w:rPr>
          <w:rFonts w:cs="Times New Roman"/>
        </w:rPr>
        <w:t xml:space="preserve">Le niveau de consommation des ressources financières est </w:t>
      </w:r>
      <w:r w:rsidR="00D81052">
        <w:rPr>
          <w:rFonts w:cs="Times New Roman"/>
        </w:rPr>
        <w:t>élevé</w:t>
      </w:r>
      <w:r w:rsidR="001B37F1" w:rsidRPr="042776B5">
        <w:rPr>
          <w:rFonts w:cs="Times New Roman"/>
        </w:rPr>
        <w:t xml:space="preserve">, le taux global d’exécution financière à la fin de la mise en œuvre du projet étant estimé à </w:t>
      </w:r>
      <w:r w:rsidR="00E67BFA">
        <w:rPr>
          <w:rFonts w:cs="Times New Roman"/>
        </w:rPr>
        <w:t>95,2%</w:t>
      </w:r>
      <w:r w:rsidR="0024252D" w:rsidRPr="042776B5">
        <w:rPr>
          <w:rFonts w:cs="Times New Roman"/>
        </w:rPr>
        <w:t>. Ce taux est</w:t>
      </w:r>
      <w:r w:rsidR="001B37F1" w:rsidRPr="042776B5">
        <w:rPr>
          <w:rFonts w:cs="Times New Roman"/>
        </w:rPr>
        <w:t xml:space="preserve"> </w:t>
      </w:r>
      <w:r w:rsidR="007B64FD">
        <w:rPr>
          <w:rFonts w:cs="Times New Roman"/>
        </w:rPr>
        <w:t xml:space="preserve">de100% pour ONU Femmes et de </w:t>
      </w:r>
      <w:r w:rsidR="00E67BFA">
        <w:rPr>
          <w:rFonts w:cs="Times New Roman"/>
        </w:rPr>
        <w:t>85</w:t>
      </w:r>
      <w:r w:rsidR="007B64FD">
        <w:rPr>
          <w:rFonts w:cs="Times New Roman"/>
        </w:rPr>
        <w:t>% pour ONUDC</w:t>
      </w:r>
      <w:r w:rsidR="007B64FD" w:rsidRPr="042776B5">
        <w:rPr>
          <w:rFonts w:cs="Times New Roman"/>
        </w:rPr>
        <w:t xml:space="preserve">. </w:t>
      </w:r>
    </w:p>
    <w:p w14:paraId="713C72AB" w14:textId="401D56D4" w:rsidR="00324EBA" w:rsidRDefault="00C92076" w:rsidP="042776B5">
      <w:pPr>
        <w:pStyle w:val="Paragraphedeliste"/>
        <w:numPr>
          <w:ilvl w:val="0"/>
          <w:numId w:val="23"/>
        </w:numPr>
        <w:spacing w:before="240" w:line="276" w:lineRule="auto"/>
        <w:rPr>
          <w:rFonts w:cs="Times New Roman"/>
        </w:rPr>
      </w:pPr>
      <w:r w:rsidRPr="042776B5">
        <w:rPr>
          <w:rFonts w:cs="Times New Roman"/>
        </w:rPr>
        <w:t xml:space="preserve">Relativement aux ressources humaines, </w:t>
      </w:r>
      <w:r w:rsidR="002C528A" w:rsidRPr="042776B5">
        <w:rPr>
          <w:rFonts w:cs="Times New Roman"/>
        </w:rPr>
        <w:t xml:space="preserve">les informations disponibles indiquent que </w:t>
      </w:r>
      <w:r w:rsidR="007B64FD">
        <w:rPr>
          <w:rFonts w:cs="Times New Roman"/>
        </w:rPr>
        <w:t>26</w:t>
      </w:r>
      <w:r w:rsidR="007B64FD" w:rsidRPr="042776B5">
        <w:rPr>
          <w:rFonts w:cs="Times New Roman"/>
        </w:rPr>
        <w:t xml:space="preserve"> </w:t>
      </w:r>
      <w:r w:rsidR="002C528A" w:rsidRPr="042776B5">
        <w:rPr>
          <w:rFonts w:cs="Times New Roman"/>
        </w:rPr>
        <w:t>personnes ont été mobilisées dans le cadre de la gestion, du suivi et de la mise en œuvre opérationnelles des activités du projet</w:t>
      </w:r>
      <w:r w:rsidR="0024252D" w:rsidRPr="042776B5">
        <w:rPr>
          <w:rFonts w:cs="Times New Roman"/>
        </w:rPr>
        <w:t xml:space="preserve"> (Cf. Tableau </w:t>
      </w:r>
      <w:r w:rsidR="00102459" w:rsidRPr="042776B5">
        <w:rPr>
          <w:rFonts w:cs="Times New Roman"/>
        </w:rPr>
        <w:t xml:space="preserve">11 </w:t>
      </w:r>
      <w:r w:rsidR="0024252D" w:rsidRPr="042776B5">
        <w:rPr>
          <w:rFonts w:cs="Times New Roman"/>
        </w:rPr>
        <w:t>en Annexe 9)</w:t>
      </w:r>
      <w:r w:rsidR="002C528A" w:rsidRPr="042776B5">
        <w:rPr>
          <w:rFonts w:cs="Times New Roman"/>
        </w:rPr>
        <w:t xml:space="preserve">. Ces personnes ont été mobilisées </w:t>
      </w:r>
      <w:r w:rsidR="22064EED" w:rsidRPr="042776B5">
        <w:rPr>
          <w:rFonts w:cs="Times New Roman"/>
        </w:rPr>
        <w:t xml:space="preserve">et </w:t>
      </w:r>
      <w:r w:rsidR="002C528A" w:rsidRPr="042776B5">
        <w:rPr>
          <w:rFonts w:cs="Times New Roman"/>
        </w:rPr>
        <w:t>ont effectivement travaillé soit en temps plein</w:t>
      </w:r>
      <w:r w:rsidR="00C52C86" w:rsidRPr="042776B5">
        <w:rPr>
          <w:rFonts w:cs="Times New Roman"/>
        </w:rPr>
        <w:t xml:space="preserve"> (</w:t>
      </w:r>
      <w:r w:rsidR="007B64FD" w:rsidRPr="042776B5">
        <w:rPr>
          <w:rFonts w:cs="Times New Roman"/>
        </w:rPr>
        <w:t>1</w:t>
      </w:r>
      <w:r w:rsidR="007B64FD">
        <w:rPr>
          <w:rFonts w:cs="Times New Roman"/>
        </w:rPr>
        <w:t>6</w:t>
      </w:r>
      <w:r w:rsidR="007B64FD" w:rsidRPr="042776B5">
        <w:rPr>
          <w:rFonts w:cs="Times New Roman"/>
        </w:rPr>
        <w:t xml:space="preserve"> </w:t>
      </w:r>
      <w:r w:rsidR="00C52C86" w:rsidRPr="042776B5">
        <w:rPr>
          <w:rFonts w:cs="Times New Roman"/>
        </w:rPr>
        <w:t>personnes)</w:t>
      </w:r>
      <w:r w:rsidR="002C528A" w:rsidRPr="042776B5">
        <w:rPr>
          <w:rFonts w:cs="Times New Roman"/>
        </w:rPr>
        <w:t xml:space="preserve"> ou en temps partiel</w:t>
      </w:r>
      <w:r w:rsidR="00C52C86" w:rsidRPr="042776B5">
        <w:rPr>
          <w:rFonts w:cs="Times New Roman"/>
        </w:rPr>
        <w:t xml:space="preserve"> (10 personnes)</w:t>
      </w:r>
      <w:r w:rsidR="002C528A" w:rsidRPr="042776B5">
        <w:rPr>
          <w:rFonts w:cs="Times New Roman"/>
        </w:rPr>
        <w:t xml:space="preserve"> pour la réalisation effective du projet.</w:t>
      </w:r>
    </w:p>
    <w:p w14:paraId="4CEACB57" w14:textId="77777777" w:rsidR="00765810" w:rsidRDefault="00765810" w:rsidP="00E512E4"/>
    <w:p w14:paraId="06780B67" w14:textId="1B0D0D08" w:rsidR="00E512E4" w:rsidRDefault="00E512E4" w:rsidP="00DF4AC8">
      <w:pPr>
        <w:pStyle w:val="Titre3"/>
      </w:pPr>
      <w:bookmarkStart w:id="954" w:name="_Hlk86823996"/>
      <w:r>
        <w:t>Constat 1</w:t>
      </w:r>
      <w:r w:rsidR="00DC4D0B">
        <w:t>1</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E512E4" w14:paraId="52CCA6E8" w14:textId="77777777" w:rsidTr="00F9020C">
        <w:trPr>
          <w:trHeight w:val="821"/>
        </w:trPr>
        <w:tc>
          <w:tcPr>
            <w:tcW w:w="9341" w:type="dxa"/>
            <w:shd w:val="clear" w:color="auto" w:fill="auto"/>
          </w:tcPr>
          <w:p w14:paraId="465A1D9F" w14:textId="4BAE74BF" w:rsidR="00E512E4" w:rsidRDefault="002645BA" w:rsidP="009E2DEE">
            <w:pPr>
              <w:spacing w:line="276" w:lineRule="auto"/>
              <w:rPr>
                <w:rFonts w:cs="Times New Roman"/>
                <w:b/>
                <w:bCs/>
                <w:color w:val="0070C0"/>
              </w:rPr>
            </w:pPr>
            <w:r>
              <w:rPr>
                <w:rFonts w:cs="Times New Roman"/>
                <w:b/>
                <w:bCs/>
                <w:color w:val="0070C0"/>
              </w:rPr>
              <w:t xml:space="preserve">Les </w:t>
            </w:r>
            <w:r w:rsidR="00DD276F">
              <w:rPr>
                <w:rFonts w:cs="Times New Roman"/>
                <w:b/>
                <w:bCs/>
                <w:color w:val="0070C0"/>
              </w:rPr>
              <w:t>approches d’intervention</w:t>
            </w:r>
            <w:r w:rsidR="002B2592">
              <w:rPr>
                <w:rFonts w:cs="Times New Roman"/>
                <w:b/>
                <w:bCs/>
                <w:color w:val="0070C0"/>
              </w:rPr>
              <w:t xml:space="preserve"> utilisées par les agences d’exécution et les ONG locales ont été globalement dictée</w:t>
            </w:r>
            <w:r w:rsidR="00077EEE">
              <w:rPr>
                <w:rFonts w:cs="Times New Roman"/>
                <w:b/>
                <w:bCs/>
                <w:color w:val="0070C0"/>
              </w:rPr>
              <w:t>s</w:t>
            </w:r>
            <w:r w:rsidR="002B2592">
              <w:rPr>
                <w:rFonts w:cs="Times New Roman"/>
                <w:b/>
                <w:bCs/>
                <w:color w:val="0070C0"/>
              </w:rPr>
              <w:t xml:space="preserve"> par le souci de recherche d’efficience dans l’utilisation des ressources. </w:t>
            </w:r>
            <w:r w:rsidR="00E50859" w:rsidRPr="00E50859">
              <w:rPr>
                <w:rFonts w:cs="Times New Roman"/>
                <w:b/>
                <w:bCs/>
                <w:color w:val="0070C0"/>
              </w:rPr>
              <w:t>La stratégie du faire-faire de ONU Femmes constitue un facteur d’efficience ;</w:t>
            </w:r>
            <w:r w:rsidR="00294CCF">
              <w:rPr>
                <w:rFonts w:cs="Times New Roman"/>
                <w:b/>
                <w:bCs/>
                <w:color w:val="0070C0"/>
              </w:rPr>
              <w:t xml:space="preserve"> l’Agence estimant</w:t>
            </w:r>
            <w:r w:rsidR="00E50859" w:rsidRPr="00E50859">
              <w:rPr>
                <w:rFonts w:cs="Times New Roman"/>
                <w:b/>
                <w:bCs/>
                <w:color w:val="0070C0"/>
              </w:rPr>
              <w:t xml:space="preserve"> les coûts de transaction</w:t>
            </w:r>
            <w:r w:rsidR="00294CCF">
              <w:rPr>
                <w:rFonts w:cs="Times New Roman"/>
                <w:b/>
                <w:bCs/>
                <w:color w:val="0070C0"/>
              </w:rPr>
              <w:t xml:space="preserve"> du recours aux ONG locales</w:t>
            </w:r>
            <w:r w:rsidR="00E50859" w:rsidRPr="00E50859">
              <w:rPr>
                <w:rFonts w:cs="Times New Roman"/>
                <w:b/>
                <w:bCs/>
                <w:color w:val="0070C0"/>
              </w:rPr>
              <w:t xml:space="preserve"> (recherche d’informations sur les ONG partenaires et de négociation contractuelle) inférieurs aux coûts organisationnels et de supervision à supporter dans le cas d’une intervention directe</w:t>
            </w:r>
            <w:r w:rsidR="00610FE5">
              <w:rPr>
                <w:rFonts w:cs="Times New Roman"/>
                <w:b/>
                <w:bCs/>
                <w:color w:val="0070C0"/>
              </w:rPr>
              <w:t>, surtout dans un contexte d’insécurité</w:t>
            </w:r>
            <w:r w:rsidR="00E50859" w:rsidRPr="00E50859">
              <w:rPr>
                <w:rFonts w:cs="Times New Roman"/>
                <w:b/>
                <w:bCs/>
                <w:color w:val="0070C0"/>
              </w:rPr>
              <w:t xml:space="preserve">. Par ailleurs, le recours aux ONG locales présente un avantage </w:t>
            </w:r>
            <w:r w:rsidR="00B12EE8" w:rsidRPr="00E50859">
              <w:rPr>
                <w:rFonts w:cs="Times New Roman"/>
                <w:b/>
                <w:bCs/>
                <w:color w:val="0070C0"/>
              </w:rPr>
              <w:t>économique a</w:t>
            </w:r>
            <w:r w:rsidR="00E50859" w:rsidRPr="00E50859">
              <w:rPr>
                <w:rFonts w:cs="Times New Roman"/>
                <w:b/>
                <w:bCs/>
                <w:color w:val="0070C0"/>
              </w:rPr>
              <w:t xml:space="preserve"> particulièrement permis une utilisation </w:t>
            </w:r>
            <w:r w:rsidR="00610FE5" w:rsidRPr="00E50859">
              <w:rPr>
                <w:rFonts w:cs="Times New Roman"/>
                <w:b/>
                <w:bCs/>
                <w:color w:val="0070C0"/>
              </w:rPr>
              <w:t>économe des</w:t>
            </w:r>
            <w:r w:rsidR="00E50859" w:rsidRPr="00E50859">
              <w:rPr>
                <w:rFonts w:cs="Times New Roman"/>
                <w:b/>
                <w:bCs/>
                <w:color w:val="0070C0"/>
              </w:rPr>
              <w:t xml:space="preserve"> ressources du fait notamment de l’avantage comparatif des ONG locales en en matière de maitrise de la zone d’intervention et de facilité à atteindre les bénéficiaires directs mais aussi de </w:t>
            </w:r>
            <w:r w:rsidR="00B12EE8" w:rsidRPr="00E50859">
              <w:rPr>
                <w:rFonts w:cs="Times New Roman"/>
                <w:b/>
                <w:bCs/>
                <w:color w:val="0070C0"/>
              </w:rPr>
              <w:t>d’utilisation</w:t>
            </w:r>
            <w:r w:rsidR="00E50859" w:rsidRPr="00E50859">
              <w:rPr>
                <w:rFonts w:cs="Times New Roman"/>
                <w:b/>
                <w:bCs/>
                <w:color w:val="0070C0"/>
              </w:rPr>
              <w:t xml:space="preserve"> d’une expertise locale et de proximité par ces ONG locales. </w:t>
            </w:r>
            <w:r w:rsidR="002B2592">
              <w:rPr>
                <w:rFonts w:cs="Times New Roman"/>
                <w:b/>
                <w:bCs/>
                <w:color w:val="0070C0"/>
              </w:rPr>
              <w:t xml:space="preserve"> </w:t>
            </w:r>
            <w:r w:rsidR="00BD33BE">
              <w:rPr>
                <w:rFonts w:cs="Times New Roman"/>
                <w:b/>
                <w:bCs/>
                <w:color w:val="0070C0"/>
              </w:rPr>
              <w:t>Toutefois, la planification conjointe et les supervisions conjointes prévu</w:t>
            </w:r>
            <w:r w:rsidR="00707B21">
              <w:rPr>
                <w:rFonts w:cs="Times New Roman"/>
                <w:b/>
                <w:bCs/>
                <w:color w:val="0070C0"/>
              </w:rPr>
              <w:t>e</w:t>
            </w:r>
            <w:r w:rsidR="00BD33BE">
              <w:rPr>
                <w:rFonts w:cs="Times New Roman"/>
                <w:b/>
                <w:bCs/>
                <w:color w:val="0070C0"/>
              </w:rPr>
              <w:t>s dans les mécanismes de coordination n’ont pas été pleinement exploités par les agences d’exécution pour promouvoir l’utilisation effic</w:t>
            </w:r>
            <w:r w:rsidR="00707B21">
              <w:rPr>
                <w:rFonts w:cs="Times New Roman"/>
                <w:b/>
                <w:bCs/>
                <w:color w:val="0070C0"/>
              </w:rPr>
              <w:t>iente</w:t>
            </w:r>
            <w:r w:rsidR="00BD33BE">
              <w:rPr>
                <w:rFonts w:cs="Times New Roman"/>
                <w:b/>
                <w:bCs/>
                <w:color w:val="0070C0"/>
              </w:rPr>
              <w:t xml:space="preserve"> des ressources financières</w:t>
            </w:r>
            <w:r w:rsidR="00707B21">
              <w:rPr>
                <w:rFonts w:cs="Times New Roman"/>
                <w:b/>
                <w:bCs/>
                <w:color w:val="0070C0"/>
              </w:rPr>
              <w:t xml:space="preserve">, matérielles </w:t>
            </w:r>
            <w:r w:rsidR="00BD33BE">
              <w:rPr>
                <w:rFonts w:cs="Times New Roman"/>
                <w:b/>
                <w:bCs/>
                <w:color w:val="0070C0"/>
              </w:rPr>
              <w:t>et humaines.</w:t>
            </w:r>
          </w:p>
          <w:p w14:paraId="0A2F473D" w14:textId="2C9601B5" w:rsidR="00E512E4" w:rsidRPr="00191FD2" w:rsidRDefault="00E512E4" w:rsidP="009E2DEE">
            <w:pPr>
              <w:spacing w:line="276" w:lineRule="auto"/>
              <w:rPr>
                <w:i/>
                <w:iCs/>
              </w:rPr>
            </w:pPr>
            <w:r w:rsidRPr="00191FD2">
              <w:rPr>
                <w:rStyle w:val="fontstyle01"/>
                <w:rFonts w:ascii="Century Gothic" w:hAnsi="Century Gothic"/>
                <w:i/>
                <w:iCs/>
              </w:rPr>
              <w:t xml:space="preserve">Ce constat répond </w:t>
            </w:r>
            <w:r w:rsidR="00BD33BE">
              <w:rPr>
                <w:rStyle w:val="fontstyle01"/>
                <w:rFonts w:ascii="Century Gothic" w:hAnsi="Century Gothic"/>
                <w:i/>
                <w:iCs/>
              </w:rPr>
              <w:t xml:space="preserve">aux </w:t>
            </w:r>
            <w:r>
              <w:rPr>
                <w:rStyle w:val="fontstyle01"/>
                <w:rFonts w:ascii="Century Gothic" w:hAnsi="Century Gothic"/>
                <w:i/>
                <w:iCs/>
              </w:rPr>
              <w:t>QE</w:t>
            </w:r>
            <w:r w:rsidR="00BD33BE">
              <w:rPr>
                <w:rStyle w:val="fontstyle01"/>
                <w:rFonts w:ascii="Century Gothic" w:hAnsi="Century Gothic"/>
                <w:i/>
                <w:iCs/>
              </w:rPr>
              <w:t xml:space="preserve">18 et </w:t>
            </w:r>
            <w:r>
              <w:rPr>
                <w:rStyle w:val="fontstyle01"/>
                <w:rFonts w:ascii="Century Gothic" w:hAnsi="Century Gothic"/>
                <w:i/>
                <w:iCs/>
              </w:rPr>
              <w:t>QE1</w:t>
            </w:r>
            <w:r w:rsidR="00BD33BE">
              <w:rPr>
                <w:rStyle w:val="fontstyle01"/>
                <w:rFonts w:ascii="Century Gothic" w:hAnsi="Century Gothic"/>
                <w:i/>
                <w:iCs/>
              </w:rPr>
              <w:t>9</w:t>
            </w:r>
            <w:r w:rsidR="00A234E4">
              <w:rPr>
                <w:rStyle w:val="fontstyle01"/>
                <w:rFonts w:ascii="Century Gothic" w:hAnsi="Century Gothic"/>
                <w:i/>
                <w:iCs/>
              </w:rPr>
              <w:t xml:space="preserve">. </w:t>
            </w:r>
          </w:p>
        </w:tc>
      </w:tr>
    </w:tbl>
    <w:bookmarkEnd w:id="954"/>
    <w:p w14:paraId="3DDCCC5A" w14:textId="77777777" w:rsidR="00DD276F" w:rsidRDefault="00DD276F" w:rsidP="0095022A">
      <w:pPr>
        <w:spacing w:after="0" w:line="276" w:lineRule="auto"/>
        <w:rPr>
          <w:rFonts w:cs="Times New Roman"/>
          <w:bCs/>
        </w:rPr>
      </w:pPr>
      <w:r>
        <w:rPr>
          <w:rFonts w:cs="Times New Roman"/>
          <w:bCs/>
        </w:rPr>
        <w:t xml:space="preserve"> </w:t>
      </w:r>
    </w:p>
    <w:p w14:paraId="5D7C3157" w14:textId="082FFBC2" w:rsidR="00DD276F" w:rsidRDefault="00473447" w:rsidP="00FB2B45">
      <w:pPr>
        <w:pStyle w:val="Paragraphedeliste"/>
        <w:numPr>
          <w:ilvl w:val="0"/>
          <w:numId w:val="23"/>
        </w:numPr>
        <w:spacing w:before="240" w:line="276" w:lineRule="auto"/>
        <w:rPr>
          <w:rFonts w:cs="Times New Roman"/>
        </w:rPr>
      </w:pPr>
      <w:r w:rsidRPr="00875AC0">
        <w:rPr>
          <w:rFonts w:cs="Times New Roman"/>
        </w:rPr>
        <w:t xml:space="preserve">Pour la mise en œuvre des activités, ONU Femmes a </w:t>
      </w:r>
      <w:r w:rsidR="0029435E">
        <w:rPr>
          <w:rFonts w:cs="Times New Roman"/>
        </w:rPr>
        <w:t xml:space="preserve">déroulé </w:t>
      </w:r>
      <w:r w:rsidR="007E3D2C">
        <w:rPr>
          <w:rFonts w:cs="Times New Roman"/>
        </w:rPr>
        <w:t xml:space="preserve">une </w:t>
      </w:r>
      <w:r w:rsidRPr="00875AC0">
        <w:rPr>
          <w:rFonts w:cs="Times New Roman"/>
        </w:rPr>
        <w:t xml:space="preserve">stratégie de faire-faire </w:t>
      </w:r>
      <w:r w:rsidR="00E43EF3">
        <w:rPr>
          <w:rFonts w:cs="Times New Roman"/>
        </w:rPr>
        <w:t xml:space="preserve">en s’appuyant sur des ONG partenaires localement présentes </w:t>
      </w:r>
      <w:r w:rsidRPr="00875AC0">
        <w:rPr>
          <w:rFonts w:cs="Times New Roman"/>
        </w:rPr>
        <w:t>et ONUDC</w:t>
      </w:r>
      <w:r w:rsidR="007E3D2C">
        <w:rPr>
          <w:rFonts w:cs="Times New Roman"/>
        </w:rPr>
        <w:t xml:space="preserve"> a opté</w:t>
      </w:r>
      <w:r w:rsidRPr="00875AC0">
        <w:rPr>
          <w:rFonts w:cs="Times New Roman"/>
        </w:rPr>
        <w:t xml:space="preserve"> pour </w:t>
      </w:r>
      <w:r w:rsidR="0029435E">
        <w:rPr>
          <w:rFonts w:cs="Times New Roman"/>
        </w:rPr>
        <w:t xml:space="preserve">une </w:t>
      </w:r>
      <w:r w:rsidRPr="00875AC0">
        <w:rPr>
          <w:rFonts w:cs="Times New Roman"/>
        </w:rPr>
        <w:t>stratégie d’intervention directe</w:t>
      </w:r>
      <w:r w:rsidR="002645BA">
        <w:rPr>
          <w:rFonts w:cs="Times New Roman"/>
        </w:rPr>
        <w:t xml:space="preserve"> sur le terrain</w:t>
      </w:r>
      <w:r w:rsidRPr="00875AC0">
        <w:rPr>
          <w:rFonts w:cs="Times New Roman"/>
        </w:rPr>
        <w:t xml:space="preserve">. La stratégie du faire-faire </w:t>
      </w:r>
      <w:r w:rsidR="0029435E">
        <w:rPr>
          <w:rFonts w:cs="Times New Roman"/>
        </w:rPr>
        <w:t>de</w:t>
      </w:r>
      <w:r w:rsidRPr="00875AC0">
        <w:rPr>
          <w:rFonts w:cs="Times New Roman"/>
        </w:rPr>
        <w:t xml:space="preserve"> ONU Femmes s’est faite à travers une contractualisation avec des ONG partenaire</w:t>
      </w:r>
      <w:r w:rsidR="0029435E">
        <w:rPr>
          <w:rFonts w:cs="Times New Roman"/>
        </w:rPr>
        <w:t>s</w:t>
      </w:r>
      <w:r w:rsidRPr="00875AC0">
        <w:rPr>
          <w:rFonts w:cs="Times New Roman"/>
        </w:rPr>
        <w:t xml:space="preserve"> ayant déjà un ancrage dans de la zone d’intervention du projet.</w:t>
      </w:r>
      <w:r w:rsidR="002645BA">
        <w:rPr>
          <w:rFonts w:cs="Times New Roman"/>
        </w:rPr>
        <w:t xml:space="preserve"> </w:t>
      </w:r>
      <w:r w:rsidR="00610FE5">
        <w:rPr>
          <w:rFonts w:cs="Times New Roman"/>
        </w:rPr>
        <w:t xml:space="preserve">Selon les acteurs du projet </w:t>
      </w:r>
      <w:r w:rsidR="00D20E19">
        <w:rPr>
          <w:rFonts w:cs="Times New Roman"/>
        </w:rPr>
        <w:t>membres</w:t>
      </w:r>
      <w:r w:rsidR="00610FE5">
        <w:rPr>
          <w:rFonts w:cs="Times New Roman"/>
        </w:rPr>
        <w:t xml:space="preserve"> de l’Agence, cette contractualisation procède du principe </w:t>
      </w:r>
      <w:r w:rsidR="00CE555F">
        <w:rPr>
          <w:rFonts w:cs="Times New Roman"/>
        </w:rPr>
        <w:t xml:space="preserve">économique selon lequel </w:t>
      </w:r>
      <w:r w:rsidR="00A56A74">
        <w:rPr>
          <w:rFonts w:cs="Times New Roman"/>
        </w:rPr>
        <w:t xml:space="preserve">l’intervention par le marché </w:t>
      </w:r>
      <w:r w:rsidR="007A33F9">
        <w:rPr>
          <w:rFonts w:cs="Times New Roman"/>
        </w:rPr>
        <w:t xml:space="preserve">(contractualisation avec les ONG locales) </w:t>
      </w:r>
      <w:r w:rsidR="00D20E19">
        <w:rPr>
          <w:rFonts w:cs="Times New Roman"/>
        </w:rPr>
        <w:t xml:space="preserve">est plus </w:t>
      </w:r>
      <w:r w:rsidR="007A33F9">
        <w:rPr>
          <w:rFonts w:cs="Times New Roman"/>
        </w:rPr>
        <w:t>efficiente</w:t>
      </w:r>
      <w:r w:rsidR="00D20E19">
        <w:rPr>
          <w:rFonts w:cs="Times New Roman"/>
        </w:rPr>
        <w:t xml:space="preserve"> </w:t>
      </w:r>
      <w:r w:rsidR="00A56A74">
        <w:rPr>
          <w:rFonts w:cs="Times New Roman"/>
        </w:rPr>
        <w:t xml:space="preserve">en cas de </w:t>
      </w:r>
      <w:r w:rsidR="00A56A74" w:rsidRPr="00A56A74">
        <w:rPr>
          <w:rFonts w:cs="Times New Roman"/>
        </w:rPr>
        <w:t xml:space="preserve">coûts de transactions </w:t>
      </w:r>
      <w:r w:rsidR="00A56A74">
        <w:rPr>
          <w:rFonts w:cs="Times New Roman"/>
        </w:rPr>
        <w:t xml:space="preserve">limités </w:t>
      </w:r>
      <w:r w:rsidR="00D20E19">
        <w:rPr>
          <w:rFonts w:cs="Times New Roman"/>
        </w:rPr>
        <w:t xml:space="preserve">(liés à la </w:t>
      </w:r>
      <w:r w:rsidR="00610FE5" w:rsidRPr="00610FE5">
        <w:rPr>
          <w:rFonts w:cs="Times New Roman"/>
        </w:rPr>
        <w:t>recherche d’informations sur les ONG partenaires et de négociation contractuelle)</w:t>
      </w:r>
      <w:r w:rsidR="00D20E19">
        <w:rPr>
          <w:rFonts w:cs="Times New Roman"/>
        </w:rPr>
        <w:t xml:space="preserve"> comparativement à une</w:t>
      </w:r>
      <w:r w:rsidR="00610FE5" w:rsidRPr="00610FE5">
        <w:rPr>
          <w:rFonts w:cs="Times New Roman"/>
        </w:rPr>
        <w:t xml:space="preserve"> </w:t>
      </w:r>
      <w:r w:rsidR="00D20E19" w:rsidRPr="00610FE5">
        <w:rPr>
          <w:rFonts w:cs="Times New Roman"/>
        </w:rPr>
        <w:t>intervention directe</w:t>
      </w:r>
      <w:r w:rsidR="00D20E19">
        <w:rPr>
          <w:rFonts w:cs="Times New Roman"/>
        </w:rPr>
        <w:t xml:space="preserve"> avec des</w:t>
      </w:r>
      <w:r w:rsidR="00610FE5" w:rsidRPr="00610FE5">
        <w:rPr>
          <w:rFonts w:cs="Times New Roman"/>
        </w:rPr>
        <w:t xml:space="preserve"> coûts organisationnels et de supervision </w:t>
      </w:r>
      <w:r w:rsidR="00D20E19">
        <w:rPr>
          <w:rFonts w:cs="Times New Roman"/>
        </w:rPr>
        <w:t>élevés</w:t>
      </w:r>
      <w:r w:rsidR="00D20E19">
        <w:rPr>
          <w:rStyle w:val="Appelnotedebasdep"/>
          <w:rFonts w:cs="Times New Roman"/>
        </w:rPr>
        <w:footnoteReference w:id="33"/>
      </w:r>
      <w:r w:rsidR="00610FE5" w:rsidRPr="00610FE5">
        <w:rPr>
          <w:rFonts w:cs="Times New Roman"/>
        </w:rPr>
        <w:t>.</w:t>
      </w:r>
      <w:r w:rsidR="00610FE5">
        <w:rPr>
          <w:rFonts w:cs="Times New Roman"/>
        </w:rPr>
        <w:t xml:space="preserve"> </w:t>
      </w:r>
      <w:r w:rsidR="002645BA">
        <w:rPr>
          <w:rFonts w:cs="Times New Roman"/>
        </w:rPr>
        <w:t xml:space="preserve">A travers </w:t>
      </w:r>
      <w:r w:rsidR="00E740DD">
        <w:rPr>
          <w:rFonts w:cs="Times New Roman"/>
        </w:rPr>
        <w:t xml:space="preserve">les </w:t>
      </w:r>
      <w:r w:rsidR="002645BA">
        <w:rPr>
          <w:rFonts w:cs="Times New Roman"/>
        </w:rPr>
        <w:t>ONG</w:t>
      </w:r>
      <w:r w:rsidR="00E740DD">
        <w:rPr>
          <w:rFonts w:cs="Times New Roman"/>
        </w:rPr>
        <w:t xml:space="preserve"> locales</w:t>
      </w:r>
      <w:r w:rsidR="002645BA">
        <w:rPr>
          <w:rFonts w:cs="Times New Roman"/>
        </w:rPr>
        <w:t xml:space="preserve">, des ressources humaines de qualité au coût du marché local sont mobilisées pour la mise en œuvre des activités du projet. </w:t>
      </w:r>
      <w:r w:rsidR="009151EA">
        <w:rPr>
          <w:rFonts w:cs="Times New Roman"/>
        </w:rPr>
        <w:t>Par rapport</w:t>
      </w:r>
      <w:r w:rsidR="00405CA6">
        <w:rPr>
          <w:rFonts w:cs="Times New Roman"/>
        </w:rPr>
        <w:t xml:space="preserve"> à une équipe de projet qui aurait quitté Bamako ou Niamey pour intervenir dans les zones </w:t>
      </w:r>
      <w:r w:rsidR="009151EA">
        <w:rPr>
          <w:rFonts w:cs="Times New Roman"/>
        </w:rPr>
        <w:t xml:space="preserve">ciblées, le personnel des ONG locales dispose d’un avantage comparatif en matière de maitrise du contexte local et de facilité à atteindre les bénéficiaires directs. </w:t>
      </w:r>
      <w:r w:rsidR="00405CA6">
        <w:rPr>
          <w:rFonts w:cs="Times New Roman"/>
        </w:rPr>
        <w:t xml:space="preserve"> </w:t>
      </w:r>
      <w:r w:rsidRPr="00875AC0">
        <w:rPr>
          <w:rFonts w:cs="Times New Roman"/>
        </w:rPr>
        <w:t>Pour ONUDC,</w:t>
      </w:r>
      <w:r w:rsidR="00DD276F" w:rsidRPr="00875AC0">
        <w:rPr>
          <w:rFonts w:cs="Times New Roman"/>
        </w:rPr>
        <w:t xml:space="preserve"> la stratégie de mise en œuvre directe des activités sur le terrain </w:t>
      </w:r>
      <w:r w:rsidR="00875AC0" w:rsidRPr="00875AC0">
        <w:rPr>
          <w:rFonts w:cs="Times New Roman"/>
        </w:rPr>
        <w:t>a été utilisée</w:t>
      </w:r>
      <w:r w:rsidR="007E3D2C">
        <w:rPr>
          <w:rFonts w:cs="Times New Roman"/>
        </w:rPr>
        <w:t>. Ce</w:t>
      </w:r>
      <w:r w:rsidR="00875AC0" w:rsidRPr="00875AC0">
        <w:rPr>
          <w:rFonts w:cs="Times New Roman"/>
        </w:rPr>
        <w:t>la a été dicté par les</w:t>
      </w:r>
      <w:r w:rsidR="00DD276F" w:rsidRPr="00875AC0">
        <w:rPr>
          <w:rFonts w:cs="Times New Roman"/>
        </w:rPr>
        <w:t xml:space="preserve"> contraintes de procédures administratives et financières qui rend</w:t>
      </w:r>
      <w:r w:rsidR="00875AC0" w:rsidRPr="00875AC0">
        <w:rPr>
          <w:rFonts w:cs="Times New Roman"/>
        </w:rPr>
        <w:t>ai</w:t>
      </w:r>
      <w:r w:rsidR="00DD276F" w:rsidRPr="00875AC0">
        <w:rPr>
          <w:rFonts w:cs="Times New Roman"/>
        </w:rPr>
        <w:t>ent les délais de contractualisation avec les ONG très longs (</w:t>
      </w:r>
      <w:r w:rsidR="00DD276F" w:rsidRPr="00875AC0">
        <w:rPr>
          <w:rFonts w:cs="Times New Roman"/>
          <w:bCs/>
        </w:rPr>
        <w:t>environ</w:t>
      </w:r>
      <w:r w:rsidR="00DD276F" w:rsidRPr="00875AC0">
        <w:rPr>
          <w:rFonts w:cs="Times New Roman"/>
        </w:rPr>
        <w:t xml:space="preserve"> 1 an). Vu la durée limitée du projet, la contractualisation n’aurait pas été </w:t>
      </w:r>
      <w:r w:rsidR="00875AC0" w:rsidRPr="00875AC0">
        <w:rPr>
          <w:rFonts w:cs="Times New Roman"/>
        </w:rPr>
        <w:t>pertinente et efficiente</w:t>
      </w:r>
      <w:r w:rsidR="00DD276F" w:rsidRPr="00875AC0">
        <w:rPr>
          <w:rFonts w:cs="Times New Roman"/>
        </w:rPr>
        <w:t xml:space="preserve">. </w:t>
      </w:r>
      <w:r w:rsidR="00875AC0" w:rsidRPr="00875AC0">
        <w:rPr>
          <w:rFonts w:cs="Times New Roman"/>
        </w:rPr>
        <w:t>Outre ces raisons, l’intervention directe de ONUDC donnait l’avantage d’un c</w:t>
      </w:r>
      <w:r w:rsidR="00DD276F" w:rsidRPr="00875AC0">
        <w:rPr>
          <w:rFonts w:cs="Times New Roman"/>
        </w:rPr>
        <w:t>ontact direct avec les bénéficiaires,</w:t>
      </w:r>
      <w:r w:rsidR="00875AC0" w:rsidRPr="00875AC0">
        <w:rPr>
          <w:rFonts w:cs="Times New Roman"/>
        </w:rPr>
        <w:t xml:space="preserve"> d’un</w:t>
      </w:r>
      <w:r w:rsidR="00DD276F" w:rsidRPr="00875AC0">
        <w:rPr>
          <w:rFonts w:cs="Times New Roman"/>
        </w:rPr>
        <w:t xml:space="preserve"> meilleur contrôle des délais de mise en œuvre, de rapportage et de la qualité des données rapportées</w:t>
      </w:r>
      <w:r w:rsidR="00875AC0" w:rsidRPr="00875AC0">
        <w:rPr>
          <w:rFonts w:cs="Times New Roman"/>
        </w:rPr>
        <w:t xml:space="preserve">. </w:t>
      </w:r>
      <w:r w:rsidR="00DD276F" w:rsidRPr="00875AC0">
        <w:rPr>
          <w:rFonts w:cs="Times New Roman"/>
        </w:rPr>
        <w:t xml:space="preserve">L’ONUDC de par son mandat entretenait </w:t>
      </w:r>
      <w:r w:rsidR="007E3D2C">
        <w:rPr>
          <w:rFonts w:cs="Times New Roman"/>
        </w:rPr>
        <w:t xml:space="preserve">aussi </w:t>
      </w:r>
      <w:r w:rsidR="00DD276F" w:rsidRPr="00875AC0">
        <w:rPr>
          <w:rFonts w:cs="Times New Roman"/>
        </w:rPr>
        <w:t>déjà une forte collaboration avec les FDS et les ACP</w:t>
      </w:r>
      <w:r w:rsidR="00875AC0">
        <w:rPr>
          <w:rFonts w:cs="Times New Roman"/>
        </w:rPr>
        <w:t xml:space="preserve">. </w:t>
      </w:r>
    </w:p>
    <w:p w14:paraId="0ACBF80B" w14:textId="4189D505" w:rsidR="00BD33BE" w:rsidRDefault="005644E6" w:rsidP="00FB2B45">
      <w:pPr>
        <w:pStyle w:val="Paragraphedeliste"/>
        <w:numPr>
          <w:ilvl w:val="0"/>
          <w:numId w:val="23"/>
        </w:numPr>
        <w:spacing w:before="240" w:line="276" w:lineRule="auto"/>
        <w:rPr>
          <w:rFonts w:cs="Times New Roman"/>
        </w:rPr>
      </w:pPr>
      <w:r w:rsidRPr="042776B5">
        <w:rPr>
          <w:rFonts w:cs="Times New Roman"/>
        </w:rPr>
        <w:t xml:space="preserve">Dans les mécanismes de coordination du projet, la planification conjointe devrait aboutir à des plans de travail intégrés </w:t>
      </w:r>
      <w:r w:rsidR="00E16526" w:rsidRPr="042776B5">
        <w:rPr>
          <w:rFonts w:cs="Times New Roman"/>
        </w:rPr>
        <w:t>qui précisent les activités qui doivent être réalis</w:t>
      </w:r>
      <w:r w:rsidR="46632DAE" w:rsidRPr="042776B5">
        <w:rPr>
          <w:rFonts w:cs="Times New Roman"/>
        </w:rPr>
        <w:t>ées</w:t>
      </w:r>
      <w:r w:rsidR="00E16526" w:rsidRPr="042776B5">
        <w:rPr>
          <w:rFonts w:cs="Times New Roman"/>
        </w:rPr>
        <w:t xml:space="preserve"> concomitamment et qui doivent être exécutées suivant une séquence qui renforce la complémentarité et optimise l’utilisation des ressources du projet. Dans la mise en œuvre des activités terrain, en lieu </w:t>
      </w:r>
      <w:r w:rsidR="5DA88D5F" w:rsidRPr="042776B5">
        <w:rPr>
          <w:rFonts w:cs="Times New Roman"/>
        </w:rPr>
        <w:t xml:space="preserve">et </w:t>
      </w:r>
      <w:r w:rsidR="00E16526" w:rsidRPr="042776B5">
        <w:rPr>
          <w:rFonts w:cs="Times New Roman"/>
        </w:rPr>
        <w:t xml:space="preserve">place des plans de travail conjoints, ce sont des plans de travail indépendants qui ont été élaborés et partagés entre agences. Dans de telle situation, les effets synergiques </w:t>
      </w:r>
      <w:r w:rsidR="002E056B">
        <w:rPr>
          <w:rFonts w:cs="Times New Roman"/>
        </w:rPr>
        <w:t>n’ont</w:t>
      </w:r>
      <w:r w:rsidR="00E16526" w:rsidRPr="042776B5">
        <w:rPr>
          <w:rFonts w:cs="Times New Roman"/>
        </w:rPr>
        <w:t xml:space="preserve"> pas </w:t>
      </w:r>
      <w:r w:rsidR="002E056B">
        <w:rPr>
          <w:rFonts w:cs="Times New Roman"/>
        </w:rPr>
        <w:t xml:space="preserve">été </w:t>
      </w:r>
      <w:r w:rsidR="00E16526" w:rsidRPr="042776B5">
        <w:rPr>
          <w:rFonts w:cs="Times New Roman"/>
        </w:rPr>
        <w:t>captés.</w:t>
      </w:r>
    </w:p>
    <w:p w14:paraId="69DBD739" w14:textId="5DA0CDAA" w:rsidR="00E16526" w:rsidRDefault="0039477A" w:rsidP="00FB2B45">
      <w:pPr>
        <w:pStyle w:val="Paragraphedeliste"/>
        <w:numPr>
          <w:ilvl w:val="0"/>
          <w:numId w:val="23"/>
        </w:numPr>
        <w:spacing w:before="240" w:line="276" w:lineRule="auto"/>
        <w:rPr>
          <w:rFonts w:cs="Times New Roman"/>
        </w:rPr>
      </w:pPr>
      <w:r w:rsidRPr="042776B5">
        <w:rPr>
          <w:rFonts w:cs="Times New Roman"/>
        </w:rPr>
        <w:t>La différence d’approche de mise en œuvre des activités sur le terrain n’a</w:t>
      </w:r>
      <w:r w:rsidR="6BBF77D0" w:rsidRPr="042776B5">
        <w:rPr>
          <w:rFonts w:cs="Times New Roman"/>
        </w:rPr>
        <w:t xml:space="preserve"> pas </w:t>
      </w:r>
      <w:r w:rsidRPr="042776B5">
        <w:rPr>
          <w:rFonts w:cs="Times New Roman"/>
        </w:rPr>
        <w:t>permis de réaliser d</w:t>
      </w:r>
      <w:r w:rsidR="00E16526" w:rsidRPr="042776B5">
        <w:rPr>
          <w:rFonts w:cs="Times New Roman"/>
        </w:rPr>
        <w:t xml:space="preserve">es missions de supervision conjointes </w:t>
      </w:r>
      <w:r w:rsidRPr="042776B5">
        <w:rPr>
          <w:rFonts w:cs="Times New Roman"/>
        </w:rPr>
        <w:t>entre les agences d’exécution.</w:t>
      </w:r>
      <w:r w:rsidR="00E16526" w:rsidRPr="042776B5">
        <w:rPr>
          <w:rFonts w:cs="Times New Roman"/>
        </w:rPr>
        <w:t xml:space="preserve"> </w:t>
      </w:r>
      <w:r w:rsidR="009151EA">
        <w:rPr>
          <w:rFonts w:cs="Times New Roman"/>
        </w:rPr>
        <w:t xml:space="preserve">Cet effet aurait été atténué </w:t>
      </w:r>
      <w:r w:rsidR="007639D7">
        <w:rPr>
          <w:rFonts w:cs="Times New Roman"/>
        </w:rPr>
        <w:t xml:space="preserve">voire </w:t>
      </w:r>
      <w:r w:rsidR="009151EA">
        <w:rPr>
          <w:rFonts w:cs="Times New Roman"/>
        </w:rPr>
        <w:t xml:space="preserve">enrayé </w:t>
      </w:r>
      <w:r w:rsidR="007639D7">
        <w:rPr>
          <w:rFonts w:cs="Times New Roman"/>
        </w:rPr>
        <w:t xml:space="preserve">en l’absence des difficultés de communication soulevées plus haut. </w:t>
      </w:r>
    </w:p>
    <w:p w14:paraId="30079CB8" w14:textId="77777777" w:rsidR="0095022A" w:rsidRDefault="0095022A" w:rsidP="0095022A">
      <w:pPr>
        <w:spacing w:after="0" w:line="276" w:lineRule="auto"/>
        <w:rPr>
          <w:rFonts w:cs="Times New Roman"/>
          <w:bCs/>
        </w:rPr>
      </w:pPr>
    </w:p>
    <w:p w14:paraId="5F3A17C2" w14:textId="354D4546" w:rsidR="00065010" w:rsidRDefault="00065010" w:rsidP="00820BBD">
      <w:pPr>
        <w:pStyle w:val="Titre2"/>
        <w:numPr>
          <w:ilvl w:val="1"/>
          <w:numId w:val="81"/>
        </w:numPr>
      </w:pPr>
      <w:bookmarkStart w:id="955" w:name="_Toc95451871"/>
      <w:r>
        <w:t>Impact</w:t>
      </w:r>
      <w:bookmarkEnd w:id="955"/>
    </w:p>
    <w:p w14:paraId="2EAF24ED" w14:textId="168DF174" w:rsidR="007934BE" w:rsidRDefault="007934BE" w:rsidP="00DF4AC8">
      <w:pPr>
        <w:pStyle w:val="Titre3"/>
      </w:pPr>
      <w:bookmarkStart w:id="956" w:name="_Hlk86824036"/>
      <w:r>
        <w:t>Constat 1</w:t>
      </w:r>
      <w:r w:rsidR="00DC4D0B">
        <w:t>2</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7934BE" w14:paraId="4FE15095" w14:textId="77777777" w:rsidTr="009061D1">
        <w:trPr>
          <w:trHeight w:val="396"/>
        </w:trPr>
        <w:tc>
          <w:tcPr>
            <w:tcW w:w="9341" w:type="dxa"/>
            <w:shd w:val="clear" w:color="auto" w:fill="auto"/>
          </w:tcPr>
          <w:p w14:paraId="10285D56" w14:textId="77777777" w:rsidR="007934BE" w:rsidRDefault="007934BE" w:rsidP="009E2DEE">
            <w:pPr>
              <w:spacing w:line="276" w:lineRule="auto"/>
              <w:rPr>
                <w:rFonts w:cs="Times New Roman"/>
                <w:b/>
                <w:bCs/>
                <w:color w:val="0070C0"/>
              </w:rPr>
            </w:pPr>
            <w:r w:rsidRPr="001972AE">
              <w:rPr>
                <w:rFonts w:cs="Times New Roman"/>
                <w:b/>
                <w:bCs/>
                <w:color w:val="0070C0"/>
              </w:rPr>
              <w:t xml:space="preserve">Plusieurs changements </w:t>
            </w:r>
            <w:r>
              <w:rPr>
                <w:rFonts w:cs="Times New Roman"/>
                <w:b/>
                <w:bCs/>
                <w:color w:val="0070C0"/>
              </w:rPr>
              <w:t>positifs (intentionnels et non intentionnels) sont intervenus dans la zone d’intervention du projet. Ces changements auxquels ce projet a contribué portent principalement sur :</w:t>
            </w:r>
          </w:p>
          <w:p w14:paraId="7791596C" w14:textId="4FA49238" w:rsidR="007934BE" w:rsidRPr="00402209" w:rsidRDefault="007934BE" w:rsidP="00FB2B45">
            <w:pPr>
              <w:pStyle w:val="Paragraphedeliste"/>
              <w:numPr>
                <w:ilvl w:val="0"/>
                <w:numId w:val="87"/>
              </w:numPr>
              <w:spacing w:line="276" w:lineRule="auto"/>
              <w:rPr>
                <w:rFonts w:cs="Times New Roman"/>
                <w:color w:val="0070C0"/>
              </w:rPr>
            </w:pPr>
            <w:r w:rsidRPr="001972AE">
              <w:rPr>
                <w:rFonts w:cs="Times New Roman"/>
                <w:color w:val="0070C0"/>
              </w:rPr>
              <w:t xml:space="preserve">L’implication accrue des femmes et des jeunes </w:t>
            </w:r>
            <w:r w:rsidR="00707B21">
              <w:rPr>
                <w:rFonts w:cs="Times New Roman"/>
                <w:color w:val="0070C0"/>
              </w:rPr>
              <w:t xml:space="preserve">dans les </w:t>
            </w:r>
            <w:r w:rsidR="00E90CF8" w:rsidRPr="00E90CF8">
              <w:rPr>
                <w:rFonts w:cs="Times New Roman"/>
                <w:color w:val="0070C0"/>
              </w:rPr>
              <w:t>MCPGC</w:t>
            </w:r>
            <w:r w:rsidRPr="00402209">
              <w:rPr>
                <w:rFonts w:cs="Times New Roman"/>
                <w:color w:val="0070C0"/>
              </w:rPr>
              <w:t xml:space="preserve"> ; </w:t>
            </w:r>
          </w:p>
          <w:p w14:paraId="1E207262" w14:textId="7513A43F" w:rsidR="007934BE" w:rsidRPr="001972AE" w:rsidRDefault="007934BE" w:rsidP="00FB2B45">
            <w:pPr>
              <w:pStyle w:val="Paragraphedeliste"/>
              <w:numPr>
                <w:ilvl w:val="0"/>
                <w:numId w:val="87"/>
              </w:numPr>
              <w:spacing w:line="276" w:lineRule="auto"/>
              <w:rPr>
                <w:rFonts w:cs="Times New Roman"/>
                <w:color w:val="0070C0"/>
              </w:rPr>
            </w:pPr>
            <w:r>
              <w:rPr>
                <w:rFonts w:cs="Times New Roman"/>
                <w:color w:val="0070C0"/>
              </w:rPr>
              <w:t>L’amélioration</w:t>
            </w:r>
            <w:r w:rsidRPr="001972AE">
              <w:rPr>
                <w:rFonts w:cs="Times New Roman"/>
                <w:color w:val="0070C0"/>
              </w:rPr>
              <w:t xml:space="preserve"> de </w:t>
            </w:r>
            <w:r w:rsidR="00085B52">
              <w:rPr>
                <w:rFonts w:cs="Times New Roman"/>
                <w:color w:val="0070C0"/>
              </w:rPr>
              <w:t xml:space="preserve">la </w:t>
            </w:r>
            <w:r w:rsidRPr="001972AE">
              <w:rPr>
                <w:rFonts w:cs="Times New Roman"/>
                <w:color w:val="0070C0"/>
              </w:rPr>
              <w:t>confiance entre les</w:t>
            </w:r>
            <w:r>
              <w:rPr>
                <w:rFonts w:cs="Times New Roman"/>
                <w:color w:val="0070C0"/>
              </w:rPr>
              <w:t xml:space="preserve"> populations, les</w:t>
            </w:r>
            <w:r w:rsidRPr="001972AE">
              <w:rPr>
                <w:rFonts w:cs="Times New Roman"/>
                <w:color w:val="0070C0"/>
              </w:rPr>
              <w:t xml:space="preserve"> FDS et les </w:t>
            </w:r>
            <w:r>
              <w:rPr>
                <w:rFonts w:cs="Times New Roman"/>
                <w:color w:val="0070C0"/>
              </w:rPr>
              <w:t xml:space="preserve">ACP avec </w:t>
            </w:r>
            <w:r w:rsidR="007E3D2C">
              <w:rPr>
                <w:rFonts w:cs="Times New Roman"/>
                <w:color w:val="0070C0"/>
              </w:rPr>
              <w:t>toutefois</w:t>
            </w:r>
            <w:r>
              <w:rPr>
                <w:rFonts w:cs="Times New Roman"/>
                <w:color w:val="0070C0"/>
              </w:rPr>
              <w:t xml:space="preserve"> une collaboration limitée en raison de la crainte des représailles ;</w:t>
            </w:r>
          </w:p>
          <w:p w14:paraId="5DD0CDAD" w14:textId="77777777" w:rsidR="007934BE" w:rsidRPr="008C683C" w:rsidRDefault="007934BE" w:rsidP="00FB2B45">
            <w:pPr>
              <w:pStyle w:val="Paragraphedeliste"/>
              <w:numPr>
                <w:ilvl w:val="0"/>
                <w:numId w:val="87"/>
              </w:numPr>
              <w:spacing w:line="276" w:lineRule="auto"/>
              <w:rPr>
                <w:rFonts w:cs="Times New Roman"/>
                <w:color w:val="0070C0"/>
              </w:rPr>
            </w:pPr>
            <w:r>
              <w:rPr>
                <w:rFonts w:cs="Times New Roman"/>
                <w:color w:val="0070C0"/>
              </w:rPr>
              <w:t>La p</w:t>
            </w:r>
            <w:r w:rsidRPr="008C683C">
              <w:rPr>
                <w:rFonts w:cs="Times New Roman"/>
                <w:color w:val="0070C0"/>
              </w:rPr>
              <w:t xml:space="preserve">rise d’initiatives </w:t>
            </w:r>
            <w:r>
              <w:rPr>
                <w:rFonts w:cs="Times New Roman"/>
                <w:color w:val="0070C0"/>
              </w:rPr>
              <w:t>individuelles</w:t>
            </w:r>
            <w:r w:rsidRPr="008C683C">
              <w:rPr>
                <w:rFonts w:cs="Times New Roman"/>
                <w:color w:val="0070C0"/>
              </w:rPr>
              <w:t xml:space="preserve"> </w:t>
            </w:r>
            <w:r>
              <w:rPr>
                <w:rFonts w:cs="Times New Roman"/>
                <w:color w:val="0070C0"/>
              </w:rPr>
              <w:t>et</w:t>
            </w:r>
            <w:r w:rsidRPr="008C683C">
              <w:rPr>
                <w:rFonts w:cs="Times New Roman"/>
                <w:color w:val="0070C0"/>
              </w:rPr>
              <w:t xml:space="preserve"> collectives</w:t>
            </w:r>
            <w:r>
              <w:rPr>
                <w:rFonts w:cs="Times New Roman"/>
                <w:color w:val="0070C0"/>
              </w:rPr>
              <w:t xml:space="preserve"> en faveur de la paix et de la </w:t>
            </w:r>
            <w:r w:rsidRPr="008C683C">
              <w:rPr>
                <w:rFonts w:cs="Times New Roman"/>
                <w:color w:val="0070C0"/>
              </w:rPr>
              <w:t>cohésion sociale ;</w:t>
            </w:r>
          </w:p>
          <w:p w14:paraId="7E4CA4B3" w14:textId="7C4D4323" w:rsidR="007934BE" w:rsidRPr="00853160" w:rsidRDefault="007934BE" w:rsidP="00FB2B45">
            <w:pPr>
              <w:pStyle w:val="Paragraphedeliste"/>
              <w:numPr>
                <w:ilvl w:val="0"/>
                <w:numId w:val="87"/>
              </w:numPr>
              <w:spacing w:line="276" w:lineRule="auto"/>
              <w:rPr>
                <w:rFonts w:cs="Times New Roman"/>
                <w:i/>
                <w:iCs/>
                <w:color w:val="0070C0"/>
              </w:rPr>
            </w:pPr>
            <w:r w:rsidRPr="008C683C">
              <w:rPr>
                <w:rFonts w:cs="Times New Roman"/>
                <w:color w:val="0070C0"/>
              </w:rPr>
              <w:t>La réduction des conflits communautaire</w:t>
            </w:r>
            <w:r w:rsidR="00085B52">
              <w:rPr>
                <w:rFonts w:cs="Times New Roman"/>
                <w:color w:val="0070C0"/>
              </w:rPr>
              <w:t>s</w:t>
            </w:r>
            <w:r w:rsidRPr="008C683C">
              <w:rPr>
                <w:rFonts w:cs="Times New Roman"/>
                <w:color w:val="0070C0"/>
              </w:rPr>
              <w:t xml:space="preserve"> avec toutefois une persistance des </w:t>
            </w:r>
            <w:r w:rsidR="00085B52">
              <w:rPr>
                <w:rFonts w:cs="Times New Roman"/>
                <w:color w:val="0070C0"/>
              </w:rPr>
              <w:t xml:space="preserve">attaques </w:t>
            </w:r>
            <w:r w:rsidRPr="008C683C">
              <w:rPr>
                <w:rFonts w:cs="Times New Roman"/>
                <w:color w:val="0070C0"/>
              </w:rPr>
              <w:t>à caractère terroriste</w:t>
            </w:r>
            <w:r>
              <w:rPr>
                <w:rFonts w:cs="Times New Roman"/>
                <w:color w:val="0070C0"/>
              </w:rPr>
              <w:t xml:space="preserve"> ; </w:t>
            </w:r>
          </w:p>
          <w:p w14:paraId="765CC656" w14:textId="1F0EA2F8" w:rsidR="00404E7F" w:rsidRDefault="007934BE" w:rsidP="00404E7F">
            <w:pPr>
              <w:pStyle w:val="Paragraphedeliste"/>
              <w:numPr>
                <w:ilvl w:val="0"/>
                <w:numId w:val="87"/>
              </w:numPr>
              <w:spacing w:line="276" w:lineRule="auto"/>
              <w:rPr>
                <w:rStyle w:val="fontstyle01"/>
                <w:rFonts w:ascii="Century Gothic" w:hAnsi="Century Gothic" w:cs="Times New Roman"/>
                <w:i/>
                <w:iCs/>
                <w:color w:val="0070C0"/>
              </w:rPr>
            </w:pPr>
            <w:r>
              <w:rPr>
                <w:rStyle w:val="fontstyle01"/>
                <w:rFonts w:ascii="Century Gothic" w:hAnsi="Century Gothic" w:cs="Times New Roman"/>
                <w:i/>
                <w:iCs/>
                <w:color w:val="0070C0"/>
              </w:rPr>
              <w:t>L’amélioration de l</w:t>
            </w:r>
            <w:r w:rsidRPr="00853160">
              <w:rPr>
                <w:rStyle w:val="fontstyle01"/>
                <w:rFonts w:ascii="Century Gothic" w:hAnsi="Century Gothic" w:cs="Times New Roman"/>
                <w:i/>
                <w:iCs/>
                <w:color w:val="0070C0"/>
              </w:rPr>
              <w:t xml:space="preserve">a connaissance </w:t>
            </w:r>
            <w:r>
              <w:rPr>
                <w:rStyle w:val="fontstyle01"/>
                <w:rFonts w:ascii="Century Gothic" w:hAnsi="Century Gothic" w:cs="Times New Roman"/>
                <w:i/>
                <w:iCs/>
                <w:color w:val="0070C0"/>
              </w:rPr>
              <w:t>des</w:t>
            </w:r>
            <w:r w:rsidRPr="00853160">
              <w:rPr>
                <w:rStyle w:val="fontstyle01"/>
                <w:rFonts w:ascii="Century Gothic" w:hAnsi="Century Gothic" w:cs="Times New Roman"/>
                <w:i/>
                <w:iCs/>
                <w:color w:val="0070C0"/>
              </w:rPr>
              <w:t xml:space="preserve"> populations </w:t>
            </w:r>
            <w:r>
              <w:rPr>
                <w:rStyle w:val="fontstyle01"/>
                <w:rFonts w:ascii="Century Gothic" w:hAnsi="Century Gothic" w:cs="Times New Roman"/>
                <w:i/>
                <w:iCs/>
                <w:color w:val="0070C0"/>
              </w:rPr>
              <w:t xml:space="preserve">sur les </w:t>
            </w:r>
            <w:r w:rsidRPr="00853160">
              <w:rPr>
                <w:rStyle w:val="fontstyle01"/>
                <w:rFonts w:ascii="Century Gothic" w:hAnsi="Century Gothic" w:cs="Times New Roman"/>
                <w:i/>
                <w:iCs/>
                <w:color w:val="0070C0"/>
              </w:rPr>
              <w:t xml:space="preserve">droits humains et </w:t>
            </w:r>
            <w:r>
              <w:rPr>
                <w:rStyle w:val="fontstyle01"/>
                <w:rFonts w:ascii="Century Gothic" w:hAnsi="Century Gothic" w:cs="Times New Roman"/>
                <w:i/>
                <w:iCs/>
                <w:color w:val="0070C0"/>
              </w:rPr>
              <w:t>l</w:t>
            </w:r>
            <w:r w:rsidRPr="00853160">
              <w:rPr>
                <w:rStyle w:val="fontstyle01"/>
                <w:rFonts w:ascii="Century Gothic" w:hAnsi="Century Gothic" w:cs="Times New Roman"/>
                <w:i/>
                <w:iCs/>
                <w:color w:val="0070C0"/>
              </w:rPr>
              <w:t>es voies de recours</w:t>
            </w:r>
            <w:r>
              <w:rPr>
                <w:rStyle w:val="fontstyle01"/>
                <w:rFonts w:ascii="Century Gothic" w:hAnsi="Century Gothic" w:cs="Times New Roman"/>
                <w:i/>
                <w:iCs/>
                <w:color w:val="0070C0"/>
              </w:rPr>
              <w:t>.</w:t>
            </w:r>
            <w:r w:rsidR="007068E8">
              <w:rPr>
                <w:rStyle w:val="fontstyle01"/>
                <w:rFonts w:ascii="Century Gothic" w:hAnsi="Century Gothic" w:cs="Times New Roman"/>
                <w:i/>
                <w:iCs/>
                <w:color w:val="0070C0"/>
              </w:rPr>
              <w:t xml:space="preserve"> </w:t>
            </w:r>
            <w:r>
              <w:rPr>
                <w:rStyle w:val="fontstyle01"/>
                <w:rFonts w:ascii="Century Gothic" w:hAnsi="Century Gothic" w:cs="Times New Roman"/>
                <w:i/>
                <w:iCs/>
                <w:color w:val="0070C0"/>
              </w:rPr>
              <w:t>L</w:t>
            </w:r>
            <w:r w:rsidR="00085B52">
              <w:rPr>
                <w:rStyle w:val="fontstyle01"/>
                <w:rFonts w:ascii="Century Gothic" w:hAnsi="Century Gothic" w:cs="Times New Roman"/>
                <w:i/>
                <w:iCs/>
                <w:color w:val="0070C0"/>
              </w:rPr>
              <w:t>’usage effectif de ces voies de re</w:t>
            </w:r>
            <w:r w:rsidRPr="00853160">
              <w:rPr>
                <w:rStyle w:val="fontstyle01"/>
                <w:rFonts w:ascii="Century Gothic" w:hAnsi="Century Gothic" w:cs="Times New Roman"/>
                <w:i/>
                <w:iCs/>
                <w:color w:val="0070C0"/>
              </w:rPr>
              <w:t xml:space="preserve">cours </w:t>
            </w:r>
            <w:r>
              <w:rPr>
                <w:rStyle w:val="fontstyle01"/>
                <w:rFonts w:ascii="Century Gothic" w:hAnsi="Century Gothic" w:cs="Times New Roman"/>
                <w:i/>
                <w:iCs/>
                <w:color w:val="0070C0"/>
              </w:rPr>
              <w:t>est</w:t>
            </w:r>
            <w:r w:rsidRPr="00853160">
              <w:rPr>
                <w:rStyle w:val="fontstyle01"/>
                <w:rFonts w:ascii="Century Gothic" w:hAnsi="Century Gothic" w:cs="Times New Roman"/>
                <w:i/>
                <w:iCs/>
                <w:color w:val="0070C0"/>
              </w:rPr>
              <w:t xml:space="preserve"> rest</w:t>
            </w:r>
            <w:r>
              <w:rPr>
                <w:rStyle w:val="fontstyle01"/>
                <w:rFonts w:ascii="Century Gothic" w:hAnsi="Century Gothic" w:cs="Times New Roman"/>
                <w:i/>
                <w:iCs/>
                <w:color w:val="0070C0"/>
              </w:rPr>
              <w:t>é pourtant</w:t>
            </w:r>
            <w:r w:rsidRPr="00853160">
              <w:rPr>
                <w:rStyle w:val="fontstyle01"/>
                <w:rFonts w:ascii="Century Gothic" w:hAnsi="Century Gothic" w:cs="Times New Roman"/>
                <w:i/>
                <w:iCs/>
                <w:color w:val="0070C0"/>
              </w:rPr>
              <w:t xml:space="preserve"> </w:t>
            </w:r>
            <w:r w:rsidR="00085B52">
              <w:rPr>
                <w:rStyle w:val="fontstyle01"/>
                <w:rFonts w:ascii="Century Gothic" w:hAnsi="Century Gothic" w:cs="Times New Roman"/>
                <w:i/>
                <w:iCs/>
                <w:color w:val="0070C0"/>
              </w:rPr>
              <w:t>limité</w:t>
            </w:r>
            <w:r w:rsidR="00542AF5">
              <w:rPr>
                <w:rStyle w:val="fontstyle01"/>
                <w:rFonts w:ascii="Century Gothic" w:hAnsi="Century Gothic" w:cs="Times New Roman"/>
                <w:i/>
                <w:iCs/>
                <w:color w:val="0070C0"/>
              </w:rPr>
              <w:t> ;</w:t>
            </w:r>
          </w:p>
          <w:p w14:paraId="0F8EC91B" w14:textId="52135EDB" w:rsidR="007639D7" w:rsidRPr="00404E7F" w:rsidRDefault="007639D7" w:rsidP="00404E7F">
            <w:pPr>
              <w:pStyle w:val="Paragraphedeliste"/>
              <w:numPr>
                <w:ilvl w:val="0"/>
                <w:numId w:val="87"/>
              </w:numPr>
              <w:spacing w:line="276" w:lineRule="auto"/>
              <w:rPr>
                <w:rStyle w:val="fontstyle01"/>
                <w:rFonts w:ascii="Century Gothic" w:hAnsi="Century Gothic" w:cs="Times New Roman"/>
                <w:i/>
                <w:iCs/>
                <w:color w:val="0070C0"/>
              </w:rPr>
            </w:pPr>
            <w:bookmarkStart w:id="957" w:name="_Hlk92261498"/>
            <w:r>
              <w:rPr>
                <w:rStyle w:val="fontstyle01"/>
                <w:rFonts w:ascii="Century Gothic" w:hAnsi="Century Gothic" w:cs="Times New Roman"/>
                <w:i/>
                <w:iCs/>
                <w:color w:val="0070C0"/>
              </w:rPr>
              <w:t>L</w:t>
            </w:r>
            <w:r>
              <w:rPr>
                <w:rStyle w:val="fontstyle01"/>
                <w:rFonts w:ascii="Century Gothic" w:hAnsi="Century Gothic"/>
                <w:i/>
                <w:iCs/>
                <w:color w:val="0070C0"/>
              </w:rPr>
              <w:t>’a</w:t>
            </w:r>
            <w:r w:rsidRPr="007639D7">
              <w:rPr>
                <w:rStyle w:val="fontstyle01"/>
                <w:rFonts w:ascii="Century Gothic" w:hAnsi="Century Gothic" w:cs="Times New Roman"/>
                <w:i/>
                <w:iCs/>
                <w:color w:val="0070C0"/>
              </w:rPr>
              <w:t>mélioration de la compréhension de la complémentarité des rôles et mandats des FDS et ACP et la prise en compte des droits humains et du genre dans leur mission</w:t>
            </w:r>
            <w:r>
              <w:rPr>
                <w:rStyle w:val="fontstyle01"/>
                <w:rFonts w:ascii="Century Gothic" w:hAnsi="Century Gothic" w:cs="Times New Roman"/>
                <w:i/>
                <w:iCs/>
                <w:color w:val="0070C0"/>
              </w:rPr>
              <w:t> </w:t>
            </w:r>
            <w:bookmarkEnd w:id="957"/>
            <w:r>
              <w:rPr>
                <w:rStyle w:val="fontstyle01"/>
                <w:rFonts w:ascii="Century Gothic" w:hAnsi="Century Gothic"/>
                <w:i/>
                <w:iCs/>
                <w:color w:val="0070C0"/>
              </w:rPr>
              <w:t>;</w:t>
            </w:r>
          </w:p>
          <w:p w14:paraId="334566D6" w14:textId="02D945B1" w:rsidR="007D0B98" w:rsidRPr="002A487C" w:rsidRDefault="007D0B98" w:rsidP="00FB2B45">
            <w:pPr>
              <w:pStyle w:val="Paragraphedeliste"/>
              <w:numPr>
                <w:ilvl w:val="0"/>
                <w:numId w:val="87"/>
              </w:numPr>
              <w:spacing w:line="276" w:lineRule="auto"/>
              <w:rPr>
                <w:rStyle w:val="fontstyle01"/>
                <w:rFonts w:ascii="Century Gothic" w:hAnsi="Century Gothic" w:cs="Times New Roman"/>
                <w:i/>
                <w:iCs/>
                <w:color w:val="0070C0"/>
              </w:rPr>
            </w:pPr>
            <w:r>
              <w:rPr>
                <w:rStyle w:val="fontstyle01"/>
                <w:rFonts w:ascii="Century Gothic" w:hAnsi="Century Gothic"/>
                <w:i/>
                <w:iCs/>
                <w:color w:val="0070C0"/>
              </w:rPr>
              <w:t>Le partage d’expérience</w:t>
            </w:r>
            <w:r w:rsidR="00085B52">
              <w:rPr>
                <w:rStyle w:val="fontstyle01"/>
                <w:rFonts w:ascii="Century Gothic" w:hAnsi="Century Gothic"/>
                <w:i/>
                <w:iCs/>
                <w:color w:val="0070C0"/>
              </w:rPr>
              <w:t>s</w:t>
            </w:r>
            <w:r>
              <w:rPr>
                <w:rStyle w:val="fontstyle01"/>
                <w:rFonts w:ascii="Century Gothic" w:hAnsi="Century Gothic"/>
                <w:i/>
                <w:iCs/>
                <w:color w:val="0070C0"/>
              </w:rPr>
              <w:t xml:space="preserve"> et de bonnes pratiques </w:t>
            </w:r>
            <w:r w:rsidR="00431EFF">
              <w:rPr>
                <w:rStyle w:val="fontstyle01"/>
                <w:rFonts w:ascii="Century Gothic" w:hAnsi="Century Gothic"/>
                <w:i/>
                <w:iCs/>
                <w:color w:val="0070C0"/>
              </w:rPr>
              <w:t>sur les</w:t>
            </w:r>
            <w:r>
              <w:rPr>
                <w:rStyle w:val="fontstyle01"/>
                <w:rFonts w:ascii="Century Gothic" w:hAnsi="Century Gothic"/>
                <w:i/>
                <w:iCs/>
                <w:color w:val="0070C0"/>
              </w:rPr>
              <w:t xml:space="preserve"> </w:t>
            </w:r>
            <w:r w:rsidR="00E90CF8" w:rsidRPr="00E90CF8">
              <w:rPr>
                <w:rStyle w:val="fontstyle01"/>
                <w:rFonts w:ascii="Century Gothic" w:hAnsi="Century Gothic"/>
                <w:i/>
                <w:iCs/>
                <w:color w:val="0070C0"/>
              </w:rPr>
              <w:t>MCPGC</w:t>
            </w:r>
            <w:r w:rsidR="00431EFF">
              <w:rPr>
                <w:rStyle w:val="fontstyle01"/>
                <w:rFonts w:ascii="Century Gothic" w:hAnsi="Century Gothic"/>
                <w:i/>
                <w:iCs/>
                <w:color w:val="0070C0"/>
              </w:rPr>
              <w:t xml:space="preserve">. </w:t>
            </w:r>
          </w:p>
          <w:p w14:paraId="53F1F44B" w14:textId="4A3E5813" w:rsidR="002A487C" w:rsidRPr="00E61834" w:rsidRDefault="002A487C" w:rsidP="00FB2B45">
            <w:pPr>
              <w:pStyle w:val="Paragraphedeliste"/>
              <w:numPr>
                <w:ilvl w:val="0"/>
                <w:numId w:val="87"/>
              </w:numPr>
              <w:spacing w:line="276" w:lineRule="auto"/>
              <w:rPr>
                <w:rStyle w:val="fontstyle01"/>
                <w:rFonts w:ascii="Century Gothic" w:hAnsi="Century Gothic"/>
                <w:i/>
                <w:iCs/>
                <w:color w:val="0070C0"/>
              </w:rPr>
            </w:pPr>
            <w:r w:rsidRPr="00E61834">
              <w:rPr>
                <w:rStyle w:val="fontstyle01"/>
                <w:rFonts w:ascii="Century Gothic" w:hAnsi="Century Gothic"/>
                <w:i/>
                <w:iCs/>
                <w:color w:val="0070C0"/>
              </w:rPr>
              <w:t xml:space="preserve">Le développement des capacités de résilience des populations face </w:t>
            </w:r>
            <w:r w:rsidR="00E61834">
              <w:rPr>
                <w:rStyle w:val="fontstyle01"/>
                <w:rFonts w:ascii="Century Gothic" w:hAnsi="Century Gothic"/>
                <w:i/>
                <w:iCs/>
                <w:color w:val="0070C0"/>
              </w:rPr>
              <w:t>à</w:t>
            </w:r>
            <w:r w:rsidRPr="00E61834">
              <w:rPr>
                <w:rStyle w:val="fontstyle01"/>
                <w:rFonts w:ascii="Century Gothic" w:hAnsi="Century Gothic"/>
                <w:i/>
                <w:iCs/>
                <w:color w:val="0070C0"/>
              </w:rPr>
              <w:t xml:space="preserve"> la covid </w:t>
            </w:r>
          </w:p>
          <w:p w14:paraId="7BD582F9" w14:textId="0D85BD82" w:rsidR="007934BE" w:rsidRPr="006704A6" w:rsidRDefault="007934BE" w:rsidP="009E2DEE">
            <w:pPr>
              <w:spacing w:line="276" w:lineRule="auto"/>
              <w:rPr>
                <w:rFonts w:cs="Times New Roman"/>
                <w:b/>
                <w:bCs/>
                <w:color w:val="0070C0"/>
              </w:rPr>
            </w:pPr>
            <w:r>
              <w:rPr>
                <w:rFonts w:cs="Times New Roman"/>
                <w:b/>
                <w:bCs/>
                <w:color w:val="0070C0"/>
              </w:rPr>
              <w:t>Des effets négatifs imputables au projet n’ont pas été formellement identifiés par l’évaluateur, mais il ressort des entretiens et de la revue documentaire que le dialogue entre les populations et les FDS exposent ces acteurs à des risque</w:t>
            </w:r>
            <w:r w:rsidR="00F20B19">
              <w:rPr>
                <w:rFonts w:cs="Times New Roman"/>
                <w:b/>
                <w:bCs/>
                <w:color w:val="0070C0"/>
              </w:rPr>
              <w:t>s</w:t>
            </w:r>
            <w:r>
              <w:rPr>
                <w:rFonts w:cs="Times New Roman"/>
                <w:b/>
                <w:bCs/>
                <w:color w:val="0070C0"/>
              </w:rPr>
              <w:t xml:space="preserve"> de représailles de la part des mouvement terroristes.</w:t>
            </w:r>
            <w:r w:rsidR="007068E8">
              <w:rPr>
                <w:rFonts w:cs="Times New Roman"/>
                <w:b/>
                <w:bCs/>
                <w:color w:val="0070C0"/>
              </w:rPr>
              <w:t xml:space="preserve"> </w:t>
            </w:r>
          </w:p>
          <w:p w14:paraId="490E97C6" w14:textId="41878C26" w:rsidR="007934BE" w:rsidRPr="00191FD2" w:rsidRDefault="007934BE"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QE20 </w:t>
            </w:r>
            <w:r w:rsidR="00542AF5">
              <w:rPr>
                <w:rStyle w:val="fontstyle01"/>
                <w:rFonts w:ascii="Century Gothic" w:hAnsi="Century Gothic"/>
                <w:i/>
                <w:iCs/>
              </w:rPr>
              <w:t>et QE21</w:t>
            </w:r>
          </w:p>
        </w:tc>
      </w:tr>
    </w:tbl>
    <w:bookmarkEnd w:id="956"/>
    <w:p w14:paraId="72CCA02A" w14:textId="03339E0D" w:rsidR="007934BE" w:rsidRDefault="007934BE" w:rsidP="24C68068">
      <w:pPr>
        <w:pStyle w:val="Paragraphedeliste"/>
        <w:numPr>
          <w:ilvl w:val="0"/>
          <w:numId w:val="23"/>
        </w:numPr>
        <w:spacing w:before="240" w:line="276" w:lineRule="auto"/>
        <w:rPr>
          <w:rFonts w:cs="Times New Roman"/>
        </w:rPr>
      </w:pPr>
      <w:r w:rsidRPr="24C68068">
        <w:rPr>
          <w:rFonts w:cs="Times New Roman"/>
          <w:b/>
          <w:bCs/>
          <w:i/>
          <w:iCs/>
        </w:rPr>
        <w:t>L’intégration et l’implication accrue des femmes et des jeunes dans MCPGC</w:t>
      </w:r>
      <w:r w:rsidRPr="24C68068">
        <w:rPr>
          <w:rFonts w:cs="Times New Roman"/>
        </w:rPr>
        <w:t>. Selon les données disponibles, la représentativité des femmes et des jeunes s’est accrue dans la zone d’intervention sur la période de mise en œuvre du projet. Cette représentativité est passée de 3% de femmes en 2019 à au moins 31% de femmes en 2021, selon les chiffres fournis par le rapport final. Se basant sur les données collectées auprès de l’ONG CAR.D</w:t>
      </w:r>
      <w:r w:rsidRPr="24C68068">
        <w:rPr>
          <w:rStyle w:val="Appelnotedebasdep"/>
          <w:rFonts w:cs="Times New Roman"/>
        </w:rPr>
        <w:footnoteReference w:id="34"/>
      </w:r>
      <w:r w:rsidRPr="24C68068">
        <w:rPr>
          <w:rFonts w:cs="Times New Roman"/>
        </w:rPr>
        <w:t xml:space="preserve"> pour les communes de Tessit et Ouatagouna, la représentativité des femmes est passée de 21% en 2019 (19% pour les jeunes) à 34% en 2021 (respectivement 29% pour les jeunes). </w:t>
      </w:r>
    </w:p>
    <w:p w14:paraId="2F295BA7" w14:textId="369F485F" w:rsidR="007934BE" w:rsidRPr="00FF5D3C" w:rsidRDefault="007934BE" w:rsidP="00FB2B45">
      <w:pPr>
        <w:pStyle w:val="Paragraphedeliste"/>
        <w:numPr>
          <w:ilvl w:val="0"/>
          <w:numId w:val="23"/>
        </w:numPr>
        <w:spacing w:before="240" w:line="276" w:lineRule="auto"/>
        <w:rPr>
          <w:rFonts w:cs="Times New Roman"/>
          <w:bCs/>
        </w:rPr>
      </w:pPr>
      <w:r w:rsidRPr="00FF5D3C">
        <w:rPr>
          <w:rFonts w:cs="Times New Roman"/>
          <w:bCs/>
        </w:rPr>
        <w:t xml:space="preserve">En ce qui concerne l’implication réelle de ces femmes et jeunes membres des MCPGC, dans les travaux desdits comités, l’enquête quantitative révèle que 33% d’entre eux participent et défendent leur point de vue lors des réunions du comité. Cette proportion est pratiquement la même quel que soit le sexe et la tranche d’âge des répondants (Cf. Tableau </w:t>
      </w:r>
      <w:r w:rsidR="00FF5D3C" w:rsidRPr="00FF5D3C">
        <w:rPr>
          <w:rFonts w:cs="Times New Roman"/>
          <w:bCs/>
        </w:rPr>
        <w:t>12</w:t>
      </w:r>
      <w:r w:rsidRPr="00FF5D3C">
        <w:rPr>
          <w:rFonts w:cs="Times New Roman"/>
          <w:bCs/>
        </w:rPr>
        <w:t xml:space="preserve"> en Annexe</w:t>
      </w:r>
      <w:r w:rsidR="007E3D2C" w:rsidRPr="00FF5D3C">
        <w:rPr>
          <w:rFonts w:cs="Times New Roman"/>
          <w:bCs/>
        </w:rPr>
        <w:t xml:space="preserve"> 9</w:t>
      </w:r>
      <w:r w:rsidRPr="00FF5D3C">
        <w:rPr>
          <w:rFonts w:cs="Times New Roman"/>
          <w:bCs/>
        </w:rPr>
        <w:t>).</w:t>
      </w:r>
      <w:r w:rsidR="007068E8">
        <w:rPr>
          <w:rFonts w:cs="Times New Roman"/>
          <w:bCs/>
        </w:rPr>
        <w:t xml:space="preserve"> </w:t>
      </w:r>
    </w:p>
    <w:p w14:paraId="74316ADF" w14:textId="28032A78" w:rsidR="007934BE" w:rsidRPr="005648B4" w:rsidRDefault="007934BE" w:rsidP="00FB2B45">
      <w:pPr>
        <w:pStyle w:val="Paragraphedeliste"/>
        <w:numPr>
          <w:ilvl w:val="0"/>
          <w:numId w:val="23"/>
        </w:numPr>
        <w:spacing w:before="240" w:line="276" w:lineRule="auto"/>
        <w:rPr>
          <w:rFonts w:cs="Times New Roman"/>
          <w:bCs/>
        </w:rPr>
      </w:pPr>
      <w:r w:rsidRPr="00FF5D3C">
        <w:rPr>
          <w:rFonts w:cs="Times New Roman"/>
          <w:bCs/>
        </w:rPr>
        <w:t>La plupart des personnes rencontrées soit 82%</w:t>
      </w:r>
      <w:r w:rsidR="009061D1">
        <w:rPr>
          <w:rFonts w:cs="Times New Roman"/>
          <w:bCs/>
        </w:rPr>
        <w:t xml:space="preserve"> (enquête par </w:t>
      </w:r>
      <w:r w:rsidR="00A03059">
        <w:rPr>
          <w:rFonts w:cs="Times New Roman"/>
          <w:bCs/>
        </w:rPr>
        <w:t>questionnaire</w:t>
      </w:r>
      <w:r w:rsidR="009061D1">
        <w:rPr>
          <w:rFonts w:cs="Times New Roman"/>
          <w:bCs/>
        </w:rPr>
        <w:t>)</w:t>
      </w:r>
      <w:r w:rsidRPr="00FF5D3C">
        <w:rPr>
          <w:rFonts w:cs="Times New Roman"/>
          <w:bCs/>
        </w:rPr>
        <w:t xml:space="preserve"> estiment</w:t>
      </w:r>
      <w:r>
        <w:rPr>
          <w:rFonts w:cs="Times New Roman"/>
          <w:bCs/>
        </w:rPr>
        <w:t xml:space="preserve"> que les points de vue des femmes et des jeunes sont pris en compte par les autres membres des MCPGC. Il y a relativement plus de jeunes (soit 26% d’entre eux) que de personnes adultes (15% d’entre eux) qui pensent </w:t>
      </w:r>
      <w:r w:rsidRPr="005648B4">
        <w:rPr>
          <w:rFonts w:cs="Times New Roman"/>
          <w:bCs/>
        </w:rPr>
        <w:t xml:space="preserve">que les avis des jeunes et des femmes sont considérés dans les débats des MCPGC (Cf. Tableau </w:t>
      </w:r>
      <w:r w:rsidR="00FF5D3C" w:rsidRPr="005648B4">
        <w:rPr>
          <w:rFonts w:cs="Times New Roman"/>
          <w:bCs/>
        </w:rPr>
        <w:t>13</w:t>
      </w:r>
      <w:r w:rsidRPr="005648B4">
        <w:rPr>
          <w:rFonts w:cs="Times New Roman"/>
          <w:bCs/>
        </w:rPr>
        <w:t xml:space="preserve"> en Annexe</w:t>
      </w:r>
      <w:r w:rsidR="007E3D2C" w:rsidRPr="005648B4">
        <w:rPr>
          <w:rFonts w:cs="Times New Roman"/>
          <w:bCs/>
        </w:rPr>
        <w:t xml:space="preserve"> 9</w:t>
      </w:r>
      <w:r w:rsidRPr="005648B4">
        <w:rPr>
          <w:rFonts w:cs="Times New Roman"/>
          <w:bCs/>
        </w:rPr>
        <w:t xml:space="preserve">). </w:t>
      </w:r>
    </w:p>
    <w:p w14:paraId="7C4D05D4" w14:textId="08FD036C" w:rsidR="007934BE" w:rsidRPr="005648B4" w:rsidRDefault="007934BE" w:rsidP="00FB2B45">
      <w:pPr>
        <w:pStyle w:val="Paragraphedeliste"/>
        <w:numPr>
          <w:ilvl w:val="0"/>
          <w:numId w:val="23"/>
        </w:numPr>
        <w:spacing w:before="240" w:line="276" w:lineRule="auto"/>
        <w:rPr>
          <w:rFonts w:cs="Times New Roman"/>
          <w:bCs/>
          <w:i/>
          <w:iCs/>
        </w:rPr>
      </w:pPr>
      <w:r w:rsidRPr="005648B4">
        <w:rPr>
          <w:rFonts w:cs="Times New Roman"/>
          <w:bCs/>
        </w:rPr>
        <w:t xml:space="preserve">Il ressort également des données </w:t>
      </w:r>
      <w:r w:rsidR="009061D1">
        <w:rPr>
          <w:rFonts w:cs="Times New Roman"/>
          <w:bCs/>
        </w:rPr>
        <w:t xml:space="preserve">d’enquête par questionnaire </w:t>
      </w:r>
      <w:r w:rsidRPr="005648B4">
        <w:rPr>
          <w:rFonts w:cs="Times New Roman"/>
          <w:bCs/>
        </w:rPr>
        <w:t>un niveau de compréhension globalement satisfaisant des femmes et jeunes membres des MCPGC sur les sujets discutés lors des réunions, toute chose qui leur permet de participer activement aux débats. Toutefois, comparativement aux hommes, il existe relativement plus de femmes qui ne comprennent pas les sujets débattus (21% d’entre elles) que d’hommes (16% parmi les hommes). De même, les plus jeunes éprouvent plus de difficultés (26% d’entre eux) que les personnes adultes (15%).</w:t>
      </w:r>
      <w:r w:rsidR="007E3D2C" w:rsidRPr="005648B4">
        <w:rPr>
          <w:rFonts w:cs="Times New Roman"/>
          <w:bCs/>
        </w:rPr>
        <w:t xml:space="preserve"> (Cf. Tableau </w:t>
      </w:r>
      <w:r w:rsidR="005648B4" w:rsidRPr="005648B4">
        <w:rPr>
          <w:rFonts w:cs="Times New Roman"/>
          <w:bCs/>
        </w:rPr>
        <w:t>14</w:t>
      </w:r>
      <w:r w:rsidR="007E3D2C" w:rsidRPr="005648B4">
        <w:rPr>
          <w:rFonts w:cs="Times New Roman"/>
          <w:bCs/>
        </w:rPr>
        <w:t xml:space="preserve"> en Annexe 9).</w:t>
      </w:r>
      <w:r w:rsidR="007068E8">
        <w:rPr>
          <w:rFonts w:cs="Times New Roman"/>
          <w:bCs/>
        </w:rPr>
        <w:t xml:space="preserve"> </w:t>
      </w:r>
    </w:p>
    <w:p w14:paraId="6E9DF9A4" w14:textId="3FA99803" w:rsidR="007934BE" w:rsidRPr="00C62F7E" w:rsidRDefault="007934BE" w:rsidP="24C68068">
      <w:pPr>
        <w:pStyle w:val="Paragraphedeliste"/>
        <w:numPr>
          <w:ilvl w:val="0"/>
          <w:numId w:val="23"/>
        </w:numPr>
        <w:spacing w:before="240" w:line="276" w:lineRule="auto"/>
        <w:rPr>
          <w:i/>
          <w:shd w:val="clear" w:color="auto" w:fill="F2F2F2" w:themeFill="background1" w:themeFillShade="F2"/>
        </w:rPr>
      </w:pPr>
      <w:r w:rsidRPr="24C68068">
        <w:rPr>
          <w:rFonts w:cs="Times New Roman"/>
        </w:rPr>
        <w:t xml:space="preserve">Les données primaires </w:t>
      </w:r>
      <w:r w:rsidR="009061D1">
        <w:rPr>
          <w:rFonts w:cs="Times New Roman"/>
        </w:rPr>
        <w:t xml:space="preserve">recueillies par entretiens individuels et focus auprès des bénéficiaires directs du projet </w:t>
      </w:r>
      <w:r w:rsidRPr="24C68068">
        <w:rPr>
          <w:rFonts w:cs="Times New Roman"/>
        </w:rPr>
        <w:t xml:space="preserve">révèlent que parmi les stratégies utilisées pour accroitre la participation et l’implication des femmes dans les MCPGC, les plus porteuses sont la communication et les sensibilisations à travers les prêches dans les mosquées, des ateliers, les émissions radiophoniques, les causeries débats entre femmes ou entre jeunes, les théâtres participatifs et le plaidoyer auprès des leaders communautaires et des autorités locales. Les principaux acteurs de cette communication sont les leaders religieux et coutumiers, les leaders des associations et groupements féminins, les comités d'alerte précoce et les autorités locales. Pour les jeunes filles, ce sont plutôt les thé-débats et les rencontres dans le cadre des groupements féminins </w:t>
      </w:r>
      <w:r w:rsidR="29906976" w:rsidRPr="24C68068">
        <w:rPr>
          <w:rFonts w:cs="Times New Roman"/>
        </w:rPr>
        <w:t xml:space="preserve">qui </w:t>
      </w:r>
      <w:r w:rsidRPr="24C68068">
        <w:rPr>
          <w:rFonts w:cs="Times New Roman"/>
        </w:rPr>
        <w:t xml:space="preserve">ont été au cœur de la stratégie de mobilisation des jeunes et des femmes. A cet effet, une jeune fille de Banibangou déclare </w:t>
      </w:r>
      <w:r w:rsidRPr="00F7700C">
        <w:rPr>
          <w:i/>
          <w:shd w:val="clear" w:color="auto" w:fill="F2F2F2"/>
        </w:rPr>
        <w:t xml:space="preserve">« Quant à moi, je dirai que la plus porteuse des stratégies de mobilisation des jeunes et des femmes dans les mécanismes de gestion des conflits est les thés débats. Cette action a permis aux jeunes de parler des sujets délicats sur les </w:t>
      </w:r>
      <w:r w:rsidR="00E90CF8" w:rsidRPr="00F7700C">
        <w:rPr>
          <w:i/>
          <w:shd w:val="clear" w:color="auto" w:fill="F2F2F2"/>
        </w:rPr>
        <w:t>MCPGC</w:t>
      </w:r>
      <w:r w:rsidRPr="00F7700C">
        <w:rPr>
          <w:i/>
          <w:shd w:val="clear" w:color="auto" w:fill="F2F2F2"/>
        </w:rPr>
        <w:t xml:space="preserve"> ». </w:t>
      </w:r>
    </w:p>
    <w:p w14:paraId="3D7EF54D" w14:textId="4925CC7D" w:rsidR="007934BE" w:rsidRDefault="007934BE" w:rsidP="00FB2B45">
      <w:pPr>
        <w:pStyle w:val="Paragraphedeliste"/>
        <w:numPr>
          <w:ilvl w:val="0"/>
          <w:numId w:val="23"/>
        </w:numPr>
        <w:spacing w:before="240" w:line="276" w:lineRule="auto"/>
        <w:rPr>
          <w:rFonts w:ascii="Garamond" w:hAnsi="Garamond"/>
          <w:sz w:val="24"/>
        </w:rPr>
      </w:pPr>
      <w:r w:rsidRPr="005A7F96">
        <w:rPr>
          <w:rFonts w:cs="Times New Roman"/>
          <w:bCs/>
        </w:rPr>
        <w:t>Tout</w:t>
      </w:r>
      <w:r>
        <w:rPr>
          <w:rFonts w:cs="Times New Roman"/>
          <w:bCs/>
        </w:rPr>
        <w:t xml:space="preserve">efois, il persiste toujours des barrières d’ordre social et culturel à impliquer les femmes et des jeunes filles dans les MCPGC. Tous les avis des hommes (20/40) et des femmes (15/37) interrogés lors des focus group convergent pour dire que le principal blocage réside dans les pesanteurs socio-culturelles et les stéréotypes de genre. </w:t>
      </w:r>
      <w:r w:rsidRPr="007E5488">
        <w:rPr>
          <w:rFonts w:cs="Times New Roman"/>
          <w:bCs/>
        </w:rPr>
        <w:t xml:space="preserve">Un participant d’Anderaboukane incrimine </w:t>
      </w:r>
      <w:r w:rsidRPr="00C62F7E">
        <w:rPr>
          <w:i/>
          <w:shd w:val="clear" w:color="auto" w:fill="F2F2F2" w:themeFill="background1" w:themeFillShade="F2"/>
        </w:rPr>
        <w:t xml:space="preserve">« le comportement de nos leaders communautaires qui ne veulent pas partager les instances de décisions avec ces couches </w:t>
      </w:r>
      <w:r w:rsidRPr="007E5488">
        <w:rPr>
          <w:rFonts w:cs="Times New Roman"/>
          <w:bCs/>
          <w:i/>
          <w:iCs/>
        </w:rPr>
        <w:t>»</w:t>
      </w:r>
      <w:r w:rsidRPr="007E5488">
        <w:rPr>
          <w:rFonts w:cs="Times New Roman"/>
          <w:bCs/>
        </w:rPr>
        <w:t>.</w:t>
      </w:r>
      <w:r>
        <w:rPr>
          <w:rFonts w:cs="Times New Roman"/>
          <w:bCs/>
        </w:rPr>
        <w:t xml:space="preserve"> Les raisons avancées pour soutenir leurs attitudes sont notamment l’ignorance et l’immaturité des jeunes et des femmes à gérer les conflits. Cette perception négative est plus ou moins intégrée par quelques femmes et jeunes, comme cette femme qui affirme que : </w:t>
      </w:r>
      <w:r w:rsidRPr="00C62F7E">
        <w:rPr>
          <w:i/>
          <w:shd w:val="clear" w:color="auto" w:fill="F2F2F2" w:themeFill="background1" w:themeFillShade="F2"/>
        </w:rPr>
        <w:t>« les femmes et les jeunes ne sont pas suffisamment expérimentés pour gérer un conflit »</w:t>
      </w:r>
      <w:r w:rsidRPr="00F7700C">
        <w:rPr>
          <w:i/>
          <w:shd w:val="clear" w:color="auto" w:fill="F2F2F2"/>
        </w:rPr>
        <w:t>.</w:t>
      </w:r>
      <w:r w:rsidR="007068E8" w:rsidRPr="00F7700C">
        <w:rPr>
          <w:i/>
          <w:shd w:val="clear" w:color="auto" w:fill="F2F2F2"/>
        </w:rPr>
        <w:t xml:space="preserve"> </w:t>
      </w:r>
      <w:r w:rsidRPr="00B7562C">
        <w:rPr>
          <w:rFonts w:cs="Times New Roman"/>
          <w:bCs/>
        </w:rPr>
        <w:t xml:space="preserve">Par respect aux traditions, certains jeunes et femmes </w:t>
      </w:r>
      <w:r>
        <w:rPr>
          <w:rFonts w:cs="Times New Roman"/>
          <w:bCs/>
        </w:rPr>
        <w:t>se mettent en marge de</w:t>
      </w:r>
      <w:r w:rsidRPr="00B7562C">
        <w:rPr>
          <w:rFonts w:cs="Times New Roman"/>
          <w:bCs/>
        </w:rPr>
        <w:t xml:space="preserve">s instances de décision pour </w:t>
      </w:r>
      <w:r>
        <w:rPr>
          <w:rFonts w:cs="Times New Roman"/>
          <w:bCs/>
        </w:rPr>
        <w:t>« </w:t>
      </w:r>
      <w:r w:rsidRPr="00B7562C">
        <w:rPr>
          <w:rFonts w:cs="Times New Roman"/>
          <w:bCs/>
        </w:rPr>
        <w:t>laisser les hommes faire</w:t>
      </w:r>
      <w:r>
        <w:rPr>
          <w:rFonts w:cs="Times New Roman"/>
          <w:bCs/>
        </w:rPr>
        <w:t xml:space="preserve"> ». </w:t>
      </w:r>
      <w:r w:rsidRPr="00B7562C">
        <w:rPr>
          <w:rFonts w:cs="Times New Roman"/>
          <w:bCs/>
        </w:rPr>
        <w:t xml:space="preserve">Les femmes soulignent également </w:t>
      </w:r>
      <w:r>
        <w:rPr>
          <w:rFonts w:cs="Times New Roman"/>
          <w:bCs/>
        </w:rPr>
        <w:t>comme barrières</w:t>
      </w:r>
      <w:r w:rsidRPr="00B7562C">
        <w:rPr>
          <w:rFonts w:cs="Times New Roman"/>
          <w:bCs/>
        </w:rPr>
        <w:t> : i) l’occupation dans les tâches ménagères</w:t>
      </w:r>
      <w:r>
        <w:rPr>
          <w:rFonts w:cs="Times New Roman"/>
          <w:bCs/>
        </w:rPr>
        <w:t xml:space="preserve"> (parmi les 102 femmes membres des MCPGC, 9 soit 9% ne prennent pas régulièrement part aux travaux, la principale raison évoquée étant le manque de temps)</w:t>
      </w:r>
      <w:r w:rsidRPr="00B7562C">
        <w:rPr>
          <w:rFonts w:cs="Times New Roman"/>
          <w:bCs/>
        </w:rPr>
        <w:t xml:space="preserve">, ii) l’ignorance des femmes et des jeunes par rapport à leurs droits, </w:t>
      </w:r>
      <w:r>
        <w:rPr>
          <w:rFonts w:cs="Times New Roman"/>
          <w:bCs/>
        </w:rPr>
        <w:t xml:space="preserve">iv) </w:t>
      </w:r>
      <w:r w:rsidRPr="00B7562C">
        <w:rPr>
          <w:rFonts w:cs="Times New Roman"/>
          <w:bCs/>
        </w:rPr>
        <w:t>le manque de confiance la plupart estim</w:t>
      </w:r>
      <w:r>
        <w:rPr>
          <w:rFonts w:cs="Times New Roman"/>
          <w:bCs/>
        </w:rPr>
        <w:t>a</w:t>
      </w:r>
      <w:r w:rsidRPr="00B7562C">
        <w:rPr>
          <w:rFonts w:cs="Times New Roman"/>
          <w:bCs/>
        </w:rPr>
        <w:t xml:space="preserve">nt </w:t>
      </w:r>
      <w:r>
        <w:rPr>
          <w:rFonts w:cs="Times New Roman"/>
          <w:bCs/>
        </w:rPr>
        <w:t>être</w:t>
      </w:r>
      <w:r w:rsidRPr="00B7562C">
        <w:rPr>
          <w:rFonts w:cs="Times New Roman"/>
          <w:bCs/>
        </w:rPr>
        <w:t xml:space="preserve"> incapables ou </w:t>
      </w:r>
      <w:r>
        <w:rPr>
          <w:rFonts w:cs="Times New Roman"/>
          <w:bCs/>
        </w:rPr>
        <w:t>avoir</w:t>
      </w:r>
      <w:r w:rsidRPr="00B7562C">
        <w:rPr>
          <w:rFonts w:cs="Times New Roman"/>
          <w:bCs/>
        </w:rPr>
        <w:t xml:space="preserve"> peur de s’exprimer en public.</w:t>
      </w:r>
    </w:p>
    <w:p w14:paraId="4A955407" w14:textId="77777777" w:rsidR="007934BE" w:rsidRPr="005A7F96" w:rsidRDefault="007934BE" w:rsidP="007934BE">
      <w:pPr>
        <w:pStyle w:val="Paragraphedeliste"/>
        <w:spacing w:before="240" w:line="276" w:lineRule="auto"/>
        <w:ind w:left="360"/>
        <w:rPr>
          <w:rFonts w:cs="Times New Roman"/>
          <w:bCs/>
        </w:rPr>
      </w:pPr>
    </w:p>
    <w:p w14:paraId="5DC56E34" w14:textId="45E54D50" w:rsidR="007934BE" w:rsidRPr="005648B4" w:rsidRDefault="007934BE" w:rsidP="00FB2B45">
      <w:pPr>
        <w:pStyle w:val="Paragraphedeliste"/>
        <w:numPr>
          <w:ilvl w:val="0"/>
          <w:numId w:val="23"/>
        </w:numPr>
        <w:spacing w:before="240" w:line="276" w:lineRule="auto"/>
        <w:rPr>
          <w:rFonts w:cs="Times New Roman"/>
          <w:bCs/>
        </w:rPr>
      </w:pPr>
      <w:r w:rsidRPr="003448E6">
        <w:rPr>
          <w:rFonts w:cs="Times New Roman"/>
          <w:b/>
          <w:i/>
          <w:iCs/>
        </w:rPr>
        <w:t>L’amélioration de la confiance entre les</w:t>
      </w:r>
      <w:r>
        <w:rPr>
          <w:rFonts w:cs="Times New Roman"/>
          <w:b/>
          <w:i/>
          <w:iCs/>
        </w:rPr>
        <w:t xml:space="preserve"> communautés, les</w:t>
      </w:r>
      <w:r w:rsidRPr="003448E6">
        <w:rPr>
          <w:rFonts w:cs="Times New Roman"/>
          <w:b/>
          <w:i/>
          <w:iCs/>
        </w:rPr>
        <w:t xml:space="preserve"> FDS et les </w:t>
      </w:r>
      <w:r>
        <w:rPr>
          <w:rFonts w:cs="Times New Roman"/>
          <w:b/>
          <w:i/>
          <w:iCs/>
        </w:rPr>
        <w:t>ACP</w:t>
      </w:r>
      <w:r w:rsidRPr="003448E6">
        <w:rPr>
          <w:rFonts w:cs="Times New Roman"/>
          <w:b/>
          <w:i/>
          <w:iCs/>
        </w:rPr>
        <w:t xml:space="preserve"> :</w:t>
      </w:r>
      <w:r w:rsidRPr="003448E6">
        <w:rPr>
          <w:rFonts w:cs="Times New Roman"/>
          <w:bCs/>
        </w:rPr>
        <w:t xml:space="preserve"> </w:t>
      </w:r>
      <w:r>
        <w:rPr>
          <w:rFonts w:cs="Times New Roman"/>
          <w:bCs/>
        </w:rPr>
        <w:t>Selon les données du projet (Rapport final), la confiance entre les communautés, les FDS et les ACP est passé d’un niveau « Peu confiant » à « Confiant ». La plupart des personnes interrogées confirme cette évolution en soutenant que le niveau de confiance entre les acteurs s’est amélioré sur la période de mise en œuvre du projet : entre les communautés et les FDS d’une part (selon 92% des répondants</w:t>
      </w:r>
      <w:r w:rsidR="001862FE">
        <w:rPr>
          <w:rStyle w:val="Appelnotedebasdep"/>
          <w:rFonts w:cs="Times New Roman"/>
          <w:bCs/>
        </w:rPr>
        <w:footnoteReference w:id="35"/>
      </w:r>
      <w:r>
        <w:rPr>
          <w:rFonts w:cs="Times New Roman"/>
          <w:bCs/>
        </w:rPr>
        <w:t xml:space="preserve">) et entre les communautés et les ACP d’autre part (selon 85% des répondants). Il faut toutefois reconnaitre que le niveau de confiance reste moyen, car 42% des répondants ont </w:t>
      </w:r>
      <w:r w:rsidRPr="005648B4">
        <w:rPr>
          <w:rFonts w:cs="Times New Roman"/>
          <w:bCs/>
        </w:rPr>
        <w:t xml:space="preserve">juste « peu confiance » et 3% n’ont pas du tout confiance. La proportion des répondants </w:t>
      </w:r>
      <w:r w:rsidR="007E3D2C" w:rsidRPr="005648B4">
        <w:rPr>
          <w:rFonts w:cs="Times New Roman"/>
          <w:bCs/>
        </w:rPr>
        <w:t xml:space="preserve">qui </w:t>
      </w:r>
      <w:r w:rsidRPr="005648B4">
        <w:rPr>
          <w:rFonts w:cs="Times New Roman"/>
          <w:bCs/>
        </w:rPr>
        <w:t xml:space="preserve">disent faire entièrement confiance aux FDS est </w:t>
      </w:r>
      <w:r w:rsidR="007E3D2C" w:rsidRPr="005648B4">
        <w:rPr>
          <w:rFonts w:cs="Times New Roman"/>
          <w:bCs/>
        </w:rPr>
        <w:t xml:space="preserve">de </w:t>
      </w:r>
      <w:r w:rsidRPr="005648B4">
        <w:rPr>
          <w:rFonts w:cs="Times New Roman"/>
          <w:bCs/>
        </w:rPr>
        <w:t xml:space="preserve">55%. </w:t>
      </w:r>
      <w:r w:rsidR="007E3D2C" w:rsidRPr="005648B4">
        <w:rPr>
          <w:rFonts w:cs="Times New Roman"/>
          <w:bCs/>
        </w:rPr>
        <w:t xml:space="preserve">(Cf. Tableau </w:t>
      </w:r>
      <w:r w:rsidR="00051A50">
        <w:rPr>
          <w:rFonts w:cs="Times New Roman"/>
          <w:bCs/>
        </w:rPr>
        <w:t xml:space="preserve">15 et </w:t>
      </w:r>
      <w:r w:rsidR="005648B4" w:rsidRPr="005648B4">
        <w:rPr>
          <w:rFonts w:cs="Times New Roman"/>
          <w:bCs/>
        </w:rPr>
        <w:t>1</w:t>
      </w:r>
      <w:r w:rsidR="00051A50">
        <w:rPr>
          <w:rFonts w:cs="Times New Roman"/>
          <w:bCs/>
        </w:rPr>
        <w:t>6</w:t>
      </w:r>
      <w:r w:rsidR="007E3D2C" w:rsidRPr="005648B4">
        <w:rPr>
          <w:rFonts w:cs="Times New Roman"/>
          <w:bCs/>
        </w:rPr>
        <w:t xml:space="preserve"> en Annexe 9</w:t>
      </w:r>
      <w:r w:rsidR="005648B4">
        <w:rPr>
          <w:rFonts w:cs="Times New Roman"/>
          <w:bCs/>
        </w:rPr>
        <w:t>)</w:t>
      </w:r>
      <w:r w:rsidR="0094660C">
        <w:rPr>
          <w:rFonts w:cs="Times New Roman"/>
          <w:bCs/>
        </w:rPr>
        <w:t>.</w:t>
      </w:r>
    </w:p>
    <w:p w14:paraId="4948BA49" w14:textId="1177B090" w:rsidR="007934BE" w:rsidRPr="00D054DD" w:rsidRDefault="007934BE" w:rsidP="24C68068">
      <w:pPr>
        <w:pStyle w:val="Paragraphedeliste"/>
        <w:numPr>
          <w:ilvl w:val="0"/>
          <w:numId w:val="23"/>
        </w:numPr>
        <w:spacing w:before="240" w:line="276" w:lineRule="auto"/>
        <w:rPr>
          <w:rFonts w:cs="Times New Roman"/>
        </w:rPr>
      </w:pPr>
      <w:r w:rsidRPr="24C68068">
        <w:rPr>
          <w:rFonts w:cs="Times New Roman"/>
        </w:rPr>
        <w:t xml:space="preserve">Les participants aux focus group ont majoritairement cité les formations, les sensibilisations et les rencontres d’échanges comme les activités phares ayant permis de créer ce climat de confiance mutuel. Les formations avaient pour cibles les FDS, les comités d’alerte, les ACP et les communautés, et abordaient des thématiques relatives aux techniques d’alerte, aux tribunes d’expression publique et aux rôles et responsabilités (mandat) de chaque acteur dans la prévention et la gestion des conflits. Les rencontres d’échange se faisaient entre les communautés et les FDS et entre les communautés elles-mêmes, par exemple les « rencontres intercommunautaires entre Menaka et Anderamboukane » comme citées par un participant. Les femmes et les jeunes filles ont spécifiquement souligné en plus de ces activités, l’implication des FDS dans les MCPGC, les journées de salubrité publique qui ont constitué des occasions de rapprochement entre les communautés et les FDS. </w:t>
      </w:r>
      <w:r w:rsidRPr="00F7700C">
        <w:rPr>
          <w:i/>
          <w:shd w:val="clear" w:color="auto" w:fill="F2F2F2"/>
        </w:rPr>
        <w:t xml:space="preserve">« Le projet a permis </w:t>
      </w:r>
      <w:r w:rsidR="00EB4843" w:rsidRPr="00F7700C">
        <w:rPr>
          <w:i/>
          <w:shd w:val="clear" w:color="auto" w:fill="F2F2F2"/>
        </w:rPr>
        <w:t>un rapprochement</w:t>
      </w:r>
      <w:r w:rsidRPr="00F7700C">
        <w:rPr>
          <w:i/>
          <w:shd w:val="clear" w:color="auto" w:fill="F2F2F2"/>
        </w:rPr>
        <w:t xml:space="preserve"> entre les communautés et les mouvements armés signataires, les activités du projet nous ont rapproché les uns des autres à travers des activités menées ensemble ; la formation sur les rôles et mandat des FDS en est un exemple » (Communicateur traditionnel / Anderamboukane).</w:t>
      </w:r>
      <w:r w:rsidRPr="24C68068">
        <w:rPr>
          <w:rFonts w:cs="Times New Roman"/>
        </w:rPr>
        <w:t xml:space="preserve"> Les formations à l’endroit des FDS ont permis de changer leur regard et leur discours sur les populations locales comme le souligne cette jeune fille de Tessit ayant participé aux focus groups déclare que : </w:t>
      </w:r>
      <w:r w:rsidRPr="00F7700C">
        <w:rPr>
          <w:i/>
          <w:shd w:val="clear" w:color="auto" w:fill="F2F2F2"/>
        </w:rPr>
        <w:t xml:space="preserve">« avant ce projet, les FDS terrorisaient les habitants et les accusaient de complicité avec les groupes terroristes, mais aujourd'hui les FDS et les communautés collaborent, travaillent ensemble grâce aux activités dans lesquelles ils sont tous les deux impliqués </w:t>
      </w:r>
      <w:r w:rsidRPr="24C68068">
        <w:rPr>
          <w:rFonts w:cs="Times New Roman"/>
        </w:rPr>
        <w:t>».</w:t>
      </w:r>
    </w:p>
    <w:p w14:paraId="6F1E429E" w14:textId="2F0540C9" w:rsidR="005648B4" w:rsidRPr="005648B4" w:rsidRDefault="007934BE" w:rsidP="00FB2B45">
      <w:pPr>
        <w:pStyle w:val="Paragraphedeliste"/>
        <w:numPr>
          <w:ilvl w:val="0"/>
          <w:numId w:val="23"/>
        </w:numPr>
        <w:spacing w:before="240" w:line="276" w:lineRule="auto"/>
        <w:rPr>
          <w:rFonts w:cs="Times New Roman"/>
          <w:b/>
          <w:i/>
          <w:iCs/>
        </w:rPr>
      </w:pPr>
      <w:r w:rsidRPr="005648B4">
        <w:rPr>
          <w:rFonts w:cs="Times New Roman"/>
          <w:b/>
          <w:i/>
          <w:iCs/>
        </w:rPr>
        <w:t>Bien que la confiance se soit améliorée, le niveau de collaboration entre les communautés, les FDS et les ACP reste toujours faible en raison du contexte délétère qui fait craindre les risques de représailles.</w:t>
      </w:r>
      <w:r w:rsidRPr="005648B4">
        <w:rPr>
          <w:rFonts w:cs="Times New Roman"/>
          <w:bCs/>
        </w:rPr>
        <w:t xml:space="preserve"> </w:t>
      </w:r>
      <w:r w:rsidR="00737C9F" w:rsidRPr="005648B4">
        <w:rPr>
          <w:rFonts w:cs="Times New Roman"/>
          <w:bCs/>
        </w:rPr>
        <w:t>Selon les données du Rapport final d’exécution</w:t>
      </w:r>
      <w:r w:rsidR="00371954" w:rsidRPr="005648B4">
        <w:rPr>
          <w:rFonts w:cs="Times New Roman"/>
          <w:bCs/>
        </w:rPr>
        <w:t xml:space="preserve"> </w:t>
      </w:r>
      <w:r w:rsidR="00371954" w:rsidRPr="005648B4">
        <w:rPr>
          <w:rFonts w:cs="Times New Roman"/>
          <w:bCs/>
          <w:i/>
          <w:iCs/>
        </w:rPr>
        <w:t>l’Indicateur 2.3</w:t>
      </w:r>
      <w:r w:rsidR="00371954" w:rsidRPr="005648B4">
        <w:rPr>
          <w:rFonts w:cs="Times New Roman"/>
          <w:b/>
          <w:i/>
          <w:iCs/>
        </w:rPr>
        <w:t xml:space="preserve"> :</w:t>
      </w:r>
      <w:r w:rsidR="00371954" w:rsidRPr="005648B4">
        <w:rPr>
          <w:rFonts w:cs="Times New Roman"/>
          <w:bCs/>
          <w:i/>
          <w:iCs/>
        </w:rPr>
        <w:t xml:space="preserve"> Niveau d’appréciation de la collaboration entre les FDS et les acteurs de la chaîne pénale dans la zone du projet</w:t>
      </w:r>
      <w:r w:rsidR="00371954" w:rsidRPr="005648B4">
        <w:rPr>
          <w:rFonts w:cs="Times New Roman"/>
          <w:bCs/>
        </w:rPr>
        <w:t xml:space="preserve"> s’est maintenu à un niveau « Faible », soit un taux de réalisation de la cible de 0%. </w:t>
      </w:r>
      <w:r w:rsidRPr="005648B4">
        <w:rPr>
          <w:rFonts w:cs="Times New Roman"/>
          <w:bCs/>
        </w:rPr>
        <w:t>La plupart des personnes rencontrées au niveau communautaire ont certes indiqué qu’elles collaborent avec les FDS et les ACP à travers notamment le partage d’informations</w:t>
      </w:r>
      <w:r w:rsidR="00737C9F" w:rsidRPr="005648B4">
        <w:rPr>
          <w:rFonts w:cs="Times New Roman"/>
          <w:bCs/>
        </w:rPr>
        <w:t xml:space="preserve">. Toutefois, </w:t>
      </w:r>
      <w:r w:rsidR="00371954" w:rsidRPr="005648B4">
        <w:rPr>
          <w:rFonts w:cs="Times New Roman"/>
          <w:bCs/>
        </w:rPr>
        <w:t>la multiplication</w:t>
      </w:r>
      <w:r w:rsidR="00737C9F" w:rsidRPr="005648B4">
        <w:rPr>
          <w:rFonts w:cs="Times New Roman"/>
          <w:bCs/>
        </w:rPr>
        <w:t xml:space="preserve"> des attaques de plus en plus meurtrières </w:t>
      </w:r>
      <w:r w:rsidR="00371954" w:rsidRPr="005648B4">
        <w:rPr>
          <w:rFonts w:cs="Times New Roman"/>
          <w:bCs/>
        </w:rPr>
        <w:t>contribue</w:t>
      </w:r>
      <w:r w:rsidR="00737C9F" w:rsidRPr="005648B4">
        <w:rPr>
          <w:rFonts w:cs="Times New Roman"/>
          <w:bCs/>
        </w:rPr>
        <w:t xml:space="preserve"> à </w:t>
      </w:r>
      <w:r w:rsidR="00371954" w:rsidRPr="005648B4">
        <w:rPr>
          <w:rFonts w:cs="Times New Roman"/>
          <w:bCs/>
        </w:rPr>
        <w:t>limiter</w:t>
      </w:r>
      <w:r w:rsidR="00737C9F" w:rsidRPr="005648B4">
        <w:rPr>
          <w:rFonts w:cs="Times New Roman"/>
          <w:bCs/>
        </w:rPr>
        <w:t xml:space="preserve"> les dénonciations par crainte des représailles.</w:t>
      </w:r>
      <w:r w:rsidR="007068E8">
        <w:rPr>
          <w:rFonts w:cs="Times New Roman"/>
          <w:bCs/>
        </w:rPr>
        <w:t xml:space="preserve"> </w:t>
      </w:r>
    </w:p>
    <w:p w14:paraId="7C9FC1A9" w14:textId="7180A3F1" w:rsidR="007934BE" w:rsidRPr="005648B4" w:rsidRDefault="00371954" w:rsidP="00FB2B45">
      <w:pPr>
        <w:pStyle w:val="Paragraphedeliste"/>
        <w:numPr>
          <w:ilvl w:val="0"/>
          <w:numId w:val="23"/>
        </w:numPr>
        <w:spacing w:before="240" w:line="276" w:lineRule="auto"/>
        <w:rPr>
          <w:rFonts w:cs="Times New Roman"/>
          <w:b/>
          <w:i/>
          <w:iCs/>
        </w:rPr>
      </w:pPr>
      <w:r w:rsidRPr="005648B4">
        <w:rPr>
          <w:rFonts w:cs="Times New Roman"/>
          <w:bCs/>
        </w:rPr>
        <w:t>Entre les FDS et les ACP, la collaboration est jugée moyenne par la plupart des répondants, comme cet ACP à Tillabery « </w:t>
      </w:r>
      <w:r w:rsidR="007934BE" w:rsidRPr="00F7700C">
        <w:rPr>
          <w:i/>
          <w:shd w:val="clear" w:color="auto" w:fill="F2F2F2"/>
        </w:rPr>
        <w:t>Je peux qualifier la collaboration de moyenne. (…) Les FDS lors de leurs opérations, prennent des gens et les mettent à la disposition des officiers de police judiciaire. Les indices ou preuves sont laissés sur le terrain des opérations et les officiers de police judiciaire (OPJ) n’ont pas la possibilité d’aller sur le terrain pour constatation. C’est ça la délicatesse. Les FDS font le gros du boulot en réalité, mais malheureusement quand ils emmènent les gens pour lesquels les OPJ et la justice ne trouvent pas de preuve, ils sont libérés et ça crée souvent une source d’incompréhension</w:t>
      </w:r>
      <w:r w:rsidRPr="005648B4">
        <w:rPr>
          <w:rFonts w:cs="Times New Roman"/>
          <w:b/>
          <w:i/>
          <w:iCs/>
        </w:rPr>
        <w:t>.</w:t>
      </w:r>
      <w:r w:rsidR="007934BE" w:rsidRPr="005648B4">
        <w:rPr>
          <w:rFonts w:cs="Times New Roman"/>
          <w:bCs/>
        </w:rPr>
        <w:t xml:space="preserve"> </w:t>
      </w:r>
    </w:p>
    <w:p w14:paraId="6F4B11FC" w14:textId="517F0C1A" w:rsidR="007934BE" w:rsidRPr="00F915FF" w:rsidRDefault="007934BE" w:rsidP="24C68068">
      <w:pPr>
        <w:pStyle w:val="Paragraphedeliste"/>
        <w:numPr>
          <w:ilvl w:val="0"/>
          <w:numId w:val="23"/>
        </w:numPr>
        <w:spacing w:before="240" w:line="276" w:lineRule="auto"/>
        <w:rPr>
          <w:rFonts w:cs="Times New Roman"/>
        </w:rPr>
      </w:pPr>
      <w:r w:rsidRPr="24C68068">
        <w:rPr>
          <w:rFonts w:cs="Times New Roman"/>
          <w:b/>
          <w:bCs/>
          <w:i/>
          <w:iCs/>
        </w:rPr>
        <w:t>Prise d’initiatives individuelles ou collectives par les femmes en matière de cohésion sociale</w:t>
      </w:r>
      <w:r w:rsidRPr="24C68068">
        <w:rPr>
          <w:rFonts w:cs="Times New Roman"/>
          <w:b/>
          <w:bCs/>
        </w:rPr>
        <w:t xml:space="preserve"> : </w:t>
      </w:r>
      <w:r w:rsidRPr="24C68068">
        <w:rPr>
          <w:rFonts w:cs="Times New Roman"/>
        </w:rPr>
        <w:t xml:space="preserve">Grâce aux différentes formations reçues, des femmes et des jeunes ont pu conduire sur initiative personnelle ou collective des activités de renforcement de la cohésion sociale. Il s’agit notamment de l’organisation de séances de réconciliation dans les groupements féminins et les foyers en difficulté, l’organisation d’activités récréatives (soirées culturelles et tournoi de football entre les quartiers du village), l’animation de prêches et d’émissions radiophoniques par les leaders féminins sur la paix et le vivre ensemble, l’organisation de causeries éducatives entre femmes, l’initiation de rencontres entre les groupements de jeunes et de femmes pour la consolidation de la paix et la promotion du dialogue intercommunautaire à travers la parenté à plaisanterie. </w:t>
      </w:r>
      <w:r w:rsidRPr="00F7700C">
        <w:rPr>
          <w:i/>
          <w:shd w:val="clear" w:color="auto" w:fill="F2F2F2"/>
        </w:rPr>
        <w:t>« Plusieurs sessions de restitution des formations reçues à l'endroit des membres de chaque groupement des femmes ont été aussi tenues »</w:t>
      </w:r>
      <w:r w:rsidRPr="24C68068">
        <w:rPr>
          <w:rFonts w:cs="Times New Roman"/>
        </w:rPr>
        <w:t xml:space="preserve"> ajoute une participante de focus group à Anderamboukane. Les femmes se sont également impliquées dans la résolution de plusieurs conflits au niveaux communautaire comme à Anderamboukane où « </w:t>
      </w:r>
      <w:r w:rsidRPr="00EC19E5">
        <w:rPr>
          <w:i/>
          <w:shd w:val="clear" w:color="auto" w:fill="F2F2F2"/>
        </w:rPr>
        <w:t>La CAFO a géré un conflit entre les Djerma et les Peulhs en organisant une rencontre à la Mairie. Les deux ethnies ont été sensibilisées et il n’y</w:t>
      </w:r>
      <w:r w:rsidR="77F985A7" w:rsidRPr="00EC19E5">
        <w:rPr>
          <w:i/>
          <w:shd w:val="clear" w:color="auto" w:fill="F2F2F2"/>
        </w:rPr>
        <w:t xml:space="preserve"> a</w:t>
      </w:r>
      <w:r w:rsidRPr="00EC19E5">
        <w:rPr>
          <w:i/>
          <w:shd w:val="clear" w:color="auto" w:fill="F2F2F2"/>
        </w:rPr>
        <w:t xml:space="preserve"> plus eu de problèmes</w:t>
      </w:r>
      <w:r w:rsidRPr="24C68068">
        <w:rPr>
          <w:rFonts w:cs="Times New Roman"/>
        </w:rPr>
        <w:t xml:space="preserve"> ». (Autorité locale de Anderamboukane). Si à Anderamboukane et dans les autres localités, plusieurs initiatives ont été portées par les femmes, à Gorool par contre, elles n’ont pas encore réussi à développer une initiative communautaire de paix de leur propre initiative. </w:t>
      </w:r>
      <w:r w:rsidR="000646A3" w:rsidRPr="24C68068">
        <w:rPr>
          <w:rFonts w:cs="Times New Roman"/>
        </w:rPr>
        <w:t>Selon les résultats d’une d’étude conduite par l’ONG CAR.D à Tessit et à Ouatagouna dans le cadre du projet en juin 2020</w:t>
      </w:r>
      <w:r w:rsidR="000646A3" w:rsidRPr="24C68068">
        <w:rPr>
          <w:rStyle w:val="Appelnotedebasdep"/>
          <w:rFonts w:cs="Times New Roman"/>
        </w:rPr>
        <w:footnoteReference w:id="36"/>
      </w:r>
      <w:r w:rsidR="000646A3" w:rsidRPr="24C68068">
        <w:rPr>
          <w:rFonts w:cs="Times New Roman"/>
        </w:rPr>
        <w:t>, les actions et expériences des femmes en matière de consolidation de la paix conduite sont </w:t>
      </w:r>
      <w:r w:rsidR="00F915FF" w:rsidRPr="24C68068">
        <w:rPr>
          <w:rFonts w:cs="Times New Roman"/>
        </w:rPr>
        <w:t xml:space="preserve">entre autres : </w:t>
      </w:r>
      <w:r w:rsidR="000646A3" w:rsidRPr="24C68068">
        <w:rPr>
          <w:rFonts w:cs="Times New Roman"/>
        </w:rPr>
        <w:t>Le plaidoyer auprès des leaders communautaire</w:t>
      </w:r>
      <w:r w:rsidR="00F915FF" w:rsidRPr="24C68068">
        <w:rPr>
          <w:rFonts w:cs="Times New Roman"/>
        </w:rPr>
        <w:t>s ; l</w:t>
      </w:r>
      <w:r w:rsidR="000646A3" w:rsidRPr="24C68068">
        <w:rPr>
          <w:rFonts w:cs="Times New Roman"/>
        </w:rPr>
        <w:t>a médiation à travers des chants</w:t>
      </w:r>
      <w:r w:rsidR="00F915FF" w:rsidRPr="24C68068">
        <w:rPr>
          <w:rFonts w:cs="Times New Roman"/>
        </w:rPr>
        <w:t> ; l</w:t>
      </w:r>
      <w:r w:rsidR="000646A3" w:rsidRPr="24C68068">
        <w:rPr>
          <w:rFonts w:cs="Times New Roman"/>
        </w:rPr>
        <w:t>’apaisement des tensions à travers les mariages</w:t>
      </w:r>
      <w:r w:rsidR="00F915FF" w:rsidRPr="24C68068">
        <w:rPr>
          <w:rFonts w:cs="Times New Roman"/>
        </w:rPr>
        <w:t> ; l</w:t>
      </w:r>
      <w:r w:rsidR="000646A3" w:rsidRPr="24C68068">
        <w:rPr>
          <w:rFonts w:cs="Times New Roman"/>
        </w:rPr>
        <w:t xml:space="preserve">’influence </w:t>
      </w:r>
      <w:r w:rsidR="00F915FF" w:rsidRPr="24C68068">
        <w:rPr>
          <w:rFonts w:cs="Times New Roman"/>
        </w:rPr>
        <w:t>exercée sur les hommes y compris leur mari et leurs fils.</w:t>
      </w:r>
    </w:p>
    <w:p w14:paraId="2DFDEF2D" w14:textId="660A60D1" w:rsidR="007934BE" w:rsidRPr="00C62F7E" w:rsidRDefault="007934BE" w:rsidP="00FB2B45">
      <w:pPr>
        <w:pStyle w:val="Paragraphedeliste"/>
        <w:numPr>
          <w:ilvl w:val="0"/>
          <w:numId w:val="23"/>
        </w:numPr>
        <w:spacing w:before="240" w:line="276" w:lineRule="auto"/>
        <w:rPr>
          <w:shd w:val="clear" w:color="auto" w:fill="F2F2F2" w:themeFill="background1" w:themeFillShade="F2"/>
        </w:rPr>
      </w:pPr>
      <w:r>
        <w:rPr>
          <w:rFonts w:cs="Times New Roman"/>
          <w:bCs/>
        </w:rPr>
        <w:t xml:space="preserve">Un cas d’effet inattendu en termes de retrait de jeunes des mouvements armés a été aussi rapporté par le représentant d’autorité locale </w:t>
      </w:r>
      <w:r w:rsidRPr="00F915FF">
        <w:rPr>
          <w:rFonts w:cs="Times New Roman"/>
          <w:bCs/>
        </w:rPr>
        <w:t>au Mali «</w:t>
      </w:r>
      <w:r w:rsidRPr="0001544F">
        <w:rPr>
          <w:rFonts w:cs="Times New Roman"/>
          <w:bCs/>
        </w:rPr>
        <w:t> </w:t>
      </w:r>
      <w:r w:rsidRPr="00C62F7E">
        <w:rPr>
          <w:i/>
          <w:shd w:val="clear" w:color="auto" w:fill="F2F2F2" w:themeFill="background1" w:themeFillShade="F2"/>
        </w:rPr>
        <w:t>J’ai vu des jeunes de mes propres yeux qui ont laissé les armes pour s’orienter vers l’entreprenariat. Ils disent qu’ils sont fatigués avec les armes et qu’ils vont commencer à faire leur vie. Ces jeunes ont assisté à des formations de l’ONG CRADE ainsi que d’autres ONG.</w:t>
      </w:r>
      <w:r w:rsidR="007068E8" w:rsidRPr="00EC19E5">
        <w:rPr>
          <w:i/>
          <w:shd w:val="clear" w:color="auto" w:fill="F2F2F2"/>
        </w:rPr>
        <w:t xml:space="preserve"> </w:t>
      </w:r>
      <w:r w:rsidRPr="00C62F7E">
        <w:rPr>
          <w:i/>
          <w:shd w:val="clear" w:color="auto" w:fill="F2F2F2" w:themeFill="background1" w:themeFillShade="F2"/>
        </w:rPr>
        <w:t>Je suis témoin de cela</w:t>
      </w:r>
      <w:r>
        <w:rPr>
          <w:rFonts w:cs="Times New Roman"/>
          <w:bCs/>
        </w:rPr>
        <w:t> »</w:t>
      </w:r>
      <w:r w:rsidRPr="0001544F">
        <w:rPr>
          <w:rFonts w:cs="Times New Roman"/>
          <w:bCs/>
        </w:rPr>
        <w:t>.</w:t>
      </w:r>
      <w:r>
        <w:rPr>
          <w:rFonts w:cs="Times New Roman"/>
          <w:bCs/>
        </w:rPr>
        <w:t xml:space="preserve"> </w:t>
      </w:r>
    </w:p>
    <w:p w14:paraId="01CD6A4B" w14:textId="2CB5A811" w:rsidR="007934BE" w:rsidRDefault="007934BE" w:rsidP="24C68068">
      <w:pPr>
        <w:pStyle w:val="Paragraphedeliste"/>
        <w:numPr>
          <w:ilvl w:val="0"/>
          <w:numId w:val="23"/>
        </w:numPr>
        <w:spacing w:before="240" w:after="0" w:line="276" w:lineRule="auto"/>
        <w:rPr>
          <w:rFonts w:cs="Times New Roman"/>
        </w:rPr>
      </w:pPr>
      <w:r w:rsidRPr="4BB78CF0">
        <w:rPr>
          <w:rFonts w:cs="Times New Roman"/>
          <w:b/>
          <w:bCs/>
          <w:i/>
          <w:iCs/>
        </w:rPr>
        <w:t>La réduction des conflits communautaire</w:t>
      </w:r>
      <w:r w:rsidR="0065764A" w:rsidRPr="4BB78CF0">
        <w:rPr>
          <w:rFonts w:cs="Times New Roman"/>
          <w:b/>
          <w:bCs/>
          <w:i/>
          <w:iCs/>
        </w:rPr>
        <w:t>s</w:t>
      </w:r>
      <w:r w:rsidRPr="4BB78CF0">
        <w:rPr>
          <w:rFonts w:cs="Times New Roman"/>
          <w:b/>
          <w:bCs/>
          <w:i/>
          <w:iCs/>
        </w:rPr>
        <w:t xml:space="preserve"> avec toutefois une persistance des </w:t>
      </w:r>
      <w:r w:rsidR="00E9197A">
        <w:rPr>
          <w:rFonts w:cs="Times New Roman"/>
          <w:b/>
          <w:bCs/>
          <w:i/>
          <w:iCs/>
        </w:rPr>
        <w:t>attaques</w:t>
      </w:r>
      <w:r w:rsidR="00E9197A" w:rsidRPr="4BB78CF0">
        <w:rPr>
          <w:rFonts w:cs="Times New Roman"/>
          <w:b/>
          <w:bCs/>
          <w:i/>
          <w:iCs/>
        </w:rPr>
        <w:t xml:space="preserve"> </w:t>
      </w:r>
      <w:r w:rsidRPr="4BB78CF0">
        <w:rPr>
          <w:rFonts w:cs="Times New Roman"/>
          <w:b/>
          <w:bCs/>
          <w:i/>
          <w:iCs/>
        </w:rPr>
        <w:t xml:space="preserve">à caractère terroriste : </w:t>
      </w:r>
      <w:r w:rsidRPr="24C68068">
        <w:rPr>
          <w:rFonts w:cs="Times New Roman"/>
        </w:rPr>
        <w:t>Bien qu’elles ne soient pas en mesure de donner le nombre de conflits non résolus sur la période du projet dans leur localité, la plupart des personnes rencontrées estiment que les conflits communautaires sont en diminution. Les types de conflits communautaires qui restent non résolus sont les conflits inter-ethniques opposant notamment les Djerma aux Peulhs d’une part et d’autre part, les Djerma aux Tamashek noirs accusés d’être complices des Peulhs. Ces conflits sont particulièrement prononcés à Banibangou et à Aderamboukane. Pour un communicateur traditionnel rencontré à Ayerou, l’effet est certes réel mais fragile en raison de nombreux éléments de risques : « </w:t>
      </w:r>
      <w:r w:rsidRPr="00EC19E5">
        <w:rPr>
          <w:i/>
          <w:shd w:val="clear" w:color="auto" w:fill="F2F2F2"/>
        </w:rPr>
        <w:t>Les conflits intercommunautaires ont baissé mais le conflit armé risque de les faire revenir si des mesures ne sont prises pour baisser la tension. Les conflits agriculteurs éleveurs ont aussi diminu</w:t>
      </w:r>
      <w:r w:rsidR="6B3498AA" w:rsidRPr="4BB78CF0">
        <w:rPr>
          <w:rFonts w:cs="Times New Roman"/>
          <w:i/>
          <w:iCs/>
        </w:rPr>
        <w:t>é</w:t>
      </w:r>
      <w:r w:rsidRPr="00EC19E5">
        <w:rPr>
          <w:i/>
          <w:shd w:val="clear" w:color="auto" w:fill="F2F2F2"/>
        </w:rPr>
        <w:t xml:space="preserve"> grâce aux sensibilisations, mais il y a un conflit latent entre le riverain et les autorités à cause de dégâts que les hippopotames causent sur leurs cultures. Il y a aussi risque de conflit entre des personnes à cause des partis politiques </w:t>
      </w:r>
      <w:r w:rsidRPr="24C68068">
        <w:rPr>
          <w:rFonts w:cs="Times New Roman"/>
        </w:rPr>
        <w:t xml:space="preserve">». (Communicateur traditionnel / Ayerou). </w:t>
      </w:r>
    </w:p>
    <w:p w14:paraId="407363A9" w14:textId="47756C81" w:rsidR="007934BE" w:rsidRDefault="007934BE" w:rsidP="00FB2B45">
      <w:pPr>
        <w:pStyle w:val="Paragraphedeliste"/>
        <w:numPr>
          <w:ilvl w:val="0"/>
          <w:numId w:val="23"/>
        </w:numPr>
        <w:spacing w:before="240" w:after="0" w:line="276" w:lineRule="auto"/>
        <w:rPr>
          <w:rFonts w:cs="Times New Roman"/>
          <w:bCs/>
        </w:rPr>
      </w:pPr>
      <w:r>
        <w:rPr>
          <w:rFonts w:cs="Times New Roman"/>
          <w:bCs/>
        </w:rPr>
        <w:t>La réduction des cas de conflits communautaires tient selon les enquêtés, à l’efficacité des CGPC conjuguée aux différents messages de cohésion sociale véhiculés dans la sensibilisation et les formations. L’efficacité des CGPC vient non seulement du fait que leur fonctionnalité (tenue régulière des réunions) s’est améliorée grâce au dynamisme des jeunes et des femmes nouvellement intégrées mais aussi par les compétences en matière de technique de médiation acquises suite aux formations. A ce propos, un jeune leader de Bankilaré confie que :</w:t>
      </w:r>
      <w:r w:rsidRPr="00FA31D6">
        <w:t xml:space="preserve"> </w:t>
      </w:r>
      <w:r>
        <w:t>« </w:t>
      </w:r>
      <w:r w:rsidRPr="00C62F7E">
        <w:rPr>
          <w:i/>
          <w:shd w:val="clear" w:color="auto" w:fill="F2F2F2" w:themeFill="background1" w:themeFillShade="F2"/>
        </w:rPr>
        <w:t xml:space="preserve">Les </w:t>
      </w:r>
      <w:r w:rsidR="00E90CF8" w:rsidRPr="00EC19E5">
        <w:rPr>
          <w:i/>
          <w:shd w:val="clear" w:color="auto" w:fill="F2F2F2"/>
        </w:rPr>
        <w:t xml:space="preserve">MCPGC </w:t>
      </w:r>
      <w:r w:rsidRPr="00C62F7E">
        <w:rPr>
          <w:i/>
          <w:shd w:val="clear" w:color="auto" w:fill="F2F2F2" w:themeFill="background1" w:themeFillShade="F2"/>
        </w:rPr>
        <w:t>qui intègrent plus des femmes et jeunes sont très efficaces</w:t>
      </w:r>
      <w:r w:rsidRPr="00EC19E5">
        <w:rPr>
          <w:i/>
          <w:shd w:val="clear" w:color="auto" w:fill="F2F2F2"/>
        </w:rPr>
        <w:t xml:space="preserve"> (…).</w:t>
      </w:r>
      <w:r w:rsidRPr="00C62F7E">
        <w:rPr>
          <w:i/>
          <w:shd w:val="clear" w:color="auto" w:fill="F2F2F2" w:themeFill="background1" w:themeFillShade="F2"/>
        </w:rPr>
        <w:t xml:space="preserve"> Parfois nos activités se font sous forme de concurrence pour prouver que nous sommes engagés pour la paix</w:t>
      </w:r>
      <w:r w:rsidRPr="00EC19E5">
        <w:rPr>
          <w:i/>
          <w:shd w:val="clear" w:color="auto" w:fill="F2F2F2"/>
        </w:rPr>
        <w:t xml:space="preserve">. </w:t>
      </w:r>
      <w:r w:rsidR="00231A6B" w:rsidRPr="00EC19E5">
        <w:rPr>
          <w:i/>
          <w:shd w:val="clear" w:color="auto" w:fill="F2F2F2"/>
        </w:rPr>
        <w:t>L</w:t>
      </w:r>
      <w:r w:rsidRPr="00C62F7E">
        <w:rPr>
          <w:i/>
          <w:shd w:val="clear" w:color="auto" w:fill="F2F2F2" w:themeFill="background1" w:themeFillShade="F2"/>
        </w:rPr>
        <w:t>ors d’une réunion, les FDS ont témoigné qu'ils reçoivent moins des plaintes à la police et à la gendarmerie pour cas des bagarres, de conflit foncier, de conflits entre éleveurs et agriculteurs, ou de vol ce dernier temps</w:t>
      </w:r>
      <w:r w:rsidRPr="00EC19E5">
        <w:rPr>
          <w:i/>
          <w:shd w:val="clear" w:color="auto" w:fill="F2F2F2"/>
        </w:rPr>
        <w:t> »</w:t>
      </w:r>
      <w:r w:rsidRPr="00FA31D6">
        <w:rPr>
          <w:rFonts w:cs="Times New Roman"/>
          <w:bCs/>
        </w:rPr>
        <w:t>.</w:t>
      </w:r>
    </w:p>
    <w:p w14:paraId="25C32EE1" w14:textId="77777777" w:rsidR="007934BE" w:rsidRDefault="007934BE" w:rsidP="00FB2B45">
      <w:pPr>
        <w:pStyle w:val="Paragraphedeliste"/>
        <w:numPr>
          <w:ilvl w:val="0"/>
          <w:numId w:val="23"/>
        </w:numPr>
        <w:spacing w:before="240" w:after="0" w:line="276" w:lineRule="auto"/>
        <w:rPr>
          <w:rFonts w:cs="Times New Roman"/>
          <w:bCs/>
        </w:rPr>
      </w:pPr>
      <w:r>
        <w:rPr>
          <w:rFonts w:cs="Times New Roman"/>
          <w:bCs/>
        </w:rPr>
        <w:t xml:space="preserve">Relativement aux conflits armés liés aux attaques perpétrées par les groupes armés ou les groupes terroristes, les répondants sont unanimement qu’ils persistent ou s’empirent. </w:t>
      </w:r>
      <w:r w:rsidRPr="00C62F7E">
        <w:rPr>
          <w:i/>
          <w:shd w:val="clear" w:color="auto" w:fill="F2F2F2" w:themeFill="background1" w:themeFillShade="F2"/>
        </w:rPr>
        <w:t xml:space="preserve">« Les attaques djihadistes sont restées sans solutions </w:t>
      </w:r>
      <w:r w:rsidRPr="0040040D">
        <w:rPr>
          <w:rFonts w:cs="Times New Roman"/>
          <w:bCs/>
          <w:i/>
          <w:iCs/>
        </w:rPr>
        <w:t xml:space="preserve">» </w:t>
      </w:r>
      <w:r w:rsidRPr="0040040D">
        <w:rPr>
          <w:rFonts w:cs="Times New Roman"/>
          <w:bCs/>
        </w:rPr>
        <w:t>et</w:t>
      </w:r>
      <w:r w:rsidRPr="00EC19E5">
        <w:rPr>
          <w:i/>
          <w:shd w:val="clear" w:color="auto" w:fill="F2F2F2"/>
        </w:rPr>
        <w:t xml:space="preserve"> </w:t>
      </w:r>
      <w:r w:rsidRPr="00C62F7E">
        <w:rPr>
          <w:i/>
          <w:shd w:val="clear" w:color="auto" w:fill="F2F2F2" w:themeFill="background1" w:themeFillShade="F2"/>
        </w:rPr>
        <w:t>« survivent à toutes les résolutions</w:t>
      </w:r>
      <w:r>
        <w:rPr>
          <w:rFonts w:cs="Times New Roman"/>
          <w:bCs/>
        </w:rPr>
        <w:t> » selon des filles interrogées à Anderamboukane et à Tessit.</w:t>
      </w:r>
    </w:p>
    <w:p w14:paraId="589D0B58" w14:textId="07C09566" w:rsidR="007934BE" w:rsidRPr="00EC19E5" w:rsidRDefault="007934BE" w:rsidP="00FB2B45">
      <w:pPr>
        <w:pStyle w:val="Paragraphedeliste"/>
        <w:numPr>
          <w:ilvl w:val="0"/>
          <w:numId w:val="23"/>
        </w:numPr>
        <w:spacing w:before="240" w:after="0" w:line="276" w:lineRule="auto"/>
        <w:rPr>
          <w:color w:val="000000"/>
        </w:rPr>
      </w:pPr>
      <w:r w:rsidRPr="00C62F7E">
        <w:rPr>
          <w:b/>
          <w:i/>
          <w:color w:val="000000" w:themeColor="text1"/>
        </w:rPr>
        <w:t xml:space="preserve">La connaissance par les populations des droits humains et des voies de recours s’est améliorée certes, mais le recours effectif reste faible : </w:t>
      </w:r>
      <w:r w:rsidRPr="00C62F7E">
        <w:rPr>
          <w:color w:val="000000" w:themeColor="text1"/>
        </w:rPr>
        <w:t xml:space="preserve">Environ 500 000 personnes sensibilisées dont 300 000 à travers les émissions radiophoniques ont pu acquérir des connaissances sur les rôles et mandats des FDS et ACP ainsi que les voies de recours. Les données de l’enquête terrain confirment l’amélioration des connaissances des populations pour 87% des répondants. La connaissance des droits humains est meilleure chez les hommes (90%) que chez les femmes (85%). Les adultes sont également mieux imprégnés des droits humains (90%) comparativement aux jeunes (82%). Il ressort également que la quasi-totalité (99%) des populations interrogées connaissent les voies et structures de recours en cas de violation de leurs droits. Malgré </w:t>
      </w:r>
      <w:r w:rsidRPr="00EC19E5">
        <w:rPr>
          <w:color w:val="000000"/>
        </w:rPr>
        <w:t>ces</w:t>
      </w:r>
      <w:r w:rsidRPr="00C62F7E">
        <w:rPr>
          <w:color w:val="000000" w:themeColor="text1"/>
        </w:rPr>
        <w:t xml:space="preserve"> connaissance</w:t>
      </w:r>
      <w:r w:rsidRPr="00EC19E5">
        <w:rPr>
          <w:color w:val="000000"/>
        </w:rPr>
        <w:t>s</w:t>
      </w:r>
      <w:r w:rsidRPr="00C62F7E">
        <w:rPr>
          <w:color w:val="000000" w:themeColor="text1"/>
        </w:rPr>
        <w:t xml:space="preserve">, peu de personnes usent effectivement des voies de recours. En effet, </w:t>
      </w:r>
      <w:r w:rsidRPr="00EC19E5">
        <w:rPr>
          <w:color w:val="000000"/>
        </w:rPr>
        <w:t>s</w:t>
      </w:r>
      <w:r w:rsidRPr="00C62F7E">
        <w:rPr>
          <w:color w:val="000000" w:themeColor="text1"/>
        </w:rPr>
        <w:t>ur 5</w:t>
      </w:r>
      <w:r w:rsidRPr="00EC19E5">
        <w:rPr>
          <w:color w:val="000000"/>
        </w:rPr>
        <w:t>5</w:t>
      </w:r>
      <w:r w:rsidRPr="00C62F7E">
        <w:rPr>
          <w:color w:val="000000" w:themeColor="text1"/>
        </w:rPr>
        <w:t xml:space="preserve"> personnes affirmant avoir été victimes de violences physiques et sexuelles (</w:t>
      </w:r>
      <w:r w:rsidRPr="00EC19E5">
        <w:rPr>
          <w:color w:val="000000"/>
        </w:rPr>
        <w:t xml:space="preserve">dont 52 victimes de </w:t>
      </w:r>
      <w:r w:rsidRPr="00C62F7E">
        <w:rPr>
          <w:color w:val="000000" w:themeColor="text1"/>
        </w:rPr>
        <w:t xml:space="preserve">la part des groupes rebelles </w:t>
      </w:r>
      <w:r w:rsidRPr="00EC19E5">
        <w:rPr>
          <w:color w:val="000000"/>
        </w:rPr>
        <w:t>/ armés et 3 de la part des FDS</w:t>
      </w:r>
      <w:r w:rsidRPr="00C62F7E">
        <w:rPr>
          <w:color w:val="000000" w:themeColor="text1"/>
        </w:rPr>
        <w:t xml:space="preserve">), 80% confient n’avoir rien fait après avoir subi ces violences. Seules </w:t>
      </w:r>
      <w:r w:rsidRPr="00EC19E5">
        <w:rPr>
          <w:color w:val="000000"/>
        </w:rPr>
        <w:t>4</w:t>
      </w:r>
      <w:r w:rsidRPr="00C62F7E">
        <w:rPr>
          <w:color w:val="000000" w:themeColor="text1"/>
        </w:rPr>
        <w:t xml:space="preserve">% </w:t>
      </w:r>
      <w:r w:rsidRPr="00EC19E5">
        <w:rPr>
          <w:color w:val="000000"/>
        </w:rPr>
        <w:t xml:space="preserve">ont été porté plainte auprès des FDS et 11% auprès du chef de village. </w:t>
      </w:r>
      <w:r w:rsidR="00371954" w:rsidRPr="00EC19E5">
        <w:rPr>
          <w:color w:val="000000"/>
        </w:rPr>
        <w:t xml:space="preserve">(Cf. Tableau </w:t>
      </w:r>
      <w:r w:rsidR="00051A50" w:rsidRPr="00EC19E5">
        <w:rPr>
          <w:color w:val="000000"/>
        </w:rPr>
        <w:t xml:space="preserve">17 et </w:t>
      </w:r>
      <w:r w:rsidR="00735017" w:rsidRPr="00EC19E5">
        <w:rPr>
          <w:color w:val="000000"/>
        </w:rPr>
        <w:t>18</w:t>
      </w:r>
      <w:r w:rsidR="00371954" w:rsidRPr="00EC19E5">
        <w:rPr>
          <w:color w:val="000000"/>
        </w:rPr>
        <w:t xml:space="preserve"> en Annexe 9)</w:t>
      </w:r>
    </w:p>
    <w:p w14:paraId="7D9B3655" w14:textId="328974BF" w:rsidR="00A413B2" w:rsidRPr="00C5127B" w:rsidRDefault="007639D7" w:rsidP="001C6AB1">
      <w:pPr>
        <w:pStyle w:val="Paragraphedeliste"/>
        <w:numPr>
          <w:ilvl w:val="0"/>
          <w:numId w:val="23"/>
        </w:numPr>
        <w:spacing w:before="240" w:after="0" w:line="276" w:lineRule="auto"/>
        <w:rPr>
          <w:color w:val="000000" w:themeColor="text1"/>
        </w:rPr>
      </w:pPr>
      <w:r w:rsidRPr="009F5BDE">
        <w:rPr>
          <w:b/>
          <w:bCs/>
          <w:i/>
          <w:iCs/>
          <w:color w:val="000000" w:themeColor="text1"/>
        </w:rPr>
        <w:t>L’amélioration de la compréhension de la complémentarité des rôles et mandats des FDS et ACP et la prise en compte des droits humains et du genre dans leur mission </w:t>
      </w:r>
      <w:r w:rsidRPr="00C5127B">
        <w:rPr>
          <w:color w:val="000000" w:themeColor="text1"/>
        </w:rPr>
        <w:t>:</w:t>
      </w:r>
      <w:r w:rsidR="00A03059" w:rsidRPr="00A03059">
        <w:t xml:space="preserve"> </w:t>
      </w:r>
      <w:r w:rsidR="00A03059" w:rsidRPr="00C5127B">
        <w:rPr>
          <w:color w:val="000000" w:themeColor="text1"/>
        </w:rPr>
        <w:t xml:space="preserve">400 FDS et ACP du Niger et du Mali ont été formés par le projet sur la prise en compte des droits humains et du genre dans l’exercice de leur fonction, la collaboration avec les communautés, et l’implication des communautés plus particulièrement les femmes et les jeunes dans le processus de résolution, de gestion des conflits et dans la lutte contre le terrorisme. </w:t>
      </w:r>
      <w:r w:rsidRPr="00C5127B">
        <w:rPr>
          <w:color w:val="000000" w:themeColor="text1"/>
        </w:rPr>
        <w:t xml:space="preserve"> </w:t>
      </w:r>
      <w:r w:rsidR="009C6D08" w:rsidRPr="00C5127B">
        <w:rPr>
          <w:color w:val="000000" w:themeColor="text1"/>
        </w:rPr>
        <w:t>L</w:t>
      </w:r>
      <w:r w:rsidR="009C5F5B" w:rsidRPr="00C5127B">
        <w:rPr>
          <w:color w:val="000000" w:themeColor="text1"/>
        </w:rPr>
        <w:t>es différents fora</w:t>
      </w:r>
      <w:r w:rsidR="009C6D08" w:rsidRPr="00C5127B">
        <w:rPr>
          <w:color w:val="000000" w:themeColor="text1"/>
        </w:rPr>
        <w:t xml:space="preserve"> d’échanges </w:t>
      </w:r>
      <w:r w:rsidR="009C5F5B" w:rsidRPr="00C5127B">
        <w:rPr>
          <w:color w:val="000000" w:themeColor="text1"/>
        </w:rPr>
        <w:t xml:space="preserve">nationaux et </w:t>
      </w:r>
      <w:r w:rsidR="009C6D08" w:rsidRPr="00C5127B">
        <w:rPr>
          <w:color w:val="000000" w:themeColor="text1"/>
        </w:rPr>
        <w:t xml:space="preserve">transfrontaliers entre les </w:t>
      </w:r>
      <w:r w:rsidR="009C5F5B" w:rsidRPr="00C5127B">
        <w:rPr>
          <w:color w:val="000000" w:themeColor="text1"/>
        </w:rPr>
        <w:t xml:space="preserve">FDS et les ACP </w:t>
      </w:r>
      <w:r w:rsidR="009C6D08" w:rsidRPr="00C5127B">
        <w:rPr>
          <w:color w:val="000000" w:themeColor="text1"/>
        </w:rPr>
        <w:t>ont été des cadres d’apprentissage</w:t>
      </w:r>
      <w:r w:rsidR="00CC27A9" w:rsidRPr="00C5127B">
        <w:rPr>
          <w:color w:val="000000" w:themeColor="text1"/>
        </w:rPr>
        <w:t xml:space="preserve"> sur la complémentarité de leurs mandats respectifs</w:t>
      </w:r>
      <w:r w:rsidR="009C6D08" w:rsidRPr="00C5127B">
        <w:rPr>
          <w:color w:val="000000" w:themeColor="text1"/>
        </w:rPr>
        <w:t xml:space="preserve"> mais aussi de renforcement de la collaboration entre les </w:t>
      </w:r>
      <w:r w:rsidR="00CC27A9" w:rsidRPr="00C5127B">
        <w:rPr>
          <w:color w:val="000000" w:themeColor="text1"/>
        </w:rPr>
        <w:t xml:space="preserve">types d’acteurs. C’est ce qu’affirme cet ACP de Torodi (Tillabery) : </w:t>
      </w:r>
      <w:r w:rsidR="00CC27A9" w:rsidRPr="00C5127B">
        <w:rPr>
          <w:i/>
          <w:shd w:val="clear" w:color="auto" w:fill="F2F2F2"/>
        </w:rPr>
        <w:t>« La collaboration entre les FDS et les ACP est parfaite. J’ai mainte fois pris part à des fora avec certains officiers de la police judiciaires qui sont de mon ressort. Nous avons des brigades de gendarmerie et deux commissariats de police et chaque fois qu’il y a des cas, on les appelle on les instruit pour régler certains problèmes ».</w:t>
      </w:r>
      <w:r w:rsidR="00A413B2" w:rsidRPr="009F5BDE">
        <w:rPr>
          <w:color w:val="000000" w:themeColor="text1"/>
        </w:rPr>
        <w:t xml:space="preserve"> </w:t>
      </w:r>
      <w:r w:rsidR="00A413B2" w:rsidRPr="00C5127B">
        <w:rPr>
          <w:color w:val="000000" w:themeColor="text1"/>
        </w:rPr>
        <w:t xml:space="preserve">La collaboration entre les FDS et les FDS s’est d’autant plus améliorée que les rencontres transfrontalières entre FDS et ACP du Mali, du Niger et du Burkina ont abouti à la mise en place d’une plateforme WhatsApp de partage d’informations collectives et privées. Cela Ces échanges ont permis d’arrêter 17 présumés terroristes à Tillabéry </w:t>
      </w:r>
      <w:r w:rsidR="00C5127B" w:rsidRPr="00C5127B">
        <w:rPr>
          <w:color w:val="000000" w:themeColor="text1"/>
        </w:rPr>
        <w:t xml:space="preserve">et 3 personnes dont </w:t>
      </w:r>
      <w:r w:rsidR="00A413B2" w:rsidRPr="00C5127B">
        <w:rPr>
          <w:color w:val="000000" w:themeColor="text1"/>
        </w:rPr>
        <w:t xml:space="preserve">un militaire pour </w:t>
      </w:r>
      <w:r w:rsidR="00C5127B">
        <w:rPr>
          <w:color w:val="000000" w:themeColor="text1"/>
        </w:rPr>
        <w:t xml:space="preserve">faits </w:t>
      </w:r>
      <w:r w:rsidR="00A413B2" w:rsidRPr="00C5127B">
        <w:rPr>
          <w:color w:val="000000" w:themeColor="text1"/>
        </w:rPr>
        <w:t>de</w:t>
      </w:r>
      <w:r w:rsidR="00C5127B">
        <w:rPr>
          <w:color w:val="000000" w:themeColor="text1"/>
        </w:rPr>
        <w:t xml:space="preserve"> </w:t>
      </w:r>
      <w:r w:rsidR="00A413B2" w:rsidRPr="00C5127B">
        <w:rPr>
          <w:color w:val="000000" w:themeColor="text1"/>
        </w:rPr>
        <w:t>viols et</w:t>
      </w:r>
      <w:r w:rsidR="00C5127B">
        <w:rPr>
          <w:color w:val="000000" w:themeColor="text1"/>
        </w:rPr>
        <w:t xml:space="preserve"> de</w:t>
      </w:r>
      <w:r w:rsidR="00A413B2" w:rsidRPr="00C5127B">
        <w:rPr>
          <w:color w:val="000000" w:themeColor="text1"/>
        </w:rPr>
        <w:t xml:space="preserve"> VBG commis sur des filles </w:t>
      </w:r>
      <w:r w:rsidR="00C5127B">
        <w:rPr>
          <w:color w:val="000000" w:themeColor="text1"/>
        </w:rPr>
        <w:t>à</w:t>
      </w:r>
      <w:r w:rsidR="00C5127B" w:rsidRPr="00C5127B">
        <w:rPr>
          <w:color w:val="000000" w:themeColor="text1"/>
        </w:rPr>
        <w:t xml:space="preserve"> Téra</w:t>
      </w:r>
      <w:r w:rsidR="00C5127B">
        <w:rPr>
          <w:color w:val="000000" w:themeColor="text1"/>
        </w:rPr>
        <w:t xml:space="preserve">. En ce qui concerne la prise en compte des droits humains, </w:t>
      </w:r>
      <w:r w:rsidR="004816BB">
        <w:rPr>
          <w:color w:val="000000" w:themeColor="text1"/>
        </w:rPr>
        <w:t>il a été constaté que la proportion des personnes affirmant avoir été victimes de violations de leurs droits humains</w:t>
      </w:r>
      <w:r w:rsidR="005C4A10">
        <w:rPr>
          <w:color w:val="000000" w:themeColor="text1"/>
        </w:rPr>
        <w:t xml:space="preserve"> par les FDS/ACP</w:t>
      </w:r>
      <w:r w:rsidR="004816BB">
        <w:rPr>
          <w:color w:val="000000" w:themeColor="text1"/>
        </w:rPr>
        <w:t xml:space="preserve"> </w:t>
      </w:r>
      <w:r w:rsidR="005C4A10">
        <w:rPr>
          <w:color w:val="000000" w:themeColor="text1"/>
        </w:rPr>
        <w:t xml:space="preserve">est en diminution entre 2020 et 2021. </w:t>
      </w:r>
      <w:r w:rsidR="004A26B3">
        <w:rPr>
          <w:color w:val="000000" w:themeColor="text1"/>
        </w:rPr>
        <w:t xml:space="preserve">Cette proportion est en effet </w:t>
      </w:r>
      <w:r w:rsidR="005C4A10">
        <w:rPr>
          <w:color w:val="000000" w:themeColor="text1"/>
        </w:rPr>
        <w:t>ressortie</w:t>
      </w:r>
      <w:r w:rsidR="004A26B3">
        <w:rPr>
          <w:color w:val="000000" w:themeColor="text1"/>
        </w:rPr>
        <w:t xml:space="preserve"> à 0,7% (3 personnes victimes sur 440 répondants) dans la présente évaluation contre 4,</w:t>
      </w:r>
      <w:r w:rsidR="005C4A10">
        <w:rPr>
          <w:color w:val="000000" w:themeColor="text1"/>
        </w:rPr>
        <w:t xml:space="preserve">6% (13 personnes victimes sur 284 répondants) dans l’étude de diagnostic détaillé commanditée par ONUDC. </w:t>
      </w:r>
    </w:p>
    <w:p w14:paraId="3679349A" w14:textId="468048A6" w:rsidR="007639D7" w:rsidRPr="00C62F7E" w:rsidRDefault="007639D7" w:rsidP="009F5BDE">
      <w:pPr>
        <w:pStyle w:val="Paragraphedeliste"/>
        <w:spacing w:before="240" w:after="0" w:line="276" w:lineRule="auto"/>
        <w:ind w:left="360"/>
        <w:rPr>
          <w:color w:val="000000" w:themeColor="text1"/>
        </w:rPr>
      </w:pPr>
    </w:p>
    <w:p w14:paraId="7197E6E1" w14:textId="48C3A725" w:rsidR="003C7FC4" w:rsidRDefault="00431EFF" w:rsidP="009E2DEE">
      <w:pPr>
        <w:pStyle w:val="Paragraphedeliste"/>
        <w:numPr>
          <w:ilvl w:val="0"/>
          <w:numId w:val="23"/>
        </w:numPr>
        <w:spacing w:before="240" w:after="0" w:line="276" w:lineRule="auto"/>
        <w:rPr>
          <w:color w:val="000000"/>
        </w:rPr>
      </w:pPr>
      <w:r w:rsidRPr="00EC19E5">
        <w:rPr>
          <w:b/>
          <w:i/>
          <w:color w:val="000000"/>
        </w:rPr>
        <w:t xml:space="preserve">Le partage d’expériences et de bonnes pratiques sur les </w:t>
      </w:r>
      <w:r w:rsidR="00E90CF8" w:rsidRPr="00EC19E5">
        <w:rPr>
          <w:b/>
          <w:i/>
          <w:color w:val="000000"/>
        </w:rPr>
        <w:t>MCPGC</w:t>
      </w:r>
      <w:r w:rsidRPr="00EC19E5">
        <w:rPr>
          <w:b/>
          <w:i/>
          <w:color w:val="000000"/>
        </w:rPr>
        <w:t>.</w:t>
      </w:r>
      <w:r w:rsidR="007068E8" w:rsidRPr="00EC19E5">
        <w:rPr>
          <w:b/>
          <w:i/>
          <w:color w:val="000000"/>
        </w:rPr>
        <w:t xml:space="preserve"> </w:t>
      </w:r>
      <w:r w:rsidR="000F69B7" w:rsidRPr="00EC19E5">
        <w:rPr>
          <w:color w:val="000000"/>
        </w:rPr>
        <w:t>Les</w:t>
      </w:r>
      <w:r w:rsidR="00DC166A" w:rsidRPr="00EC19E5">
        <w:rPr>
          <w:color w:val="000000"/>
        </w:rPr>
        <w:t xml:space="preserve"> expériences et les bonnes pratiques sur les </w:t>
      </w:r>
      <w:r w:rsidR="00E90CF8" w:rsidRPr="00EC19E5">
        <w:rPr>
          <w:color w:val="000000"/>
        </w:rPr>
        <w:t>MCPGC</w:t>
      </w:r>
      <w:r w:rsidR="00DC166A" w:rsidRPr="00EC19E5">
        <w:rPr>
          <w:color w:val="000000"/>
        </w:rPr>
        <w:t xml:space="preserve"> existants dans chaque pays ont été partagées au niveau national et transfrontalier, </w:t>
      </w:r>
      <w:r w:rsidR="000F69B7" w:rsidRPr="00EC19E5">
        <w:rPr>
          <w:color w:val="000000"/>
        </w:rPr>
        <w:t>avec plu</w:t>
      </w:r>
      <w:r w:rsidR="00664629" w:rsidRPr="00EC19E5">
        <w:rPr>
          <w:color w:val="000000"/>
        </w:rPr>
        <w:t xml:space="preserve">s de 400 </w:t>
      </w:r>
      <w:r w:rsidR="00DC166A" w:rsidRPr="00EC19E5">
        <w:rPr>
          <w:color w:val="000000"/>
        </w:rPr>
        <w:t xml:space="preserve">acteurs </w:t>
      </w:r>
      <w:r w:rsidR="00664629" w:rsidRPr="00EC19E5">
        <w:rPr>
          <w:color w:val="000000"/>
        </w:rPr>
        <w:t xml:space="preserve">FDS, ACP, du G5 Sahel, des acteurs de la société civile et des représentants du </w:t>
      </w:r>
      <w:r w:rsidR="000F69B7" w:rsidRPr="00EC19E5">
        <w:rPr>
          <w:color w:val="000000"/>
        </w:rPr>
        <w:t>B</w:t>
      </w:r>
      <w:r w:rsidR="00664629" w:rsidRPr="00EC19E5">
        <w:rPr>
          <w:color w:val="000000"/>
        </w:rPr>
        <w:t>ureau du médiateur, de la Commission Nationale de Droits de l’Homme (CNDH) du Niger, du Mali et du Burkina Faso</w:t>
      </w:r>
      <w:r w:rsidR="00A97510" w:rsidRPr="00EC19E5">
        <w:rPr>
          <w:color w:val="000000"/>
        </w:rPr>
        <w:t xml:space="preserve"> (Rapport final de projet)</w:t>
      </w:r>
      <w:r w:rsidR="000F69B7" w:rsidRPr="00EC19E5">
        <w:rPr>
          <w:color w:val="000000"/>
        </w:rPr>
        <w:t>.</w:t>
      </w:r>
      <w:r w:rsidR="00A97510" w:rsidRPr="00EC19E5">
        <w:rPr>
          <w:color w:val="000000"/>
        </w:rPr>
        <w:t xml:space="preserve"> </w:t>
      </w:r>
      <w:r w:rsidR="00BB29A7" w:rsidRPr="00EC19E5">
        <w:rPr>
          <w:color w:val="000000"/>
        </w:rPr>
        <w:t xml:space="preserve">Parmi les bonnes pratiques documentées, on peut citer : le Dialogue inter/intracommunautaire et transfrontalier ; l’Approche communautaire de prévention et de gestion non violente des conflits et le Mécanisme de veille et d’alerte précoce. Ces trois bonnes </w:t>
      </w:r>
      <w:r w:rsidR="00855461" w:rsidRPr="00A40F72">
        <w:rPr>
          <w:rFonts w:cs="Times New Roman"/>
          <w:color w:val="000000"/>
        </w:rPr>
        <w:t>pratiques</w:t>
      </w:r>
      <w:r w:rsidR="00BB29A7" w:rsidRPr="003A2F54">
        <w:rPr>
          <w:color w:val="000000"/>
        </w:rPr>
        <w:t xml:space="preserve"> sont celles priorisées par </w:t>
      </w:r>
      <w:r w:rsidR="00A97510" w:rsidRPr="003A2F54">
        <w:rPr>
          <w:color w:val="000000"/>
        </w:rPr>
        <w:t>les communes de Ouatagouna et de Tessit (</w:t>
      </w:r>
      <w:r w:rsidR="00BB29A7" w:rsidRPr="003A2F54">
        <w:rPr>
          <w:color w:val="000000"/>
        </w:rPr>
        <w:t>C</w:t>
      </w:r>
      <w:r w:rsidR="00A97510" w:rsidRPr="003A2F54">
        <w:rPr>
          <w:color w:val="000000"/>
        </w:rPr>
        <w:t>ercle d’Ansongo)</w:t>
      </w:r>
      <w:r w:rsidR="00BB29A7" w:rsidRPr="003A2F54">
        <w:rPr>
          <w:color w:val="000000"/>
        </w:rPr>
        <w:t xml:space="preserve">. Par ailleurs, l’expérience du projet sur l’implication des femmes et des jeunes dans les </w:t>
      </w:r>
      <w:r w:rsidR="00E90CF8" w:rsidRPr="003A2F54">
        <w:rPr>
          <w:color w:val="000000"/>
        </w:rPr>
        <w:t xml:space="preserve">MCPGC </w:t>
      </w:r>
      <w:r w:rsidR="00BB29A7" w:rsidRPr="003A2F54">
        <w:rPr>
          <w:color w:val="000000"/>
        </w:rPr>
        <w:t>a été avec 72 experts et professionnels venus du Mali, du Niger, du Burkina et de la Mauritanie lors du séminaire organisé par l’Ecole de Maintien de la Paix Alioun Blondin Beye à Bamako du 26 au 28 octobre 2020 à Bamako. Enfin, l</w:t>
      </w:r>
      <w:r w:rsidR="00A97510" w:rsidRPr="003A2F54">
        <w:rPr>
          <w:color w:val="000000"/>
        </w:rPr>
        <w:t xml:space="preserve">a prise de conscience par les FDS de la nécessité de collaborer au niveau transfrontalier a conduit ces FDS </w:t>
      </w:r>
      <w:r w:rsidR="00DF623F" w:rsidRPr="003A2F54">
        <w:rPr>
          <w:color w:val="000000"/>
        </w:rPr>
        <w:t xml:space="preserve">à la création </w:t>
      </w:r>
      <w:r w:rsidR="000F69B7" w:rsidRPr="003A2F54">
        <w:rPr>
          <w:color w:val="000000"/>
        </w:rPr>
        <w:t xml:space="preserve">d’une plateforme WhatsApp </w:t>
      </w:r>
      <w:r w:rsidR="00A97510" w:rsidRPr="003A2F54">
        <w:rPr>
          <w:color w:val="000000"/>
        </w:rPr>
        <w:t>servant de cadre informel d’échanges et partage d’information</w:t>
      </w:r>
      <w:r w:rsidRPr="003A2F54">
        <w:rPr>
          <w:color w:val="000000"/>
        </w:rPr>
        <w:t xml:space="preserve">. </w:t>
      </w:r>
    </w:p>
    <w:p w14:paraId="2D73F35A" w14:textId="77777777" w:rsidR="000F0DFC" w:rsidRPr="009F5BDE" w:rsidRDefault="000F0DFC" w:rsidP="000F0DFC">
      <w:pPr>
        <w:pStyle w:val="Paragraphedeliste"/>
        <w:numPr>
          <w:ilvl w:val="0"/>
          <w:numId w:val="23"/>
        </w:numPr>
        <w:spacing w:before="240" w:after="0" w:line="276" w:lineRule="auto"/>
        <w:rPr>
          <w:color w:val="000000" w:themeColor="text1"/>
        </w:rPr>
      </w:pPr>
      <w:r w:rsidRPr="00C62F7E">
        <w:rPr>
          <w:color w:val="000000" w:themeColor="text1"/>
        </w:rPr>
        <w:t xml:space="preserve">Les données collectées ne permettent pas d’imputer au projet un effet négatif résultant des activités conduites. Il </w:t>
      </w:r>
      <w:r>
        <w:rPr>
          <w:color w:val="000000" w:themeColor="text1"/>
        </w:rPr>
        <w:t xml:space="preserve">a </w:t>
      </w:r>
      <w:r w:rsidRPr="00C62F7E">
        <w:rPr>
          <w:color w:val="000000" w:themeColor="text1"/>
        </w:rPr>
        <w:t>néanmoins</w:t>
      </w:r>
      <w:r>
        <w:rPr>
          <w:color w:val="000000" w:themeColor="text1"/>
        </w:rPr>
        <w:t xml:space="preserve"> été</w:t>
      </w:r>
      <w:r w:rsidRPr="00C62F7E">
        <w:rPr>
          <w:color w:val="000000" w:themeColor="text1"/>
        </w:rPr>
        <w:t xml:space="preserve"> soulev</w:t>
      </w:r>
      <w:r>
        <w:rPr>
          <w:color w:val="000000" w:themeColor="text1"/>
        </w:rPr>
        <w:t>é</w:t>
      </w:r>
      <w:r w:rsidRPr="00C62F7E">
        <w:rPr>
          <w:color w:val="000000" w:themeColor="text1"/>
        </w:rPr>
        <w:t xml:space="preserve"> le fait qu’en raison de l’infiltration des terroristes au sein de la communauté, l’affichage des populations avec les FDS et le partage d’information avec ces derniers restent un facteur de risque pour la sécurité aussi bien des populations que des FDS. En illustre ces propos tenus par une autorité mili</w:t>
      </w:r>
      <w:r>
        <w:rPr>
          <w:color w:val="000000" w:themeColor="text1"/>
        </w:rPr>
        <w:t>t</w:t>
      </w:r>
      <w:r w:rsidRPr="00C62F7E">
        <w:rPr>
          <w:color w:val="000000" w:themeColor="text1"/>
        </w:rPr>
        <w:t xml:space="preserve">aire </w:t>
      </w:r>
      <w:r w:rsidRPr="00EC19E5">
        <w:rPr>
          <w:color w:val="000000"/>
        </w:rPr>
        <w:t>au</w:t>
      </w:r>
      <w:r w:rsidRPr="00C62F7E">
        <w:rPr>
          <w:color w:val="000000" w:themeColor="text1"/>
        </w:rPr>
        <w:t xml:space="preserve"> Mali, </w:t>
      </w:r>
      <w:r w:rsidRPr="00EC19E5">
        <w:rPr>
          <w:i/>
          <w:shd w:val="clear" w:color="auto" w:fill="F2F2F2"/>
        </w:rPr>
        <w:t xml:space="preserve">« l’attaque récente de Ouatagouna est une conséquence du projet. Les groupes terroristes disent que la population a dénoncé les 3 chefs terroristes qui ont été attrapés et amenés à Gao. Même si les dénonciateurs ne sont pas au sein de la communauté, les terroristes ont douté quand même de la population ». </w:t>
      </w:r>
    </w:p>
    <w:p w14:paraId="3F10B587" w14:textId="77777777" w:rsidR="00431EFF" w:rsidRPr="003A2F54" w:rsidRDefault="00431EFF" w:rsidP="003C7FC4">
      <w:pPr>
        <w:pStyle w:val="Paragraphedeliste"/>
        <w:spacing w:before="240" w:after="0" w:line="276" w:lineRule="auto"/>
        <w:ind w:left="360"/>
        <w:rPr>
          <w:color w:val="000000"/>
          <w:highlight w:val="yellow"/>
        </w:rPr>
      </w:pPr>
    </w:p>
    <w:p w14:paraId="01A3FB15" w14:textId="16383585" w:rsidR="00065010" w:rsidRDefault="00065010" w:rsidP="00820BBD">
      <w:pPr>
        <w:pStyle w:val="Titre2"/>
        <w:numPr>
          <w:ilvl w:val="1"/>
          <w:numId w:val="81"/>
        </w:numPr>
      </w:pPr>
      <w:bookmarkStart w:id="958" w:name="_Toc95451872"/>
      <w:r>
        <w:t>Durabilité</w:t>
      </w:r>
      <w:bookmarkEnd w:id="958"/>
    </w:p>
    <w:p w14:paraId="237B430D" w14:textId="662E49EC" w:rsidR="00DC4D0B" w:rsidRPr="00DC4D0B" w:rsidRDefault="781A90A9" w:rsidP="00DF4AC8">
      <w:pPr>
        <w:pStyle w:val="Titre3"/>
      </w:pPr>
      <w:bookmarkStart w:id="959" w:name="_Hlk86824068"/>
      <w:r>
        <w:t>Constat 13</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C4D0B" w14:paraId="6160DE42" w14:textId="77777777" w:rsidTr="003A2F54">
        <w:trPr>
          <w:trHeight w:val="821"/>
        </w:trPr>
        <w:tc>
          <w:tcPr>
            <w:tcW w:w="9341" w:type="dxa"/>
            <w:shd w:val="clear" w:color="auto" w:fill="auto"/>
          </w:tcPr>
          <w:p w14:paraId="0A3CC14B" w14:textId="14F01873" w:rsidR="00DC4D0B" w:rsidRPr="00831CB1" w:rsidRDefault="004C4DC9" w:rsidP="009E2DEE">
            <w:pPr>
              <w:spacing w:line="276" w:lineRule="auto"/>
              <w:rPr>
                <w:rFonts w:cs="Times New Roman"/>
                <w:b/>
                <w:bCs/>
                <w:color w:val="0070C0"/>
              </w:rPr>
            </w:pPr>
            <w:r>
              <w:rPr>
                <w:rFonts w:cs="Times New Roman"/>
                <w:b/>
                <w:bCs/>
                <w:color w:val="0070C0"/>
              </w:rPr>
              <w:t xml:space="preserve">Le projet a adopté une approche participative et de responsabilisation vis-à-vis des </w:t>
            </w:r>
            <w:r w:rsidR="00DC4D0B" w:rsidRPr="00F96A65">
              <w:rPr>
                <w:rFonts w:cs="Times New Roman"/>
                <w:b/>
                <w:bCs/>
                <w:color w:val="0070C0"/>
              </w:rPr>
              <w:t xml:space="preserve">départements ministériels en charge </w:t>
            </w:r>
            <w:r w:rsidR="00DC4D0B">
              <w:rPr>
                <w:rFonts w:cs="Times New Roman"/>
                <w:b/>
                <w:bCs/>
                <w:color w:val="0070C0"/>
              </w:rPr>
              <w:t xml:space="preserve">de la </w:t>
            </w:r>
            <w:r w:rsidR="00DC4D0B" w:rsidRPr="00F96A65">
              <w:rPr>
                <w:rFonts w:cs="Times New Roman"/>
                <w:b/>
                <w:bCs/>
                <w:color w:val="0070C0"/>
              </w:rPr>
              <w:t>défense</w:t>
            </w:r>
            <w:r w:rsidR="00DC4D0B">
              <w:rPr>
                <w:rFonts w:cs="Times New Roman"/>
                <w:b/>
                <w:bCs/>
                <w:color w:val="0070C0"/>
              </w:rPr>
              <w:t xml:space="preserve"> et </w:t>
            </w:r>
            <w:r w:rsidR="00DC4D0B" w:rsidRPr="00F96A65">
              <w:rPr>
                <w:rFonts w:cs="Times New Roman"/>
                <w:b/>
                <w:bCs/>
                <w:color w:val="0070C0"/>
              </w:rPr>
              <w:t>de la sécurité</w:t>
            </w:r>
            <w:r w:rsidR="00F721F1">
              <w:rPr>
                <w:rFonts w:cs="Times New Roman"/>
                <w:b/>
                <w:bCs/>
                <w:color w:val="0070C0"/>
              </w:rPr>
              <w:t xml:space="preserve"> et de la promotion féminine</w:t>
            </w:r>
            <w:r>
              <w:rPr>
                <w:rFonts w:cs="Times New Roman"/>
                <w:b/>
                <w:bCs/>
                <w:color w:val="0070C0"/>
              </w:rPr>
              <w:t>. Ces départements</w:t>
            </w:r>
            <w:r w:rsidR="00DC4D0B">
              <w:rPr>
                <w:rFonts w:cs="Times New Roman"/>
                <w:b/>
                <w:bCs/>
                <w:color w:val="0070C0"/>
              </w:rPr>
              <w:t xml:space="preserve"> ont vu leurs capacités renforcées et prennent désormais en compte les questions de droits humains et de genre dans leurs missions. </w:t>
            </w:r>
            <w:r w:rsidR="00EA52B8">
              <w:rPr>
                <w:rFonts w:cs="Times New Roman"/>
                <w:b/>
                <w:bCs/>
                <w:color w:val="0070C0"/>
              </w:rPr>
              <w:t>Toutefois, d</w:t>
            </w:r>
            <w:r w:rsidR="00263441">
              <w:rPr>
                <w:rFonts w:cs="Times New Roman"/>
                <w:b/>
                <w:bCs/>
                <w:color w:val="0070C0"/>
              </w:rPr>
              <w:t xml:space="preserve">es acteurs pertinents sur les questions transfrontalières comme </w:t>
            </w:r>
            <w:r w:rsidR="003A2F54">
              <w:rPr>
                <w:rFonts w:cs="Times New Roman"/>
                <w:b/>
                <w:bCs/>
                <w:color w:val="0070C0"/>
              </w:rPr>
              <w:t>l’</w:t>
            </w:r>
            <w:r w:rsidR="003A2F54" w:rsidRPr="003A2F54">
              <w:rPr>
                <w:rFonts w:cs="Times New Roman"/>
                <w:b/>
                <w:bCs/>
                <w:color w:val="0070C0"/>
              </w:rPr>
              <w:t>Autorité de développement intégré de la région du Liptako-Gourma</w:t>
            </w:r>
            <w:r w:rsidR="003A2F54">
              <w:rPr>
                <w:rFonts w:cs="Times New Roman"/>
                <w:b/>
                <w:bCs/>
                <w:color w:val="0070C0"/>
              </w:rPr>
              <w:t xml:space="preserve"> (ALG) (</w:t>
            </w:r>
            <w:r w:rsidR="00263441">
              <w:rPr>
                <w:rFonts w:cs="Times New Roman"/>
                <w:b/>
                <w:bCs/>
                <w:color w:val="0070C0"/>
              </w:rPr>
              <w:t>ALG</w:t>
            </w:r>
            <w:r w:rsidR="003A2F54">
              <w:rPr>
                <w:rFonts w:cs="Times New Roman"/>
                <w:b/>
                <w:bCs/>
                <w:color w:val="0070C0"/>
              </w:rPr>
              <w:t>)</w:t>
            </w:r>
            <w:r w:rsidR="00263441">
              <w:rPr>
                <w:rFonts w:cs="Times New Roman"/>
                <w:b/>
                <w:bCs/>
                <w:color w:val="0070C0"/>
              </w:rPr>
              <w:t xml:space="preserve"> et les </w:t>
            </w:r>
            <w:r w:rsidR="003A2F54">
              <w:rPr>
                <w:rFonts w:cs="Times New Roman"/>
                <w:b/>
                <w:bCs/>
                <w:color w:val="0070C0"/>
              </w:rPr>
              <w:t>Groupements locaux de coopération transfrontalière (</w:t>
            </w:r>
            <w:r w:rsidR="00263441">
              <w:rPr>
                <w:rFonts w:cs="Times New Roman"/>
                <w:b/>
                <w:bCs/>
                <w:color w:val="0070C0"/>
              </w:rPr>
              <w:t>GLCT</w:t>
            </w:r>
            <w:r w:rsidR="003A2F54">
              <w:rPr>
                <w:rFonts w:cs="Times New Roman"/>
                <w:b/>
                <w:bCs/>
                <w:color w:val="0070C0"/>
              </w:rPr>
              <w:t>)</w:t>
            </w:r>
            <w:r w:rsidR="00263441">
              <w:rPr>
                <w:rFonts w:cs="Times New Roman"/>
                <w:b/>
                <w:bCs/>
                <w:color w:val="0070C0"/>
              </w:rPr>
              <w:t xml:space="preserve"> </w:t>
            </w:r>
            <w:r w:rsidR="00B31CE4">
              <w:rPr>
                <w:rFonts w:cs="Times New Roman"/>
                <w:b/>
                <w:bCs/>
                <w:color w:val="0070C0"/>
              </w:rPr>
              <w:t>n’ont</w:t>
            </w:r>
            <w:r w:rsidR="00193CFF">
              <w:rPr>
                <w:rFonts w:cs="Times New Roman"/>
                <w:b/>
                <w:bCs/>
                <w:color w:val="0070C0"/>
              </w:rPr>
              <w:t xml:space="preserve"> pas</w:t>
            </w:r>
            <w:r w:rsidR="00B31CE4">
              <w:rPr>
                <w:rFonts w:cs="Times New Roman"/>
                <w:b/>
                <w:bCs/>
                <w:color w:val="0070C0"/>
              </w:rPr>
              <w:t xml:space="preserve"> été</w:t>
            </w:r>
            <w:r w:rsidR="00263441">
              <w:rPr>
                <w:rFonts w:cs="Times New Roman"/>
                <w:b/>
                <w:bCs/>
                <w:color w:val="0070C0"/>
              </w:rPr>
              <w:t xml:space="preserve"> </w:t>
            </w:r>
            <w:r w:rsidR="00B31CE4">
              <w:rPr>
                <w:rFonts w:cs="Times New Roman"/>
                <w:b/>
                <w:bCs/>
                <w:color w:val="0070C0"/>
              </w:rPr>
              <w:t>associé</w:t>
            </w:r>
            <w:r w:rsidR="00193CFF">
              <w:rPr>
                <w:rFonts w:cs="Times New Roman"/>
                <w:b/>
                <w:bCs/>
                <w:color w:val="0070C0"/>
              </w:rPr>
              <w:t>s</w:t>
            </w:r>
            <w:r w:rsidR="00B31CE4">
              <w:rPr>
                <w:rFonts w:cs="Times New Roman"/>
                <w:b/>
                <w:bCs/>
                <w:color w:val="0070C0"/>
              </w:rPr>
              <w:t xml:space="preserve"> au projet</w:t>
            </w:r>
            <w:r w:rsidR="00193CFF">
              <w:rPr>
                <w:rFonts w:cs="Times New Roman"/>
                <w:b/>
                <w:bCs/>
                <w:color w:val="0070C0"/>
              </w:rPr>
              <w:t xml:space="preserve">, toute chose qui aurait permis </w:t>
            </w:r>
            <w:r w:rsidR="00DB3353">
              <w:rPr>
                <w:rFonts w:cs="Times New Roman"/>
                <w:b/>
                <w:bCs/>
                <w:color w:val="0070C0"/>
              </w:rPr>
              <w:t>d</w:t>
            </w:r>
            <w:r w:rsidR="002C1A2F">
              <w:rPr>
                <w:rFonts w:cs="Times New Roman"/>
                <w:b/>
                <w:bCs/>
                <w:color w:val="0070C0"/>
              </w:rPr>
              <w:t>e créer une synergie avec les interventions similaires de l’ALG et partant de générer des effets plus importants et plus durables</w:t>
            </w:r>
            <w:r w:rsidR="00E9197A">
              <w:rPr>
                <w:rFonts w:cs="Times New Roman"/>
                <w:b/>
                <w:bCs/>
                <w:color w:val="0070C0"/>
              </w:rPr>
              <w:t xml:space="preserve"> </w:t>
            </w:r>
          </w:p>
          <w:p w14:paraId="57CFFE6F" w14:textId="752B8725" w:rsidR="00DC4D0B" w:rsidRPr="00191FD2" w:rsidRDefault="00DC4D0B" w:rsidP="009E2DEE">
            <w:pPr>
              <w:spacing w:line="276" w:lineRule="auto"/>
              <w:rPr>
                <w:i/>
                <w:iCs/>
              </w:rPr>
            </w:pPr>
            <w:r w:rsidRPr="00191FD2">
              <w:rPr>
                <w:rStyle w:val="fontstyle01"/>
                <w:rFonts w:ascii="Century Gothic" w:hAnsi="Century Gothic"/>
                <w:i/>
                <w:iCs/>
              </w:rPr>
              <w:t xml:space="preserve">Ce constat répond </w:t>
            </w:r>
            <w:r w:rsidR="005C25AF">
              <w:rPr>
                <w:rStyle w:val="fontstyle01"/>
                <w:rFonts w:ascii="Century Gothic" w:hAnsi="Century Gothic"/>
                <w:i/>
                <w:iCs/>
              </w:rPr>
              <w:t>à la QE22</w:t>
            </w:r>
          </w:p>
        </w:tc>
      </w:tr>
      <w:bookmarkEnd w:id="959"/>
    </w:tbl>
    <w:p w14:paraId="5C3B866E" w14:textId="522DDCA6" w:rsidR="00DC4D0B" w:rsidRDefault="00DC4D0B" w:rsidP="00DC4D0B">
      <w:pPr>
        <w:pStyle w:val="Paragraphedeliste"/>
        <w:spacing w:line="276" w:lineRule="auto"/>
        <w:ind w:left="360"/>
      </w:pPr>
    </w:p>
    <w:p w14:paraId="4476A099" w14:textId="10321B87" w:rsidR="005C25AF" w:rsidRDefault="000E42A7" w:rsidP="00FB2B45">
      <w:pPr>
        <w:pStyle w:val="Paragraphedeliste"/>
        <w:numPr>
          <w:ilvl w:val="0"/>
          <w:numId w:val="23"/>
        </w:numPr>
        <w:spacing w:line="276" w:lineRule="auto"/>
      </w:pPr>
      <w:r>
        <w:t>L</w:t>
      </w:r>
      <w:r w:rsidR="00F721F1">
        <w:t>es départements ministériels en charge de la promotion féminine,</w:t>
      </w:r>
      <w:r>
        <w:t xml:space="preserve"> de la défense et de la sécurité des deux pays ont été consultés dès la conception du projet. Pendant la phase de mise en œuvre du projet, </w:t>
      </w:r>
      <w:r w:rsidR="00996558">
        <w:t xml:space="preserve">les acteurs étatiques y compris les autorités locales et les élus locaux ont été </w:t>
      </w:r>
      <w:r>
        <w:t>aussi impliqu</w:t>
      </w:r>
      <w:r w:rsidR="00996558">
        <w:t>és</w:t>
      </w:r>
      <w:r>
        <w:t xml:space="preserve"> à différents niveaux</w:t>
      </w:r>
      <w:r w:rsidR="009A1E29">
        <w:t xml:space="preserve">, à travers </w:t>
      </w:r>
      <w:r w:rsidR="00996558">
        <w:t>la participation au comité d’orientation stratégique</w:t>
      </w:r>
      <w:r w:rsidR="00996558">
        <w:rPr>
          <w:rStyle w:val="Appelnotedebasdep"/>
        </w:rPr>
        <w:footnoteReference w:id="37"/>
      </w:r>
      <w:r w:rsidR="00996558">
        <w:t>, la responsabilisation pour la mise en œuvre directe de quelques activités et les invitations à participer à certaines activités (formations, rencontres d’échanges</w:t>
      </w:r>
      <w:r w:rsidR="00F54931">
        <w:rPr>
          <w:rStyle w:val="Appelnotedebasdep"/>
        </w:rPr>
        <w:footnoteReference w:id="38"/>
      </w:r>
      <w:r w:rsidR="00996558">
        <w:t xml:space="preserve"> notamment)</w:t>
      </w:r>
      <w:r>
        <w:t xml:space="preserve">. </w:t>
      </w:r>
      <w:r w:rsidR="004C4DC9">
        <w:t xml:space="preserve">Les </w:t>
      </w:r>
      <w:r w:rsidR="004C4DC9" w:rsidRPr="004C4DC9">
        <w:t>départements ministériels en charge de la défense et de la sécurité</w:t>
      </w:r>
      <w:r w:rsidR="004C4DC9">
        <w:t xml:space="preserve"> ont</w:t>
      </w:r>
      <w:r>
        <w:t xml:space="preserve"> </w:t>
      </w:r>
      <w:r w:rsidR="009A1E29">
        <w:t xml:space="preserve">été </w:t>
      </w:r>
      <w:r>
        <w:t>par exemple</w:t>
      </w:r>
      <w:r w:rsidR="004C4DC9">
        <w:t xml:space="preserve"> responsabilisés pour la conduite de</w:t>
      </w:r>
      <w:r w:rsidR="00714A57">
        <w:t xml:space="preserve"> certaines</w:t>
      </w:r>
      <w:r w:rsidR="004C4DC9">
        <w:t xml:space="preserve"> </w:t>
      </w:r>
      <w:r w:rsidR="00996558">
        <w:t>activités</w:t>
      </w:r>
      <w:r w:rsidR="00DC01CE">
        <w:t xml:space="preserve"> comme</w:t>
      </w:r>
      <w:r w:rsidR="008813DC">
        <w:t xml:space="preserve"> les ateliers d’identification des besoins prioritaires de renforcement de capacités des FDS et l’élaboration du plan d’action de renforcement des capacités en lien avec les besoins prioritaires identifiés</w:t>
      </w:r>
      <w:r w:rsidR="00714A57">
        <w:t>.</w:t>
      </w:r>
      <w:r w:rsidR="00D519AD">
        <w:t xml:space="preserve"> </w:t>
      </w:r>
      <w:r w:rsidR="009F123A" w:rsidRPr="008D3C5A">
        <w:t>La consultation et l’implication des départements ministériels sont reconnues par les acteurs institutionnels rencontrés comme ce point focal genre du Ministère de la Sécurité et de</w:t>
      </w:r>
      <w:r w:rsidR="009F123A">
        <w:t xml:space="preserve"> la</w:t>
      </w:r>
      <w:r w:rsidR="009F123A" w:rsidRPr="008D3C5A">
        <w:t xml:space="preserve"> </w:t>
      </w:r>
      <w:r w:rsidR="009F123A">
        <w:t>P</w:t>
      </w:r>
      <w:r w:rsidR="009F123A" w:rsidRPr="008D3C5A">
        <w:t xml:space="preserve">rotection au Niger qui affirme : </w:t>
      </w:r>
      <w:r w:rsidR="009F123A" w:rsidRPr="00FD6B8D">
        <w:rPr>
          <w:i/>
          <w:shd w:val="clear" w:color="auto" w:fill="F2F2F2"/>
        </w:rPr>
        <w:t xml:space="preserve">« c’est un très bon projet. C’est le Ministère de la Sécurité qui a aidé l’ONU Femmes pour concevoir ce projet. On a été impliqué dans toutes les phases du projet </w:t>
      </w:r>
      <w:r w:rsidR="006C1CDA" w:rsidRPr="00FD6B8D">
        <w:rPr>
          <w:i/>
          <w:shd w:val="clear" w:color="auto" w:fill="F2F2F2"/>
        </w:rPr>
        <w:t xml:space="preserve">au </w:t>
      </w:r>
      <w:r w:rsidR="009F123A" w:rsidRPr="00FD6B8D">
        <w:rPr>
          <w:i/>
          <w:shd w:val="clear" w:color="auto" w:fill="F2F2F2"/>
        </w:rPr>
        <w:t>Niger ».</w:t>
      </w:r>
      <w:r w:rsidR="00242224" w:rsidRPr="00242224">
        <w:t xml:space="preserve"> </w:t>
      </w:r>
      <w:r w:rsidR="00242224">
        <w:t>Un chef</w:t>
      </w:r>
      <w:r w:rsidR="00242224" w:rsidRPr="00242224">
        <w:t xml:space="preserve"> </w:t>
      </w:r>
      <w:r w:rsidR="00242224">
        <w:t>de</w:t>
      </w:r>
      <w:r w:rsidR="00242224" w:rsidRPr="00242224">
        <w:t xml:space="preserve"> service local de la Promotion de la femme de l’enfant et de la famille</w:t>
      </w:r>
      <w:r w:rsidR="00242224">
        <w:t xml:space="preserve"> au Mali (SLPFEF) renchérit « </w:t>
      </w:r>
      <w:r w:rsidR="00242224" w:rsidRPr="00FD6B8D">
        <w:rPr>
          <w:i/>
          <w:shd w:val="clear" w:color="auto" w:fill="F2F2F2"/>
        </w:rPr>
        <w:t>En tant que chef de la promotion de la femme, j’ai participé au renforcement des capacités au même titre que les autres acteurs »</w:t>
      </w:r>
    </w:p>
    <w:p w14:paraId="50C1F1C8" w14:textId="6256BA30" w:rsidR="008D7194" w:rsidRPr="008D7194" w:rsidRDefault="00C5438D" w:rsidP="00FB2B45">
      <w:pPr>
        <w:pStyle w:val="Paragraphedeliste"/>
        <w:numPr>
          <w:ilvl w:val="0"/>
          <w:numId w:val="23"/>
        </w:numPr>
        <w:spacing w:line="276" w:lineRule="auto"/>
        <w:rPr>
          <w:bCs/>
        </w:rPr>
      </w:pPr>
      <w:r>
        <w:t xml:space="preserve">Dans cette démarche d’implication des acteurs étatiques, 400 FDS et ACP du Niger et du Mali </w:t>
      </w:r>
      <w:r w:rsidR="001C4EE6">
        <w:t xml:space="preserve">ont été </w:t>
      </w:r>
      <w:r>
        <w:t>formés sur la prise en compte des droits humains et du genre dans l’exercice de leur fonction</w:t>
      </w:r>
      <w:r w:rsidR="001C4EE6">
        <w:t xml:space="preserve">. </w:t>
      </w:r>
      <w:r w:rsidR="00837F6F">
        <w:t xml:space="preserve">Selon les bénéficiaires, ces formations étaient de qualité et ont permis de provoquer des changements concrets sur le terrain. </w:t>
      </w:r>
      <w:r w:rsidR="0030546E">
        <w:t xml:space="preserve">Le Président du tribunal de grande instance témoigne en ces termes : </w:t>
      </w:r>
      <w:r w:rsidR="0030546E" w:rsidRPr="00FD6B8D">
        <w:rPr>
          <w:i/>
          <w:shd w:val="clear" w:color="auto" w:fill="F2F2F2"/>
        </w:rPr>
        <w:t>« </w:t>
      </w:r>
      <w:r w:rsidR="00837F6F" w:rsidRPr="00FD6B8D">
        <w:rPr>
          <w:i/>
          <w:shd w:val="clear" w:color="auto" w:fill="F2F2F2"/>
        </w:rPr>
        <w:t>C’étaient des formations de qualité parce qu’on n’avait pas l’habitude de connaitre le contenu des thématiques dispensées et puis il y avait l’approche participative. Le niveau de compétences des formateurs était à la hauteur</w:t>
      </w:r>
      <w:r w:rsidR="0030546E" w:rsidRPr="00FD6B8D">
        <w:rPr>
          <w:i/>
          <w:shd w:val="clear" w:color="auto" w:fill="F2F2F2"/>
        </w:rPr>
        <w:t> »</w:t>
      </w:r>
      <w:r w:rsidR="00837F6F" w:rsidRPr="00837F6F">
        <w:t>.</w:t>
      </w:r>
      <w:r w:rsidR="007068E8">
        <w:t xml:space="preserve"> </w:t>
      </w:r>
      <w:r w:rsidR="0030546E">
        <w:t xml:space="preserve">Sur la question des changements produits, un autre ACP répond : </w:t>
      </w:r>
      <w:r w:rsidR="00837F6F" w:rsidRPr="00FD6B8D">
        <w:rPr>
          <w:i/>
          <w:shd w:val="clear" w:color="auto" w:fill="F2F2F2"/>
        </w:rPr>
        <w:t>« On pouvait garder quelqu’un à la police, à la gendarmerie pendant 2 semaines. Suite à des formations, il y a eu des changements sur ce plan. Après 72 heures, il faut remettre la personne suspecte au procureur au lieu de la garder pendant 2 semaines</w:t>
      </w:r>
      <w:r w:rsidR="0007077F" w:rsidRPr="00FD6B8D">
        <w:rPr>
          <w:i/>
          <w:shd w:val="clear" w:color="auto" w:fill="F2F2F2"/>
        </w:rPr>
        <w:t>. Aujourd’hui, les ACP et les leaders communautaires travaillent ensemble</w:t>
      </w:r>
      <w:r w:rsidR="00837F6F" w:rsidRPr="00FD6B8D">
        <w:rPr>
          <w:i/>
          <w:shd w:val="clear" w:color="auto" w:fill="F2F2F2"/>
        </w:rPr>
        <w:t> ».</w:t>
      </w:r>
    </w:p>
    <w:p w14:paraId="3B026CA0" w14:textId="413BA34A" w:rsidR="00F873C4" w:rsidRDefault="001C4EE6" w:rsidP="00FB2B45">
      <w:pPr>
        <w:pStyle w:val="Paragraphedeliste"/>
        <w:numPr>
          <w:ilvl w:val="0"/>
          <w:numId w:val="23"/>
        </w:numPr>
        <w:spacing w:line="276" w:lineRule="auto"/>
        <w:rPr>
          <w:bCs/>
        </w:rPr>
      </w:pPr>
      <w:r>
        <w:t xml:space="preserve">Outre </w:t>
      </w:r>
      <w:r w:rsidR="00E312D0">
        <w:t>ces renforcements</w:t>
      </w:r>
      <w:r>
        <w:t xml:space="preserve"> de capacités, les ministères en charge de la défense et de la sécurité disposent aujourd’hui d’études </w:t>
      </w:r>
      <w:r w:rsidR="00F873C4" w:rsidRPr="00F873C4">
        <w:t>diagnosti</w:t>
      </w:r>
      <w:r>
        <w:t>que</w:t>
      </w:r>
      <w:r w:rsidR="00F873C4" w:rsidRPr="00F873C4">
        <w:t xml:space="preserve">s </w:t>
      </w:r>
      <w:r w:rsidR="00F873C4">
        <w:t xml:space="preserve">sur l’efficacité, la redevabilité et le degré d’inclusion des questions </w:t>
      </w:r>
      <w:r>
        <w:t>des droits humains et du genre dans les missions des FDS et des ACP</w:t>
      </w:r>
      <w:r w:rsidR="00E312D0">
        <w:t xml:space="preserve">, </w:t>
      </w:r>
      <w:r w:rsidR="00F873C4" w:rsidRPr="00F873C4">
        <w:t xml:space="preserve">incluant des recommandations sur la prise en compte des femmes dans les plans de </w:t>
      </w:r>
      <w:r w:rsidR="00E312D0">
        <w:t>r</w:t>
      </w:r>
      <w:r w:rsidR="00F873C4" w:rsidRPr="00F873C4">
        <w:t xml:space="preserve">enforcement de </w:t>
      </w:r>
      <w:r w:rsidR="00E312D0">
        <w:t>c</w:t>
      </w:r>
      <w:r w:rsidR="00F873C4" w:rsidRPr="00F873C4">
        <w:t>apacités</w:t>
      </w:r>
      <w:r>
        <w:t xml:space="preserve"> des FDS et des ACP.</w:t>
      </w:r>
      <w:r w:rsidR="00E312D0" w:rsidRPr="00F54931">
        <w:rPr>
          <w:bCs/>
        </w:rPr>
        <w:t xml:space="preserve"> </w:t>
      </w:r>
      <w:r w:rsidR="00F54931">
        <w:rPr>
          <w:bCs/>
        </w:rPr>
        <w:t>U</w:t>
      </w:r>
      <w:r w:rsidR="00E312D0" w:rsidRPr="00F54931">
        <w:rPr>
          <w:bCs/>
        </w:rPr>
        <w:t xml:space="preserve">ne étude sur l'impact de la Covid-19 sur la sécurité des communautés avec une approche sensible au genre a été </w:t>
      </w:r>
      <w:r w:rsidR="00F54931">
        <w:rPr>
          <w:bCs/>
        </w:rPr>
        <w:t xml:space="preserve">aussi </w:t>
      </w:r>
      <w:r w:rsidR="00E312D0" w:rsidRPr="00F54931">
        <w:rPr>
          <w:bCs/>
        </w:rPr>
        <w:t>menée à travers le ministère de la Promotion de la Femme et de la Protection de l’Enfant du Niger.</w:t>
      </w:r>
      <w:r w:rsidR="00F54931">
        <w:rPr>
          <w:bCs/>
        </w:rPr>
        <w:t xml:space="preserve"> Enfin, l</w:t>
      </w:r>
      <w:r w:rsidR="00F54931" w:rsidRPr="00F54931">
        <w:rPr>
          <w:bCs/>
        </w:rPr>
        <w:t xml:space="preserve">es rencontres transfrontalières entre FDS et ACP du Mali, du Niger et du Burkina ont permis la mise en place d’une plateforme de partage d’informations collectives et privées. </w:t>
      </w:r>
      <w:r w:rsidR="00E312D0" w:rsidRPr="00F54931">
        <w:rPr>
          <w:bCs/>
        </w:rPr>
        <w:t xml:space="preserve">Ces acquis et surtout l’approche participative adoptée pour les générer sont autant de gage d’appropriation et de pérennisation des résultats du projet au niveau institutionnel. </w:t>
      </w:r>
    </w:p>
    <w:p w14:paraId="27F42759" w14:textId="7EC9436D" w:rsidR="00050ECB" w:rsidRPr="00F54931" w:rsidRDefault="00050ECB" w:rsidP="00FB2B45">
      <w:pPr>
        <w:pStyle w:val="Paragraphedeliste"/>
        <w:numPr>
          <w:ilvl w:val="0"/>
          <w:numId w:val="23"/>
        </w:numPr>
        <w:spacing w:line="276" w:lineRule="auto"/>
        <w:rPr>
          <w:bCs/>
        </w:rPr>
      </w:pPr>
      <w:r>
        <w:rPr>
          <w:bCs/>
        </w:rPr>
        <w:t>Il faut néanmoins déplorer que le fait que le projet n’a</w:t>
      </w:r>
      <w:r w:rsidR="008813DC">
        <w:rPr>
          <w:bCs/>
        </w:rPr>
        <w:t>it</w:t>
      </w:r>
      <w:r>
        <w:rPr>
          <w:bCs/>
        </w:rPr>
        <w:t xml:space="preserve"> pas </w:t>
      </w:r>
      <w:r w:rsidR="008813DC">
        <w:rPr>
          <w:bCs/>
        </w:rPr>
        <w:t>collaboré</w:t>
      </w:r>
      <w:r>
        <w:rPr>
          <w:bCs/>
        </w:rPr>
        <w:t xml:space="preserve"> avec l’ALG, le GLCT et le cadre de concertation des Gouverneurs de la région du Liptako Gourma. Au regard de la connaissance de l’ALG du contexte de la </w:t>
      </w:r>
      <w:r w:rsidR="008813DC">
        <w:rPr>
          <w:bCs/>
        </w:rPr>
        <w:t>région</w:t>
      </w:r>
      <w:r>
        <w:rPr>
          <w:bCs/>
        </w:rPr>
        <w:t xml:space="preserve"> et de son expérience sur les questions transfrontalières et la mise en œuvre des projets transfron</w:t>
      </w:r>
      <w:r w:rsidR="002E056B">
        <w:rPr>
          <w:bCs/>
        </w:rPr>
        <w:t>t</w:t>
      </w:r>
      <w:r>
        <w:rPr>
          <w:bCs/>
        </w:rPr>
        <w:t xml:space="preserve">aliers, une telle collaboration </w:t>
      </w:r>
      <w:r w:rsidR="00DC01CE">
        <w:rPr>
          <w:bCs/>
        </w:rPr>
        <w:t>aurait permis au projet d’avoir des effets plus importants et durables sur le volet transfrontalier, au niveau institutionnel et opérationnel.</w:t>
      </w:r>
      <w:r w:rsidR="007760A2">
        <w:rPr>
          <w:bCs/>
        </w:rPr>
        <w:t xml:space="preserve"> </w:t>
      </w:r>
    </w:p>
    <w:p w14:paraId="0AB038BF" w14:textId="156F4D16" w:rsidR="001D6FD7" w:rsidRDefault="001D6FD7" w:rsidP="00F631B0">
      <w:pPr>
        <w:spacing w:before="240" w:after="0" w:line="276" w:lineRule="auto"/>
      </w:pPr>
    </w:p>
    <w:p w14:paraId="034BCBE2" w14:textId="55E953C6" w:rsidR="00DD276F" w:rsidRDefault="00DD276F" w:rsidP="00DF4AC8">
      <w:pPr>
        <w:pStyle w:val="Titre3"/>
      </w:pPr>
      <w:bookmarkStart w:id="960" w:name="_Hlk86824078"/>
      <w:r>
        <w:t>Constat 1</w:t>
      </w:r>
      <w:r w:rsidR="00DC4D0B">
        <w:t>4</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281FF1DE" w14:textId="77777777" w:rsidTr="00FD6B8D">
        <w:trPr>
          <w:trHeight w:val="538"/>
        </w:trPr>
        <w:tc>
          <w:tcPr>
            <w:tcW w:w="9341" w:type="dxa"/>
            <w:shd w:val="clear" w:color="auto" w:fill="auto"/>
          </w:tcPr>
          <w:p w14:paraId="1C9F22B7" w14:textId="06560409" w:rsidR="00A9518A" w:rsidRDefault="00D32D86" w:rsidP="009E2DEE">
            <w:pPr>
              <w:spacing w:line="276" w:lineRule="auto"/>
              <w:rPr>
                <w:rFonts w:cs="Times New Roman"/>
                <w:b/>
                <w:bCs/>
                <w:color w:val="0070C0"/>
              </w:rPr>
            </w:pPr>
            <w:r>
              <w:rPr>
                <w:rFonts w:cs="Times New Roman"/>
                <w:b/>
                <w:bCs/>
                <w:color w:val="0070C0"/>
              </w:rPr>
              <w:t xml:space="preserve">Les capacités des </w:t>
            </w:r>
            <w:r w:rsidR="001F0F0C">
              <w:rPr>
                <w:rFonts w:cs="Times New Roman"/>
                <w:b/>
                <w:bCs/>
                <w:color w:val="0070C0"/>
              </w:rPr>
              <w:t xml:space="preserve">femmes et </w:t>
            </w:r>
            <w:r>
              <w:rPr>
                <w:rFonts w:cs="Times New Roman"/>
                <w:b/>
                <w:bCs/>
                <w:color w:val="0070C0"/>
              </w:rPr>
              <w:t>d</w:t>
            </w:r>
            <w:r w:rsidR="001F0F0C">
              <w:rPr>
                <w:rFonts w:cs="Times New Roman"/>
                <w:b/>
                <w:bCs/>
                <w:color w:val="0070C0"/>
              </w:rPr>
              <w:t>es jeunes</w:t>
            </w:r>
            <w:r>
              <w:rPr>
                <w:rFonts w:cs="Times New Roman"/>
                <w:b/>
                <w:bCs/>
                <w:color w:val="0070C0"/>
              </w:rPr>
              <w:t>, des acteurs communautaires et de la société civile ont été renforcées</w:t>
            </w:r>
            <w:r w:rsidR="005D77BD">
              <w:rPr>
                <w:rFonts w:cs="Times New Roman"/>
                <w:b/>
                <w:bCs/>
                <w:color w:val="0070C0"/>
              </w:rPr>
              <w:t xml:space="preserve"> sur</w:t>
            </w:r>
            <w:r w:rsidR="0007077F">
              <w:rPr>
                <w:rFonts w:cs="Times New Roman"/>
                <w:b/>
                <w:bCs/>
                <w:color w:val="0070C0"/>
              </w:rPr>
              <w:t xml:space="preserve"> diverses thématiques du projet</w:t>
            </w:r>
            <w:r w:rsidR="005D77BD">
              <w:rPr>
                <w:rFonts w:cs="Times New Roman"/>
                <w:b/>
                <w:bCs/>
                <w:color w:val="0070C0"/>
              </w:rPr>
              <w:t xml:space="preserve">. </w:t>
            </w:r>
            <w:r w:rsidR="00A9518A">
              <w:rPr>
                <w:rFonts w:cs="Times New Roman"/>
                <w:b/>
                <w:bCs/>
                <w:color w:val="0070C0"/>
              </w:rPr>
              <w:t>L’ensemble des bénéficiaires</w:t>
            </w:r>
            <w:r w:rsidR="005D77BD">
              <w:rPr>
                <w:rFonts w:cs="Times New Roman"/>
                <w:b/>
                <w:bCs/>
                <w:color w:val="0070C0"/>
              </w:rPr>
              <w:t xml:space="preserve"> </w:t>
            </w:r>
            <w:r w:rsidR="00CC29BC">
              <w:rPr>
                <w:rFonts w:cs="Times New Roman"/>
                <w:b/>
                <w:bCs/>
                <w:color w:val="0070C0"/>
              </w:rPr>
              <w:t>déclarent</w:t>
            </w:r>
            <w:r w:rsidR="005D77BD">
              <w:rPr>
                <w:rFonts w:cs="Times New Roman"/>
                <w:b/>
                <w:bCs/>
                <w:color w:val="0070C0"/>
              </w:rPr>
              <w:t xml:space="preserve"> </w:t>
            </w:r>
            <w:r w:rsidR="00CC29BC">
              <w:rPr>
                <w:rFonts w:cs="Times New Roman"/>
                <w:b/>
                <w:bCs/>
                <w:color w:val="0070C0"/>
              </w:rPr>
              <w:t>être engagés</w:t>
            </w:r>
            <w:r w:rsidR="005D77BD">
              <w:rPr>
                <w:rFonts w:cs="Times New Roman"/>
                <w:b/>
                <w:bCs/>
                <w:color w:val="0070C0"/>
              </w:rPr>
              <w:t xml:space="preserve"> pour la continuité des initiatives mises en place et la pérennisation des acquis du projet. </w:t>
            </w:r>
          </w:p>
          <w:p w14:paraId="666ABEA0" w14:textId="28FD886C" w:rsidR="00DD276F" w:rsidRPr="00191FD2" w:rsidRDefault="00DD276F"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A9518A">
              <w:rPr>
                <w:rStyle w:val="fontstyle01"/>
                <w:rFonts w:ascii="Century Gothic" w:hAnsi="Century Gothic"/>
                <w:i/>
                <w:iCs/>
              </w:rPr>
              <w:t>QE23 et QE24</w:t>
            </w:r>
          </w:p>
        </w:tc>
      </w:tr>
      <w:bookmarkEnd w:id="960"/>
    </w:tbl>
    <w:p w14:paraId="38628477" w14:textId="77777777" w:rsidR="0095022A" w:rsidRDefault="0095022A" w:rsidP="0095022A">
      <w:pPr>
        <w:spacing w:after="0" w:line="276" w:lineRule="auto"/>
        <w:rPr>
          <w:rFonts w:cs="Times New Roman"/>
          <w:bCs/>
        </w:rPr>
      </w:pPr>
    </w:p>
    <w:p w14:paraId="4B1F528D" w14:textId="6D56B114" w:rsidR="00224E58" w:rsidRDefault="0007077F" w:rsidP="00FB2B45">
      <w:pPr>
        <w:pStyle w:val="Paragraphedeliste"/>
        <w:numPr>
          <w:ilvl w:val="0"/>
          <w:numId w:val="23"/>
        </w:numPr>
        <w:spacing w:line="276" w:lineRule="auto"/>
      </w:pPr>
      <w:r>
        <w:t xml:space="preserve">Les thématiques sur lesquelles ont porté </w:t>
      </w:r>
      <w:r w:rsidR="00231A6B">
        <w:t>les renforcements</w:t>
      </w:r>
      <w:r>
        <w:t xml:space="preserve"> de capacités sont entre autres les </w:t>
      </w:r>
      <w:r w:rsidRPr="0007077F">
        <w:t>techniques de prévention et de gestion pacifique des conflits</w:t>
      </w:r>
      <w:r>
        <w:t xml:space="preserve">, </w:t>
      </w:r>
      <w:r w:rsidRPr="0007077F">
        <w:t xml:space="preserve">les rôles et mandats des FDS et ACP, la collaboration </w:t>
      </w:r>
      <w:r>
        <w:t xml:space="preserve">des populations </w:t>
      </w:r>
      <w:r w:rsidRPr="0007077F">
        <w:t xml:space="preserve">avec ces derniers, les voies de recours, le signalement des cas de violation de droit humains, le plaidoyer </w:t>
      </w:r>
      <w:r>
        <w:t>ainsi que</w:t>
      </w:r>
      <w:r w:rsidRPr="0007077F">
        <w:t xml:space="preserve"> l</w:t>
      </w:r>
      <w:r w:rsidR="0065764A">
        <w:t>es moyens de</w:t>
      </w:r>
      <w:r w:rsidRPr="0007077F">
        <w:t xml:space="preserve"> protection contre la COVID-19</w:t>
      </w:r>
      <w:r w:rsidR="0065764A">
        <w:t xml:space="preserve">. </w:t>
      </w:r>
      <w:r w:rsidR="002D43BA">
        <w:t>Les formations</w:t>
      </w:r>
      <w:r w:rsidR="00231A6B">
        <w:t xml:space="preserve"> ont bénéficié non seulement aux responsables des organisations de la société civile et aux leaders communautaires, mais aussi aux femmes et jeunes. </w:t>
      </w:r>
      <w:r w:rsidR="002D43BA">
        <w:t xml:space="preserve">Ces formations en générale et plus particulièrement l’approche de formation des formateurs (220 au total) ont permis de transférer des compétences techniques aux bénéficiaires ; mais plus encore, elles ont permis de faire de ces bénéficiaires des relais ou ambassadeurs auprès de leurs communautés sur les questions de la cohésion sociale, de promotion du genre et des droits et de la lutte contre la COVID-19. </w:t>
      </w:r>
      <w:r w:rsidR="00224E58">
        <w:t xml:space="preserve">Ce rôle de relais est déjà perceptible avec les initiatives </w:t>
      </w:r>
      <w:r w:rsidR="00E86F30">
        <w:t>de paix</w:t>
      </w:r>
      <w:r w:rsidR="00224E58">
        <w:t xml:space="preserve"> conduites par les femmes et les jeunes au niveau communautaire</w:t>
      </w:r>
      <w:r w:rsidR="00BE471C">
        <w:t xml:space="preserve"> à travers les thé-débats, l’organisation des activités sportives et culturelles</w:t>
      </w:r>
      <w:r w:rsidR="00E86F30">
        <w:t>, les</w:t>
      </w:r>
      <w:r w:rsidR="00BE471C">
        <w:t xml:space="preserve"> sensibilisations </w:t>
      </w:r>
      <w:r w:rsidR="00E86F30">
        <w:t>et l’implication des groupements dans la résolution des conflits</w:t>
      </w:r>
      <w:r w:rsidR="00224E58">
        <w:t>.</w:t>
      </w:r>
      <w:r w:rsidR="00E86F30">
        <w:t xml:space="preserve"> Un communicateur traditionnel témoigne à ce propos :</w:t>
      </w:r>
      <w:r w:rsidR="00224E58">
        <w:t xml:space="preserve"> </w:t>
      </w:r>
      <w:r w:rsidR="00E86F30" w:rsidRPr="00FD6B8D">
        <w:rPr>
          <w:i/>
          <w:shd w:val="clear" w:color="auto" w:fill="F2F2F2"/>
        </w:rPr>
        <w:t>« </w:t>
      </w:r>
      <w:r w:rsidR="00BE471C" w:rsidRPr="00FD6B8D">
        <w:rPr>
          <w:i/>
          <w:shd w:val="clear" w:color="auto" w:fill="F2F2F2"/>
        </w:rPr>
        <w:t xml:space="preserve">Les activités initiées par les femmes sont des séances de salubrité dans les quartiers de la ville où dans </w:t>
      </w:r>
      <w:r w:rsidR="00E86F30" w:rsidRPr="00FD6B8D">
        <w:rPr>
          <w:i/>
          <w:shd w:val="clear" w:color="auto" w:fill="F2F2F2"/>
        </w:rPr>
        <w:t>les endroits publics</w:t>
      </w:r>
      <w:r w:rsidR="00BE471C" w:rsidRPr="00FD6B8D">
        <w:rPr>
          <w:i/>
          <w:shd w:val="clear" w:color="auto" w:fill="F2F2F2"/>
        </w:rPr>
        <w:t xml:space="preserve"> et les sensibilisations pendant les réunions organis</w:t>
      </w:r>
      <w:r w:rsidR="72DD87B5" w:rsidRPr="00FD6B8D">
        <w:rPr>
          <w:i/>
          <w:shd w:val="clear" w:color="auto" w:fill="F2F2F2"/>
        </w:rPr>
        <w:t>ées</w:t>
      </w:r>
      <w:r w:rsidR="00BE471C" w:rsidRPr="00FD6B8D">
        <w:rPr>
          <w:i/>
          <w:shd w:val="clear" w:color="auto" w:fill="F2F2F2"/>
        </w:rPr>
        <w:t xml:space="preserve"> par </w:t>
      </w:r>
      <w:r w:rsidR="00E86F30" w:rsidRPr="00FD6B8D">
        <w:rPr>
          <w:i/>
          <w:shd w:val="clear" w:color="auto" w:fill="F2F2F2"/>
        </w:rPr>
        <w:t>les groupements féminins</w:t>
      </w:r>
      <w:r w:rsidR="00BE471C" w:rsidRPr="00FD6B8D">
        <w:rPr>
          <w:i/>
          <w:shd w:val="clear" w:color="auto" w:fill="F2F2F2"/>
        </w:rPr>
        <w:t>. Chaque lundi les femmes dans mon quartier se rencontrent chez leur présidente</w:t>
      </w:r>
      <w:r w:rsidR="00E86F30">
        <w:t> »</w:t>
      </w:r>
      <w:r w:rsidR="00BE471C" w:rsidRPr="00BE471C">
        <w:t>.</w:t>
      </w:r>
    </w:p>
    <w:p w14:paraId="1E44827C" w14:textId="723432E1" w:rsidR="001A1B85" w:rsidRPr="00831CB1" w:rsidRDefault="00E86F30" w:rsidP="00FB2B45">
      <w:pPr>
        <w:pStyle w:val="Paragraphedeliste"/>
        <w:numPr>
          <w:ilvl w:val="0"/>
          <w:numId w:val="23"/>
        </w:numPr>
        <w:spacing w:line="276" w:lineRule="auto"/>
      </w:pPr>
      <w:r>
        <w:t xml:space="preserve">Par ailleurs, la </w:t>
      </w:r>
      <w:r w:rsidR="001A1B85" w:rsidRPr="00831CB1">
        <w:t xml:space="preserve">redynamisation </w:t>
      </w:r>
      <w:r>
        <w:t xml:space="preserve">des MCPGC </w:t>
      </w:r>
      <w:r w:rsidR="001A1B85" w:rsidRPr="00831CB1">
        <w:t xml:space="preserve">avec l’implication des femmes et des jeunes </w:t>
      </w:r>
      <w:r w:rsidR="00084EBB">
        <w:t xml:space="preserve">et le fait pour ces mécanismes de développer des solutions endogènes aux conflits locaux offrent des chances pour que les acquis du projet perdurent après le projet. Les données de l’enquête quantitative </w:t>
      </w:r>
      <w:r w:rsidR="007C2EF4">
        <w:t>révèlent</w:t>
      </w:r>
      <w:r w:rsidR="00084EBB">
        <w:t xml:space="preserve"> d’ailleurs que </w:t>
      </w:r>
      <w:r w:rsidR="00580843">
        <w:t xml:space="preserve">90% des membres des MCPGC interrogés estiment que les hommes membres de leurs MCPGC sont disposés à accepter plus de femmes et de jeunes en leur sein. Mieux, </w:t>
      </w:r>
      <w:r w:rsidR="00084EBB">
        <w:t xml:space="preserve">la quasi-totalité </w:t>
      </w:r>
      <w:r w:rsidR="00580843">
        <w:t>(</w:t>
      </w:r>
      <w:r w:rsidR="00084EBB">
        <w:t>99%) des femmes et jeunes membres des MCPGC sont prêts à maintenir leur engagement au sein de ces mécanismes après la fin du projet</w:t>
      </w:r>
      <w:r w:rsidR="00675641">
        <w:t xml:space="preserve"> (Cf. Tableau 19 en Annexe 9)</w:t>
      </w:r>
      <w:r w:rsidR="00084EBB">
        <w:t xml:space="preserve">. </w:t>
      </w:r>
      <w:r w:rsidR="007C2EF4">
        <w:t xml:space="preserve">Cet engagement est confirmé par la plupart des autorités locales et les acteurs communautaires comme ce leader religieux (Imam) à Anderamboukane : </w:t>
      </w:r>
      <w:r w:rsidR="007C2EF4" w:rsidRPr="00FD6B8D">
        <w:rPr>
          <w:i/>
          <w:shd w:val="clear" w:color="auto" w:fill="F2F2F2"/>
        </w:rPr>
        <w:t xml:space="preserve">« Ces </w:t>
      </w:r>
      <w:r w:rsidR="00E90CF8" w:rsidRPr="00FD6B8D">
        <w:rPr>
          <w:i/>
          <w:shd w:val="clear" w:color="auto" w:fill="F2F2F2"/>
        </w:rPr>
        <w:t>MCPGC</w:t>
      </w:r>
      <w:r w:rsidR="007C2EF4" w:rsidRPr="00FD6B8D">
        <w:rPr>
          <w:i/>
          <w:shd w:val="clear" w:color="auto" w:fill="F2F2F2"/>
        </w:rPr>
        <w:t xml:space="preserve"> mis en place sont pérennes en ce sens que ce projet a impliqué toutes les sensibilités dans sa mise en œuvre. Ces mécanismes sont déjà en train de prendre le relais car le projet a pris fin il y a pratiquement deux ans mais ils continuent d'œuvrer dans le sens de la consolidation de la paix et la cohésion sociale ».</w:t>
      </w:r>
      <w:r w:rsidR="007068E8" w:rsidRPr="00FD6B8D">
        <w:rPr>
          <w:i/>
          <w:shd w:val="clear" w:color="auto" w:fill="F2F2F2"/>
        </w:rPr>
        <w:t xml:space="preserve"> </w:t>
      </w:r>
    </w:p>
    <w:p w14:paraId="4E4161F5" w14:textId="7BA002C8" w:rsidR="00CE0F97" w:rsidRDefault="00F04541" w:rsidP="00FB2B45">
      <w:pPr>
        <w:pStyle w:val="Paragraphedeliste"/>
        <w:numPr>
          <w:ilvl w:val="0"/>
          <w:numId w:val="23"/>
        </w:numPr>
        <w:spacing w:line="276" w:lineRule="auto"/>
      </w:pPr>
      <w:r w:rsidRPr="009F6CEF">
        <w:t xml:space="preserve">Toutefois, </w:t>
      </w:r>
      <w:r w:rsidR="009F6CEF">
        <w:t>la</w:t>
      </w:r>
      <w:r w:rsidRPr="009F6CEF">
        <w:t xml:space="preserve"> pérennisation des acquis du projet notamment en matière d’implication des femmes </w:t>
      </w:r>
      <w:r w:rsidR="009F6CEF">
        <w:t>et des jeunes dans les MCPGC est menacée par quelques risqu</w:t>
      </w:r>
      <w:r w:rsidR="00920920">
        <w:t>es</w:t>
      </w:r>
      <w:r w:rsidR="009F6CEF">
        <w:t xml:space="preserve">. </w:t>
      </w:r>
      <w:r w:rsidR="0046450E">
        <w:t>Les facteurs de risques communément cités par les répondants et qui peuvent réduire la participation de femmes et des jeunes dans les MCPGC sont essentiellement les coutumes et traditions locales, le refus des maris, la mauvaise interprétation des prescriptions religieuses, les frustrations pouvant naitre de la faible valorisation des avis des jeunes et des femmes dans les réunions des MCPGC ainsi que l’insécurité</w:t>
      </w:r>
      <w:r w:rsidR="009926CF">
        <w:t>, du fait de la peur des femmes d’être prise pour cibles par les terroristes</w:t>
      </w:r>
      <w:r w:rsidR="0046450E">
        <w:t xml:space="preserve">. </w:t>
      </w:r>
      <w:r w:rsidR="00CE0F97">
        <w:t xml:space="preserve">Les propos suivants illustrent ces risques : </w:t>
      </w:r>
    </w:p>
    <w:p w14:paraId="0AB12770" w14:textId="6FC04800" w:rsidR="00CE0F97" w:rsidRDefault="00CE0F97" w:rsidP="00FB2B45">
      <w:pPr>
        <w:pStyle w:val="Paragraphedeliste"/>
        <w:numPr>
          <w:ilvl w:val="0"/>
          <w:numId w:val="93"/>
        </w:numPr>
        <w:spacing w:line="276" w:lineRule="auto"/>
      </w:pPr>
      <w:r w:rsidRPr="00FD6B8D">
        <w:rPr>
          <w:i/>
          <w:shd w:val="clear" w:color="auto" w:fill="F2F2F2"/>
        </w:rPr>
        <w:t xml:space="preserve">« Si ces jeunes ne se sont pas encadrés et écouter par les autorités et les leaders communautaires, il y a un risque qu'ils basculent </w:t>
      </w:r>
      <w:r w:rsidR="002E056B">
        <w:rPr>
          <w:i/>
          <w:iCs/>
          <w:shd w:val="clear" w:color="auto" w:fill="F2F2F2" w:themeFill="background1" w:themeFillShade="F2"/>
        </w:rPr>
        <w:t>à</w:t>
      </w:r>
      <w:r w:rsidRPr="009F5BDE">
        <w:rPr>
          <w:i/>
          <w:shd w:val="clear" w:color="auto" w:fill="F2F2F2"/>
        </w:rPr>
        <w:t xml:space="preserve"> côté de ces groupes armés </w:t>
      </w:r>
      <w:r w:rsidRPr="009926CF">
        <w:t>»</w:t>
      </w:r>
      <w:r>
        <w:t xml:space="preserve"> ; </w:t>
      </w:r>
      <w:r w:rsidRPr="00FD6B8D">
        <w:rPr>
          <w:i/>
          <w:shd w:val="clear" w:color="auto" w:fill="F2F2F2"/>
        </w:rPr>
        <w:t>« C'est toujours les opinions et les points de vue de leaders le plus âgé qui dominent à cause de la tradition.</w:t>
      </w:r>
      <w:r w:rsidR="007068E8" w:rsidRPr="00FD6B8D">
        <w:rPr>
          <w:i/>
          <w:shd w:val="clear" w:color="auto" w:fill="F2F2F2"/>
        </w:rPr>
        <w:t xml:space="preserve"> </w:t>
      </w:r>
      <w:r w:rsidRPr="00FD6B8D">
        <w:rPr>
          <w:i/>
          <w:shd w:val="clear" w:color="auto" w:fill="F2F2F2"/>
        </w:rPr>
        <w:t xml:space="preserve">Certains leaders traditionnels voient d'un mauvais œil l'implication de jeunes et femmes dans le </w:t>
      </w:r>
      <w:r w:rsidR="00E90CF8" w:rsidRPr="00FD6B8D">
        <w:rPr>
          <w:i/>
          <w:shd w:val="clear" w:color="auto" w:fill="F2F2F2"/>
        </w:rPr>
        <w:t xml:space="preserve">MCPGC </w:t>
      </w:r>
      <w:r w:rsidRPr="00FD6B8D">
        <w:rPr>
          <w:i/>
          <w:shd w:val="clear" w:color="auto" w:fill="F2F2F2"/>
        </w:rPr>
        <w:t>à cause de la mauvaise interprétation de la religion et la tradition »</w:t>
      </w:r>
      <w:r w:rsidRPr="00CE0F97">
        <w:t xml:space="preserve"> </w:t>
      </w:r>
      <w:r>
        <w:t>(deux jeunes leaders au Niger) ;</w:t>
      </w:r>
    </w:p>
    <w:p w14:paraId="20754241" w14:textId="047604B5" w:rsidR="00CE0F97" w:rsidRDefault="00CE0F97" w:rsidP="00FB2B45">
      <w:pPr>
        <w:pStyle w:val="Paragraphedeliste"/>
        <w:numPr>
          <w:ilvl w:val="0"/>
          <w:numId w:val="93"/>
        </w:numPr>
        <w:spacing w:line="276" w:lineRule="auto"/>
      </w:pPr>
      <w:r w:rsidRPr="00FD6B8D">
        <w:rPr>
          <w:i/>
          <w:shd w:val="clear" w:color="auto" w:fill="F2F2F2"/>
        </w:rPr>
        <w:t>« Il y a quelques restrictions liées à la religion, et coutumes car dans les localités environnantes d'Anderamboukane, c'est la charia qui est pratiquée, donc nous sommes menacés. Il y a également l</w:t>
      </w:r>
      <w:r w:rsidR="00E61834" w:rsidRPr="00FD6B8D">
        <w:rPr>
          <w:i/>
          <w:shd w:val="clear" w:color="auto" w:fill="F2F2F2"/>
        </w:rPr>
        <w:t>a</w:t>
      </w:r>
      <w:r w:rsidRPr="00FD6B8D">
        <w:rPr>
          <w:i/>
          <w:shd w:val="clear" w:color="auto" w:fill="F2F2F2"/>
        </w:rPr>
        <w:t xml:space="preserve"> sécuritaire qui est un facteur majeur aujourd'hui pouvant empêcher </w:t>
      </w:r>
      <w:r w:rsidR="00E61834" w:rsidRPr="00FD6B8D">
        <w:rPr>
          <w:i/>
          <w:shd w:val="clear" w:color="auto" w:fill="F2F2F2"/>
        </w:rPr>
        <w:t>les</w:t>
      </w:r>
      <w:r w:rsidRPr="00FD6B8D">
        <w:rPr>
          <w:i/>
          <w:shd w:val="clear" w:color="auto" w:fill="F2F2F2"/>
        </w:rPr>
        <w:t xml:space="preserve"> femmes de faire partie des comités locaux ».</w:t>
      </w:r>
      <w:r w:rsidRPr="00CE0F97">
        <w:t xml:space="preserve"> </w:t>
      </w:r>
    </w:p>
    <w:p w14:paraId="7865386B" w14:textId="6ACA3975" w:rsidR="00CE0F97" w:rsidRDefault="00CE0F97" w:rsidP="00CE0F97">
      <w:pPr>
        <w:pStyle w:val="Paragraphedeliste"/>
        <w:spacing w:line="276" w:lineRule="auto"/>
      </w:pPr>
      <w:r>
        <w:t xml:space="preserve">(Chef de </w:t>
      </w:r>
      <w:r w:rsidR="009926CF" w:rsidRPr="009926CF">
        <w:t>village à Anderamboukane</w:t>
      </w:r>
      <w:r>
        <w:t>) ;</w:t>
      </w:r>
      <w:r w:rsidR="00C229A8" w:rsidRPr="009926CF">
        <w:t xml:space="preserve"> </w:t>
      </w:r>
    </w:p>
    <w:p w14:paraId="716F7CD2" w14:textId="6A0F3D4A" w:rsidR="00C229A8" w:rsidRDefault="00580843" w:rsidP="00FB2B45">
      <w:pPr>
        <w:pStyle w:val="Paragraphedeliste"/>
        <w:numPr>
          <w:ilvl w:val="0"/>
          <w:numId w:val="23"/>
        </w:numPr>
        <w:spacing w:line="276" w:lineRule="auto"/>
      </w:pPr>
      <w:r w:rsidRPr="00580843">
        <w:t xml:space="preserve">Relativement </w:t>
      </w:r>
      <w:r>
        <w:t>à la prise en compte du genre et d</w:t>
      </w:r>
      <w:r w:rsidRPr="00580843">
        <w:t xml:space="preserve">es droits humains </w:t>
      </w:r>
      <w:r>
        <w:t xml:space="preserve">dans les missions des FDS et des ACP, l’une </w:t>
      </w:r>
      <w:r w:rsidR="00CD0268">
        <w:t>des principales contraintes soulevées</w:t>
      </w:r>
      <w:r>
        <w:t xml:space="preserve"> est la faible représentativité du personnel féminin dans le corps des FDS et des ACP.</w:t>
      </w:r>
      <w:r w:rsidR="00307E9D">
        <w:t xml:space="preserve"> </w:t>
      </w:r>
      <w:r w:rsidR="0095794C">
        <w:t>C</w:t>
      </w:r>
      <w:r w:rsidR="003E5423">
        <w:t>’</w:t>
      </w:r>
      <w:r w:rsidR="0095794C">
        <w:t>e</w:t>
      </w:r>
      <w:r w:rsidR="003E5423">
        <w:t>st</w:t>
      </w:r>
      <w:r w:rsidR="0095794C">
        <w:t xml:space="preserve"> </w:t>
      </w:r>
      <w:r w:rsidR="64D042D1">
        <w:t xml:space="preserve">ce </w:t>
      </w:r>
      <w:r w:rsidR="0095794C">
        <w:t>qu</w:t>
      </w:r>
      <w:r w:rsidR="00F141C0">
        <w:t>’affirme c</w:t>
      </w:r>
      <w:r w:rsidR="00307E9D">
        <w:t>e</w:t>
      </w:r>
      <w:r w:rsidR="00F141C0">
        <w:t xml:space="preserve"> FDS (</w:t>
      </w:r>
      <w:r w:rsidR="00307E9D">
        <w:t>Policier</w:t>
      </w:r>
      <w:r w:rsidR="00F141C0">
        <w:t>)</w:t>
      </w:r>
      <w:r w:rsidR="00307E9D">
        <w:t xml:space="preserve"> à Ménaka « </w:t>
      </w:r>
      <w:r w:rsidR="00CD0268" w:rsidRPr="00FD6B8D">
        <w:rPr>
          <w:i/>
          <w:shd w:val="clear" w:color="auto" w:fill="F2F2F2"/>
        </w:rPr>
        <w:t>souvent on a des problèmes du fait que le personnel féminin est absent au sein de l’effectif. Souvent il y a des femmes qui viennent confectionner les cartes d’identité et au moment de faire des empreintes digitales, il y a des résistances.</w:t>
      </w:r>
      <w:r w:rsidR="0095794C" w:rsidRPr="00FD6B8D">
        <w:rPr>
          <w:i/>
          <w:shd w:val="clear" w:color="auto" w:fill="F2F2F2"/>
        </w:rPr>
        <w:t xml:space="preserve"> </w:t>
      </w:r>
      <w:r w:rsidR="00CD0268" w:rsidRPr="00FD6B8D">
        <w:rPr>
          <w:i/>
          <w:shd w:val="clear" w:color="auto" w:fill="F2F2F2"/>
        </w:rPr>
        <w:t>Il n’y a pas de personnel féminin au sein de la gendarmerie ni au sein des FAMAs.</w:t>
      </w:r>
      <w:r w:rsidR="003E5423" w:rsidRPr="003E5423">
        <w:t xml:space="preserve"> </w:t>
      </w:r>
      <w:r w:rsidR="003E5423">
        <w:t>Un ACP (</w:t>
      </w:r>
      <w:r w:rsidR="003E5423" w:rsidRPr="003E5423">
        <w:t>Président du TGI / GAO</w:t>
      </w:r>
      <w:r w:rsidR="003E5423">
        <w:t>)</w:t>
      </w:r>
      <w:r w:rsidR="003E5423" w:rsidRPr="003E5423">
        <w:t xml:space="preserve"> </w:t>
      </w:r>
      <w:r w:rsidR="003E5423">
        <w:t xml:space="preserve">va plus loin en affirmant </w:t>
      </w:r>
      <w:r w:rsidR="003E5423" w:rsidRPr="00FD6B8D">
        <w:rPr>
          <w:i/>
          <w:shd w:val="clear" w:color="auto" w:fill="F2F2F2"/>
        </w:rPr>
        <w:t>« La formation nous a montré que sur l’ensemble de la région, le personnel féminin est insuffisant. Mais pourtant, leur présence est utile notamment au niveau des fouilles dans la prison, les gardes en vue. L’insuffisance du personnel féminin porte atteinte souvent aux droits humains ».</w:t>
      </w:r>
    </w:p>
    <w:p w14:paraId="7EC56ED0" w14:textId="60DDA070" w:rsidR="00920920" w:rsidRPr="009F6CEF" w:rsidRDefault="00F141C0" w:rsidP="00FB2B45">
      <w:pPr>
        <w:pStyle w:val="Paragraphedeliste"/>
        <w:numPr>
          <w:ilvl w:val="0"/>
          <w:numId w:val="23"/>
        </w:numPr>
        <w:spacing w:line="276" w:lineRule="auto"/>
      </w:pPr>
      <w:r>
        <w:t xml:space="preserve">L’engagement des femmes et des jeunes, la poursuite des sensibilisations et des formations, la mise en place de mécanismes de suivi des MCPGC ainsi que le rehaussement de la </w:t>
      </w:r>
      <w:r w:rsidR="00BA68F6">
        <w:t>représentativité</w:t>
      </w:r>
      <w:r>
        <w:t xml:space="preserve"> des femmes dans les effectifs des FDS et des ACP ont été soulignés comme </w:t>
      </w:r>
      <w:r w:rsidR="00BA68F6">
        <w:t>conditions à réunir pour garantir la durabilité des acquis du projet. Mieux</w:t>
      </w:r>
      <w:r w:rsidR="00920920">
        <w:t>, la plupart des femmes et des jeunes ont</w:t>
      </w:r>
      <w:r w:rsidR="007B37BA">
        <w:t xml:space="preserve"> reconnu le fait qu’ils doivent être les premiers à provoquer le changement de mentalité des hommes et des leaders communautaires en montrant plus de détermination. </w:t>
      </w:r>
      <w:r w:rsidR="00BA68F6">
        <w:t xml:space="preserve">Pour une des participantes aux FG à </w:t>
      </w:r>
      <w:r w:rsidR="007B37BA">
        <w:t>Anderamboukane « </w:t>
      </w:r>
      <w:r w:rsidR="00920920" w:rsidRPr="00FD6B8D">
        <w:rPr>
          <w:i/>
          <w:shd w:val="clear" w:color="auto" w:fill="F2F2F2"/>
        </w:rPr>
        <w:t>Les femmes et les jeunes doivent entreprendre par eux même des initiatives de paix afin de convaincre les hommes et les leaders communautaires. Ils doivent s'unir, constituer une seule force pour s'imposer</w:t>
      </w:r>
      <w:r w:rsidR="007B37BA">
        <w:t> »</w:t>
      </w:r>
      <w:r w:rsidR="00920920">
        <w:t>.</w:t>
      </w:r>
      <w:r w:rsidR="007B37BA" w:rsidRPr="007B37BA">
        <w:t xml:space="preserve"> </w:t>
      </w:r>
      <w:r w:rsidR="007B37BA">
        <w:t>Une autre à Bankil</w:t>
      </w:r>
      <w:r w:rsidR="003E5423">
        <w:t>a</w:t>
      </w:r>
      <w:r w:rsidR="007B37BA">
        <w:t>ré p</w:t>
      </w:r>
      <w:r w:rsidR="007B37BA" w:rsidRPr="007B37BA">
        <w:t xml:space="preserve">ropose </w:t>
      </w:r>
      <w:r w:rsidR="007B37BA" w:rsidRPr="00EC19E5">
        <w:rPr>
          <w:i/>
          <w:shd w:val="clear" w:color="auto" w:fill="F2F2F2"/>
        </w:rPr>
        <w:t xml:space="preserve">« qu’on invite les hommes et les acteurs </w:t>
      </w:r>
      <w:r w:rsidR="00E2523A" w:rsidRPr="00EC19E5">
        <w:rPr>
          <w:i/>
          <w:shd w:val="clear" w:color="auto" w:fill="F2F2F2"/>
        </w:rPr>
        <w:t>à</w:t>
      </w:r>
      <w:r w:rsidR="007B37BA" w:rsidRPr="00EC19E5">
        <w:rPr>
          <w:i/>
          <w:shd w:val="clear" w:color="auto" w:fill="F2F2F2"/>
        </w:rPr>
        <w:t xml:space="preserve"> prendre part </w:t>
      </w:r>
      <w:r w:rsidR="00E2523A" w:rsidRPr="00EC19E5">
        <w:rPr>
          <w:i/>
          <w:shd w:val="clear" w:color="auto" w:fill="F2F2F2"/>
        </w:rPr>
        <w:t>à</w:t>
      </w:r>
      <w:r w:rsidR="007B37BA" w:rsidRPr="00EC19E5">
        <w:rPr>
          <w:i/>
          <w:shd w:val="clear" w:color="auto" w:fill="F2F2F2"/>
        </w:rPr>
        <w:t xml:space="preserve"> nos activités de sensibilisation sur </w:t>
      </w:r>
      <w:r w:rsidRPr="00EC19E5">
        <w:rPr>
          <w:i/>
          <w:shd w:val="clear" w:color="auto" w:fill="F2F2F2"/>
        </w:rPr>
        <w:t>nos propres rôles</w:t>
      </w:r>
      <w:r w:rsidR="007B37BA" w:rsidRPr="00EC19E5">
        <w:rPr>
          <w:i/>
          <w:shd w:val="clear" w:color="auto" w:fill="F2F2F2"/>
        </w:rPr>
        <w:t xml:space="preserve"> dans la gestion de conflits »</w:t>
      </w:r>
    </w:p>
    <w:p w14:paraId="0276D862" w14:textId="77777777" w:rsidR="00065010" w:rsidRDefault="00065010" w:rsidP="009A1F02">
      <w:pPr>
        <w:tabs>
          <w:tab w:val="left" w:pos="7920"/>
        </w:tabs>
        <w:rPr>
          <w:rFonts w:ascii="Times New Roman" w:hAnsi="Times New Roman" w:cs="Times New Roman"/>
          <w:b/>
        </w:rPr>
      </w:pPr>
    </w:p>
    <w:p w14:paraId="04F790AD" w14:textId="7FA0A639" w:rsidR="00065010" w:rsidRDefault="00065010" w:rsidP="00820BBD">
      <w:pPr>
        <w:pStyle w:val="Titre2"/>
        <w:numPr>
          <w:ilvl w:val="1"/>
          <w:numId w:val="81"/>
        </w:numPr>
      </w:pPr>
      <w:bookmarkStart w:id="961" w:name="_Toc95451873"/>
      <w:bookmarkStart w:id="962" w:name="_Hlk86824100"/>
      <w:r>
        <w:t>Egalité de sexe, genre et droits humains</w:t>
      </w:r>
      <w:bookmarkEnd w:id="961"/>
    </w:p>
    <w:p w14:paraId="5E34E90D" w14:textId="63ECD71E" w:rsidR="00300E39" w:rsidRDefault="00300E39" w:rsidP="00DF4AC8">
      <w:pPr>
        <w:pStyle w:val="Titre3"/>
      </w:pPr>
      <w:bookmarkStart w:id="963" w:name="_Hlk86824125"/>
      <w:bookmarkEnd w:id="962"/>
      <w:r>
        <w:t>Constat 15</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300E39" w14:paraId="011D810F" w14:textId="77777777" w:rsidTr="00EC19E5">
        <w:trPr>
          <w:trHeight w:val="821"/>
        </w:trPr>
        <w:tc>
          <w:tcPr>
            <w:tcW w:w="9341" w:type="dxa"/>
            <w:shd w:val="clear" w:color="auto" w:fill="auto"/>
          </w:tcPr>
          <w:p w14:paraId="2EDD84AB" w14:textId="3E97098F" w:rsidR="00300E39" w:rsidRDefault="56808E86" w:rsidP="009E2DEE">
            <w:pPr>
              <w:spacing w:line="276" w:lineRule="auto"/>
              <w:rPr>
                <w:rFonts w:cs="Times New Roman"/>
                <w:b/>
                <w:bCs/>
                <w:color w:val="0070C0"/>
              </w:rPr>
            </w:pPr>
            <w:r>
              <w:rPr>
                <w:rFonts w:cs="Times New Roman"/>
                <w:b/>
                <w:bCs/>
                <w:color w:val="0070C0"/>
              </w:rPr>
              <w:t xml:space="preserve">Les considérations de genre ont été prises en compte dans la conception, la mise en œuvre des activités </w:t>
            </w:r>
            <w:r w:rsidR="268F90B2">
              <w:rPr>
                <w:rFonts w:cs="Times New Roman"/>
                <w:b/>
                <w:bCs/>
                <w:color w:val="0070C0"/>
              </w:rPr>
              <w:t>et le suivi des résultats</w:t>
            </w:r>
            <w:r w:rsidR="003E5423">
              <w:rPr>
                <w:rFonts w:cs="Times New Roman"/>
                <w:b/>
                <w:bCs/>
                <w:color w:val="0070C0"/>
              </w:rPr>
              <w:t xml:space="preserve"> du projet</w:t>
            </w:r>
            <w:r w:rsidR="268F90B2">
              <w:rPr>
                <w:rFonts w:cs="Times New Roman"/>
                <w:b/>
                <w:bCs/>
                <w:color w:val="0070C0"/>
              </w:rPr>
              <w:t>. Par contre, l</w:t>
            </w:r>
            <w:r w:rsidR="00300E39">
              <w:rPr>
                <w:rFonts w:cs="Times New Roman"/>
                <w:b/>
                <w:bCs/>
                <w:color w:val="0070C0"/>
              </w:rPr>
              <w:t xml:space="preserve">a composition de l’équipe </w:t>
            </w:r>
            <w:r w:rsidR="00CC29BC">
              <w:rPr>
                <w:rFonts w:cs="Times New Roman"/>
                <w:b/>
                <w:bCs/>
                <w:color w:val="0070C0"/>
              </w:rPr>
              <w:t>de</w:t>
            </w:r>
            <w:r w:rsidR="00300E39">
              <w:rPr>
                <w:rFonts w:cs="Times New Roman"/>
                <w:b/>
                <w:bCs/>
                <w:color w:val="0070C0"/>
              </w:rPr>
              <w:t xml:space="preserve"> projet </w:t>
            </w:r>
            <w:r w:rsidR="4300EF23">
              <w:rPr>
                <w:rFonts w:cs="Times New Roman"/>
                <w:b/>
                <w:bCs/>
                <w:color w:val="0070C0"/>
              </w:rPr>
              <w:t>au sens large</w:t>
            </w:r>
            <w:r w:rsidR="0040112D" w:rsidRPr="0040112D">
              <w:rPr>
                <w:rStyle w:val="Appelnotedebasdep"/>
                <w:color w:val="0070C0"/>
              </w:rPr>
              <w:footnoteReference w:id="39"/>
            </w:r>
            <w:r w:rsidR="4300EF23" w:rsidRPr="0040112D">
              <w:rPr>
                <w:rFonts w:cs="Times New Roman"/>
                <w:b/>
                <w:bCs/>
                <w:color w:val="0070C0"/>
              </w:rPr>
              <w:t xml:space="preserve"> n</w:t>
            </w:r>
            <w:r w:rsidR="4300EF23">
              <w:rPr>
                <w:rFonts w:cs="Times New Roman"/>
                <w:b/>
                <w:bCs/>
                <w:color w:val="0070C0"/>
              </w:rPr>
              <w:t>’</w:t>
            </w:r>
            <w:r>
              <w:rPr>
                <w:rFonts w:cs="Times New Roman"/>
                <w:b/>
                <w:bCs/>
                <w:color w:val="0070C0"/>
              </w:rPr>
              <w:t xml:space="preserve">intègre </w:t>
            </w:r>
            <w:r w:rsidR="4300EF23">
              <w:rPr>
                <w:rFonts w:cs="Times New Roman"/>
                <w:b/>
                <w:bCs/>
                <w:color w:val="0070C0"/>
              </w:rPr>
              <w:t>que 2</w:t>
            </w:r>
            <w:r w:rsidR="00EA34CB">
              <w:rPr>
                <w:rFonts w:cs="Times New Roman"/>
                <w:b/>
                <w:bCs/>
                <w:color w:val="0070C0"/>
              </w:rPr>
              <w:t>3</w:t>
            </w:r>
            <w:r w:rsidR="4300EF23">
              <w:rPr>
                <w:rFonts w:cs="Times New Roman"/>
                <w:b/>
                <w:bCs/>
                <w:color w:val="0070C0"/>
              </w:rPr>
              <w:t xml:space="preserve">% de femmes. </w:t>
            </w:r>
          </w:p>
          <w:p w14:paraId="03377203" w14:textId="6CFD036D" w:rsidR="00300E39" w:rsidRPr="00191FD2" w:rsidRDefault="00300E39"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3E5423">
              <w:rPr>
                <w:rStyle w:val="fontstyle01"/>
                <w:rFonts w:ascii="Century Gothic" w:hAnsi="Century Gothic"/>
                <w:i/>
                <w:iCs/>
              </w:rPr>
              <w:t>QE26, QE27 et QE28</w:t>
            </w:r>
            <w:r>
              <w:rPr>
                <w:rStyle w:val="fontstyle01"/>
                <w:rFonts w:ascii="Century Gothic" w:hAnsi="Century Gothic"/>
                <w:i/>
                <w:iCs/>
              </w:rPr>
              <w:t xml:space="preserve"> </w:t>
            </w:r>
          </w:p>
        </w:tc>
      </w:tr>
      <w:bookmarkEnd w:id="963"/>
    </w:tbl>
    <w:p w14:paraId="50AB6FAC" w14:textId="3160C261" w:rsidR="00CD07A5" w:rsidRDefault="00CD07A5" w:rsidP="009A1F02">
      <w:pPr>
        <w:tabs>
          <w:tab w:val="left" w:pos="7920"/>
        </w:tabs>
        <w:rPr>
          <w:rFonts w:ascii="Times New Roman" w:hAnsi="Times New Roman" w:cs="Times New Roman"/>
          <w:b/>
        </w:rPr>
      </w:pPr>
    </w:p>
    <w:p w14:paraId="4CB0156F" w14:textId="03070194" w:rsidR="00874BD3" w:rsidRDefault="00F87E99" w:rsidP="00FB2B45">
      <w:pPr>
        <w:pStyle w:val="Paragraphedeliste"/>
        <w:numPr>
          <w:ilvl w:val="0"/>
          <w:numId w:val="23"/>
        </w:numPr>
        <w:spacing w:line="276" w:lineRule="auto"/>
      </w:pPr>
      <w:r w:rsidRPr="00F87E99">
        <w:t>L</w:t>
      </w:r>
      <w:r>
        <w:t>a question du genre et des droits humains apparait comme une thématique centrale dans ce</w:t>
      </w:r>
      <w:r w:rsidRPr="00F87E99">
        <w:t xml:space="preserve"> projet</w:t>
      </w:r>
      <w:r w:rsidR="00002DDB">
        <w:t xml:space="preserve">, dès la conception et durant la mise en œuvre des activités. En témoignent l’énoncé du </w:t>
      </w:r>
      <w:r w:rsidR="00002DDB" w:rsidRPr="00002DDB">
        <w:rPr>
          <w:b/>
          <w:bCs/>
        </w:rPr>
        <w:t>Résultat 1 :</w:t>
      </w:r>
      <w:r w:rsidR="00002DDB">
        <w:t xml:space="preserve"> « </w:t>
      </w:r>
      <w:r w:rsidR="00002DDB" w:rsidRPr="00002DDB">
        <w:rPr>
          <w:i/>
          <w:iCs/>
        </w:rPr>
        <w:t>D’ici la fin du projet, les mécanismes et structures étatiques et non-étatiques de prévention et de gestion de conflits dans les zones du projet intégrant les femmes et les jeunes, préviennent et résolvent de manière efficiente les conflits au niveau local</w:t>
      </w:r>
      <w:r w:rsidR="00002DDB">
        <w:rPr>
          <w:i/>
          <w:iCs/>
        </w:rPr>
        <w:t> »</w:t>
      </w:r>
      <w:r w:rsidR="007068E8">
        <w:rPr>
          <w:i/>
          <w:iCs/>
        </w:rPr>
        <w:t xml:space="preserve"> </w:t>
      </w:r>
      <w:r w:rsidR="00002DDB">
        <w:t>et du</w:t>
      </w:r>
      <w:r w:rsidR="007068E8">
        <w:t xml:space="preserve"> </w:t>
      </w:r>
      <w:r w:rsidRPr="00002DDB">
        <w:rPr>
          <w:b/>
          <w:bCs/>
        </w:rPr>
        <w:t>Résultat 2 :</w:t>
      </w:r>
      <w:r w:rsidRPr="00F87E99">
        <w:t xml:space="preserve"> </w:t>
      </w:r>
      <w:r w:rsidR="00002DDB" w:rsidRPr="00002DDB">
        <w:t>«</w:t>
      </w:r>
      <w:r w:rsidR="00002DDB" w:rsidRPr="00002DDB">
        <w:rPr>
          <w:b/>
          <w:bCs/>
        </w:rPr>
        <w:t xml:space="preserve"> </w:t>
      </w:r>
      <w:r w:rsidRPr="00F87E99">
        <w:t xml:space="preserve">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 </w:t>
      </w:r>
      <w:r w:rsidR="008C19BB" w:rsidRPr="008C19BB">
        <w:t xml:space="preserve">Les femmes ont été à 60% bénéficiaires </w:t>
      </w:r>
      <w:r w:rsidR="008C19BB">
        <w:t>des</w:t>
      </w:r>
      <w:r w:rsidR="008C19BB" w:rsidRPr="008C19BB">
        <w:t xml:space="preserve"> actions du projet</w:t>
      </w:r>
      <w:r w:rsidR="008C19BB">
        <w:t xml:space="preserve"> et l</w:t>
      </w:r>
      <w:r w:rsidR="00002DDB">
        <w:t>e coût des a</w:t>
      </w:r>
      <w:r w:rsidR="00002DDB" w:rsidRPr="00F87E99">
        <w:t xml:space="preserve">ctivités directement liées à l’égalité entre les sexes/le renforcement des capacités des femmes </w:t>
      </w:r>
      <w:r w:rsidR="00002DDB">
        <w:t>représente</w:t>
      </w:r>
      <w:r w:rsidR="00002DDB" w:rsidRPr="00F87E99">
        <w:t xml:space="preserve"> de 51% du budget total</w:t>
      </w:r>
      <w:r w:rsidR="00002DDB">
        <w:t xml:space="preserve"> du projet</w:t>
      </w:r>
      <w:r w:rsidR="00002DDB" w:rsidRPr="00F87E99">
        <w:t xml:space="preserve">. </w:t>
      </w:r>
      <w:r w:rsidR="00002DDB">
        <w:t xml:space="preserve">Pour </w:t>
      </w:r>
      <w:r w:rsidR="00751777">
        <w:t>accroitre substantiellement la participation des femmes, certaines ONG ont confié avoir expressément exigé au moins 50% de participants de sexe féminin pour espérer avoir au moins les 30%. La représentativité des femmes au sein des MC</w:t>
      </w:r>
      <w:r w:rsidR="00A543B8">
        <w:t>PGC a</w:t>
      </w:r>
      <w:r w:rsidR="00DA5C95">
        <w:t>,</w:t>
      </w:r>
      <w:r w:rsidR="00A543B8">
        <w:t xml:space="preserve"> par exemple</w:t>
      </w:r>
      <w:r w:rsidR="00DA5C95">
        <w:t>,</w:t>
      </w:r>
      <w:r w:rsidR="00A543B8">
        <w:t xml:space="preserve"> été accru de </w:t>
      </w:r>
      <w:r w:rsidR="00751777" w:rsidRPr="00751777">
        <w:t>3% en 2019 à au moins 31% de femmes en 2021</w:t>
      </w:r>
      <w:r w:rsidR="00A543B8">
        <w:t xml:space="preserve"> (Rapport final de projet).</w:t>
      </w:r>
    </w:p>
    <w:p w14:paraId="34CD731F" w14:textId="31D43E75" w:rsidR="00874BD3" w:rsidRDefault="00A543B8" w:rsidP="00FB2B45">
      <w:pPr>
        <w:pStyle w:val="Paragraphedeliste"/>
        <w:numPr>
          <w:ilvl w:val="0"/>
          <w:numId w:val="23"/>
        </w:numPr>
        <w:spacing w:line="276" w:lineRule="auto"/>
      </w:pPr>
      <w:r>
        <w:t xml:space="preserve">Les activités du projet ont aussi adressé des réponses </w:t>
      </w:r>
      <w:r w:rsidR="0C9BBF21">
        <w:t>aux</w:t>
      </w:r>
      <w:r>
        <w:t xml:space="preserve"> problèmes de droits humains, à travers la formation des FDS et les ACP pour l’intégration des droits humains dans leurs procédures, la formation des formateurs sur les voies de recours et le signalement des cas de violation des droits humains </w:t>
      </w:r>
      <w:r w:rsidR="002E5BE3">
        <w:t>ainsi que les sensibilisations à travers les radios communautaires. Par ailleurs</w:t>
      </w:r>
      <w:r w:rsidR="008C19BB">
        <w:t>,</w:t>
      </w:r>
      <w:r w:rsidR="002E5BE3">
        <w:t xml:space="preserve"> suite aux études sur le degré d’inclusion du genre et des droits humains dans les missions des FDS et ACP réalisées au Mali (Gao et Ménaka) et au Niger (Tillabéry)</w:t>
      </w:r>
      <w:r w:rsidR="008C19BB">
        <w:t xml:space="preserve">, un </w:t>
      </w:r>
      <w:r w:rsidR="002E5BE3">
        <w:t>atelier de travail</w:t>
      </w:r>
      <w:r w:rsidR="008C19BB">
        <w:t xml:space="preserve"> a permis d’identifier de façon participative </w:t>
      </w:r>
      <w:r w:rsidR="002E5BE3">
        <w:t>les besoins prioritaires de renforcement de capacités des FDS dans le cadre d’un plan d’action en cours de finalisation par le ministère de la défense et des anciens combattants du Mali</w:t>
      </w:r>
      <w:r w:rsidR="008C19BB">
        <w:t>.</w:t>
      </w:r>
      <w:r w:rsidR="00874BD3">
        <w:t xml:space="preserve"> </w:t>
      </w:r>
    </w:p>
    <w:p w14:paraId="3CDCBFC7" w14:textId="0F839E95" w:rsidR="00F87E99" w:rsidRDefault="00874BD3" w:rsidP="0020372B">
      <w:pPr>
        <w:pStyle w:val="Paragraphedeliste"/>
        <w:numPr>
          <w:ilvl w:val="0"/>
          <w:numId w:val="23"/>
        </w:numPr>
        <w:spacing w:line="276" w:lineRule="auto"/>
      </w:pPr>
      <w:r>
        <w:t xml:space="preserve">Outre les études diagnostic réalisées qui ont permis de saisir l’ampleur des besoins d’inclusivité du genre au niveau des MCPGC et dans les missions des FDS et des ACP, les rapports de suivi ont </w:t>
      </w:r>
      <w:r w:rsidR="004F6F09">
        <w:t>aussi contribué à la connaissance des priorités et des résultats réalisés pour les femmes, à travers la désagrégation des indicateurs par sexe</w:t>
      </w:r>
      <w:r w:rsidR="00987158">
        <w:t xml:space="preserve"> dans une certaine mesure</w:t>
      </w:r>
      <w:r w:rsidR="004F6F09">
        <w:t xml:space="preserve">. </w:t>
      </w:r>
      <w:r w:rsidR="00EA5C0A">
        <w:t xml:space="preserve">Les rapports d’exécution trimestriel </w:t>
      </w:r>
      <w:r w:rsidR="00AD2A19">
        <w:t>obtenues des</w:t>
      </w:r>
      <w:r w:rsidR="00EA5C0A">
        <w:t xml:space="preserve"> ONG partenaires (CAR</w:t>
      </w:r>
      <w:r w:rsidR="00AD2A19">
        <w:t>.</w:t>
      </w:r>
      <w:r w:rsidR="00EA5C0A">
        <w:t>D et CRADE</w:t>
      </w:r>
      <w:r w:rsidR="00AD2A19">
        <w:t xml:space="preserve"> uniquement</w:t>
      </w:r>
      <w:r w:rsidR="00EA5C0A">
        <w:t xml:space="preserve">) </w:t>
      </w:r>
      <w:r w:rsidR="00AD2A19">
        <w:t xml:space="preserve">intègrent systématiquement un tableau statistique désagrégé des résultats par sexe comme présenté dans la capture </w:t>
      </w:r>
      <w:r w:rsidR="00F678E4">
        <w:t>ci-après</w:t>
      </w:r>
      <w:r w:rsidR="00F678E4">
        <w:rPr>
          <w:rStyle w:val="Appelnotedebasdep"/>
        </w:rPr>
        <w:footnoteReference w:id="40"/>
      </w:r>
      <w:r w:rsidR="003E150A">
        <w:t xml:space="preserve">. </w:t>
      </w:r>
      <w:r w:rsidR="005243C5">
        <w:t xml:space="preserve">De même les rapports de progrès dont le rapport final désagrègent </w:t>
      </w:r>
      <w:r w:rsidR="00063CCF">
        <w:t xml:space="preserve">par sexe la plupart des </w:t>
      </w:r>
      <w:r w:rsidR="005243C5">
        <w:t xml:space="preserve">données </w:t>
      </w:r>
      <w:r w:rsidR="00063CCF">
        <w:t xml:space="preserve">fournies </w:t>
      </w:r>
      <w:r w:rsidR="005243C5">
        <w:t xml:space="preserve">(indicateurs et effectifs des bénéficiaires) </w:t>
      </w:r>
      <w:r w:rsidR="009A42BD">
        <w:t>sauf le nombre des formateurs de la société civile (220).</w:t>
      </w:r>
      <w:r w:rsidR="005750E3">
        <w:t xml:space="preserve"> </w:t>
      </w:r>
    </w:p>
    <w:p w14:paraId="680DC6F9" w14:textId="03696CB6" w:rsidR="003E5423" w:rsidRDefault="00063CCF" w:rsidP="00FB2B45">
      <w:pPr>
        <w:pStyle w:val="Paragraphedeliste"/>
        <w:numPr>
          <w:ilvl w:val="0"/>
          <w:numId w:val="23"/>
        </w:numPr>
        <w:spacing w:line="276" w:lineRule="auto"/>
      </w:pPr>
      <w:r>
        <w:t xml:space="preserve">Relativement à la composition de l’équipe </w:t>
      </w:r>
      <w:r w:rsidR="00CC29BC">
        <w:t>de</w:t>
      </w:r>
      <w:r>
        <w:t xml:space="preserve"> projet</w:t>
      </w:r>
      <w:r w:rsidRPr="00063CCF">
        <w:t xml:space="preserve"> </w:t>
      </w:r>
      <w:r>
        <w:t>au sens large, l</w:t>
      </w:r>
      <w:r w:rsidR="00812EB7">
        <w:t xml:space="preserve">es informations dont a pu disposer l’équipe d’évaluation révèlent </w:t>
      </w:r>
      <w:r>
        <w:t>qu’elle</w:t>
      </w:r>
      <w:r w:rsidR="00812EB7">
        <w:t xml:space="preserve"> compte 24 personnes dont 6 femmes soit un taux de représentativité de 2</w:t>
      </w:r>
      <w:r w:rsidR="003861DF">
        <w:t>3</w:t>
      </w:r>
      <w:r w:rsidR="00812EB7">
        <w:t>%. A niveau des Agences d’exécution</w:t>
      </w:r>
      <w:r>
        <w:t xml:space="preserve"> (ONU Femmes &amp; ONUDC)</w:t>
      </w:r>
      <w:r w:rsidR="00812EB7">
        <w:t xml:space="preserve">, on dénombre 2 femmes sur 9 personnes mobilisées (soit </w:t>
      </w:r>
      <w:r w:rsidR="003861DF">
        <w:t>18</w:t>
      </w:r>
      <w:r w:rsidR="00812EB7">
        <w:t>%) et au niveau des ONG partenaires de mise en œuvre 4 femmes sur 11 soit 27%. Ces taux sont jugés faible</w:t>
      </w:r>
      <w:r w:rsidR="00D1576B">
        <w:t>s</w:t>
      </w:r>
      <w:r w:rsidR="00812EB7">
        <w:t xml:space="preserve"> car en deçà d</w:t>
      </w:r>
      <w:r w:rsidR="00F87E99">
        <w:t>u taux minimum de</w:t>
      </w:r>
      <w:r w:rsidR="00812EB7">
        <w:t xml:space="preserve"> 30%</w:t>
      </w:r>
      <w:r w:rsidR="00D1576B">
        <w:t xml:space="preserve"> recommandé </w:t>
      </w:r>
      <w:r w:rsidR="00F87E99">
        <w:t xml:space="preserve">par </w:t>
      </w:r>
      <w:r w:rsidR="00D1576B">
        <w:t xml:space="preserve">les textes </w:t>
      </w:r>
      <w:r w:rsidR="00F87E99">
        <w:t>nationaux</w:t>
      </w:r>
      <w:r w:rsidR="00F87E99">
        <w:rPr>
          <w:rStyle w:val="Appelnotedebasdep"/>
        </w:rPr>
        <w:footnoteReference w:id="41"/>
      </w:r>
      <w:r>
        <w:t xml:space="preserve"> et non conformes au principe d’équilibre de genre. </w:t>
      </w:r>
    </w:p>
    <w:p w14:paraId="6AE3882D" w14:textId="77777777" w:rsidR="009C6A57" w:rsidRPr="00266B46" w:rsidRDefault="009C6A57" w:rsidP="006821B6">
      <w:pPr>
        <w:spacing w:line="276" w:lineRule="auto"/>
      </w:pPr>
    </w:p>
    <w:p w14:paraId="33D735F0" w14:textId="616831B7" w:rsidR="00DD276F" w:rsidRDefault="00DD276F" w:rsidP="00DF4AC8">
      <w:pPr>
        <w:pStyle w:val="Titre3"/>
      </w:pPr>
      <w:bookmarkStart w:id="964" w:name="_Hlk86824141"/>
      <w:r>
        <w:t>Constat 1</w:t>
      </w:r>
      <w:r w:rsidR="00300E39">
        <w:t>6</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5795BDA2" w14:textId="77777777" w:rsidTr="00EC19E5">
        <w:trPr>
          <w:trHeight w:val="538"/>
        </w:trPr>
        <w:tc>
          <w:tcPr>
            <w:tcW w:w="9341" w:type="dxa"/>
            <w:shd w:val="clear" w:color="auto" w:fill="auto"/>
          </w:tcPr>
          <w:p w14:paraId="623D0F1A" w14:textId="58967693" w:rsidR="00DD276F" w:rsidRDefault="009F6CEF" w:rsidP="009E2DEE">
            <w:pPr>
              <w:spacing w:line="276" w:lineRule="auto"/>
              <w:rPr>
                <w:rFonts w:cs="Times New Roman"/>
                <w:b/>
                <w:bCs/>
                <w:color w:val="0070C0"/>
              </w:rPr>
            </w:pPr>
            <w:r>
              <w:rPr>
                <w:rFonts w:cs="Times New Roman"/>
                <w:b/>
                <w:bCs/>
                <w:color w:val="0070C0"/>
              </w:rPr>
              <w:t>Les formations dont ont bénéficié les femmes et les jeunes ainsi que leur intégration dans les MCPGC leur ont permis d</w:t>
            </w:r>
            <w:r w:rsidR="00300E39">
              <w:rPr>
                <w:rFonts w:cs="Times New Roman"/>
                <w:b/>
                <w:bCs/>
                <w:color w:val="0070C0"/>
              </w:rPr>
              <w:t xml:space="preserve">’accroitre leur leadership en matière de prévention et de gestion des conflits, mais aussi de contribuer à un changement de perception </w:t>
            </w:r>
            <w:r w:rsidR="000573E4">
              <w:rPr>
                <w:rFonts w:cs="Times New Roman"/>
                <w:b/>
                <w:bCs/>
                <w:color w:val="0070C0"/>
              </w:rPr>
              <w:t>de leur</w:t>
            </w:r>
            <w:r w:rsidR="00300E39">
              <w:rPr>
                <w:rFonts w:cs="Times New Roman"/>
                <w:b/>
                <w:bCs/>
                <w:color w:val="0070C0"/>
              </w:rPr>
              <w:t xml:space="preserve"> place et rôle dans la communauté. </w:t>
            </w:r>
            <w:r w:rsidR="00EE2C82">
              <w:rPr>
                <w:rFonts w:cs="Times New Roman"/>
                <w:b/>
                <w:bCs/>
                <w:color w:val="0070C0"/>
              </w:rPr>
              <w:t>Le projet</w:t>
            </w:r>
            <w:r w:rsidR="00EE5EBF">
              <w:rPr>
                <w:rFonts w:cs="Times New Roman"/>
                <w:b/>
                <w:bCs/>
                <w:color w:val="0070C0"/>
              </w:rPr>
              <w:t xml:space="preserve"> </w:t>
            </w:r>
            <w:r w:rsidR="0005584C">
              <w:rPr>
                <w:rFonts w:cs="Times New Roman"/>
                <w:b/>
                <w:bCs/>
                <w:color w:val="0070C0"/>
              </w:rPr>
              <w:t xml:space="preserve">a </w:t>
            </w:r>
            <w:r w:rsidR="00EE5EBF">
              <w:rPr>
                <w:rFonts w:cs="Times New Roman"/>
                <w:b/>
                <w:bCs/>
                <w:color w:val="0070C0"/>
              </w:rPr>
              <w:t xml:space="preserve">aussi </w:t>
            </w:r>
            <w:r w:rsidR="0005584C">
              <w:rPr>
                <w:rFonts w:cs="Times New Roman"/>
                <w:b/>
                <w:bCs/>
                <w:color w:val="0070C0"/>
              </w:rPr>
              <w:t>contribué</w:t>
            </w:r>
            <w:r w:rsidR="00EE2C82">
              <w:rPr>
                <w:rFonts w:cs="Times New Roman"/>
                <w:b/>
                <w:bCs/>
                <w:color w:val="0070C0"/>
              </w:rPr>
              <w:t xml:space="preserve"> </w:t>
            </w:r>
            <w:r w:rsidR="00167E39">
              <w:rPr>
                <w:rFonts w:cs="Times New Roman"/>
                <w:b/>
                <w:bCs/>
                <w:color w:val="0070C0"/>
              </w:rPr>
              <w:t>à</w:t>
            </w:r>
            <w:r w:rsidR="0005584C">
              <w:rPr>
                <w:rFonts w:cs="Times New Roman"/>
                <w:b/>
                <w:bCs/>
                <w:color w:val="0070C0"/>
              </w:rPr>
              <w:t xml:space="preserve"> </w:t>
            </w:r>
            <w:r w:rsidR="00167E39">
              <w:rPr>
                <w:rFonts w:cs="Times New Roman"/>
                <w:b/>
                <w:bCs/>
                <w:color w:val="0070C0"/>
              </w:rPr>
              <w:t>l’amélioration</w:t>
            </w:r>
            <w:r w:rsidR="0005584C">
              <w:rPr>
                <w:rFonts w:cs="Times New Roman"/>
                <w:b/>
                <w:bCs/>
                <w:color w:val="0070C0"/>
              </w:rPr>
              <w:t xml:space="preserve"> de</w:t>
            </w:r>
            <w:r w:rsidR="00EE5EBF">
              <w:rPr>
                <w:rFonts w:cs="Times New Roman"/>
                <w:b/>
                <w:bCs/>
                <w:color w:val="0070C0"/>
              </w:rPr>
              <w:t xml:space="preserve"> la qualité de vie des femmes</w:t>
            </w:r>
            <w:r w:rsidR="00EE2C82">
              <w:rPr>
                <w:rFonts w:cs="Times New Roman"/>
                <w:b/>
                <w:bCs/>
                <w:color w:val="0070C0"/>
              </w:rPr>
              <w:t xml:space="preserve"> et des jeunes filles</w:t>
            </w:r>
            <w:r w:rsidR="00EE5EBF">
              <w:rPr>
                <w:rFonts w:cs="Times New Roman"/>
                <w:b/>
                <w:bCs/>
                <w:color w:val="0070C0"/>
              </w:rPr>
              <w:t xml:space="preserve"> en termes </w:t>
            </w:r>
            <w:r w:rsidR="00167E39">
              <w:rPr>
                <w:rFonts w:cs="Times New Roman"/>
                <w:b/>
                <w:bCs/>
                <w:color w:val="0070C0"/>
              </w:rPr>
              <w:t>d’estime</w:t>
            </w:r>
            <w:r w:rsidR="0005584C">
              <w:rPr>
                <w:rFonts w:cs="Times New Roman"/>
                <w:b/>
                <w:bCs/>
                <w:color w:val="0070C0"/>
              </w:rPr>
              <w:t xml:space="preserve"> de soi, d</w:t>
            </w:r>
            <w:r w:rsidR="00EE5EBF">
              <w:rPr>
                <w:rFonts w:cs="Times New Roman"/>
                <w:b/>
                <w:bCs/>
                <w:color w:val="0070C0"/>
              </w:rPr>
              <w:t>e protection contre l</w:t>
            </w:r>
            <w:r w:rsidR="00AE7C68">
              <w:rPr>
                <w:rFonts w:cs="Times New Roman"/>
                <w:b/>
                <w:bCs/>
                <w:color w:val="0070C0"/>
              </w:rPr>
              <w:t>es</w:t>
            </w:r>
            <w:r w:rsidR="00EE5EBF">
              <w:rPr>
                <w:rFonts w:cs="Times New Roman"/>
                <w:b/>
                <w:bCs/>
                <w:color w:val="0070C0"/>
              </w:rPr>
              <w:t xml:space="preserve"> violence</w:t>
            </w:r>
            <w:r w:rsidR="00AE7C68">
              <w:rPr>
                <w:rFonts w:cs="Times New Roman"/>
                <w:b/>
                <w:bCs/>
                <w:color w:val="0070C0"/>
              </w:rPr>
              <w:t xml:space="preserve">s physiques et sexuelles et contre la dégradation de leur situation </w:t>
            </w:r>
            <w:r w:rsidR="005861CE">
              <w:rPr>
                <w:rFonts w:cs="Times New Roman"/>
                <w:b/>
                <w:bCs/>
                <w:color w:val="0070C0"/>
              </w:rPr>
              <w:t>économique</w:t>
            </w:r>
            <w:r w:rsidR="00AE7C68">
              <w:rPr>
                <w:rFonts w:cs="Times New Roman"/>
                <w:b/>
                <w:bCs/>
                <w:color w:val="0070C0"/>
              </w:rPr>
              <w:t xml:space="preserve"> </w:t>
            </w:r>
            <w:r w:rsidR="005861CE">
              <w:rPr>
                <w:rFonts w:cs="Times New Roman"/>
                <w:b/>
                <w:bCs/>
                <w:color w:val="0070C0"/>
              </w:rPr>
              <w:t>et sanitaire liée</w:t>
            </w:r>
            <w:r w:rsidR="007825EB">
              <w:rPr>
                <w:rFonts w:cs="Times New Roman"/>
                <w:b/>
                <w:bCs/>
                <w:color w:val="0070C0"/>
              </w:rPr>
              <w:t>s</w:t>
            </w:r>
            <w:r w:rsidR="00EE2C82">
              <w:rPr>
                <w:rFonts w:cs="Times New Roman"/>
                <w:b/>
                <w:bCs/>
                <w:color w:val="0070C0"/>
              </w:rPr>
              <w:t xml:space="preserve"> aux conflits et</w:t>
            </w:r>
            <w:r w:rsidR="005861CE">
              <w:rPr>
                <w:rFonts w:cs="Times New Roman"/>
                <w:b/>
                <w:bCs/>
                <w:color w:val="0070C0"/>
              </w:rPr>
              <w:t xml:space="preserve"> </w:t>
            </w:r>
            <w:r w:rsidR="00167E39">
              <w:rPr>
                <w:rFonts w:cs="Times New Roman"/>
                <w:b/>
                <w:bCs/>
                <w:color w:val="0070C0"/>
              </w:rPr>
              <w:t>à</w:t>
            </w:r>
            <w:r w:rsidR="00EE2C82">
              <w:rPr>
                <w:rFonts w:cs="Times New Roman"/>
                <w:b/>
                <w:bCs/>
                <w:color w:val="0070C0"/>
              </w:rPr>
              <w:t xml:space="preserve"> </w:t>
            </w:r>
            <w:r w:rsidR="005861CE">
              <w:rPr>
                <w:rFonts w:cs="Times New Roman"/>
                <w:b/>
                <w:bCs/>
                <w:color w:val="0070C0"/>
              </w:rPr>
              <w:t>la COVID</w:t>
            </w:r>
            <w:r w:rsidR="007825EB">
              <w:rPr>
                <w:rFonts w:cs="Times New Roman"/>
                <w:b/>
                <w:bCs/>
                <w:color w:val="0070C0"/>
              </w:rPr>
              <w:t>-1</w:t>
            </w:r>
            <w:r w:rsidR="005861CE">
              <w:rPr>
                <w:rFonts w:cs="Times New Roman"/>
                <w:b/>
                <w:bCs/>
                <w:color w:val="0070C0"/>
              </w:rPr>
              <w:t>9</w:t>
            </w:r>
          </w:p>
          <w:p w14:paraId="5B794D42" w14:textId="1A1C0F47" w:rsidR="00DD276F" w:rsidRPr="00191FD2" w:rsidRDefault="00DD276F"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6821B6">
              <w:rPr>
                <w:rStyle w:val="fontstyle01"/>
                <w:rFonts w:ascii="Century Gothic" w:hAnsi="Century Gothic"/>
                <w:i/>
                <w:iCs/>
              </w:rPr>
              <w:t>QE29 à QE36</w:t>
            </w:r>
          </w:p>
        </w:tc>
      </w:tr>
      <w:bookmarkEnd w:id="964"/>
    </w:tbl>
    <w:p w14:paraId="21370BDD" w14:textId="77777777" w:rsidR="0095022A" w:rsidRDefault="0095022A" w:rsidP="0095022A">
      <w:pPr>
        <w:spacing w:after="0" w:line="276" w:lineRule="auto"/>
        <w:rPr>
          <w:rFonts w:cs="Times New Roman"/>
          <w:bCs/>
        </w:rPr>
      </w:pPr>
    </w:p>
    <w:p w14:paraId="2EEB20EA" w14:textId="4CB1ECD5" w:rsidR="00303B92" w:rsidRPr="00EC19E5" w:rsidRDefault="00C83D75" w:rsidP="00FB2B45">
      <w:pPr>
        <w:pStyle w:val="Paragraphedeliste"/>
        <w:numPr>
          <w:ilvl w:val="0"/>
          <w:numId w:val="23"/>
        </w:numPr>
        <w:spacing w:line="276" w:lineRule="auto"/>
        <w:rPr>
          <w:i/>
          <w:shd w:val="clear" w:color="auto" w:fill="F2F2F2"/>
        </w:rPr>
      </w:pPr>
      <w:r>
        <w:t>Suite à la mise en place/redynamisation des MCPGC avec l’intégration des femmes et des jeunes, l</w:t>
      </w:r>
      <w:r w:rsidR="00CB6E37">
        <w:t xml:space="preserve">es membres ont été outillés </w:t>
      </w:r>
      <w:r w:rsidR="00D45232">
        <w:t>sur leurs rôles et responsabilités,</w:t>
      </w:r>
      <w:r w:rsidR="00C16B4A">
        <w:t xml:space="preserve"> ainsi que</w:t>
      </w:r>
      <w:r w:rsidR="00D45232">
        <w:t xml:space="preserve"> les techniques de médiation </w:t>
      </w:r>
      <w:r w:rsidR="00580314">
        <w:t xml:space="preserve">pour </w:t>
      </w:r>
      <w:r w:rsidR="00294B72">
        <w:t xml:space="preserve">s’impliquer </w:t>
      </w:r>
      <w:r>
        <w:t xml:space="preserve">activement dans la prévention et la gestion pacifique des conflits. </w:t>
      </w:r>
      <w:r w:rsidR="00C16B4A">
        <w:t xml:space="preserve">Les ateliers participatifs d’élaboration et de restitutions des plans d’actions en présence des autorités locales </w:t>
      </w:r>
      <w:r w:rsidR="00DC1B9E">
        <w:t xml:space="preserve">ont aussi constitué des occasions </w:t>
      </w:r>
      <w:r w:rsidR="00C16B4A">
        <w:t xml:space="preserve">d’apprentissage pour les femmes et les jeunes. </w:t>
      </w:r>
      <w:r w:rsidR="00DC1B9E">
        <w:t xml:space="preserve">Selon une femme leader à Anderamboukane, </w:t>
      </w:r>
      <w:r w:rsidR="00DC1B9E" w:rsidRPr="00EC19E5">
        <w:rPr>
          <w:i/>
          <w:shd w:val="clear" w:color="auto" w:fill="F2F2F2"/>
        </w:rPr>
        <w:t>« La culture de la paix et le vivre-ensemble, l'audace de parler de rencontres impliquant les femmes et les jeunes dans la gestion des conflits avant ce projet étaient inimaginables dans notre localité</w:t>
      </w:r>
      <w:r w:rsidR="0035341A" w:rsidRPr="00EC19E5">
        <w:rPr>
          <w:i/>
          <w:shd w:val="clear" w:color="auto" w:fill="F2F2F2"/>
        </w:rPr>
        <w:t xml:space="preserve">. </w:t>
      </w:r>
      <w:r w:rsidR="00DC1B9E" w:rsidRPr="00EC19E5">
        <w:rPr>
          <w:i/>
          <w:shd w:val="clear" w:color="auto" w:fill="F2F2F2"/>
        </w:rPr>
        <w:t>Ce projet nous a aussi appris des techniques de négociation et médiation qui ne cessent de faire ces preuves</w:t>
      </w:r>
      <w:r w:rsidR="0035341A" w:rsidRPr="00EC19E5">
        <w:rPr>
          <w:i/>
          <w:shd w:val="clear" w:color="auto" w:fill="F2F2F2"/>
        </w:rPr>
        <w:t> ».</w:t>
      </w:r>
    </w:p>
    <w:p w14:paraId="4FF77CFD" w14:textId="6AFB23AB" w:rsidR="008E2B57" w:rsidRPr="00EC19E5" w:rsidRDefault="00AD143A" w:rsidP="00FB2B45">
      <w:pPr>
        <w:pStyle w:val="Paragraphedeliste"/>
        <w:numPr>
          <w:ilvl w:val="0"/>
          <w:numId w:val="23"/>
        </w:numPr>
        <w:spacing w:line="276" w:lineRule="auto"/>
        <w:rPr>
          <w:i/>
          <w:shd w:val="clear" w:color="auto" w:fill="F2F2F2"/>
        </w:rPr>
      </w:pPr>
      <w:r w:rsidRPr="00AD143A">
        <w:t>A tra</w:t>
      </w:r>
      <w:r>
        <w:t>vers l</w:t>
      </w:r>
      <w:r w:rsidR="00D93DAD">
        <w:t>’</w:t>
      </w:r>
      <w:r>
        <w:t xml:space="preserve">expérience de </w:t>
      </w:r>
      <w:r w:rsidR="00D93DAD">
        <w:t xml:space="preserve">pilotage de quelques </w:t>
      </w:r>
      <w:r>
        <w:t xml:space="preserve">activités </w:t>
      </w:r>
      <w:r w:rsidR="00D93DAD">
        <w:t xml:space="preserve">en faveur de la paix </w:t>
      </w:r>
      <w:r>
        <w:t xml:space="preserve">et de prise de paroles en public dans le cadre de ce projet, plusieurs femmes et jeunes se sont convaincus de leurs capacités et </w:t>
      </w:r>
      <w:r w:rsidR="00D93DAD">
        <w:t>ont davantage pris conscience de l</w:t>
      </w:r>
      <w:r>
        <w:t xml:space="preserve">eur </w:t>
      </w:r>
      <w:r w:rsidR="008E2B57">
        <w:t>responsabilité dans la promotion de sociétés pacifiques.</w:t>
      </w:r>
      <w:r>
        <w:t xml:space="preserve"> </w:t>
      </w:r>
      <w:r w:rsidR="009362EB">
        <w:t xml:space="preserve">Ces expériences ont renforcé l’estime de soi des femmes membres des MCPGC. Elles ont aussi inspiré aux autres femmes de la communauté un sentiment de fierté mais aussi d’engagement en faveur de la promotion de la paix et de la cohésion sociale. </w:t>
      </w:r>
      <w:r w:rsidR="008E2B57">
        <w:t xml:space="preserve">Les expériences vécues par ces femmes sont illustratrices de cette prise de conscience : </w:t>
      </w:r>
    </w:p>
    <w:p w14:paraId="67015EE3" w14:textId="6A0F7B20" w:rsidR="008E2B57" w:rsidRPr="00EC19E5" w:rsidRDefault="008E2B57" w:rsidP="00FB2B45">
      <w:pPr>
        <w:pStyle w:val="Paragraphedeliste"/>
        <w:numPr>
          <w:ilvl w:val="0"/>
          <w:numId w:val="92"/>
        </w:numPr>
        <w:spacing w:line="276" w:lineRule="auto"/>
        <w:rPr>
          <w:i/>
          <w:shd w:val="clear" w:color="auto" w:fill="F2F2F2"/>
        </w:rPr>
      </w:pPr>
      <w:r>
        <w:t>« </w:t>
      </w:r>
      <w:r w:rsidR="00AD143A" w:rsidRPr="00EC19E5">
        <w:rPr>
          <w:i/>
          <w:shd w:val="clear" w:color="auto" w:fill="F2F2F2"/>
        </w:rPr>
        <w:t>Durant toute ma vie je n'avais osé partager une pièce avec un groupe d'hommes, à fortiori échanger des mots avec eux</w:t>
      </w:r>
      <w:r w:rsidR="00D93DAD" w:rsidRPr="00EC19E5">
        <w:rPr>
          <w:i/>
          <w:shd w:val="clear" w:color="auto" w:fill="F2F2F2"/>
        </w:rPr>
        <w:t>.</w:t>
      </w:r>
      <w:r w:rsidR="00AD143A" w:rsidRPr="00EC19E5">
        <w:rPr>
          <w:i/>
          <w:shd w:val="clear" w:color="auto" w:fill="F2F2F2"/>
        </w:rPr>
        <w:t xml:space="preserve"> </w:t>
      </w:r>
      <w:r w:rsidR="00D93DAD" w:rsidRPr="00EC19E5">
        <w:rPr>
          <w:i/>
          <w:shd w:val="clear" w:color="auto" w:fill="F2F2F2"/>
        </w:rPr>
        <w:t>On</w:t>
      </w:r>
      <w:r w:rsidR="00AD143A" w:rsidRPr="00EC19E5">
        <w:rPr>
          <w:i/>
          <w:shd w:val="clear" w:color="auto" w:fill="F2F2F2"/>
        </w:rPr>
        <w:t xml:space="preserve"> nous a depuis toujours dit que les femmes ne doivent pas parler devant les hommes, mais durant la mise en œuvre de ce projet je me suis retrouvée au cœur des discussions avec des leaders communautaires lors de la mise en place des comités locaux de paix</w:t>
      </w:r>
      <w:r w:rsidR="00D93DAD" w:rsidRPr="00EC19E5">
        <w:rPr>
          <w:i/>
          <w:shd w:val="clear" w:color="auto" w:fill="F2F2F2"/>
        </w:rPr>
        <w:t>. S</w:t>
      </w:r>
      <w:r w:rsidR="00AD143A" w:rsidRPr="00EC19E5">
        <w:rPr>
          <w:i/>
          <w:shd w:val="clear" w:color="auto" w:fill="F2F2F2"/>
        </w:rPr>
        <w:t>incèrement</w:t>
      </w:r>
      <w:r w:rsidR="00D93DAD" w:rsidRPr="00EC19E5">
        <w:rPr>
          <w:i/>
          <w:shd w:val="clear" w:color="auto" w:fill="F2F2F2"/>
        </w:rPr>
        <w:t>,</w:t>
      </w:r>
      <w:r w:rsidR="00AD143A" w:rsidRPr="00EC19E5">
        <w:rPr>
          <w:i/>
          <w:shd w:val="clear" w:color="auto" w:fill="F2F2F2"/>
        </w:rPr>
        <w:t xml:space="preserve"> ceci ne m'a pas laissée indifférente. Avant ce projet seuls les hommes représentaient toutes les couches sociales. En effet, ce projet a été un éveil de conscience pour nous les femmes et d'ailleurs même pour nos leaders</w:t>
      </w:r>
      <w:r w:rsidRPr="00EC19E5">
        <w:rPr>
          <w:i/>
          <w:shd w:val="clear" w:color="auto" w:fill="F2F2F2"/>
        </w:rPr>
        <w:t> »</w:t>
      </w:r>
      <w:r w:rsidR="00AD143A" w:rsidRPr="00EC19E5">
        <w:rPr>
          <w:i/>
          <w:shd w:val="clear" w:color="auto" w:fill="F2F2F2"/>
        </w:rPr>
        <w:t>.</w:t>
      </w:r>
      <w:r w:rsidRPr="00EC19E5">
        <w:rPr>
          <w:i/>
          <w:shd w:val="clear" w:color="auto" w:fill="F2F2F2"/>
        </w:rPr>
        <w:t xml:space="preserve"> </w:t>
      </w:r>
      <w:r w:rsidRPr="008E2B57">
        <w:t>(Une femme à Anderamboukane</w:t>
      </w:r>
      <w:r>
        <w:t>)</w:t>
      </w:r>
    </w:p>
    <w:p w14:paraId="04336219" w14:textId="5DCD8379" w:rsidR="00AD143A" w:rsidRPr="00EC19E5" w:rsidRDefault="008E2B57" w:rsidP="00FB2B45">
      <w:pPr>
        <w:pStyle w:val="Paragraphedeliste"/>
        <w:numPr>
          <w:ilvl w:val="0"/>
          <w:numId w:val="92"/>
        </w:numPr>
        <w:spacing w:line="276" w:lineRule="auto"/>
        <w:rPr>
          <w:i/>
          <w:shd w:val="clear" w:color="auto" w:fill="F2F2F2"/>
        </w:rPr>
      </w:pPr>
      <w:r>
        <w:t>« J</w:t>
      </w:r>
      <w:r w:rsidR="00AD143A" w:rsidRPr="00EC19E5">
        <w:rPr>
          <w:i/>
          <w:shd w:val="clear" w:color="auto" w:fill="F2F2F2"/>
        </w:rPr>
        <w:t>’ai été actrice et organisatrice de plusieurs activités intercommunautaires et inter ethnies. Je suis allé jusqu’à me prononcer sur la radio pour développement la thématique sur le leadership féminin et la tolérance ethnique auxquelles la famille même avait pris part. Après ces émissions j’ai reçu des appels téléphoniques des gens qui me demandent de revenir sur le plateau pour parler sur d’autres thématiques.</w:t>
      </w:r>
      <w:r w:rsidR="007068E8" w:rsidRPr="00EC19E5">
        <w:rPr>
          <w:i/>
          <w:shd w:val="clear" w:color="auto" w:fill="F2F2F2"/>
        </w:rPr>
        <w:t xml:space="preserve"> </w:t>
      </w:r>
      <w:r w:rsidR="00AD143A" w:rsidRPr="00EC19E5">
        <w:rPr>
          <w:i/>
          <w:shd w:val="clear" w:color="auto" w:fill="F2F2F2"/>
        </w:rPr>
        <w:t xml:space="preserve">Lors d’une activité, les autorités ont clairement dit que c’est la première fois qu’on voie une femme se donner à ce point pour la promotion de la paix. Pour sa part la famille était </w:t>
      </w:r>
      <w:r w:rsidR="00D517DA" w:rsidRPr="00EC19E5">
        <w:rPr>
          <w:i/>
          <w:shd w:val="clear" w:color="auto" w:fill="F2F2F2"/>
        </w:rPr>
        <w:t>convaincue</w:t>
      </w:r>
      <w:r w:rsidR="00AD143A" w:rsidRPr="00EC19E5">
        <w:rPr>
          <w:i/>
          <w:shd w:val="clear" w:color="auto" w:fill="F2F2F2"/>
        </w:rPr>
        <w:t xml:space="preserve"> parce qu’elle m’avait vu prendre la parole là où elle ne s’y entendait pas c’est-à-dire devant les autorités et à la radio</w:t>
      </w:r>
      <w:r w:rsidR="00AD143A" w:rsidRPr="008E2B57">
        <w:t xml:space="preserve">. </w:t>
      </w:r>
      <w:r w:rsidRPr="008E2B57">
        <w:t>(</w:t>
      </w:r>
      <w:r w:rsidR="00AD143A" w:rsidRPr="008E2B57">
        <w:t>Jeune fille à Bankilaré</w:t>
      </w:r>
      <w:r>
        <w:t>)</w:t>
      </w:r>
    </w:p>
    <w:p w14:paraId="11A15569" w14:textId="0413DA2D" w:rsidR="00D517DA" w:rsidRPr="00D517DA" w:rsidRDefault="00D517DA" w:rsidP="00FB2B45">
      <w:pPr>
        <w:pStyle w:val="Paragraphedeliste"/>
        <w:numPr>
          <w:ilvl w:val="0"/>
          <w:numId w:val="23"/>
        </w:numPr>
        <w:spacing w:line="276" w:lineRule="auto"/>
      </w:pPr>
      <w:r w:rsidRPr="00D517DA">
        <w:t>Par ailleurs</w:t>
      </w:r>
      <w:r>
        <w:t xml:space="preserve">, la participation des femmes dans les MCPGC et dans les autres activités du projet a eu pour effet de provoquer un changement de mentalité </w:t>
      </w:r>
      <w:r w:rsidR="00FF0B49">
        <w:t xml:space="preserve">des communautés sur le rôle et la place de la femme </w:t>
      </w:r>
      <w:r w:rsidR="00FF0B49" w:rsidRPr="00FF0B49">
        <w:t>dans la prévention et la gestion des conflits</w:t>
      </w:r>
      <w:r w:rsidR="00FF0B49">
        <w:t xml:space="preserve">. </w:t>
      </w:r>
      <w:r w:rsidR="009362EB">
        <w:t>Au-delà des messages de promotion de la participation de la femme aux instances de décisions au niveau communautaire, l’exemple</w:t>
      </w:r>
      <w:r w:rsidR="001F2309">
        <w:t xml:space="preserve"> de</w:t>
      </w:r>
      <w:r w:rsidR="009362EB">
        <w:t xml:space="preserve"> </w:t>
      </w:r>
      <w:r w:rsidR="001F2309">
        <w:t xml:space="preserve">l’engagement et de </w:t>
      </w:r>
      <w:r w:rsidR="009362EB">
        <w:t>détermination des femmes</w:t>
      </w:r>
      <w:r w:rsidR="001F2309">
        <w:t xml:space="preserve"> dans les MCGPC a permis de convaincre les leaders communautaires et religieux de l’importance réelle de contribution de la femme en matière de culture de la paix et de la cohésion sociale.</w:t>
      </w:r>
      <w:r w:rsidR="007760A2">
        <w:t xml:space="preserve"> </w:t>
      </w:r>
      <w:r w:rsidR="00FF0B49">
        <w:t xml:space="preserve">De nombreux témoignages ont été fournis par les répondants : </w:t>
      </w:r>
    </w:p>
    <w:p w14:paraId="126A1749" w14:textId="3727175F" w:rsidR="00FF0B49" w:rsidRPr="00FF0B49" w:rsidRDefault="00F04541" w:rsidP="00FB2B45">
      <w:pPr>
        <w:pStyle w:val="Paragraphedeliste"/>
        <w:numPr>
          <w:ilvl w:val="0"/>
          <w:numId w:val="92"/>
        </w:numPr>
        <w:spacing w:line="276" w:lineRule="auto"/>
      </w:pPr>
      <w:r w:rsidRPr="00EC19E5">
        <w:rPr>
          <w:i/>
          <w:shd w:val="clear" w:color="auto" w:fill="F2F2F2"/>
        </w:rPr>
        <w:t>« Depuis</w:t>
      </w:r>
      <w:r w:rsidR="00303B92" w:rsidRPr="00EC19E5">
        <w:rPr>
          <w:i/>
          <w:shd w:val="clear" w:color="auto" w:fill="F2F2F2"/>
        </w:rPr>
        <w:t xml:space="preserve"> un certain temps ce sont les leaders communautaires eux même qui demandent aux groupements des femmes et des jeunes de fournir leurs listes de participants devant prendre part à une quelconque activité communautaire, ceci signifie que la perception du rôle des femmes et jeunes dans les </w:t>
      </w:r>
      <w:r w:rsidR="00E90CF8" w:rsidRPr="00EC19E5">
        <w:rPr>
          <w:i/>
          <w:shd w:val="clear" w:color="auto" w:fill="F2F2F2"/>
        </w:rPr>
        <w:t>MCPGC</w:t>
      </w:r>
      <w:r w:rsidR="00303B92" w:rsidRPr="00EC19E5">
        <w:rPr>
          <w:i/>
          <w:shd w:val="clear" w:color="auto" w:fill="F2F2F2"/>
        </w:rPr>
        <w:t xml:space="preserve"> est bien </w:t>
      </w:r>
      <w:r w:rsidR="00FF0B49" w:rsidRPr="00EC19E5">
        <w:rPr>
          <w:i/>
          <w:shd w:val="clear" w:color="auto" w:fill="F2F2F2"/>
        </w:rPr>
        <w:t>acceptée » </w:t>
      </w:r>
      <w:r w:rsidR="00FF0B49">
        <w:rPr>
          <w:rFonts w:cs="Tahoma"/>
          <w:color w:val="000000"/>
        </w:rPr>
        <w:t>; (Femme leader au Mali)</w:t>
      </w:r>
      <w:r>
        <w:rPr>
          <w:rFonts w:cs="Tahoma"/>
          <w:color w:val="000000"/>
        </w:rPr>
        <w:t xml:space="preserve"> </w:t>
      </w:r>
    </w:p>
    <w:p w14:paraId="56EC36C8" w14:textId="2F7F974A" w:rsidR="00FF0B49" w:rsidRPr="00FF0B49" w:rsidRDefault="00FF0B49" w:rsidP="00FB2B45">
      <w:pPr>
        <w:pStyle w:val="Paragraphedeliste"/>
        <w:numPr>
          <w:ilvl w:val="0"/>
          <w:numId w:val="92"/>
        </w:numPr>
        <w:spacing w:after="0" w:line="276" w:lineRule="auto"/>
        <w:rPr>
          <w:rFonts w:cs="Times New Roman"/>
          <w:bCs/>
        </w:rPr>
      </w:pPr>
      <w:r w:rsidRPr="00EC19E5">
        <w:rPr>
          <w:i/>
          <w:shd w:val="clear" w:color="auto" w:fill="F2F2F2"/>
        </w:rPr>
        <w:t xml:space="preserve">« La perception du rôle des femmes et des jeunes dans les mécanismes a beaucoup changé au niveau de la communauté car aujourd'hui c'est la communauté elle-même qui s'est rendue compte de la participation active des femmes et des jeunes dans les </w:t>
      </w:r>
      <w:r w:rsidR="00E90CF8" w:rsidRPr="00EC19E5">
        <w:rPr>
          <w:i/>
          <w:shd w:val="clear" w:color="auto" w:fill="F2F2F2"/>
        </w:rPr>
        <w:t>MCPGC</w:t>
      </w:r>
      <w:r w:rsidRPr="00EC19E5">
        <w:rPr>
          <w:i/>
          <w:shd w:val="clear" w:color="auto" w:fill="F2F2F2"/>
        </w:rPr>
        <w:t xml:space="preserve">. D'ailleurs, ce sont nous les leaders communautaires qui veillons aujourd'hui à ce que les femmes et les jeunes fassent partie de ces mécanismes » </w:t>
      </w:r>
      <w:r w:rsidRPr="00FF0B49">
        <w:rPr>
          <w:rFonts w:cs="Times New Roman"/>
          <w:bCs/>
        </w:rPr>
        <w:t>Chef de village / Anderamboukane</w:t>
      </w:r>
    </w:p>
    <w:p w14:paraId="05E0121C" w14:textId="22CC144A" w:rsidR="001F2309" w:rsidRDefault="00582026" w:rsidP="00FB2B45">
      <w:pPr>
        <w:pStyle w:val="Paragraphedeliste"/>
        <w:numPr>
          <w:ilvl w:val="0"/>
          <w:numId w:val="23"/>
        </w:numPr>
        <w:spacing w:line="276" w:lineRule="auto"/>
      </w:pPr>
      <w:r>
        <w:t xml:space="preserve">Comme démontré plus haut, le projet a contribué à produire d’importants </w:t>
      </w:r>
      <w:bookmarkStart w:id="965" w:name="_Hlk86842865"/>
      <w:r>
        <w:t>résultats dans la zone d’intervention tels l</w:t>
      </w:r>
      <w:r w:rsidR="0064570C">
        <w:t xml:space="preserve">’apaisement des conflits communautaires, </w:t>
      </w:r>
      <w:r>
        <w:t>l</w:t>
      </w:r>
      <w:r w:rsidR="0064570C">
        <w:t xml:space="preserve">’affirmation du leadership des femmes, </w:t>
      </w:r>
      <w:r w:rsidR="000F75A5">
        <w:t>la connaissance de leur</w:t>
      </w:r>
      <w:r w:rsidR="0069572D">
        <w:t>s</w:t>
      </w:r>
      <w:r w:rsidR="000F75A5">
        <w:t xml:space="preserve"> droits, </w:t>
      </w:r>
      <w:r>
        <w:t>l</w:t>
      </w:r>
      <w:r w:rsidR="0064570C">
        <w:t>e chang</w:t>
      </w:r>
      <w:r w:rsidR="001C2511">
        <w:t xml:space="preserve">ement de perception sur la </w:t>
      </w:r>
      <w:r w:rsidR="0064570C">
        <w:t xml:space="preserve">place de la femme dans </w:t>
      </w:r>
      <w:r w:rsidR="00351C48">
        <w:t>la communauté</w:t>
      </w:r>
      <w:r w:rsidR="001C2511">
        <w:t xml:space="preserve"> </w:t>
      </w:r>
      <w:r w:rsidR="0064570C">
        <w:t xml:space="preserve">et </w:t>
      </w:r>
      <w:r>
        <w:t xml:space="preserve">la </w:t>
      </w:r>
      <w:r w:rsidR="0064570C">
        <w:t>prise en compte des droits humains par les FDS et les ACP dans leurs missions</w:t>
      </w:r>
      <w:r>
        <w:t>. Ces effets sont autant de canaux par lesquels la qualité de vie des femmes s’est trouvée améliorée</w:t>
      </w:r>
      <w:bookmarkEnd w:id="965"/>
      <w:r>
        <w:t>. En effet, ces résultats contribuent à créer des conditions favorables à l’épanouissement de la femme et de la jeune fille dans une société exempte de violence</w:t>
      </w:r>
      <w:r w:rsidR="000F75A5">
        <w:t xml:space="preserve"> et</w:t>
      </w:r>
      <w:r>
        <w:t xml:space="preserve"> respectueuse des droits humains. </w:t>
      </w:r>
      <w:r w:rsidR="007E5E05">
        <w:t>Par exemple, aux regards</w:t>
      </w:r>
      <w:r w:rsidR="00D9701E">
        <w:t xml:space="preserve"> des éventuelles conséquences des conflits communautaires, la réduction de l’occurrence de ces conflits ou leur gestion pacifique implique des vies humaines sauvées</w:t>
      </w:r>
      <w:r w:rsidR="007E5E05">
        <w:t xml:space="preserve"> et</w:t>
      </w:r>
      <w:r w:rsidR="00D9701E">
        <w:t xml:space="preserve"> des moyens d’existence sauvegard</w:t>
      </w:r>
      <w:r w:rsidR="00B545A8">
        <w:t>é</w:t>
      </w:r>
      <w:r w:rsidR="00D9701E">
        <w:t>s</w:t>
      </w:r>
      <w:r w:rsidR="007E5E05">
        <w:t>, toute chose qui évite aux femmes la dégradation de leur situation économique et aux filles les risques de déscolarisation. Il en est de même pour les appuis matériels et de renforcement des capacités reçus par les populations, particulièrement les femmes dans le cadre de la prévention de la COVID-19</w:t>
      </w:r>
      <w:r w:rsidR="00EB0794">
        <w:t>. En plus des vies sauvées par la prévention de maladie, le développement</w:t>
      </w:r>
      <w:r w:rsidR="007E5E05">
        <w:t xml:space="preserve"> </w:t>
      </w:r>
      <w:r w:rsidR="00EB0794">
        <w:t xml:space="preserve">de la </w:t>
      </w:r>
      <w:r w:rsidR="007E5E05">
        <w:t>résilience</w:t>
      </w:r>
      <w:r w:rsidR="00EB0794">
        <w:t xml:space="preserve"> des femmes</w:t>
      </w:r>
      <w:r w:rsidR="007E5E05">
        <w:t xml:space="preserve"> vis-à-vis de la pandémie</w:t>
      </w:r>
      <w:r w:rsidR="00EB0794">
        <w:t xml:space="preserve"> représente un gain en termes de poursuite de leurs activités économiques.</w:t>
      </w:r>
      <w:r w:rsidR="007760A2">
        <w:t xml:space="preserve"> </w:t>
      </w:r>
    </w:p>
    <w:p w14:paraId="569CC2DB" w14:textId="62971A84" w:rsidR="00FF0B49" w:rsidRPr="00EE2C82" w:rsidRDefault="00582026" w:rsidP="00FB2B45">
      <w:pPr>
        <w:pStyle w:val="Paragraphedeliste"/>
        <w:numPr>
          <w:ilvl w:val="0"/>
          <w:numId w:val="23"/>
        </w:numPr>
        <w:spacing w:line="276" w:lineRule="auto"/>
      </w:pPr>
      <w:r>
        <w:t xml:space="preserve">Le témoignage suivant donne un exemple </w:t>
      </w:r>
      <w:r w:rsidR="00C47ABE">
        <w:t>de la mesure dans laquelle les actions du projet impactent concrètement la vie des femmes victimes de violences sexuelles dans la zone d’intervention du projet. « </w:t>
      </w:r>
      <w:r w:rsidRPr="00EC19E5">
        <w:rPr>
          <w:i/>
          <w:shd w:val="clear" w:color="auto" w:fill="F2F2F2"/>
        </w:rPr>
        <w:t>Pour ce qui concerne les VBG, la police a informé les femmes qu’en cas de violence et si elles ne peuvent pas faire recours à la police, d’aller vers les ONG qui œuvrent dans ce domaine pour des questions de honte, de confidentialité</w:t>
      </w:r>
      <w:r w:rsidR="00C47ABE" w:rsidRPr="00EC19E5">
        <w:rPr>
          <w:i/>
          <w:shd w:val="clear" w:color="auto" w:fill="F2F2F2"/>
        </w:rPr>
        <w:t>,</w:t>
      </w:r>
      <w:r w:rsidRPr="00EC19E5">
        <w:rPr>
          <w:i/>
          <w:shd w:val="clear" w:color="auto" w:fill="F2F2F2"/>
        </w:rPr>
        <w:t xml:space="preserve"> etc. Avant, en cas de viol</w:t>
      </w:r>
      <w:r w:rsidR="00C47ABE" w:rsidRPr="00EC19E5">
        <w:rPr>
          <w:i/>
          <w:shd w:val="clear" w:color="auto" w:fill="F2F2F2"/>
        </w:rPr>
        <w:t xml:space="preserve">, </w:t>
      </w:r>
      <w:r w:rsidRPr="00EC19E5">
        <w:rPr>
          <w:i/>
          <w:shd w:val="clear" w:color="auto" w:fill="F2F2F2"/>
        </w:rPr>
        <w:t>la femme partait au centre de santé</w:t>
      </w:r>
      <w:r w:rsidR="00C47ABE" w:rsidRPr="00EC19E5">
        <w:rPr>
          <w:i/>
          <w:shd w:val="clear" w:color="auto" w:fill="F2F2F2"/>
        </w:rPr>
        <w:t xml:space="preserve"> et </w:t>
      </w:r>
      <w:r w:rsidRPr="00EC19E5">
        <w:rPr>
          <w:i/>
          <w:shd w:val="clear" w:color="auto" w:fill="F2F2F2"/>
        </w:rPr>
        <w:t xml:space="preserve">on </w:t>
      </w:r>
      <w:r w:rsidR="00351C48" w:rsidRPr="00EC19E5">
        <w:rPr>
          <w:i/>
          <w:shd w:val="clear" w:color="auto" w:fill="F2F2F2"/>
        </w:rPr>
        <w:t>la</w:t>
      </w:r>
      <w:r w:rsidRPr="00EC19E5">
        <w:rPr>
          <w:i/>
          <w:shd w:val="clear" w:color="auto" w:fill="F2F2F2"/>
        </w:rPr>
        <w:t xml:space="preserve"> référait à la police pour le certificat. Les femmes abandonnaient de venir à la police et refusaient de retourner au centre de santé pour bénéficier des soins. La police a informé le centre de santé qu’en cas de viol, d’aller </w:t>
      </w:r>
      <w:r w:rsidR="00C47ABE" w:rsidRPr="00EC19E5">
        <w:rPr>
          <w:i/>
          <w:shd w:val="clear" w:color="auto" w:fill="F2F2F2"/>
        </w:rPr>
        <w:t xml:space="preserve">désormais </w:t>
      </w:r>
      <w:r w:rsidRPr="00EC19E5">
        <w:rPr>
          <w:i/>
          <w:shd w:val="clear" w:color="auto" w:fill="F2F2F2"/>
        </w:rPr>
        <w:t xml:space="preserve">vers les ONG de prise en charge qui pourront facilement amener ces femmes violées à la police et cela a </w:t>
      </w:r>
      <w:r w:rsidR="00C47ABE" w:rsidRPr="00EC19E5">
        <w:rPr>
          <w:i/>
          <w:shd w:val="clear" w:color="auto" w:fill="F2F2F2"/>
        </w:rPr>
        <w:t>marché</w:t>
      </w:r>
      <w:r w:rsidR="00C47ABE">
        <w:rPr>
          <w:rFonts w:cs="Times New Roman"/>
          <w:bCs/>
        </w:rPr>
        <w:t xml:space="preserve"> »</w:t>
      </w:r>
      <w:r>
        <w:rPr>
          <w:rFonts w:cs="Times New Roman"/>
          <w:bCs/>
        </w:rPr>
        <w:t xml:space="preserve"> </w:t>
      </w:r>
      <w:r w:rsidR="00C47ABE">
        <w:rPr>
          <w:rFonts w:cs="Times New Roman"/>
          <w:bCs/>
        </w:rPr>
        <w:t xml:space="preserve">(Propos d’un </w:t>
      </w:r>
      <w:r>
        <w:rPr>
          <w:rFonts w:cs="Times New Roman"/>
          <w:bCs/>
        </w:rPr>
        <w:t>policier à Ménaka</w:t>
      </w:r>
      <w:r w:rsidR="00C47ABE">
        <w:rPr>
          <w:rFonts w:cs="Times New Roman"/>
          <w:bCs/>
        </w:rPr>
        <w:t xml:space="preserve">). </w:t>
      </w:r>
    </w:p>
    <w:p w14:paraId="71E59E48" w14:textId="77777777" w:rsidR="00E73461" w:rsidRPr="00FF0B49" w:rsidRDefault="00E73461" w:rsidP="00E73461">
      <w:pPr>
        <w:spacing w:line="276" w:lineRule="auto"/>
      </w:pPr>
    </w:p>
    <w:p w14:paraId="1CE9782D" w14:textId="1A3FBDC8" w:rsidR="00065010" w:rsidRDefault="00065010" w:rsidP="00820BBD">
      <w:pPr>
        <w:pStyle w:val="Titre2"/>
        <w:numPr>
          <w:ilvl w:val="1"/>
          <w:numId w:val="81"/>
        </w:numPr>
      </w:pPr>
      <w:bookmarkStart w:id="966" w:name="_Toc95451874"/>
      <w:r>
        <w:t>Inclusion des personnes handicapées</w:t>
      </w:r>
      <w:bookmarkEnd w:id="966"/>
    </w:p>
    <w:p w14:paraId="16A15FFE" w14:textId="2ED9A628" w:rsidR="00DD276F" w:rsidRDefault="00DD276F" w:rsidP="00DF4AC8">
      <w:pPr>
        <w:pStyle w:val="Titre3"/>
      </w:pPr>
      <w:bookmarkStart w:id="967" w:name="_Hlk86824167"/>
      <w:r>
        <w:t>Constat 1</w:t>
      </w:r>
      <w:r w:rsidR="00DC4D0B">
        <w:t>7</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65350254" w14:textId="77777777" w:rsidTr="00EC19E5">
        <w:trPr>
          <w:trHeight w:val="538"/>
        </w:trPr>
        <w:tc>
          <w:tcPr>
            <w:tcW w:w="9341" w:type="dxa"/>
            <w:shd w:val="clear" w:color="auto" w:fill="auto"/>
          </w:tcPr>
          <w:p w14:paraId="2C33AFE7" w14:textId="2EB84BA4" w:rsidR="001972AE" w:rsidRPr="001972AE" w:rsidRDefault="00C354DD" w:rsidP="001972AE">
            <w:pPr>
              <w:spacing w:line="276" w:lineRule="auto"/>
              <w:rPr>
                <w:rFonts w:cs="Times New Roman"/>
                <w:b/>
                <w:bCs/>
                <w:color w:val="0070C0"/>
              </w:rPr>
            </w:pPr>
            <w:r>
              <w:rPr>
                <w:rFonts w:cs="Times New Roman"/>
                <w:b/>
                <w:bCs/>
                <w:color w:val="0070C0"/>
              </w:rPr>
              <w:t xml:space="preserve">Les personnes handicapées </w:t>
            </w:r>
            <w:r w:rsidR="001972AE" w:rsidRPr="001972AE">
              <w:rPr>
                <w:rFonts w:cs="Times New Roman"/>
                <w:b/>
                <w:bCs/>
                <w:color w:val="0070C0"/>
              </w:rPr>
              <w:t>n’ont pas bénéficié d’activités spécifiques de la part du projet</w:t>
            </w:r>
            <w:r>
              <w:rPr>
                <w:rFonts w:cs="Times New Roman"/>
                <w:b/>
                <w:bCs/>
                <w:color w:val="0070C0"/>
              </w:rPr>
              <w:t>. P</w:t>
            </w:r>
            <w:r w:rsidRPr="00C354DD">
              <w:rPr>
                <w:rFonts w:cs="Times New Roman"/>
                <w:b/>
                <w:bCs/>
                <w:color w:val="0070C0"/>
              </w:rPr>
              <w:t>rès de la moitié soit 49% des</w:t>
            </w:r>
            <w:r>
              <w:rPr>
                <w:rFonts w:cs="Times New Roman"/>
                <w:b/>
                <w:bCs/>
                <w:color w:val="0070C0"/>
              </w:rPr>
              <w:t xml:space="preserve"> bénéficiaires directs interrogés </w:t>
            </w:r>
            <w:r w:rsidRPr="00C354DD">
              <w:rPr>
                <w:rFonts w:cs="Times New Roman"/>
                <w:b/>
                <w:bCs/>
                <w:color w:val="0070C0"/>
              </w:rPr>
              <w:t>estiment que</w:t>
            </w:r>
            <w:r>
              <w:rPr>
                <w:rFonts w:cs="Times New Roman"/>
                <w:b/>
                <w:bCs/>
                <w:color w:val="0070C0"/>
              </w:rPr>
              <w:t xml:space="preserve"> le projet n’a pas pris en compte leurs</w:t>
            </w:r>
            <w:r w:rsidRPr="00C354DD">
              <w:rPr>
                <w:rFonts w:cs="Times New Roman"/>
                <w:b/>
                <w:bCs/>
                <w:color w:val="0070C0"/>
              </w:rPr>
              <w:t xml:space="preserve"> priorités</w:t>
            </w:r>
            <w:r>
              <w:rPr>
                <w:rFonts w:cs="Times New Roman"/>
                <w:b/>
                <w:bCs/>
                <w:color w:val="0070C0"/>
              </w:rPr>
              <w:t xml:space="preserve">. </w:t>
            </w:r>
            <w:r w:rsidR="00E932CA">
              <w:rPr>
                <w:rFonts w:cs="Times New Roman"/>
                <w:b/>
                <w:bCs/>
                <w:color w:val="0070C0"/>
              </w:rPr>
              <w:t>Ces personnes</w:t>
            </w:r>
            <w:r w:rsidR="001972AE" w:rsidRPr="001972AE">
              <w:rPr>
                <w:rFonts w:cs="Times New Roman"/>
                <w:b/>
                <w:bCs/>
                <w:color w:val="0070C0"/>
              </w:rPr>
              <w:t xml:space="preserve"> sont confrontées à plusieurs contraintes</w:t>
            </w:r>
            <w:r w:rsidR="00C41718">
              <w:rPr>
                <w:rFonts w:cs="Times New Roman"/>
                <w:b/>
                <w:bCs/>
                <w:color w:val="0070C0"/>
              </w:rPr>
              <w:t xml:space="preserve"> qui limitent leur inclusion dans les projets</w:t>
            </w:r>
            <w:r w:rsidR="00A75AA3">
              <w:rPr>
                <w:rFonts w:cs="Times New Roman"/>
                <w:b/>
                <w:bCs/>
                <w:color w:val="0070C0"/>
              </w:rPr>
              <w:t>.</w:t>
            </w:r>
            <w:r w:rsidR="007068E8">
              <w:rPr>
                <w:rFonts w:cs="Times New Roman"/>
                <w:b/>
                <w:bCs/>
                <w:color w:val="0070C0"/>
              </w:rPr>
              <w:t xml:space="preserve"> </w:t>
            </w:r>
          </w:p>
          <w:p w14:paraId="4F575A6E" w14:textId="0F447C33" w:rsidR="00DD276F" w:rsidRPr="00191FD2" w:rsidRDefault="00DD276F" w:rsidP="001972A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E7420A">
              <w:rPr>
                <w:rStyle w:val="fontstyle01"/>
                <w:rFonts w:ascii="Century Gothic" w:hAnsi="Century Gothic"/>
                <w:i/>
                <w:iCs/>
              </w:rPr>
              <w:t>QE37 ;</w:t>
            </w:r>
            <w:r>
              <w:rPr>
                <w:rStyle w:val="fontstyle01"/>
                <w:rFonts w:ascii="Century Gothic" w:hAnsi="Century Gothic"/>
                <w:i/>
                <w:iCs/>
              </w:rPr>
              <w:t xml:space="preserve"> </w:t>
            </w:r>
            <w:r w:rsidR="00E7420A">
              <w:rPr>
                <w:rStyle w:val="fontstyle01"/>
                <w:rFonts w:ascii="Century Gothic" w:hAnsi="Century Gothic"/>
                <w:i/>
                <w:iCs/>
              </w:rPr>
              <w:t>QE38 ; QE39 ; QE40</w:t>
            </w:r>
          </w:p>
        </w:tc>
      </w:tr>
      <w:bookmarkEnd w:id="967"/>
    </w:tbl>
    <w:p w14:paraId="1E6F4A7A" w14:textId="36E53020" w:rsidR="0095022A" w:rsidRDefault="0095022A" w:rsidP="0095022A">
      <w:pPr>
        <w:spacing w:after="0" w:line="276" w:lineRule="auto"/>
        <w:rPr>
          <w:rFonts w:cs="Times New Roman"/>
          <w:bCs/>
        </w:rPr>
      </w:pPr>
    </w:p>
    <w:p w14:paraId="333AE679" w14:textId="59E112AB" w:rsidR="00746402" w:rsidRDefault="00A75AA3" w:rsidP="6A397DB8">
      <w:pPr>
        <w:pStyle w:val="Paragraphedeliste"/>
        <w:numPr>
          <w:ilvl w:val="0"/>
          <w:numId w:val="23"/>
        </w:numPr>
        <w:spacing w:before="240" w:after="0" w:line="276" w:lineRule="auto"/>
        <w:rPr>
          <w:rFonts w:cs="Times New Roman"/>
        </w:rPr>
      </w:pPr>
      <w:r w:rsidRPr="6A397DB8">
        <w:rPr>
          <w:rFonts w:cs="Times New Roman"/>
        </w:rPr>
        <w:t xml:space="preserve">Selon les données de l’enquête quantitative, près de la moitié soit 49% des répondants estiment que les priorités des personnes handicapées n’ont pas été pris en compte par le projet. </w:t>
      </w:r>
      <w:r w:rsidR="00117B1A" w:rsidRPr="6A397DB8">
        <w:rPr>
          <w:rFonts w:cs="Times New Roman"/>
        </w:rPr>
        <w:t xml:space="preserve">Cet avis est confirmé par 8 des 13 handicapées qui ont participé à l’enquête, ainsi que la grande majorité des participants aux focus group et les acteurs communautaires, y compris les jeunes et femmes leaders. </w:t>
      </w:r>
      <w:r w:rsidR="007827A0" w:rsidRPr="6A397DB8">
        <w:rPr>
          <w:rFonts w:cs="Times New Roman"/>
        </w:rPr>
        <w:t xml:space="preserve">Un animateur du projet à Anderamboubane témoigne également que </w:t>
      </w:r>
      <w:r w:rsidR="007827A0" w:rsidRPr="00EC19E5">
        <w:rPr>
          <w:i/>
          <w:shd w:val="clear" w:color="auto" w:fill="F2F2F2"/>
        </w:rPr>
        <w:t>« Durant la mise en œuvre des activités j'ai un jour été interpellé par un oncle handicapé, ce dernier avait des larmes aux yeux en me disant ceci" pourquoi dans vos activités tu ne mets jamais mon nom pourtant tu sais bien ce dont je suis capable ; ou bien les gens comme moi ne font pas partie du projet ?</w:t>
      </w:r>
      <w:r w:rsidR="007827A0" w:rsidRPr="6A397DB8">
        <w:rPr>
          <w:rFonts w:cs="Times New Roman"/>
        </w:rPr>
        <w:t xml:space="preserve"> ». </w:t>
      </w:r>
    </w:p>
    <w:p w14:paraId="5C6F0189" w14:textId="6DF273DB" w:rsidR="00405DE9" w:rsidRDefault="00405DE9" w:rsidP="6A397DB8">
      <w:pPr>
        <w:pStyle w:val="Paragraphedeliste"/>
        <w:numPr>
          <w:ilvl w:val="0"/>
          <w:numId w:val="23"/>
        </w:numPr>
        <w:spacing w:before="240" w:after="0" w:line="276" w:lineRule="auto"/>
        <w:rPr>
          <w:rFonts w:cs="Times New Roman"/>
        </w:rPr>
      </w:pPr>
      <w:r w:rsidRPr="6A397DB8">
        <w:rPr>
          <w:rFonts w:cs="Times New Roman"/>
        </w:rPr>
        <w:t>Pour les acteurs de mise en œuvre du projet</w:t>
      </w:r>
      <w:r w:rsidR="007827A0" w:rsidRPr="6A397DB8">
        <w:rPr>
          <w:rFonts w:cs="Times New Roman"/>
        </w:rPr>
        <w:t xml:space="preserve">, les activités n’ayant pas été spécifiées en fonction de la situation de vulnérabilité des bénéficiaires, elles s’adressaient aussi bien aux personnes non handicapées que handicapées. </w:t>
      </w:r>
      <w:r w:rsidR="00505510" w:rsidRPr="6A397DB8">
        <w:rPr>
          <w:rFonts w:cs="Times New Roman"/>
        </w:rPr>
        <w:t xml:space="preserve">Une telle explication parait peu convaincante </w:t>
      </w:r>
      <w:r w:rsidR="008A350F" w:rsidRPr="6A397DB8">
        <w:rPr>
          <w:rFonts w:cs="Times New Roman"/>
        </w:rPr>
        <w:t xml:space="preserve">étant </w:t>
      </w:r>
      <w:r w:rsidR="08018451" w:rsidRPr="6A397DB8">
        <w:rPr>
          <w:rFonts w:cs="Times New Roman"/>
        </w:rPr>
        <w:t xml:space="preserve">donné </w:t>
      </w:r>
      <w:r w:rsidR="008A350F" w:rsidRPr="6A397DB8">
        <w:rPr>
          <w:rFonts w:cs="Times New Roman"/>
        </w:rPr>
        <w:t>la tendance à l’auto-exclusion des personnes handicapées faute d’estime ou de confiance en soi.</w:t>
      </w:r>
    </w:p>
    <w:p w14:paraId="13A3CE47" w14:textId="016ADDDE" w:rsidR="00A75AA3" w:rsidRPr="00405DE9" w:rsidRDefault="00505510" w:rsidP="00FB2B45">
      <w:pPr>
        <w:pStyle w:val="Paragraphedeliste"/>
        <w:numPr>
          <w:ilvl w:val="0"/>
          <w:numId w:val="23"/>
        </w:numPr>
        <w:spacing w:before="240" w:after="0" w:line="276" w:lineRule="auto"/>
        <w:rPr>
          <w:rFonts w:cs="Times New Roman"/>
          <w:bCs/>
        </w:rPr>
      </w:pPr>
      <w:r>
        <w:rPr>
          <w:rFonts w:cs="Times New Roman"/>
          <w:bCs/>
        </w:rPr>
        <w:t>L’analyse des propos recueillis auprès des populations et des leaders communautaires révèle que l</w:t>
      </w:r>
      <w:r w:rsidR="007827A0">
        <w:rPr>
          <w:rFonts w:cs="Times New Roman"/>
          <w:bCs/>
        </w:rPr>
        <w:t>a</w:t>
      </w:r>
      <w:r w:rsidR="00405DE9" w:rsidRPr="00405DE9">
        <w:rPr>
          <w:rFonts w:cs="Times New Roman"/>
          <w:bCs/>
        </w:rPr>
        <w:t xml:space="preserve"> faible inclusion des personnes handicapées est la conséquence de plusieurs barrières</w:t>
      </w:r>
      <w:r>
        <w:rPr>
          <w:rFonts w:cs="Times New Roman"/>
          <w:bCs/>
        </w:rPr>
        <w:t>. Les plus largement citées</w:t>
      </w:r>
      <w:r w:rsidR="00405DE9" w:rsidRPr="00405DE9">
        <w:rPr>
          <w:rFonts w:cs="Times New Roman"/>
          <w:bCs/>
        </w:rPr>
        <w:t xml:space="preserve"> sont la persistance d’une perception négative sur le handicap, le manque d’organisation des personnes handicapées, le </w:t>
      </w:r>
      <w:r w:rsidR="00405DE9">
        <w:rPr>
          <w:rFonts w:cs="Times New Roman"/>
          <w:bCs/>
        </w:rPr>
        <w:t>m</w:t>
      </w:r>
      <w:r w:rsidR="00405DE9" w:rsidRPr="00405DE9">
        <w:rPr>
          <w:rFonts w:cs="Times New Roman"/>
          <w:bCs/>
        </w:rPr>
        <w:t xml:space="preserve">anque d’estime et de confiance en soi </w:t>
      </w:r>
      <w:r w:rsidR="00405DE9">
        <w:rPr>
          <w:rFonts w:cs="Times New Roman"/>
          <w:bCs/>
        </w:rPr>
        <w:t>conduisant à l’a</w:t>
      </w:r>
      <w:r w:rsidR="00405DE9" w:rsidRPr="00405DE9">
        <w:rPr>
          <w:rFonts w:cs="Times New Roman"/>
          <w:bCs/>
        </w:rPr>
        <w:t>uto</w:t>
      </w:r>
      <w:r w:rsidR="00E61834">
        <w:rPr>
          <w:rFonts w:cs="Times New Roman"/>
          <w:bCs/>
        </w:rPr>
        <w:t>-</w:t>
      </w:r>
      <w:r w:rsidR="00405DE9" w:rsidRPr="00405DE9">
        <w:rPr>
          <w:rFonts w:cs="Times New Roman"/>
          <w:bCs/>
        </w:rPr>
        <w:t>exclusion</w:t>
      </w:r>
      <w:r w:rsidR="00405DE9">
        <w:rPr>
          <w:rFonts w:cs="Times New Roman"/>
          <w:bCs/>
        </w:rPr>
        <w:t>, la faiblesse de la législation sur l’inclusion des personnes handicapée</w:t>
      </w:r>
      <w:r>
        <w:rPr>
          <w:rFonts w:cs="Times New Roman"/>
          <w:bCs/>
        </w:rPr>
        <w:t>s ainsi que</w:t>
      </w:r>
      <w:r w:rsidR="00A41879">
        <w:rPr>
          <w:rFonts w:cs="Times New Roman"/>
          <w:bCs/>
        </w:rPr>
        <w:t xml:space="preserve"> le manque d’attention des projets vis-à-vis des personnes handicapées. </w:t>
      </w:r>
      <w:r w:rsidR="008A350F">
        <w:rPr>
          <w:rFonts w:cs="Times New Roman"/>
          <w:bCs/>
        </w:rPr>
        <w:t xml:space="preserve">Quelques propos sont ici fournis en guise d’illustration : </w:t>
      </w:r>
    </w:p>
    <w:p w14:paraId="4DAC620F" w14:textId="143E5F1A" w:rsidR="008A350F" w:rsidRPr="008A350F" w:rsidRDefault="008A350F" w:rsidP="00FB2B45">
      <w:pPr>
        <w:pStyle w:val="Paragraphedeliste"/>
        <w:numPr>
          <w:ilvl w:val="0"/>
          <w:numId w:val="89"/>
        </w:numPr>
        <w:spacing w:before="240" w:after="0" w:line="276" w:lineRule="auto"/>
        <w:rPr>
          <w:rFonts w:cs="Times New Roman"/>
          <w:bCs/>
          <w:i/>
          <w:iCs/>
        </w:rPr>
      </w:pPr>
      <w:r w:rsidRPr="00EC19E5">
        <w:rPr>
          <w:i/>
          <w:shd w:val="clear" w:color="auto" w:fill="F2F2F2"/>
        </w:rPr>
        <w:t>« Selon moi je pense que c'est à cause de leur vulnérabilité. Les communautés pensent que ce sont des personnes incomplètes » </w:t>
      </w:r>
      <w:r w:rsidRPr="008A350F">
        <w:rPr>
          <w:rFonts w:cs="Times New Roman"/>
          <w:bCs/>
          <w:i/>
          <w:iCs/>
        </w:rPr>
        <w:t>(Un participant de FG à Ménaka) ;</w:t>
      </w:r>
    </w:p>
    <w:p w14:paraId="0A36C3FE" w14:textId="687CC9F0" w:rsidR="008A350F" w:rsidRDefault="008A350F" w:rsidP="00FB2B45">
      <w:pPr>
        <w:pStyle w:val="Paragraphedeliste"/>
        <w:numPr>
          <w:ilvl w:val="0"/>
          <w:numId w:val="89"/>
        </w:numPr>
        <w:spacing w:before="240" w:after="0" w:line="276" w:lineRule="auto"/>
        <w:rPr>
          <w:rFonts w:cs="Times New Roman"/>
          <w:bCs/>
        </w:rPr>
      </w:pPr>
      <w:r w:rsidRPr="00EC19E5">
        <w:rPr>
          <w:i/>
          <w:shd w:val="clear" w:color="auto" w:fill="F2F2F2"/>
        </w:rPr>
        <w:t>« Ce sont les textes nationaux qui ont marginalisé les personnes handicapées, car aucune loi n'est votée pour prendre en compte leurs besoins spécifiques, par contre dans le contexte genre certaines politiques sont prises à l'égard des femmes, par exemple la loi 052 »</w:t>
      </w:r>
      <w:r w:rsidRPr="008A350F">
        <w:rPr>
          <w:i/>
          <w:iCs/>
        </w:rPr>
        <w:t xml:space="preserve"> </w:t>
      </w:r>
      <w:r w:rsidRPr="008A350F">
        <w:rPr>
          <w:rFonts w:cs="Times New Roman"/>
          <w:bCs/>
          <w:i/>
          <w:iCs/>
        </w:rPr>
        <w:t xml:space="preserve">(Une participante de FG </w:t>
      </w:r>
      <w:r w:rsidR="00746402" w:rsidRPr="008A350F">
        <w:rPr>
          <w:rFonts w:cs="Times New Roman"/>
          <w:bCs/>
          <w:i/>
          <w:iCs/>
        </w:rPr>
        <w:t>à Anderamboukane</w:t>
      </w:r>
      <w:r>
        <w:rPr>
          <w:rFonts w:cs="Times New Roman"/>
          <w:bCs/>
          <w:i/>
          <w:iCs/>
        </w:rPr>
        <w:t>)</w:t>
      </w:r>
      <w:r w:rsidRPr="008A350F">
        <w:rPr>
          <w:rFonts w:cs="Times New Roman"/>
          <w:bCs/>
          <w:i/>
          <w:iCs/>
        </w:rPr>
        <w:t> ;</w:t>
      </w:r>
    </w:p>
    <w:p w14:paraId="47672096" w14:textId="5FF190E4" w:rsidR="008A350F" w:rsidRDefault="008A350F" w:rsidP="00FB2B45">
      <w:pPr>
        <w:pStyle w:val="Paragraphedeliste"/>
        <w:numPr>
          <w:ilvl w:val="0"/>
          <w:numId w:val="89"/>
        </w:numPr>
        <w:spacing w:before="240" w:after="0" w:line="276" w:lineRule="auto"/>
        <w:rPr>
          <w:rFonts w:cs="Times New Roman"/>
          <w:bCs/>
        </w:rPr>
      </w:pPr>
      <w:r w:rsidRPr="00EC19E5">
        <w:rPr>
          <w:i/>
          <w:shd w:val="clear" w:color="auto" w:fill="F2F2F2"/>
        </w:rPr>
        <w:t xml:space="preserve">« </w:t>
      </w:r>
      <w:r w:rsidR="00746402" w:rsidRPr="00EC19E5">
        <w:rPr>
          <w:i/>
          <w:shd w:val="clear" w:color="auto" w:fill="F2F2F2"/>
        </w:rPr>
        <w:t>Les</w:t>
      </w:r>
      <w:r w:rsidRPr="00EC19E5">
        <w:rPr>
          <w:i/>
          <w:shd w:val="clear" w:color="auto" w:fill="F2F2F2"/>
        </w:rPr>
        <w:t xml:space="preserve"> responsables des projets eux-mêmes marginalisent les personnes handicapées en ne prévoyant aucune prise en compte de leurs besoins spécifiques lors de la conception et la mise en œuvre des projets »</w:t>
      </w:r>
      <w:r w:rsidRPr="00A41879">
        <w:rPr>
          <w:rFonts w:cs="Times New Roman"/>
          <w:bCs/>
        </w:rPr>
        <w:t>.</w:t>
      </w:r>
    </w:p>
    <w:p w14:paraId="5D5A49AB" w14:textId="22A88DF6" w:rsidR="008A350F" w:rsidRPr="00746402" w:rsidRDefault="008A350F" w:rsidP="00FB2B45">
      <w:pPr>
        <w:pStyle w:val="Paragraphedeliste"/>
        <w:numPr>
          <w:ilvl w:val="0"/>
          <w:numId w:val="89"/>
        </w:numPr>
        <w:spacing w:before="240" w:after="0" w:line="276" w:lineRule="auto"/>
        <w:rPr>
          <w:rFonts w:cs="Times New Roman"/>
          <w:bCs/>
        </w:rPr>
      </w:pPr>
      <w:r w:rsidRPr="00A41879">
        <w:rPr>
          <w:rFonts w:cs="Times New Roman"/>
        </w:rPr>
        <w:t xml:space="preserve">: </w:t>
      </w:r>
      <w:r w:rsidRPr="00EC19E5">
        <w:rPr>
          <w:i/>
          <w:shd w:val="clear" w:color="auto" w:fill="F2F2F2"/>
        </w:rPr>
        <w:t>« Les partenaires eux-mêmes constituent souvent de barrières à impliquer les personnes handicapées car elles ne leur prévoient pas des activités spécifiques » (</w:t>
      </w:r>
      <w:r w:rsidRPr="00746402">
        <w:rPr>
          <w:rFonts w:cs="Times New Roman"/>
        </w:rPr>
        <w:t>Une participante de FG à Tessit)</w:t>
      </w:r>
    </w:p>
    <w:p w14:paraId="3DC27279" w14:textId="77777777" w:rsidR="006440BD" w:rsidRPr="00746402" w:rsidRDefault="00746402" w:rsidP="006440BD">
      <w:pPr>
        <w:pStyle w:val="Paragraphedeliste"/>
        <w:numPr>
          <w:ilvl w:val="0"/>
          <w:numId w:val="23"/>
        </w:numPr>
        <w:spacing w:before="240" w:after="0" w:line="276" w:lineRule="auto"/>
        <w:rPr>
          <w:rFonts w:cs="Times New Roman"/>
          <w:bCs/>
        </w:rPr>
      </w:pPr>
      <w:r>
        <w:rPr>
          <w:rFonts w:cs="Times New Roman"/>
          <w:bCs/>
        </w:rPr>
        <w:t xml:space="preserve">Les besoins et intérêts spécifiques des personnes handicapées n’ayant pas été formellement adressées, la valeur ajoutée du projet pour ces personnes en termes d’amélioration de la qualité de vie reste limitée. </w:t>
      </w:r>
      <w:r w:rsidR="006440BD">
        <w:rPr>
          <w:rFonts w:cs="Times New Roman"/>
          <w:bCs/>
        </w:rPr>
        <w:t xml:space="preserve">Néanmoins, il faut reconnaitre que les bénéfices du projet comme la réduction des conflits communautaires et de prévention de la COVID-19 profitent à toute la communauté y compris les personnes handicapées. </w:t>
      </w:r>
    </w:p>
    <w:p w14:paraId="3E9BDB82" w14:textId="67AE70E2" w:rsidR="00A41879" w:rsidRPr="00746402" w:rsidRDefault="00A41879" w:rsidP="00B723D5">
      <w:pPr>
        <w:pStyle w:val="Paragraphedeliste"/>
        <w:spacing w:before="240" w:after="0" w:line="276" w:lineRule="auto"/>
        <w:ind w:left="360"/>
        <w:rPr>
          <w:rFonts w:cs="Times New Roman"/>
          <w:bCs/>
        </w:rPr>
      </w:pPr>
    </w:p>
    <w:p w14:paraId="4EFCB3C8" w14:textId="5AE65391" w:rsidR="001D6FD7" w:rsidRDefault="001D6FD7">
      <w:pPr>
        <w:spacing w:before="0" w:after="160" w:line="259" w:lineRule="auto"/>
        <w:jc w:val="left"/>
        <w:rPr>
          <w:rFonts w:ascii="Times New Roman" w:hAnsi="Times New Roman" w:cs="Times New Roman"/>
          <w:b/>
        </w:rPr>
      </w:pPr>
      <w:r>
        <w:rPr>
          <w:rFonts w:ascii="Times New Roman" w:hAnsi="Times New Roman" w:cs="Times New Roman"/>
          <w:b/>
        </w:rPr>
        <w:br w:type="page"/>
      </w:r>
    </w:p>
    <w:p w14:paraId="0A0C6B12" w14:textId="2227EBDF" w:rsidR="009A1F02" w:rsidRDefault="00A467CC" w:rsidP="0024178E">
      <w:pPr>
        <w:pStyle w:val="Titre1"/>
        <w:numPr>
          <w:ilvl w:val="0"/>
          <w:numId w:val="81"/>
        </w:numPr>
      </w:pPr>
      <w:bookmarkStart w:id="968" w:name="_Toc95451875"/>
      <w:r>
        <w:t>CONCLUSIONS ET RECOMMANDATIONS</w:t>
      </w:r>
      <w:bookmarkEnd w:id="968"/>
      <w:r w:rsidR="009A1F02">
        <w:tab/>
      </w:r>
    </w:p>
    <w:p w14:paraId="45A3D5D0" w14:textId="7C24984F" w:rsidR="009A1F02" w:rsidRDefault="00065010" w:rsidP="00065010">
      <w:pPr>
        <w:tabs>
          <w:tab w:val="left" w:pos="1056"/>
        </w:tabs>
        <w:rPr>
          <w:rFonts w:eastAsiaTheme="majorEastAsia" w:cstheme="majorBidi"/>
          <w:b/>
          <w:caps/>
          <w:color w:val="0070C0"/>
          <w:sz w:val="24"/>
          <w:szCs w:val="32"/>
        </w:rPr>
      </w:pPr>
      <w:r>
        <w:rPr>
          <w:rFonts w:eastAsiaTheme="majorEastAsia" w:cstheme="majorBidi"/>
          <w:b/>
          <w:caps/>
          <w:color w:val="0070C0"/>
          <w:sz w:val="24"/>
          <w:szCs w:val="32"/>
        </w:rPr>
        <w:tab/>
      </w:r>
    </w:p>
    <w:p w14:paraId="22F40E61" w14:textId="2ACA7060" w:rsidR="00065010" w:rsidRDefault="00065010" w:rsidP="00820BBD">
      <w:pPr>
        <w:pStyle w:val="Titre2"/>
        <w:numPr>
          <w:ilvl w:val="1"/>
          <w:numId w:val="81"/>
        </w:numPr>
      </w:pPr>
      <w:bookmarkStart w:id="969" w:name="_Toc95451876"/>
      <w:r>
        <w:t>Conclusion</w:t>
      </w:r>
      <w:bookmarkEnd w:id="969"/>
    </w:p>
    <w:p w14:paraId="1DDB876D" w14:textId="3D535E43" w:rsidR="0095022A" w:rsidRDefault="0095022A" w:rsidP="00DF4AC8">
      <w:pPr>
        <w:pStyle w:val="Titre3"/>
        <w:rPr>
          <w:rFonts w:cs="Times New Roman"/>
          <w:bCs/>
        </w:rPr>
      </w:pPr>
      <w:bookmarkStart w:id="970" w:name="_Hlk92315407"/>
      <w:r w:rsidRPr="0095022A">
        <w:t>Con</w:t>
      </w:r>
      <w:r>
        <w:t>clusion</w:t>
      </w:r>
      <w:r w:rsidRPr="0095022A">
        <w:t xml:space="preserve"> </w:t>
      </w:r>
      <w:r>
        <w:t>1</w:t>
      </w:r>
      <w:r w:rsidR="000C7624">
        <w:t xml:space="preserve"> - Pertinence</w:t>
      </w:r>
    </w:p>
    <w:p w14:paraId="7C98AAA1" w14:textId="3CBCBB6D" w:rsidR="006440BD" w:rsidRPr="00D20834" w:rsidRDefault="000C7624" w:rsidP="006440BD">
      <w:pPr>
        <w:pStyle w:val="Paragraphedeliste"/>
        <w:numPr>
          <w:ilvl w:val="0"/>
          <w:numId w:val="23"/>
        </w:numPr>
        <w:spacing w:after="0" w:line="276" w:lineRule="auto"/>
        <w:rPr>
          <w:rFonts w:cs="Times New Roman"/>
          <w:bCs/>
        </w:rPr>
      </w:pPr>
      <w:r w:rsidRPr="00D20834">
        <w:rPr>
          <w:rFonts w:cs="Times New Roman"/>
          <w:bCs/>
        </w:rPr>
        <w:t xml:space="preserve">Le </w:t>
      </w:r>
      <w:r w:rsidR="00144ED5">
        <w:rPr>
          <w:rFonts w:cs="Times New Roman"/>
          <w:bCs/>
        </w:rPr>
        <w:t>Projet</w:t>
      </w:r>
      <w:r w:rsidRPr="00D20834">
        <w:rPr>
          <w:rFonts w:cs="Times New Roman"/>
          <w:bCs/>
        </w:rPr>
        <w:t xml:space="preserve"> est pertinent au regard de son alignement sur les objectifs nationaux </w:t>
      </w:r>
      <w:r w:rsidR="0078781F" w:rsidRPr="00D20834">
        <w:rPr>
          <w:rFonts w:cs="Times New Roman"/>
          <w:bCs/>
        </w:rPr>
        <w:t xml:space="preserve">et </w:t>
      </w:r>
      <w:r w:rsidRPr="00D20834">
        <w:rPr>
          <w:rFonts w:cs="Times New Roman"/>
          <w:bCs/>
        </w:rPr>
        <w:t xml:space="preserve">sur les référentiels internationaux </w:t>
      </w:r>
      <w:r w:rsidR="00144ED5" w:rsidRPr="00D20834">
        <w:rPr>
          <w:rFonts w:cs="Times New Roman"/>
          <w:bCs/>
        </w:rPr>
        <w:t>en matière de consolidation de la paix</w:t>
      </w:r>
      <w:r w:rsidRPr="00D20834">
        <w:rPr>
          <w:rFonts w:cs="Times New Roman"/>
          <w:bCs/>
        </w:rPr>
        <w:t xml:space="preserve">. La pertinence du projet tient aussi </w:t>
      </w:r>
      <w:r w:rsidR="0078781F" w:rsidRPr="00D20834">
        <w:rPr>
          <w:rFonts w:cs="Times New Roman"/>
          <w:bCs/>
        </w:rPr>
        <w:t xml:space="preserve">à la cohérence des activités mises en œuvre avec </w:t>
      </w:r>
      <w:r w:rsidRPr="00D20834">
        <w:rPr>
          <w:rFonts w:cs="Times New Roman"/>
          <w:bCs/>
        </w:rPr>
        <w:t>les domaines d’intervention de PBF, de ONU Femmes et de ONUDC</w:t>
      </w:r>
      <w:r w:rsidR="0078781F" w:rsidRPr="00D20834">
        <w:rPr>
          <w:rFonts w:cs="Times New Roman"/>
          <w:bCs/>
        </w:rPr>
        <w:t xml:space="preserve"> </w:t>
      </w:r>
      <w:r w:rsidR="0078781F" w:rsidRPr="00D20834">
        <w:rPr>
          <w:rFonts w:cs="Times New Roman"/>
          <w:b/>
          <w:i/>
          <w:iCs/>
        </w:rPr>
        <w:t>(Constat 1).</w:t>
      </w:r>
      <w:r w:rsidR="0078781F" w:rsidRPr="00D20834">
        <w:rPr>
          <w:rFonts w:cs="Times New Roman"/>
          <w:bCs/>
        </w:rPr>
        <w:t xml:space="preserve"> Du point de vue </w:t>
      </w:r>
      <w:r w:rsidR="009A3DB3" w:rsidRPr="00D20834">
        <w:rPr>
          <w:rFonts w:cs="Times New Roman"/>
          <w:bCs/>
        </w:rPr>
        <w:t>des besoins des communautés d’intervention,</w:t>
      </w:r>
      <w:r w:rsidR="0078781F" w:rsidRPr="00D20834">
        <w:rPr>
          <w:rFonts w:cs="Times New Roman"/>
          <w:bCs/>
        </w:rPr>
        <w:t xml:space="preserve"> l’adéquation des activités </w:t>
      </w:r>
      <w:r w:rsidR="009A3DB3" w:rsidRPr="00D20834">
        <w:rPr>
          <w:rFonts w:cs="Times New Roman"/>
          <w:bCs/>
        </w:rPr>
        <w:t>du projet</w:t>
      </w:r>
      <w:r w:rsidR="0078781F" w:rsidRPr="00D20834">
        <w:rPr>
          <w:rFonts w:cs="Times New Roman"/>
          <w:bCs/>
        </w:rPr>
        <w:t xml:space="preserve"> </w:t>
      </w:r>
      <w:r w:rsidR="009A3DB3" w:rsidRPr="00D20834">
        <w:rPr>
          <w:rFonts w:cs="Times New Roman"/>
          <w:bCs/>
        </w:rPr>
        <w:t xml:space="preserve">est </w:t>
      </w:r>
      <w:r w:rsidR="00B42B54" w:rsidRPr="00D20834">
        <w:rPr>
          <w:rFonts w:cs="Times New Roman"/>
          <w:bCs/>
        </w:rPr>
        <w:t xml:space="preserve">également </w:t>
      </w:r>
      <w:r w:rsidR="009A3DB3" w:rsidRPr="00D20834">
        <w:rPr>
          <w:rFonts w:cs="Times New Roman"/>
          <w:bCs/>
        </w:rPr>
        <w:t>avérée</w:t>
      </w:r>
      <w:r w:rsidR="00D20834" w:rsidRPr="00D20834">
        <w:rPr>
          <w:rFonts w:cs="Times New Roman"/>
          <w:bCs/>
        </w:rPr>
        <w:t>. L</w:t>
      </w:r>
      <w:r w:rsidR="00B42B54" w:rsidRPr="00D20834">
        <w:rPr>
          <w:rFonts w:cs="Times New Roman"/>
          <w:bCs/>
        </w:rPr>
        <w:t xml:space="preserve">es activités </w:t>
      </w:r>
      <w:r w:rsidR="00D20834" w:rsidRPr="00D20834">
        <w:rPr>
          <w:rFonts w:cs="Times New Roman"/>
          <w:bCs/>
        </w:rPr>
        <w:t xml:space="preserve">mises en œuvre sont identifiées de façon participative et </w:t>
      </w:r>
      <w:r w:rsidR="00B42B54" w:rsidRPr="00D20834">
        <w:rPr>
          <w:rFonts w:cs="Times New Roman"/>
          <w:bCs/>
        </w:rPr>
        <w:t>adressent une réponse au</w:t>
      </w:r>
      <w:r w:rsidR="00D20834" w:rsidRPr="00D20834">
        <w:rPr>
          <w:rFonts w:cs="Times New Roman"/>
          <w:bCs/>
        </w:rPr>
        <w:t>x</w:t>
      </w:r>
      <w:r w:rsidR="00B42B54" w:rsidRPr="00D20834">
        <w:rPr>
          <w:rFonts w:cs="Times New Roman"/>
          <w:bCs/>
        </w:rPr>
        <w:t xml:space="preserve"> défi</w:t>
      </w:r>
      <w:r w:rsidR="00D20834" w:rsidRPr="00D20834">
        <w:rPr>
          <w:rFonts w:cs="Times New Roman"/>
          <w:bCs/>
        </w:rPr>
        <w:t>s</w:t>
      </w:r>
      <w:r w:rsidR="00B42B54" w:rsidRPr="00D20834">
        <w:rPr>
          <w:rFonts w:cs="Times New Roman"/>
          <w:bCs/>
        </w:rPr>
        <w:t xml:space="preserve"> d</w:t>
      </w:r>
      <w:r w:rsidRPr="00D20834">
        <w:rPr>
          <w:rFonts w:cs="Times New Roman"/>
          <w:bCs/>
        </w:rPr>
        <w:t xml:space="preserve">e cohésion sociale, </w:t>
      </w:r>
      <w:r w:rsidR="00D20834" w:rsidRPr="00D20834">
        <w:rPr>
          <w:rFonts w:cs="Times New Roman"/>
          <w:bCs/>
        </w:rPr>
        <w:t xml:space="preserve">d’implication accrue </w:t>
      </w:r>
      <w:r w:rsidRPr="00D20834">
        <w:rPr>
          <w:rFonts w:cs="Times New Roman"/>
          <w:bCs/>
        </w:rPr>
        <w:t xml:space="preserve">des femmes et des jeunes </w:t>
      </w:r>
      <w:r w:rsidR="00D20834" w:rsidRPr="00D20834">
        <w:rPr>
          <w:rFonts w:cs="Times New Roman"/>
          <w:bCs/>
        </w:rPr>
        <w:t>dans la prévention et la gestion des conflits, de prise en compte du genre et des droits humains dans les missions des FDS et des ACP ainsi que le rétablissement de la confiance entre les communautés et ces derniers</w:t>
      </w:r>
      <w:r w:rsidR="00811E66">
        <w:rPr>
          <w:rFonts w:cs="Times New Roman"/>
          <w:bCs/>
        </w:rPr>
        <w:t xml:space="preserve"> </w:t>
      </w:r>
      <w:r w:rsidR="00811E66" w:rsidRPr="00811E66">
        <w:rPr>
          <w:rFonts w:cs="Times New Roman"/>
          <w:b/>
          <w:i/>
          <w:iCs/>
        </w:rPr>
        <w:t>(Constat 2)</w:t>
      </w:r>
      <w:r w:rsidR="00D20834" w:rsidRPr="00811E66">
        <w:rPr>
          <w:rFonts w:cs="Times New Roman"/>
          <w:b/>
          <w:i/>
          <w:iCs/>
        </w:rPr>
        <w:t>.</w:t>
      </w:r>
      <w:r w:rsidR="00D20834" w:rsidRPr="00D20834">
        <w:rPr>
          <w:rFonts w:cs="Times New Roman"/>
          <w:bCs/>
        </w:rPr>
        <w:t xml:space="preserve"> Enfin, à travers la reformulation de certaines activités pour accompagner les initiatives gouvernementales de riposte à la pandémie de la COVID 19, le projet s’est voulu</w:t>
      </w:r>
      <w:r w:rsidR="00D20834">
        <w:rPr>
          <w:rFonts w:cs="Times New Roman"/>
          <w:bCs/>
        </w:rPr>
        <w:t xml:space="preserve"> sensible et réactif </w:t>
      </w:r>
      <w:r w:rsidR="00811E66">
        <w:rPr>
          <w:rFonts w:cs="Times New Roman"/>
          <w:bCs/>
        </w:rPr>
        <w:t>vis-à-vis de</w:t>
      </w:r>
      <w:r w:rsidRPr="00D20834">
        <w:rPr>
          <w:rFonts w:cs="Times New Roman"/>
          <w:bCs/>
        </w:rPr>
        <w:t xml:space="preserve"> l’évolution du contexte liée à</w:t>
      </w:r>
      <w:r w:rsidR="00811E66">
        <w:rPr>
          <w:rFonts w:cs="Times New Roman"/>
          <w:bCs/>
        </w:rPr>
        <w:t xml:space="preserve"> l’avènement de</w:t>
      </w:r>
      <w:r w:rsidRPr="00D20834">
        <w:rPr>
          <w:rFonts w:cs="Times New Roman"/>
          <w:bCs/>
        </w:rPr>
        <w:t xml:space="preserve"> la pandémie </w:t>
      </w:r>
      <w:r w:rsidR="00811E66" w:rsidRPr="00811E66">
        <w:rPr>
          <w:rFonts w:cs="Times New Roman"/>
          <w:b/>
          <w:i/>
          <w:iCs/>
        </w:rPr>
        <w:t>(Constat 3)</w:t>
      </w:r>
      <w:r w:rsidR="00811E66">
        <w:rPr>
          <w:rFonts w:cs="Times New Roman"/>
          <w:bCs/>
        </w:rPr>
        <w:t xml:space="preserve">. </w:t>
      </w:r>
      <w:r w:rsidR="006440BD">
        <w:rPr>
          <w:rFonts w:cs="Times New Roman"/>
          <w:bCs/>
        </w:rPr>
        <w:t xml:space="preserve">Néanmoins, l’évaluation estime que la démarche participative mérite d’être approfondie dans les interventions futures en termes de prise en compte des besoins essentiels des populations en matière de résilience économique d’une part, et d’implication des acteurs pertinents sur la question transfrontalière. </w:t>
      </w:r>
      <w:r w:rsidR="006440BD">
        <w:rPr>
          <w:rFonts w:cs="Times New Roman"/>
        </w:rPr>
        <w:t>Relativement à l’implication des acteurs, i</w:t>
      </w:r>
      <w:r w:rsidR="006440BD" w:rsidRPr="0002439A">
        <w:rPr>
          <w:rFonts w:cs="Times New Roman"/>
        </w:rPr>
        <w:t xml:space="preserve">l est important de souligner que quelques acteurs pertinents sur la question transfrontalière comme </w:t>
      </w:r>
      <w:r w:rsidR="006440BD">
        <w:rPr>
          <w:rFonts w:cs="Times New Roman"/>
        </w:rPr>
        <w:t>l’</w:t>
      </w:r>
      <w:r w:rsidR="006440BD" w:rsidRPr="0002439A">
        <w:rPr>
          <w:rFonts w:cs="Times New Roman"/>
        </w:rPr>
        <w:t>ALG</w:t>
      </w:r>
      <w:r w:rsidR="006440BD">
        <w:rPr>
          <w:rFonts w:cs="Times New Roman"/>
        </w:rPr>
        <w:t xml:space="preserve">, la C3Sahel, </w:t>
      </w:r>
      <w:r w:rsidR="006440BD" w:rsidRPr="0002439A">
        <w:rPr>
          <w:rFonts w:cs="Times New Roman"/>
        </w:rPr>
        <w:t>et les GLCT</w:t>
      </w:r>
      <w:r w:rsidR="006440BD">
        <w:rPr>
          <w:rFonts w:cs="Times New Roman"/>
        </w:rPr>
        <w:t xml:space="preserve"> </w:t>
      </w:r>
      <w:r w:rsidR="006440BD" w:rsidRPr="0002439A">
        <w:rPr>
          <w:rFonts w:cs="Times New Roman"/>
        </w:rPr>
        <w:t>de la zone d’intervention du projet.</w:t>
      </w:r>
      <w:r w:rsidR="006440BD" w:rsidRPr="006033D3">
        <w:t xml:space="preserve"> </w:t>
      </w:r>
      <w:r w:rsidR="006440BD">
        <w:t>La non</w:t>
      </w:r>
      <w:r w:rsidR="00B723D5">
        <w:t>-</w:t>
      </w:r>
      <w:r w:rsidR="006440BD">
        <w:t xml:space="preserve">implication </w:t>
      </w:r>
      <w:r w:rsidR="006440BD">
        <w:rPr>
          <w:rFonts w:cs="Times New Roman"/>
        </w:rPr>
        <w:t xml:space="preserve">de ces acteurs représente une opportunité manquée en termes </w:t>
      </w:r>
      <w:r w:rsidR="006440BD" w:rsidRPr="006033D3">
        <w:rPr>
          <w:rFonts w:cs="Times New Roman"/>
        </w:rPr>
        <w:t>d’orient</w:t>
      </w:r>
      <w:r w:rsidR="006440BD">
        <w:rPr>
          <w:rFonts w:cs="Times New Roman"/>
        </w:rPr>
        <w:t>ation sur</w:t>
      </w:r>
      <w:r w:rsidR="006440BD" w:rsidRPr="006033D3">
        <w:rPr>
          <w:rFonts w:cs="Times New Roman"/>
        </w:rPr>
        <w:t xml:space="preserve"> la conception des activités transfrontalières ou de facilit</w:t>
      </w:r>
      <w:r w:rsidR="006440BD">
        <w:rPr>
          <w:rFonts w:cs="Times New Roman"/>
        </w:rPr>
        <w:t xml:space="preserve">ation de la mise en œuvre de ces activités. </w:t>
      </w:r>
    </w:p>
    <w:p w14:paraId="00CED085" w14:textId="77777777" w:rsidR="0095022A" w:rsidRDefault="0095022A" w:rsidP="0095022A">
      <w:pPr>
        <w:spacing w:after="0" w:line="276" w:lineRule="auto"/>
        <w:rPr>
          <w:rFonts w:cs="Times New Roman"/>
          <w:bCs/>
        </w:rPr>
      </w:pPr>
    </w:p>
    <w:p w14:paraId="1922226F" w14:textId="0AA25D83" w:rsidR="0095022A" w:rsidRPr="0095022A" w:rsidRDefault="0095022A" w:rsidP="00DF4AC8">
      <w:pPr>
        <w:pStyle w:val="Titre3"/>
      </w:pPr>
      <w:r w:rsidRPr="0095022A">
        <w:t>Con</w:t>
      </w:r>
      <w:r>
        <w:t>clusion 2</w:t>
      </w:r>
      <w:r w:rsidR="00811E66">
        <w:t xml:space="preserve"> – Pertinence </w:t>
      </w:r>
    </w:p>
    <w:p w14:paraId="4D8FC4EE" w14:textId="51C52C2C" w:rsidR="0095022A" w:rsidRPr="00A868BC" w:rsidRDefault="00811E66" w:rsidP="009226DE">
      <w:pPr>
        <w:pStyle w:val="Paragraphedeliste"/>
        <w:numPr>
          <w:ilvl w:val="0"/>
          <w:numId w:val="23"/>
        </w:numPr>
        <w:spacing w:after="0" w:line="276" w:lineRule="auto"/>
      </w:pPr>
      <w:bookmarkStart w:id="971" w:name="_Hlk92311802"/>
      <w:r w:rsidRPr="00A868BC">
        <w:rPr>
          <w:rFonts w:cs="Times New Roman"/>
          <w:bCs/>
        </w:rPr>
        <w:t xml:space="preserve">La théorie de changement du projet </w:t>
      </w:r>
      <w:r w:rsidR="00BF4CCC" w:rsidRPr="00A868BC">
        <w:rPr>
          <w:rFonts w:cs="Times New Roman"/>
          <w:bCs/>
        </w:rPr>
        <w:t>démontre une articulation</w:t>
      </w:r>
      <w:r w:rsidR="006D1D38" w:rsidRPr="00A868BC">
        <w:rPr>
          <w:rFonts w:cs="Times New Roman"/>
          <w:bCs/>
        </w:rPr>
        <w:t xml:space="preserve"> claire et</w:t>
      </w:r>
      <w:r w:rsidR="00BF4CCC" w:rsidRPr="00A868BC">
        <w:rPr>
          <w:rFonts w:cs="Times New Roman"/>
          <w:bCs/>
        </w:rPr>
        <w:t xml:space="preserve"> logique des liens</w:t>
      </w:r>
      <w:r w:rsidRPr="00A868BC">
        <w:rPr>
          <w:rFonts w:cs="Times New Roman"/>
          <w:bCs/>
        </w:rPr>
        <w:t xml:space="preserve"> de cause à effet</w:t>
      </w:r>
      <w:r w:rsidR="00BF4CCC" w:rsidRPr="00A868BC">
        <w:rPr>
          <w:rFonts w:cs="Times New Roman"/>
          <w:bCs/>
        </w:rPr>
        <w:t>. Le</w:t>
      </w:r>
      <w:r w:rsidR="00113299" w:rsidRPr="00A868BC">
        <w:rPr>
          <w:rFonts w:cs="Times New Roman"/>
          <w:bCs/>
        </w:rPr>
        <w:t xml:space="preserve"> </w:t>
      </w:r>
      <w:r w:rsidR="00BF4CCC" w:rsidRPr="00A868BC">
        <w:rPr>
          <w:rFonts w:cs="Times New Roman"/>
          <w:bCs/>
        </w:rPr>
        <w:t>cadre de résultats</w:t>
      </w:r>
      <w:r w:rsidR="00113299" w:rsidRPr="00A868BC">
        <w:rPr>
          <w:rFonts w:cs="Times New Roman"/>
          <w:bCs/>
        </w:rPr>
        <w:t xml:space="preserve"> </w:t>
      </w:r>
      <w:r w:rsidR="006D1D38" w:rsidRPr="00A868BC">
        <w:rPr>
          <w:rFonts w:cs="Times New Roman"/>
          <w:bCs/>
        </w:rPr>
        <w:t xml:space="preserve">du projet </w:t>
      </w:r>
      <w:r w:rsidR="00113299" w:rsidRPr="00A868BC">
        <w:rPr>
          <w:rFonts w:cs="Times New Roman"/>
          <w:bCs/>
        </w:rPr>
        <w:t>qui</w:t>
      </w:r>
      <w:r w:rsidR="00BF4CCC" w:rsidRPr="00A868BC">
        <w:rPr>
          <w:rFonts w:cs="Times New Roman"/>
          <w:bCs/>
        </w:rPr>
        <w:t xml:space="preserve"> décline </w:t>
      </w:r>
      <w:r w:rsidR="00113299" w:rsidRPr="00A868BC">
        <w:rPr>
          <w:rFonts w:cs="Times New Roman"/>
          <w:bCs/>
        </w:rPr>
        <w:t>les activités, les produits et les résultats attendus, ainsi que les indicateurs et les moyens de vérification de ces indicateurs, est fidèle à cette théorie de changement.</w:t>
      </w:r>
      <w:r w:rsidR="00113299" w:rsidRPr="00113299">
        <w:t xml:space="preserve"> </w:t>
      </w:r>
      <w:r w:rsidR="006D1D38">
        <w:t xml:space="preserve">La robustesse de la </w:t>
      </w:r>
      <w:r w:rsidR="004C562C">
        <w:t xml:space="preserve">théorie de changement </w:t>
      </w:r>
      <w:r w:rsidR="006D1D38">
        <w:t>aurait dû être renforcée par la</w:t>
      </w:r>
      <w:r w:rsidR="008E2D54">
        <w:t xml:space="preserve"> prise en compte du </w:t>
      </w:r>
      <w:r w:rsidR="008E2D54" w:rsidRPr="008E2D54">
        <w:t xml:space="preserve">renforcement de la résilience économique des </w:t>
      </w:r>
      <w:r w:rsidR="008B255D">
        <w:t xml:space="preserve">ménages notamment des </w:t>
      </w:r>
      <w:r w:rsidR="006D1D38">
        <w:t>personnes vulnérables</w:t>
      </w:r>
      <w:r w:rsidR="008B255D">
        <w:t>.</w:t>
      </w:r>
      <w:r w:rsidR="008E2D54" w:rsidRPr="008E2D54">
        <w:t xml:space="preserve"> </w:t>
      </w:r>
      <w:r w:rsidR="008B255D">
        <w:t>D</w:t>
      </w:r>
      <w:r w:rsidR="00113299">
        <w:t xml:space="preserve">ans un contexte où la </w:t>
      </w:r>
      <w:r w:rsidR="00113299" w:rsidRPr="00113299">
        <w:t xml:space="preserve">compétition pour l’accès aux ressources d’une part et </w:t>
      </w:r>
      <w:r w:rsidR="008E2D54" w:rsidRPr="00A868BC">
        <w:rPr>
          <w:rFonts w:cs="Times New Roman"/>
          <w:bCs/>
        </w:rPr>
        <w:t xml:space="preserve">où la vulnérabilité économique </w:t>
      </w:r>
      <w:r w:rsidR="00A868BC" w:rsidRPr="00A868BC">
        <w:rPr>
          <w:rFonts w:cs="Times New Roman"/>
          <w:bCs/>
        </w:rPr>
        <w:t xml:space="preserve">d’autre part, </w:t>
      </w:r>
      <w:r w:rsidR="004C562C" w:rsidRPr="00A868BC">
        <w:rPr>
          <w:rFonts w:cs="Times New Roman"/>
          <w:bCs/>
        </w:rPr>
        <w:t>sont identifiées</w:t>
      </w:r>
      <w:r w:rsidR="008B255D">
        <w:rPr>
          <w:rFonts w:cs="Times New Roman"/>
          <w:bCs/>
        </w:rPr>
        <w:t xml:space="preserve"> et documentés</w:t>
      </w:r>
      <w:r w:rsidR="004C562C" w:rsidRPr="00A868BC">
        <w:rPr>
          <w:rFonts w:cs="Times New Roman"/>
          <w:bCs/>
        </w:rPr>
        <w:t xml:space="preserve"> comme des causes structurelles </w:t>
      </w:r>
      <w:r w:rsidR="006D1D38" w:rsidRPr="00A868BC">
        <w:rPr>
          <w:rFonts w:cs="Times New Roman"/>
          <w:bCs/>
        </w:rPr>
        <w:t>des</w:t>
      </w:r>
      <w:r w:rsidR="004C562C" w:rsidRPr="00A868BC">
        <w:rPr>
          <w:rFonts w:cs="Times New Roman"/>
          <w:bCs/>
        </w:rPr>
        <w:t xml:space="preserve"> conflits</w:t>
      </w:r>
      <w:r w:rsidR="00A868BC" w:rsidRPr="00A868BC">
        <w:rPr>
          <w:rFonts w:cs="Times New Roman"/>
          <w:bCs/>
        </w:rPr>
        <w:t xml:space="preserve"> communautaires</w:t>
      </w:r>
      <w:r w:rsidR="006440BD">
        <w:rPr>
          <w:rFonts w:cs="Times New Roman"/>
          <w:bCs/>
        </w:rPr>
        <w:t>,</w:t>
      </w:r>
      <w:r w:rsidR="006440BD" w:rsidRPr="006440BD">
        <w:rPr>
          <w:rFonts w:cs="Times New Roman"/>
          <w:bCs/>
        </w:rPr>
        <w:t xml:space="preserve"> </w:t>
      </w:r>
      <w:r w:rsidR="006440BD">
        <w:rPr>
          <w:rFonts w:cs="Times New Roman"/>
          <w:bCs/>
        </w:rPr>
        <w:t>le renforcement des moyens d’existence des couches vulnérables constitue un puissant facteur de résilience</w:t>
      </w:r>
      <w:r w:rsidR="006440BD">
        <w:t>. L’intégration d’une composante résilience économique des ménages dans les projets de consolidation de la paix et le changement de comportement souhaité au niveau communautaire implique une durée relativement longue des interventions sur le terrain. En conséquence, le mécanisme de financement PRF de PBF pourrait se révéler moins restrictif en temps comparativement au mécanisme IRF qui a prévalu dans le cadre de ce projet</w:t>
      </w:r>
      <w:r w:rsidR="004C562C">
        <w:t xml:space="preserve">. </w:t>
      </w:r>
      <w:r w:rsidR="00A868BC">
        <w:t xml:space="preserve">Par ailleurs, la présentation des </w:t>
      </w:r>
      <w:r w:rsidR="00A868BC" w:rsidRPr="00A868BC">
        <w:t xml:space="preserve">hypothèses </w:t>
      </w:r>
      <w:r w:rsidR="00A868BC">
        <w:t xml:space="preserve">auraient permis de comprendre et de suivre les conditions de succès du projet </w:t>
      </w:r>
      <w:r w:rsidR="00113299" w:rsidRPr="00A868BC">
        <w:rPr>
          <w:rFonts w:cs="Times New Roman"/>
          <w:b/>
          <w:i/>
          <w:iCs/>
        </w:rPr>
        <w:t>(Constat 4)</w:t>
      </w:r>
      <w:r w:rsidR="00113299" w:rsidRPr="00A868BC">
        <w:rPr>
          <w:rFonts w:cs="Times New Roman"/>
          <w:bCs/>
        </w:rPr>
        <w:t>.</w:t>
      </w:r>
      <w:r w:rsidR="006440BD" w:rsidRPr="006440BD">
        <w:t xml:space="preserve"> </w:t>
      </w:r>
      <w:r w:rsidR="006440BD">
        <w:t>Au-delà la précision des hypothèses dans le narratif de la théorie de changement, c’est la question du rôle de la théorie de changement comme outil de pilotage du projet qui est posée. Ce rôle gagnerait à être mieux valorisé dans les interventions futures à travers l’appropriation de la théorie de changement par les acteurs de mise en œuvre du projet (y compris les ONG partenaires), le suivi des hypothèses au regard du contexte de mise en œuvre et la révision de la théorie de changement si l’évolution du contexte l’exige</w:t>
      </w:r>
      <w:r w:rsidR="000744DF">
        <w:t>.</w:t>
      </w:r>
    </w:p>
    <w:bookmarkEnd w:id="971"/>
    <w:p w14:paraId="76ACCF1B" w14:textId="77777777" w:rsidR="0095022A" w:rsidRPr="009D216B" w:rsidRDefault="0095022A" w:rsidP="0095022A">
      <w:pPr>
        <w:spacing w:after="0" w:line="276" w:lineRule="auto"/>
        <w:rPr>
          <w:rFonts w:cs="Times New Roman"/>
          <w:bCs/>
          <w:sz w:val="12"/>
          <w:szCs w:val="12"/>
        </w:rPr>
      </w:pPr>
    </w:p>
    <w:p w14:paraId="5E923A10" w14:textId="24190355" w:rsidR="0095022A" w:rsidRPr="0095022A" w:rsidRDefault="0095022A" w:rsidP="00DF4AC8">
      <w:pPr>
        <w:pStyle w:val="Titre3"/>
      </w:pPr>
      <w:r w:rsidRPr="0095022A">
        <w:t>Con</w:t>
      </w:r>
      <w:r>
        <w:t>clusion 3</w:t>
      </w:r>
      <w:r w:rsidR="00440632">
        <w:t xml:space="preserve"> – Efficacité </w:t>
      </w:r>
    </w:p>
    <w:p w14:paraId="327BE550" w14:textId="35DE4C8E" w:rsidR="00503B7B" w:rsidRDefault="006E78BC" w:rsidP="007E4984">
      <w:pPr>
        <w:pStyle w:val="Paragraphedeliste"/>
        <w:numPr>
          <w:ilvl w:val="0"/>
          <w:numId w:val="23"/>
        </w:numPr>
        <w:spacing w:after="0" w:line="276" w:lineRule="auto"/>
      </w:pPr>
      <w:bookmarkStart w:id="972" w:name="_Hlk92311893"/>
      <w:r w:rsidRPr="006E78BC">
        <w:t>La performance du projet est globalement appréciable</w:t>
      </w:r>
      <w:r w:rsidR="0013001A">
        <w:t xml:space="preserve">, malgré le contexte difficile essentiellement </w:t>
      </w:r>
      <w:r w:rsidR="0013001A" w:rsidRPr="0013001A">
        <w:t>marqué par la d</w:t>
      </w:r>
      <w:r w:rsidR="0013001A">
        <w:t>égradation</w:t>
      </w:r>
      <w:r w:rsidR="0013001A" w:rsidRPr="0013001A">
        <w:t xml:space="preserve"> du contexte sécuritaire, la pandémie de la COVID-19, </w:t>
      </w:r>
      <w:r w:rsidR="0013001A">
        <w:t xml:space="preserve">et quelques </w:t>
      </w:r>
      <w:r w:rsidR="0013001A" w:rsidRPr="0013001A">
        <w:t>troubles socio-politiques.</w:t>
      </w:r>
      <w:r w:rsidRPr="006E78BC">
        <w:t xml:space="preserve"> Le taux moyen de réalisation (atteinte) des indicateurs de résultats et de produits est de 72%. Le taux de réalisation des </w:t>
      </w:r>
      <w:r w:rsidRPr="009D216B">
        <w:rPr>
          <w:rFonts w:cs="Times New Roman"/>
          <w:bCs/>
        </w:rPr>
        <w:t>indicateurs</w:t>
      </w:r>
      <w:r w:rsidRPr="006E78BC">
        <w:t xml:space="preserve"> de résultats est de 54% et celui des indicateurs de produits est de 83%. </w:t>
      </w:r>
      <w:r w:rsidR="00A16E9D">
        <w:t xml:space="preserve">Le </w:t>
      </w:r>
      <w:r w:rsidR="00A16E9D" w:rsidRPr="009D216B">
        <w:rPr>
          <w:i/>
          <w:iCs/>
        </w:rPr>
        <w:t>Résultat 1</w:t>
      </w:r>
      <w:r w:rsidR="00A16E9D">
        <w:t xml:space="preserve"> relatif au renforcement des </w:t>
      </w:r>
      <w:r w:rsidR="00E90CF8" w:rsidRPr="00E90CF8">
        <w:t xml:space="preserve">MCPGC </w:t>
      </w:r>
      <w:r w:rsidR="00A16E9D">
        <w:t xml:space="preserve">et le </w:t>
      </w:r>
      <w:r w:rsidR="00A16E9D" w:rsidRPr="009D216B">
        <w:rPr>
          <w:i/>
          <w:iCs/>
        </w:rPr>
        <w:t>Résultat 2</w:t>
      </w:r>
      <w:r w:rsidR="00A16E9D">
        <w:t xml:space="preserve"> portant sur les relations de confiance entre communautés, FDS et ACP ont enregistré les taux d’atteinte des cibles les plus élevés (respectivement 75% et 81%). Quan</w:t>
      </w:r>
      <w:r w:rsidR="00665AD4">
        <w:t>t</w:t>
      </w:r>
      <w:r w:rsidR="00A16E9D">
        <w:t xml:space="preserve"> au </w:t>
      </w:r>
      <w:r w:rsidR="00A16E9D" w:rsidRPr="009D216B">
        <w:rPr>
          <w:i/>
          <w:iCs/>
        </w:rPr>
        <w:t>Résultat 3</w:t>
      </w:r>
      <w:r w:rsidR="00A16E9D">
        <w:t xml:space="preserve"> relatif </w:t>
      </w:r>
      <w:r w:rsidR="00A16E9D" w:rsidRPr="00A16E9D">
        <w:t>à la mise en réseau et la promotion du partage d’expériences et de bonnes pratiques au niveau transfrontalier</w:t>
      </w:r>
      <w:r w:rsidR="00A16E9D">
        <w:t>, il a connu un faible taux de réalisation en raison de l’insécurité qui a empêché l’exécution des activités transfrontalières</w:t>
      </w:r>
      <w:r w:rsidR="00F07C14">
        <w:t xml:space="preserve"> </w:t>
      </w:r>
      <w:r w:rsidR="00F07C14" w:rsidRPr="009D216B">
        <w:rPr>
          <w:b/>
          <w:bCs/>
          <w:i/>
          <w:iCs/>
        </w:rPr>
        <w:t>(Constat 5)</w:t>
      </w:r>
      <w:r w:rsidR="00A16E9D" w:rsidRPr="009D216B">
        <w:rPr>
          <w:b/>
          <w:bCs/>
          <w:i/>
          <w:iCs/>
        </w:rPr>
        <w:t>.</w:t>
      </w:r>
      <w:r w:rsidR="00A16E9D">
        <w:t xml:space="preserve"> </w:t>
      </w:r>
      <w:r w:rsidR="00503B7B">
        <w:t xml:space="preserve">Les besoins des communautés ont trouvé réponse dans les activités mises en œuvre, comme l’indique l’appréciation positive livrée par la plupart des bénéficiaires directs interrogés (81%). Ces activités s’attaquaient aux </w:t>
      </w:r>
      <w:r w:rsidR="00F07C14" w:rsidRPr="00F07C14">
        <w:t xml:space="preserve">questions de sécurité et de cohésion sociale à travers </w:t>
      </w:r>
      <w:r w:rsidR="00D84623">
        <w:t>l’implication accrue des femmes et des jeunes dans les MCPGC</w:t>
      </w:r>
      <w:r w:rsidR="00C46E13">
        <w:t xml:space="preserve">, </w:t>
      </w:r>
      <w:r w:rsidR="00F07C14" w:rsidRPr="00F07C14">
        <w:t>la promotion du genre et des droits humains</w:t>
      </w:r>
      <w:r w:rsidR="00D84623">
        <w:t xml:space="preserve"> dans les missions des FDS et des ACP</w:t>
      </w:r>
      <w:r w:rsidR="00503B7B">
        <w:t>, le rétablissement de la confiance entre les communautés et ces derniers ainsi que la riposte contre la COVID-19</w:t>
      </w:r>
      <w:r w:rsidR="00BA145B">
        <w:t xml:space="preserve"> </w:t>
      </w:r>
      <w:r w:rsidR="00C46E13" w:rsidRPr="009D216B">
        <w:rPr>
          <w:b/>
          <w:bCs/>
          <w:i/>
          <w:iCs/>
        </w:rPr>
        <w:t>(Constat 6)</w:t>
      </w:r>
      <w:r w:rsidR="00F07C14" w:rsidRPr="00F07C14">
        <w:t>.</w:t>
      </w:r>
      <w:r w:rsidR="007068E8">
        <w:t xml:space="preserve"> </w:t>
      </w:r>
      <w:r w:rsidR="006440BD">
        <w:t xml:space="preserve">Le dynamisme des femmes et des jeunes dans le cadre de ce projet aura permis de confirmer la pertinence de leur implication comme levier de l’efficacité des </w:t>
      </w:r>
      <w:r w:rsidR="006440BD" w:rsidRPr="009023A1">
        <w:t>MCPGC</w:t>
      </w:r>
      <w:r w:rsidR="006440BD">
        <w:t xml:space="preserve"> et du changement des </w:t>
      </w:r>
      <w:r w:rsidR="006440BD" w:rsidRPr="009023A1">
        <w:t>mentalités</w:t>
      </w:r>
      <w:r w:rsidR="006440BD">
        <w:t xml:space="preserve"> vis-à-vis</w:t>
      </w:r>
      <w:r w:rsidR="006440BD" w:rsidRPr="009023A1">
        <w:t xml:space="preserve"> </w:t>
      </w:r>
      <w:r w:rsidR="006440BD">
        <w:t xml:space="preserve">de la place </w:t>
      </w:r>
      <w:r w:rsidR="006440BD" w:rsidRPr="009023A1">
        <w:t xml:space="preserve">de la femme </w:t>
      </w:r>
      <w:r w:rsidR="006440BD">
        <w:t>en matière de paix et de cohésion sociale</w:t>
      </w:r>
      <w:r w:rsidR="006440BD" w:rsidRPr="009023A1">
        <w:t>.</w:t>
      </w:r>
      <w:r w:rsidR="006440BD">
        <w:t xml:space="preserve"> L’implication des femmes et des jeunes apparait de ce fait comme une bonne pratique à capitaliser.</w:t>
      </w:r>
    </w:p>
    <w:bookmarkEnd w:id="972"/>
    <w:p w14:paraId="199BB73B" w14:textId="77777777" w:rsidR="00503B7B" w:rsidRDefault="00503B7B" w:rsidP="00503B7B">
      <w:pPr>
        <w:pStyle w:val="Paragraphedeliste"/>
        <w:spacing w:before="240" w:after="0" w:line="276" w:lineRule="auto"/>
        <w:ind w:left="360"/>
      </w:pPr>
    </w:p>
    <w:p w14:paraId="6DC35139" w14:textId="2F6605D6" w:rsidR="00F07C14" w:rsidRDefault="00F07C14" w:rsidP="00DF4AC8">
      <w:pPr>
        <w:pStyle w:val="Titre3"/>
      </w:pPr>
      <w:r w:rsidRPr="0095022A">
        <w:t>Con</w:t>
      </w:r>
      <w:r>
        <w:t xml:space="preserve">clusion </w:t>
      </w:r>
      <w:r w:rsidR="00C46E13">
        <w:t>4</w:t>
      </w:r>
      <w:r>
        <w:t xml:space="preserve"> – Efficacité</w:t>
      </w:r>
    </w:p>
    <w:p w14:paraId="1FC207E0" w14:textId="4CD12D4D" w:rsidR="00065010" w:rsidRPr="0060123A" w:rsidRDefault="00C46E13" w:rsidP="5E3C5D11">
      <w:pPr>
        <w:pStyle w:val="Paragraphedeliste"/>
        <w:numPr>
          <w:ilvl w:val="0"/>
          <w:numId w:val="23"/>
        </w:numPr>
        <w:spacing w:after="0" w:line="276" w:lineRule="auto"/>
        <w:rPr>
          <w:b/>
          <w:caps/>
          <w:color w:val="000000"/>
          <w:sz w:val="24"/>
        </w:rPr>
      </w:pPr>
      <w:bookmarkStart w:id="973" w:name="_Hlk92311991"/>
      <w:r w:rsidRPr="0060123A">
        <w:rPr>
          <w:color w:val="000000"/>
        </w:rPr>
        <w:t xml:space="preserve">Partant du </w:t>
      </w:r>
      <w:r w:rsidR="0041767C" w:rsidRPr="5E3C5D11">
        <w:rPr>
          <w:b/>
          <w:bCs/>
          <w:i/>
          <w:iCs/>
        </w:rPr>
        <w:t>C</w:t>
      </w:r>
      <w:r w:rsidRPr="5E3C5D11">
        <w:rPr>
          <w:b/>
          <w:bCs/>
          <w:i/>
          <w:iCs/>
        </w:rPr>
        <w:t>onstat 7</w:t>
      </w:r>
      <w:r w:rsidRPr="0060123A">
        <w:rPr>
          <w:color w:val="000000"/>
        </w:rPr>
        <w:t xml:space="preserve">, il est possible de conclure que le suivi-évaluation et la coordination ont été les maillons faibles du projet. </w:t>
      </w:r>
      <w:r w:rsidR="00D7143D" w:rsidRPr="0060123A">
        <w:rPr>
          <w:color w:val="000000"/>
        </w:rPr>
        <w:t>En effet, l</w:t>
      </w:r>
      <w:r w:rsidRPr="0060123A">
        <w:rPr>
          <w:color w:val="000000"/>
        </w:rPr>
        <w:t xml:space="preserve">’absence du plan de suivi-évaluation </w:t>
      </w:r>
      <w:r w:rsidR="00F93115" w:rsidRPr="0060123A">
        <w:rPr>
          <w:color w:val="000000"/>
        </w:rPr>
        <w:t xml:space="preserve">conjoint </w:t>
      </w:r>
      <w:r w:rsidRPr="0060123A">
        <w:rPr>
          <w:color w:val="000000"/>
        </w:rPr>
        <w:t>a affecté négativement la qualité du suivi et la mesure des indicateurs</w:t>
      </w:r>
      <w:r w:rsidR="009E3917" w:rsidRPr="0060123A">
        <w:rPr>
          <w:color w:val="000000"/>
        </w:rPr>
        <w:t xml:space="preserve">. La non-harmonisation de la définition et du mode de calcul des indicateurs, la non-disponibilité d’une base de données centralisées des bénéficiaires, la </w:t>
      </w:r>
      <w:r w:rsidR="001D6FD7" w:rsidRPr="0060123A">
        <w:rPr>
          <w:color w:val="000000"/>
        </w:rPr>
        <w:t>non-réalisation</w:t>
      </w:r>
      <w:r w:rsidR="009E3917" w:rsidRPr="0060123A">
        <w:rPr>
          <w:color w:val="000000"/>
        </w:rPr>
        <w:t xml:space="preserve"> des enquêtes de perception devant servir de moyens de vérification de certains indicateurs du cadre de résultats et quelques</w:t>
      </w:r>
      <w:r w:rsidR="00BA145B" w:rsidRPr="0060123A">
        <w:rPr>
          <w:color w:val="000000"/>
        </w:rPr>
        <w:t xml:space="preserve"> cas d’incohérence de données</w:t>
      </w:r>
      <w:r w:rsidR="009E3917" w:rsidRPr="0060123A">
        <w:rPr>
          <w:color w:val="000000"/>
        </w:rPr>
        <w:t xml:space="preserve"> dans les rapports de progrès</w:t>
      </w:r>
      <w:r w:rsidR="00D7143D" w:rsidRPr="0060123A">
        <w:rPr>
          <w:color w:val="000000"/>
        </w:rPr>
        <w:t>,</w:t>
      </w:r>
      <w:r w:rsidR="009E3917" w:rsidRPr="0060123A">
        <w:rPr>
          <w:color w:val="000000"/>
        </w:rPr>
        <w:t xml:space="preserve"> sont </w:t>
      </w:r>
      <w:r w:rsidR="00D7143D" w:rsidRPr="0060123A">
        <w:rPr>
          <w:color w:val="000000"/>
        </w:rPr>
        <w:t>les</w:t>
      </w:r>
      <w:r w:rsidR="009E3917" w:rsidRPr="0060123A">
        <w:rPr>
          <w:color w:val="000000"/>
        </w:rPr>
        <w:t xml:space="preserve"> insuffisances notées dans le suivi-évaluation du projet. Par ailleurs, le projet n’a pas bénéfici</w:t>
      </w:r>
      <w:r w:rsidR="00D7143D" w:rsidRPr="0060123A">
        <w:rPr>
          <w:color w:val="000000"/>
        </w:rPr>
        <w:t>é</w:t>
      </w:r>
      <w:r w:rsidR="009E3917" w:rsidRPr="0060123A">
        <w:rPr>
          <w:color w:val="000000"/>
        </w:rPr>
        <w:t xml:space="preserve"> des effets synergiques du partenariat entre ONU Femmes et ONUDC en raison des </w:t>
      </w:r>
      <w:r w:rsidRPr="0060123A">
        <w:rPr>
          <w:color w:val="000000"/>
        </w:rPr>
        <w:t>difficultés de communication et de coordination</w:t>
      </w:r>
      <w:r w:rsidR="00D7143D" w:rsidRPr="0060123A">
        <w:rPr>
          <w:color w:val="000000"/>
        </w:rPr>
        <w:t xml:space="preserve">. </w:t>
      </w:r>
      <w:r w:rsidR="009C79EA">
        <w:rPr>
          <w:color w:val="000000"/>
        </w:rPr>
        <w:t xml:space="preserve">La </w:t>
      </w:r>
      <w:r w:rsidR="00916D32">
        <w:rPr>
          <w:color w:val="000000"/>
        </w:rPr>
        <w:t>réalisation</w:t>
      </w:r>
      <w:r w:rsidR="009C79EA">
        <w:rPr>
          <w:color w:val="000000"/>
        </w:rPr>
        <w:t xml:space="preserve"> de l’évaluation aurait </w:t>
      </w:r>
      <w:r w:rsidR="000744DF">
        <w:rPr>
          <w:color w:val="000000"/>
        </w:rPr>
        <w:t xml:space="preserve">un </w:t>
      </w:r>
      <w:r w:rsidR="009C79EA">
        <w:rPr>
          <w:color w:val="000000"/>
        </w:rPr>
        <w:t xml:space="preserve">avantage à être faite </w:t>
      </w:r>
      <w:r w:rsidR="009C79EA" w:rsidRPr="00051DC8">
        <w:rPr>
          <w:color w:val="000000"/>
        </w:rPr>
        <w:t>avant la clôture du projet, de sorte à ce que les résultats soient disponibles pour être pris en compte dans le rapport final de projet.</w:t>
      </w:r>
      <w:r w:rsidR="009C79EA">
        <w:rPr>
          <w:color w:val="000000"/>
        </w:rPr>
        <w:t xml:space="preserve"> Cela permettrait aussi la </w:t>
      </w:r>
      <w:r w:rsidR="009C79EA" w:rsidRPr="009C79EA">
        <w:rPr>
          <w:color w:val="000000"/>
        </w:rPr>
        <w:t>pr</w:t>
      </w:r>
      <w:r w:rsidR="009C79EA">
        <w:rPr>
          <w:color w:val="000000"/>
        </w:rPr>
        <w:t>ise</w:t>
      </w:r>
      <w:r w:rsidR="009C79EA" w:rsidRPr="009C79EA">
        <w:rPr>
          <w:color w:val="000000"/>
        </w:rPr>
        <w:t xml:space="preserve"> en compte </w:t>
      </w:r>
      <w:r w:rsidR="009C79EA">
        <w:rPr>
          <w:color w:val="000000"/>
        </w:rPr>
        <w:t>d</w:t>
      </w:r>
      <w:r w:rsidR="009C79EA" w:rsidRPr="009C79EA">
        <w:rPr>
          <w:color w:val="000000"/>
        </w:rPr>
        <w:t>es leçons apprises et</w:t>
      </w:r>
      <w:r w:rsidR="009C79EA">
        <w:rPr>
          <w:color w:val="000000"/>
        </w:rPr>
        <w:t xml:space="preserve"> des</w:t>
      </w:r>
      <w:r w:rsidR="009C79EA" w:rsidRPr="009C79EA">
        <w:rPr>
          <w:color w:val="000000"/>
        </w:rPr>
        <w:t xml:space="preserve"> recommandations dans les interventions commençant immédiatement après ce projet.    </w:t>
      </w:r>
      <w:r w:rsidR="0041767C" w:rsidRPr="0060123A">
        <w:rPr>
          <w:color w:val="000000"/>
        </w:rPr>
        <w:t>La coordination entre le</w:t>
      </w:r>
      <w:r w:rsidR="00D7143D" w:rsidRPr="0060123A">
        <w:rPr>
          <w:color w:val="000000"/>
        </w:rPr>
        <w:t>s O</w:t>
      </w:r>
      <w:r w:rsidRPr="0060123A">
        <w:rPr>
          <w:color w:val="000000"/>
        </w:rPr>
        <w:t>NG partenaires de mise en œuvre</w:t>
      </w:r>
      <w:r w:rsidR="00D7143D" w:rsidRPr="0060123A">
        <w:rPr>
          <w:color w:val="000000"/>
        </w:rPr>
        <w:t xml:space="preserve"> </w:t>
      </w:r>
      <w:r w:rsidR="0041767C" w:rsidRPr="0060123A">
        <w:rPr>
          <w:color w:val="000000"/>
        </w:rPr>
        <w:t>au niveau national et transfrontalière d’une part, ainsi que la collaboration</w:t>
      </w:r>
      <w:r w:rsidR="00D7143D" w:rsidRPr="0060123A">
        <w:rPr>
          <w:color w:val="000000"/>
        </w:rPr>
        <w:t xml:space="preserve"> </w:t>
      </w:r>
      <w:r w:rsidRPr="0060123A">
        <w:rPr>
          <w:color w:val="000000"/>
        </w:rPr>
        <w:t xml:space="preserve">entre ce projet et les autres projets </w:t>
      </w:r>
      <w:r w:rsidR="00D7143D" w:rsidRPr="0060123A">
        <w:rPr>
          <w:color w:val="000000"/>
        </w:rPr>
        <w:t xml:space="preserve">financés par </w:t>
      </w:r>
      <w:r w:rsidRPr="0060123A">
        <w:rPr>
          <w:color w:val="000000"/>
        </w:rPr>
        <w:t xml:space="preserve">PBF </w:t>
      </w:r>
      <w:r w:rsidR="0041767C" w:rsidRPr="0060123A">
        <w:rPr>
          <w:color w:val="000000"/>
        </w:rPr>
        <w:t xml:space="preserve">dans la zone d’intervention </w:t>
      </w:r>
      <w:r w:rsidRPr="0060123A">
        <w:rPr>
          <w:color w:val="000000"/>
        </w:rPr>
        <w:t>d’autre part</w:t>
      </w:r>
      <w:r w:rsidR="0041767C" w:rsidRPr="0060123A">
        <w:rPr>
          <w:color w:val="000000"/>
        </w:rPr>
        <w:t xml:space="preserve">, </w:t>
      </w:r>
      <w:r w:rsidR="00D7143D" w:rsidRPr="0060123A">
        <w:rPr>
          <w:color w:val="000000"/>
        </w:rPr>
        <w:t>ont aussi été limitées</w:t>
      </w:r>
      <w:r w:rsidR="0041767C" w:rsidRPr="0060123A">
        <w:rPr>
          <w:color w:val="000000"/>
        </w:rPr>
        <w:t xml:space="preserve"> </w:t>
      </w:r>
      <w:r w:rsidR="009E3917" w:rsidRPr="5E3C5D11">
        <w:rPr>
          <w:b/>
          <w:bCs/>
          <w:i/>
          <w:iCs/>
        </w:rPr>
        <w:t>(Constat 8)</w:t>
      </w:r>
      <w:r w:rsidRPr="5E3C5D11">
        <w:rPr>
          <w:b/>
          <w:bCs/>
          <w:i/>
          <w:iCs/>
        </w:rPr>
        <w:t>.</w:t>
      </w:r>
      <w:r w:rsidR="00916D32">
        <w:rPr>
          <w:b/>
          <w:bCs/>
          <w:i/>
          <w:iCs/>
        </w:rPr>
        <w:t xml:space="preserve"> </w:t>
      </w:r>
      <w:r w:rsidR="00A866F3">
        <w:rPr>
          <w:rFonts w:cs="Times New Roman"/>
        </w:rPr>
        <w:t>Avec la mise en place du comité technique de coordination</w:t>
      </w:r>
      <w:r w:rsidR="00A866F3" w:rsidRPr="00A866F3">
        <w:t xml:space="preserve"> </w:t>
      </w:r>
      <w:r w:rsidR="00A866F3">
        <w:t xml:space="preserve">composé du personnel des deux agences et qui devait se tenir </w:t>
      </w:r>
      <w:r w:rsidR="00A866F3">
        <w:rPr>
          <w:rFonts w:cs="Times New Roman"/>
        </w:rPr>
        <w:t>une</w:t>
      </w:r>
      <w:r w:rsidR="00A866F3" w:rsidRPr="00A866F3">
        <w:rPr>
          <w:rFonts w:cs="Times New Roman"/>
        </w:rPr>
        <w:t xml:space="preserve"> fois par trimestre de façon tournante entre le Mali et le Niger</w:t>
      </w:r>
      <w:r w:rsidR="00A866F3">
        <w:rPr>
          <w:rFonts w:cs="Times New Roman"/>
        </w:rPr>
        <w:t xml:space="preserve">, le projet </w:t>
      </w:r>
      <w:r w:rsidR="00217DE2">
        <w:rPr>
          <w:rFonts w:cs="Times New Roman"/>
        </w:rPr>
        <w:t>a émis l’hypothèse</w:t>
      </w:r>
      <w:r w:rsidR="00A866F3">
        <w:rPr>
          <w:rFonts w:cs="Times New Roman"/>
        </w:rPr>
        <w:t xml:space="preserve"> implicite d’une bonne communication entre les </w:t>
      </w:r>
      <w:r w:rsidR="00217DE2">
        <w:rPr>
          <w:rFonts w:cs="Times New Roman"/>
        </w:rPr>
        <w:t>acteurs</w:t>
      </w:r>
      <w:r w:rsidR="00A866F3">
        <w:rPr>
          <w:rFonts w:cs="Times New Roman"/>
        </w:rPr>
        <w:t xml:space="preserve">. </w:t>
      </w:r>
      <w:r w:rsidR="00217DE2">
        <w:rPr>
          <w:rFonts w:cs="Times New Roman"/>
        </w:rPr>
        <w:t xml:space="preserve">Cette hypothèse n’ayant pas été confirmée dans la pratique, l’évaluateur estime qu’il est nécessaire d’aller plus loin en définissant un cadre formel de communication interne entre les acteurs.  </w:t>
      </w:r>
    </w:p>
    <w:bookmarkEnd w:id="973"/>
    <w:p w14:paraId="41AE2EAE" w14:textId="77777777" w:rsidR="00ED0DD6" w:rsidRPr="0060123A" w:rsidRDefault="00ED0DD6" w:rsidP="00ED0DD6">
      <w:pPr>
        <w:pStyle w:val="Paragraphedeliste"/>
        <w:spacing w:after="0" w:line="276" w:lineRule="auto"/>
        <w:ind w:left="360"/>
        <w:rPr>
          <w:b/>
          <w:caps/>
          <w:color w:val="000000"/>
          <w:sz w:val="24"/>
        </w:rPr>
      </w:pPr>
    </w:p>
    <w:p w14:paraId="6B207F71" w14:textId="7B95EF15" w:rsidR="0041767C" w:rsidRDefault="0041767C" w:rsidP="00DF4AC8">
      <w:pPr>
        <w:pStyle w:val="Titre3"/>
      </w:pPr>
      <w:r w:rsidRPr="0095022A">
        <w:t>Con</w:t>
      </w:r>
      <w:r>
        <w:t>clusion 5 – Effic</w:t>
      </w:r>
      <w:r w:rsidR="0029544A">
        <w:t xml:space="preserve">ience </w:t>
      </w:r>
    </w:p>
    <w:p w14:paraId="36C69650" w14:textId="76EF60BB" w:rsidR="00C46E13" w:rsidRPr="00D90A05" w:rsidRDefault="0029544A" w:rsidP="00ED0DD6">
      <w:pPr>
        <w:pStyle w:val="Paragraphedeliste"/>
        <w:numPr>
          <w:ilvl w:val="0"/>
          <w:numId w:val="23"/>
        </w:numPr>
        <w:spacing w:after="0" w:line="276" w:lineRule="auto"/>
        <w:rPr>
          <w:color w:val="000000"/>
        </w:rPr>
      </w:pPr>
      <w:r w:rsidRPr="00D90A05">
        <w:rPr>
          <w:color w:val="000000"/>
        </w:rPr>
        <w:t xml:space="preserve">Le niveau d’exécution financière du projet est jugé moyen (72%). Ce niveau de consommation des ressources financières s’explique par la </w:t>
      </w:r>
      <w:r w:rsidR="001D6FD7" w:rsidRPr="00D90A05">
        <w:rPr>
          <w:color w:val="000000"/>
        </w:rPr>
        <w:t>non-réalisation</w:t>
      </w:r>
      <w:r w:rsidRPr="00D90A05">
        <w:rPr>
          <w:color w:val="000000"/>
        </w:rPr>
        <w:t xml:space="preserve"> de toutes les activités transfrontalières. L’utilisation des ressources s’est faite conformément aux procédures des agences d’exécution et aucun incident n’a été signalé</w:t>
      </w:r>
      <w:r w:rsidR="0086764B" w:rsidRPr="00D90A05">
        <w:rPr>
          <w:color w:val="000000"/>
        </w:rPr>
        <w:t xml:space="preserve"> </w:t>
      </w:r>
      <w:r w:rsidR="0086764B" w:rsidRPr="00D90A05">
        <w:rPr>
          <w:b/>
          <w:i/>
          <w:color w:val="000000"/>
        </w:rPr>
        <w:t>(Constat 10)</w:t>
      </w:r>
      <w:r w:rsidRPr="00D90A05">
        <w:rPr>
          <w:color w:val="000000"/>
        </w:rPr>
        <w:t xml:space="preserve">. Les ressources humaines et matérielles mobilisées ont aussi été employées pour la réalisation effective des activités programmées </w:t>
      </w:r>
      <w:r w:rsidR="0086764B" w:rsidRPr="00D90A05">
        <w:rPr>
          <w:color w:val="000000"/>
        </w:rPr>
        <w:t xml:space="preserve">suivant deux </w:t>
      </w:r>
      <w:r w:rsidRPr="00D90A05">
        <w:rPr>
          <w:color w:val="000000"/>
        </w:rPr>
        <w:t xml:space="preserve">approches d’intervention </w:t>
      </w:r>
      <w:r w:rsidR="0086764B" w:rsidRPr="00D90A05">
        <w:rPr>
          <w:color w:val="000000"/>
        </w:rPr>
        <w:t xml:space="preserve">comprenant la stratégie du faire-faire (adopté par ONU Femmes) et l’intervention directe (adoptée par ONUDC). L’efficience du projet aurait été meilleure si l’équipe de projet avait réussi à relever le défi de </w:t>
      </w:r>
      <w:r w:rsidRPr="00D90A05">
        <w:rPr>
          <w:color w:val="000000"/>
        </w:rPr>
        <w:t xml:space="preserve">la planification conjointe et </w:t>
      </w:r>
      <w:r w:rsidR="0086764B" w:rsidRPr="00D90A05">
        <w:rPr>
          <w:color w:val="000000"/>
        </w:rPr>
        <w:t>d</w:t>
      </w:r>
      <w:r w:rsidRPr="00D90A05">
        <w:rPr>
          <w:color w:val="000000"/>
        </w:rPr>
        <w:t xml:space="preserve">es supervisions conjointes </w:t>
      </w:r>
      <w:r w:rsidR="0086764B" w:rsidRPr="00D90A05">
        <w:rPr>
          <w:color w:val="000000"/>
        </w:rPr>
        <w:t xml:space="preserve">comme initialement </w:t>
      </w:r>
      <w:r w:rsidRPr="00D90A05">
        <w:rPr>
          <w:color w:val="000000"/>
        </w:rPr>
        <w:t>prévus</w:t>
      </w:r>
      <w:r w:rsidR="0086764B" w:rsidRPr="00D90A05">
        <w:rPr>
          <w:color w:val="000000"/>
        </w:rPr>
        <w:t xml:space="preserve"> </w:t>
      </w:r>
      <w:r w:rsidR="0086764B" w:rsidRPr="00D90A05">
        <w:rPr>
          <w:b/>
          <w:i/>
          <w:color w:val="000000"/>
        </w:rPr>
        <w:t>(Constat 11)</w:t>
      </w:r>
      <w:r w:rsidRPr="00D90A05">
        <w:rPr>
          <w:color w:val="000000"/>
        </w:rPr>
        <w:t>.</w:t>
      </w:r>
    </w:p>
    <w:p w14:paraId="11BD01F9" w14:textId="7B795373" w:rsidR="0041767C" w:rsidRDefault="0041767C" w:rsidP="00DF4AC8">
      <w:pPr>
        <w:pStyle w:val="Titre3"/>
      </w:pPr>
      <w:r>
        <w:t xml:space="preserve">Conclusion </w:t>
      </w:r>
      <w:r w:rsidR="0086764B">
        <w:t>6</w:t>
      </w:r>
      <w:r>
        <w:t xml:space="preserve"> – Impact </w:t>
      </w:r>
    </w:p>
    <w:p w14:paraId="70461761" w14:textId="137F85E5" w:rsidR="00F629F5" w:rsidRPr="0060123A" w:rsidRDefault="00801400" w:rsidP="00ED0DD6">
      <w:pPr>
        <w:pStyle w:val="Paragraphedeliste"/>
        <w:numPr>
          <w:ilvl w:val="0"/>
          <w:numId w:val="23"/>
        </w:numPr>
        <w:spacing w:after="0" w:line="276" w:lineRule="auto"/>
        <w:rPr>
          <w:color w:val="000000"/>
        </w:rPr>
      </w:pPr>
      <w:r w:rsidRPr="0060123A">
        <w:rPr>
          <w:color w:val="000000"/>
        </w:rPr>
        <w:t xml:space="preserve">Plusieurs changements positifs sont aujourd’hui visibles dans la zone d’intervention du projet grâce aux activités menées par le projet mais aussi à plusieurs autres interventions mises en œuvre sur la période couverte dans la même zone d’intervention </w:t>
      </w:r>
      <w:r w:rsidRPr="0060123A">
        <w:rPr>
          <w:b/>
          <w:i/>
          <w:color w:val="000000"/>
        </w:rPr>
        <w:t>(Constat 9).</w:t>
      </w:r>
      <w:r w:rsidRPr="0060123A">
        <w:rPr>
          <w:color w:val="000000"/>
        </w:rPr>
        <w:t xml:space="preserve"> C</w:t>
      </w:r>
      <w:r w:rsidR="00F629F5" w:rsidRPr="0060123A">
        <w:rPr>
          <w:color w:val="000000"/>
        </w:rPr>
        <w:t xml:space="preserve">es changements </w:t>
      </w:r>
      <w:r w:rsidRPr="0060123A">
        <w:rPr>
          <w:color w:val="000000"/>
        </w:rPr>
        <w:t>sont entre autres</w:t>
      </w:r>
      <w:r w:rsidR="00F629F5" w:rsidRPr="0060123A">
        <w:rPr>
          <w:color w:val="000000"/>
        </w:rPr>
        <w:t xml:space="preserve"> :</w:t>
      </w:r>
    </w:p>
    <w:p w14:paraId="7A2249E3" w14:textId="5676F2DE" w:rsidR="00F629F5" w:rsidRPr="0060123A" w:rsidRDefault="00F629F5" w:rsidP="00F629F5">
      <w:pPr>
        <w:pStyle w:val="Paragraphedeliste"/>
        <w:numPr>
          <w:ilvl w:val="0"/>
          <w:numId w:val="96"/>
        </w:numPr>
        <w:spacing w:before="240" w:after="0" w:line="276" w:lineRule="auto"/>
        <w:rPr>
          <w:color w:val="000000"/>
        </w:rPr>
      </w:pPr>
      <w:r w:rsidRPr="0060123A">
        <w:rPr>
          <w:color w:val="000000"/>
        </w:rPr>
        <w:t xml:space="preserve">L’implication accrue des femmes et des jeunes dans les </w:t>
      </w:r>
      <w:r w:rsidR="00E90CF8" w:rsidRPr="0060123A">
        <w:rPr>
          <w:color w:val="000000"/>
        </w:rPr>
        <w:t>MCPGC</w:t>
      </w:r>
      <w:r w:rsidR="00102459" w:rsidRPr="0060123A">
        <w:rPr>
          <w:color w:val="000000"/>
        </w:rPr>
        <w:t xml:space="preserve"> </w:t>
      </w:r>
      <w:r w:rsidRPr="0060123A">
        <w:rPr>
          <w:color w:val="000000"/>
        </w:rPr>
        <w:t xml:space="preserve">; </w:t>
      </w:r>
    </w:p>
    <w:p w14:paraId="16B4F879" w14:textId="7C278E9F"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L’amélioration de la confiance entre les populations, les FDS et les ACP avec toutefois une collaboration limitée en raison de la crainte des représailles ;</w:t>
      </w:r>
    </w:p>
    <w:p w14:paraId="492A85D4" w14:textId="6137DFAE"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 prise d’initiatives individuelles et collectives en faveur de la paix et de la cohésion sociale ;</w:t>
      </w:r>
    </w:p>
    <w:p w14:paraId="1C346C16" w14:textId="1D670CF7" w:rsidR="00F629F5" w:rsidRPr="0060123A" w:rsidRDefault="00F629F5" w:rsidP="00F629F5">
      <w:pPr>
        <w:pStyle w:val="Paragraphedeliste"/>
        <w:numPr>
          <w:ilvl w:val="0"/>
          <w:numId w:val="96"/>
        </w:numPr>
        <w:spacing w:before="240" w:after="0" w:line="276" w:lineRule="auto"/>
        <w:rPr>
          <w:color w:val="000000"/>
        </w:rPr>
      </w:pPr>
      <w:r w:rsidRPr="0060123A">
        <w:rPr>
          <w:color w:val="000000"/>
        </w:rPr>
        <w:t xml:space="preserve">La réduction des conflits communautaires avec toutefois une persistance des attaques à caractère terroriste ; </w:t>
      </w:r>
    </w:p>
    <w:p w14:paraId="3620D389" w14:textId="5912C278"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L’amélioration de la connaissance des populations sur les droits humains et les voies de recours.</w:t>
      </w:r>
      <w:r w:rsidR="007068E8" w:rsidRPr="0060123A">
        <w:rPr>
          <w:color w:val="000000"/>
        </w:rPr>
        <w:t xml:space="preserve"> </w:t>
      </w:r>
      <w:r w:rsidRPr="0060123A">
        <w:rPr>
          <w:color w:val="000000"/>
        </w:rPr>
        <w:t>L’usage effectif de ces voies de recours est resté pourtant limité ;</w:t>
      </w:r>
    </w:p>
    <w:p w14:paraId="0FDD8787" w14:textId="78A0A7F8" w:rsidR="00177F58" w:rsidRPr="0060123A" w:rsidRDefault="00F629F5" w:rsidP="00177F58">
      <w:pPr>
        <w:pStyle w:val="Paragraphedeliste"/>
        <w:numPr>
          <w:ilvl w:val="0"/>
          <w:numId w:val="96"/>
        </w:numPr>
        <w:spacing w:before="240" w:after="0" w:line="276" w:lineRule="auto"/>
        <w:rPr>
          <w:color w:val="000000"/>
        </w:rPr>
      </w:pPr>
      <w:r w:rsidRPr="0060123A">
        <w:rPr>
          <w:color w:val="000000"/>
        </w:rPr>
        <w:t xml:space="preserve">Le partage d’expériences et de bonnes pratiques sur les </w:t>
      </w:r>
      <w:r w:rsidR="00E90CF8" w:rsidRPr="0060123A">
        <w:rPr>
          <w:color w:val="000000"/>
        </w:rPr>
        <w:t>MCPGC</w:t>
      </w:r>
      <w:r w:rsidRPr="0060123A">
        <w:rPr>
          <w:color w:val="000000"/>
        </w:rPr>
        <w:t xml:space="preserve">. </w:t>
      </w:r>
    </w:p>
    <w:p w14:paraId="5522DF0B" w14:textId="0E508499" w:rsidR="0041767C" w:rsidRPr="0060123A" w:rsidRDefault="00227234" w:rsidP="00F629F5">
      <w:pPr>
        <w:pStyle w:val="Paragraphedeliste"/>
        <w:numPr>
          <w:ilvl w:val="0"/>
          <w:numId w:val="23"/>
        </w:numPr>
        <w:spacing w:before="240" w:after="0" w:line="276" w:lineRule="auto"/>
        <w:rPr>
          <w:color w:val="000000"/>
        </w:rPr>
      </w:pPr>
      <w:r w:rsidRPr="0060123A">
        <w:rPr>
          <w:color w:val="000000"/>
        </w:rPr>
        <w:t xml:space="preserve">Pour les femmes et les filles, ces différents effets du projet ont permis de contribuer à l’amélioration de leur qualité de vie et de </w:t>
      </w:r>
      <w:r w:rsidR="00404F30" w:rsidRPr="0060123A">
        <w:rPr>
          <w:color w:val="000000"/>
        </w:rPr>
        <w:t>réunir</w:t>
      </w:r>
      <w:r w:rsidRPr="0060123A">
        <w:rPr>
          <w:color w:val="000000"/>
        </w:rPr>
        <w:t xml:space="preserve"> des conditions essentielles à la réalisation de leurs droits fondamentaux. Concrètement, le projet a contribué à apporter plus d’acceptation et de valorisation de la place des femmes et des filles en matière de promotion de la paix et de la cohésion sociale, plus</w:t>
      </w:r>
      <w:r w:rsidRPr="0062156D">
        <w:t xml:space="preserve"> de protection contre les violences physiques et sexuelles et contre la dégradation de leur situation économique et sanitaire liées aux conflits et à la COVID-19.</w:t>
      </w:r>
      <w:r w:rsidR="00E61834">
        <w:t xml:space="preserve"> </w:t>
      </w:r>
      <w:r w:rsidR="00801400" w:rsidRPr="0060123A">
        <w:rPr>
          <w:color w:val="000000"/>
        </w:rPr>
        <w:t xml:space="preserve">Aucun effet négatif </w:t>
      </w:r>
      <w:r w:rsidR="00F629F5" w:rsidRPr="0060123A">
        <w:rPr>
          <w:color w:val="000000"/>
        </w:rPr>
        <w:t>imputable au projet n’</w:t>
      </w:r>
      <w:r w:rsidR="00801400" w:rsidRPr="0060123A">
        <w:rPr>
          <w:color w:val="000000"/>
        </w:rPr>
        <w:t xml:space="preserve">a été </w:t>
      </w:r>
      <w:r w:rsidR="00E61834" w:rsidRPr="0060123A">
        <w:rPr>
          <w:color w:val="000000"/>
        </w:rPr>
        <w:t>enregistré</w:t>
      </w:r>
      <w:r w:rsidR="00801400" w:rsidRPr="0060123A">
        <w:rPr>
          <w:color w:val="000000"/>
        </w:rPr>
        <w:t xml:space="preserve"> par l’évaluation. Toutefois, les rencontre</w:t>
      </w:r>
      <w:r w:rsidR="00EF7F85" w:rsidRPr="0060123A">
        <w:rPr>
          <w:color w:val="000000"/>
        </w:rPr>
        <w:t xml:space="preserve">s et </w:t>
      </w:r>
      <w:r w:rsidR="00801400" w:rsidRPr="0060123A">
        <w:rPr>
          <w:color w:val="000000"/>
        </w:rPr>
        <w:t>collaboration</w:t>
      </w:r>
      <w:r w:rsidR="00EF7F85" w:rsidRPr="0060123A">
        <w:rPr>
          <w:color w:val="000000"/>
        </w:rPr>
        <w:t>s</w:t>
      </w:r>
      <w:r w:rsidR="00F629F5" w:rsidRPr="0060123A">
        <w:rPr>
          <w:color w:val="000000"/>
        </w:rPr>
        <w:t xml:space="preserve"> entre les populations et les FDS </w:t>
      </w:r>
      <w:r w:rsidR="00EF7F85" w:rsidRPr="0060123A">
        <w:rPr>
          <w:color w:val="000000"/>
        </w:rPr>
        <w:t xml:space="preserve">font l’objet de représailles </w:t>
      </w:r>
      <w:r w:rsidR="00F629F5" w:rsidRPr="0060123A">
        <w:rPr>
          <w:color w:val="000000"/>
        </w:rPr>
        <w:t>de la part des mouvement terroristes</w:t>
      </w:r>
      <w:r w:rsidR="00ED0DD6" w:rsidRPr="0060123A">
        <w:rPr>
          <w:color w:val="000000"/>
        </w:rPr>
        <w:t xml:space="preserve"> </w:t>
      </w:r>
      <w:r w:rsidR="00ED0DD6" w:rsidRPr="0060123A">
        <w:rPr>
          <w:b/>
          <w:i/>
          <w:color w:val="000000"/>
        </w:rPr>
        <w:t>(Constat 12)</w:t>
      </w:r>
      <w:r w:rsidR="00F629F5" w:rsidRPr="0060123A">
        <w:rPr>
          <w:color w:val="000000"/>
        </w:rPr>
        <w:t>.</w:t>
      </w:r>
      <w:r w:rsidR="007068E8" w:rsidRPr="0060123A">
        <w:rPr>
          <w:color w:val="000000"/>
        </w:rPr>
        <w:t xml:space="preserve"> </w:t>
      </w:r>
    </w:p>
    <w:p w14:paraId="45C9A769" w14:textId="77777777" w:rsidR="009227FC" w:rsidRPr="0060123A" w:rsidRDefault="009227FC" w:rsidP="009227FC">
      <w:pPr>
        <w:pStyle w:val="Paragraphedeliste"/>
        <w:spacing w:before="240" w:after="0" w:line="276" w:lineRule="auto"/>
        <w:ind w:left="360"/>
        <w:rPr>
          <w:color w:val="000000"/>
        </w:rPr>
      </w:pPr>
    </w:p>
    <w:p w14:paraId="4B815718" w14:textId="63E64404" w:rsidR="0041767C" w:rsidRDefault="0041767C" w:rsidP="00DF4AC8">
      <w:pPr>
        <w:pStyle w:val="Titre3"/>
      </w:pPr>
      <w:r w:rsidRPr="0095022A">
        <w:t>Con</w:t>
      </w:r>
      <w:r>
        <w:t xml:space="preserve">clusion </w:t>
      </w:r>
      <w:r w:rsidR="0086764B">
        <w:t>7</w:t>
      </w:r>
      <w:r>
        <w:t xml:space="preserve"> – Durabilité</w:t>
      </w:r>
    </w:p>
    <w:p w14:paraId="3BA4691C" w14:textId="3FFF84E1" w:rsidR="00935AC5" w:rsidRPr="0060123A" w:rsidRDefault="00395F10" w:rsidP="00ED0DD6">
      <w:pPr>
        <w:pStyle w:val="Paragraphedeliste"/>
        <w:numPr>
          <w:ilvl w:val="0"/>
          <w:numId w:val="23"/>
        </w:numPr>
        <w:spacing w:after="0" w:line="276" w:lineRule="auto"/>
        <w:rPr>
          <w:color w:val="000000"/>
        </w:rPr>
      </w:pPr>
      <w:r w:rsidRPr="0060123A">
        <w:rPr>
          <w:color w:val="000000"/>
        </w:rPr>
        <w:t>Les effets du projet précités sont susceptibles d’être pérennisés au regard des</w:t>
      </w:r>
      <w:r w:rsidR="00935AC5" w:rsidRPr="0060123A">
        <w:rPr>
          <w:color w:val="000000"/>
        </w:rPr>
        <w:t xml:space="preserve"> approches d’intervention</w:t>
      </w:r>
      <w:r w:rsidRPr="0060123A">
        <w:rPr>
          <w:color w:val="000000"/>
        </w:rPr>
        <w:t xml:space="preserve"> utilisées qui sont favorables à l’appropriation par les différents acteurs concernés et du niveau d’engagement déclaré par les bénéficiaires </w:t>
      </w:r>
      <w:r w:rsidR="00013A0F" w:rsidRPr="0060123A">
        <w:rPr>
          <w:color w:val="000000"/>
        </w:rPr>
        <w:t>directs</w:t>
      </w:r>
      <w:r w:rsidRPr="0060123A">
        <w:rPr>
          <w:color w:val="000000"/>
        </w:rPr>
        <w:t xml:space="preserve">. Les conditions à réunir </w:t>
      </w:r>
      <w:r w:rsidR="00013A0F" w:rsidRPr="0060123A">
        <w:rPr>
          <w:color w:val="000000"/>
        </w:rPr>
        <w:t>pour renforcer cette durabilité sont entre autres</w:t>
      </w:r>
      <w:r w:rsidR="006C0BF4">
        <w:rPr>
          <w:color w:val="000000"/>
        </w:rPr>
        <w:t>,</w:t>
      </w:r>
      <w:r w:rsidR="00013A0F" w:rsidRPr="0060123A">
        <w:rPr>
          <w:color w:val="000000"/>
        </w:rPr>
        <w:t xml:space="preserve"> le maintien du </w:t>
      </w:r>
      <w:r w:rsidRPr="0060123A">
        <w:rPr>
          <w:color w:val="000000"/>
        </w:rPr>
        <w:t>dynamisme des femmes et des jeunes, la poursuite des sensibilisations et des formations, la mise en place de mécanismes de suivi des MCPGC ainsi que le rehaussement de la représentativité des femmes dans les effectifs des FDS et des ACP</w:t>
      </w:r>
      <w:r w:rsidR="002C1A2F" w:rsidRPr="0060123A">
        <w:rPr>
          <w:color w:val="000000"/>
        </w:rPr>
        <w:t>. L’implication de l’ALG aurait permis de créer une synergie avec les interventions similaires de cet acteur majeur dans les questions transfrontalière dans la zone d’intervention du projet et partant de générer des effets plus importants et plus durables.</w:t>
      </w:r>
      <w:r w:rsidR="007760A2" w:rsidRPr="0060123A">
        <w:rPr>
          <w:color w:val="000000"/>
        </w:rPr>
        <w:t xml:space="preserve"> </w:t>
      </w:r>
      <w:r w:rsidR="00013A0F" w:rsidRPr="0060123A">
        <w:rPr>
          <w:b/>
          <w:i/>
          <w:color w:val="000000"/>
        </w:rPr>
        <w:t>(Constat 13 et 14)</w:t>
      </w:r>
      <w:r w:rsidR="00013A0F" w:rsidRPr="0060123A">
        <w:rPr>
          <w:color w:val="000000"/>
        </w:rPr>
        <w:t xml:space="preserve">. </w:t>
      </w:r>
    </w:p>
    <w:p w14:paraId="499EF22A" w14:textId="77777777" w:rsidR="00013A0F" w:rsidRPr="00013A0F" w:rsidRDefault="00013A0F" w:rsidP="00013A0F">
      <w:pPr>
        <w:pStyle w:val="Paragraphedeliste"/>
        <w:spacing w:before="240" w:after="0" w:line="276" w:lineRule="auto"/>
        <w:ind w:left="360"/>
      </w:pPr>
    </w:p>
    <w:p w14:paraId="34532410" w14:textId="32CEFBCF" w:rsidR="0041767C" w:rsidRDefault="0041767C" w:rsidP="00DF4AC8">
      <w:pPr>
        <w:pStyle w:val="Titre3"/>
      </w:pPr>
      <w:r>
        <w:t xml:space="preserve">Conclusion </w:t>
      </w:r>
      <w:r w:rsidR="0086764B">
        <w:t>8</w:t>
      </w:r>
      <w:r>
        <w:t xml:space="preserve"> – Egalité de sexe, genre et droits humains</w:t>
      </w:r>
    </w:p>
    <w:p w14:paraId="32A4226B" w14:textId="4F231C39" w:rsidR="00013A0F" w:rsidRDefault="00013A0F" w:rsidP="00ED0DD6">
      <w:pPr>
        <w:pStyle w:val="Paragraphedeliste"/>
        <w:numPr>
          <w:ilvl w:val="0"/>
          <w:numId w:val="23"/>
        </w:numPr>
        <w:spacing w:after="0" w:line="276" w:lineRule="auto"/>
      </w:pPr>
      <w:r w:rsidRPr="00013A0F">
        <w:t xml:space="preserve">Les considérations de genre ont été prises en compte </w:t>
      </w:r>
      <w:r w:rsidR="002F7F13">
        <w:t>dans toutes les phases du projet</w:t>
      </w:r>
      <w:r w:rsidRPr="00013A0F">
        <w:t>. Le</w:t>
      </w:r>
      <w:r>
        <w:t xml:space="preserve"> projet a été sensible au genre avec</w:t>
      </w:r>
      <w:r w:rsidR="002F7F13">
        <w:t xml:space="preserve"> une représentativité de </w:t>
      </w:r>
      <w:r w:rsidR="002F7F13" w:rsidRPr="00013A0F">
        <w:t xml:space="preserve">60% </w:t>
      </w:r>
      <w:r w:rsidR="002F7F13">
        <w:t xml:space="preserve">de </w:t>
      </w:r>
      <w:r w:rsidRPr="00013A0F">
        <w:t xml:space="preserve">femmes </w:t>
      </w:r>
      <w:r w:rsidR="002F7F13">
        <w:t xml:space="preserve">parmi les </w:t>
      </w:r>
      <w:r w:rsidRPr="00013A0F">
        <w:t xml:space="preserve">bénéficiaires du projet et </w:t>
      </w:r>
      <w:r w:rsidR="002F7F13">
        <w:t>une parte de</w:t>
      </w:r>
      <w:r>
        <w:t xml:space="preserve"> </w:t>
      </w:r>
      <w:r w:rsidRPr="00013A0F">
        <w:t>51%</w:t>
      </w:r>
      <w:r>
        <w:t xml:space="preserve"> </w:t>
      </w:r>
      <w:r w:rsidR="002F7F13">
        <w:t>du budget dédiées aux activités liées</w:t>
      </w:r>
      <w:r w:rsidRPr="00013A0F">
        <w:t xml:space="preserve"> à l’égalité entre les sexes/le renforcement des capacités des femmes</w:t>
      </w:r>
      <w:r w:rsidR="002F7F13">
        <w:t xml:space="preserve">. </w:t>
      </w:r>
      <w:r w:rsidRPr="00013A0F">
        <w:t>Par contre, la composition de l’équipe de gestion du projet intègre faiblement le principe d’équilibre de genre tant au niveau des Agences d’exécution qu’au niveau des ONG partenaires</w:t>
      </w:r>
      <w:r w:rsidR="002F7F13">
        <w:t xml:space="preserve"> </w:t>
      </w:r>
      <w:r w:rsidR="002F7F13" w:rsidRPr="007912BF">
        <w:rPr>
          <w:b/>
          <w:bCs/>
          <w:i/>
          <w:iCs/>
        </w:rPr>
        <w:t>(Constat 15)</w:t>
      </w:r>
      <w:r w:rsidRPr="00013A0F">
        <w:t>.</w:t>
      </w:r>
      <w:r w:rsidR="002F7F13" w:rsidRPr="002F7F13">
        <w:t xml:space="preserve"> </w:t>
      </w:r>
      <w:r w:rsidR="002F7F13">
        <w:t xml:space="preserve">Les acquis en termes de renforcement de capacités des femmes et les effets produits </w:t>
      </w:r>
      <w:r w:rsidR="002F7F13" w:rsidRPr="002F7F13">
        <w:t xml:space="preserve">dans la zone d’intervention </w:t>
      </w:r>
      <w:r w:rsidR="002F7F13">
        <w:t>en matière d</w:t>
      </w:r>
      <w:r w:rsidR="002F7F13" w:rsidRPr="002F7F13">
        <w:t xml:space="preserve">’apaisement des conflits communautaires, l’affirmation du leadership des femmes, </w:t>
      </w:r>
      <w:r w:rsidR="0011754C">
        <w:t>le</w:t>
      </w:r>
      <w:r w:rsidR="0011754C" w:rsidRPr="002F7F13">
        <w:t xml:space="preserve"> </w:t>
      </w:r>
      <w:r w:rsidR="002F7F13" w:rsidRPr="002F7F13">
        <w:t>changement de perception sur la femme dans le dialogue social et la prise en compte des droits humains par les FDS et les ACP dans leurs missions</w:t>
      </w:r>
      <w:r w:rsidR="007912BF">
        <w:t xml:space="preserve">, ont contribué à améliorer </w:t>
      </w:r>
      <w:r w:rsidR="002F7F13" w:rsidRPr="002F7F13">
        <w:t>la qualité de vie de</w:t>
      </w:r>
      <w:r w:rsidR="00C354DD">
        <w:t xml:space="preserve"> ces</w:t>
      </w:r>
      <w:r w:rsidR="002F7F13" w:rsidRPr="002F7F13">
        <w:t xml:space="preserve"> femmes</w:t>
      </w:r>
      <w:r w:rsidR="0062156D">
        <w:t xml:space="preserve">. Cette amélioration de la qualité s’exprime concrètement en termes </w:t>
      </w:r>
      <w:r w:rsidR="0062156D" w:rsidRPr="0062156D">
        <w:t xml:space="preserve">d’estime de soi, de protection contre les violences physiques et sexuelles et contre la dégradation de leur situation économique et sanitaire liées aux conflits et à la COVID-19. </w:t>
      </w:r>
      <w:r w:rsidR="00BD2684">
        <w:t xml:space="preserve">Par ailleurs, </w:t>
      </w:r>
      <w:r w:rsidR="00BD2684" w:rsidRPr="0062156D">
        <w:t>la prévention des conflits et de la pandémie de la COVID-19</w:t>
      </w:r>
      <w:r w:rsidR="00BD2684">
        <w:t xml:space="preserve"> grâce aux actions du projet sont autant de </w:t>
      </w:r>
      <w:r w:rsidR="0062156D" w:rsidRPr="0062156D">
        <w:t xml:space="preserve">vies sauvées et </w:t>
      </w:r>
      <w:r w:rsidR="00BD2684">
        <w:t>des</w:t>
      </w:r>
      <w:r w:rsidR="0062156D" w:rsidRPr="0062156D">
        <w:t xml:space="preserve"> moyens d’existence </w:t>
      </w:r>
      <w:r w:rsidR="00BD2684" w:rsidRPr="0062156D">
        <w:t>sauvegardé</w:t>
      </w:r>
      <w:r w:rsidR="00BD2684">
        <w:t>s. Tous ces effets contribuent à créer un environnement propice à la réalisation des droits fondamentaux de la femme et de la jeune fille</w:t>
      </w:r>
      <w:r w:rsidR="006C791A">
        <w:t xml:space="preserve">, particulièrement ceux relatifs à la sécurité et à la protection, à l’égalité des sexes, à la participation à </w:t>
      </w:r>
      <w:r w:rsidR="00E61834">
        <w:t>la</w:t>
      </w:r>
      <w:r w:rsidR="006C791A">
        <w:t xml:space="preserve"> vie publique et politique, à l’éducation et à un niveau de vie décent</w:t>
      </w:r>
      <w:r w:rsidR="00E61834">
        <w:t xml:space="preserve"> </w:t>
      </w:r>
      <w:r w:rsidR="007912BF" w:rsidRPr="007912BF">
        <w:rPr>
          <w:b/>
          <w:bCs/>
          <w:i/>
          <w:iCs/>
        </w:rPr>
        <w:t>(Constat 16)</w:t>
      </w:r>
      <w:r w:rsidR="007912BF">
        <w:t xml:space="preserve">. </w:t>
      </w:r>
    </w:p>
    <w:p w14:paraId="2BE5E30E" w14:textId="77777777" w:rsidR="00C354DD" w:rsidRPr="0041767C" w:rsidRDefault="00C354DD" w:rsidP="00C354DD">
      <w:pPr>
        <w:pStyle w:val="Paragraphedeliste"/>
        <w:spacing w:before="240" w:after="0" w:line="276" w:lineRule="auto"/>
        <w:ind w:left="360"/>
      </w:pPr>
    </w:p>
    <w:p w14:paraId="0510C52E" w14:textId="5A199068" w:rsidR="0041767C" w:rsidRDefault="0041767C" w:rsidP="00DF4AC8">
      <w:pPr>
        <w:pStyle w:val="Titre3"/>
      </w:pPr>
      <w:r w:rsidRPr="0095022A">
        <w:t>Con</w:t>
      </w:r>
      <w:r>
        <w:t xml:space="preserve">clusion 9 – Inclusion des personnes handicapées </w:t>
      </w:r>
    </w:p>
    <w:p w14:paraId="3EC45600" w14:textId="1EECA83F" w:rsidR="0041767C" w:rsidRPr="00C354DD" w:rsidRDefault="00C354DD" w:rsidP="00ED0DD6">
      <w:pPr>
        <w:pStyle w:val="Paragraphedeliste"/>
        <w:numPr>
          <w:ilvl w:val="0"/>
          <w:numId w:val="23"/>
        </w:numPr>
        <w:spacing w:after="0" w:line="276" w:lineRule="auto"/>
      </w:pPr>
      <w:r w:rsidRPr="00C354DD">
        <w:t xml:space="preserve">L’implication et la prise en compte des priorités des personnes handicapées dans la conception et la mise en œuvre du projet ont été limitées. Ces personnes n’ont pas bénéficié d’activités spécifiques de la part du projet et sont encore confrontées à plusieurs contraintes. </w:t>
      </w:r>
      <w:r w:rsidR="00EF1BF3">
        <w:t xml:space="preserve">Ces contraintes sont principalement : </w:t>
      </w:r>
      <w:r w:rsidR="00EF1BF3" w:rsidRPr="00EF1BF3">
        <w:t>la persistance d’une perception négative sur le handicap, le manque d’</w:t>
      </w:r>
      <w:r w:rsidR="00EF1BF3">
        <w:t>associations</w:t>
      </w:r>
      <w:r w:rsidR="00EF1BF3" w:rsidRPr="00EF1BF3">
        <w:t xml:space="preserve"> des personnes handicapées</w:t>
      </w:r>
      <w:r w:rsidR="00EF1BF3">
        <w:t xml:space="preserve"> capables de défendre efficacement leur cause</w:t>
      </w:r>
      <w:r w:rsidR="00EF1BF3" w:rsidRPr="00EF1BF3">
        <w:t xml:space="preserve">, le manque d’estime et de confiance en soi conduisant à </w:t>
      </w:r>
      <w:r w:rsidR="00E61834" w:rsidRPr="00EF1BF3">
        <w:t>l’auto-exclusion</w:t>
      </w:r>
      <w:r w:rsidR="00EF1BF3" w:rsidRPr="00EF1BF3">
        <w:t xml:space="preserve">, la faiblesse de la législation sur l’inclusion des personnes handicapées ainsi que le manque d’attention des projets vis-à-vis des personnes handicapées. </w:t>
      </w:r>
    </w:p>
    <w:bookmarkEnd w:id="970"/>
    <w:p w14:paraId="2BF9168B" w14:textId="77777777" w:rsidR="00C354DD" w:rsidRPr="00C46E13" w:rsidRDefault="00C354DD" w:rsidP="00E61834">
      <w:pPr>
        <w:spacing w:before="0" w:after="0" w:line="276" w:lineRule="auto"/>
        <w:rPr>
          <w:rFonts w:eastAsiaTheme="majorEastAsia" w:cstheme="majorBidi"/>
          <w:b/>
          <w:caps/>
          <w:color w:val="0070C0"/>
          <w:sz w:val="24"/>
          <w:szCs w:val="32"/>
        </w:rPr>
      </w:pPr>
    </w:p>
    <w:p w14:paraId="445C846A" w14:textId="0131A3F9" w:rsidR="00065010" w:rsidRDefault="00065010" w:rsidP="00820BBD">
      <w:pPr>
        <w:pStyle w:val="Titre2"/>
        <w:numPr>
          <w:ilvl w:val="1"/>
          <w:numId w:val="81"/>
        </w:numPr>
      </w:pPr>
      <w:bookmarkStart w:id="974" w:name="_Toc95451877"/>
      <w:r>
        <w:t>Recommandations</w:t>
      </w:r>
      <w:bookmarkEnd w:id="974"/>
    </w:p>
    <w:p w14:paraId="1FEE86AD" w14:textId="1401A122" w:rsidR="00F46933" w:rsidRPr="00F46933" w:rsidRDefault="00F46933" w:rsidP="00ED0DD6">
      <w:pPr>
        <w:pStyle w:val="Paragraphedeliste"/>
        <w:numPr>
          <w:ilvl w:val="0"/>
          <w:numId w:val="23"/>
        </w:numPr>
        <w:spacing w:after="0" w:line="276" w:lineRule="auto"/>
      </w:pPr>
      <w:r w:rsidRPr="00F46933">
        <w:t xml:space="preserve">Partant </w:t>
      </w:r>
      <w:r>
        <w:t xml:space="preserve">des conclusions de l’évaluation, </w:t>
      </w:r>
      <w:r w:rsidR="002278E6">
        <w:t xml:space="preserve">quelques recommandations sont faites </w:t>
      </w:r>
      <w:r>
        <w:t xml:space="preserve">à l’endroit des utilisateurs de l’évaluation. Ces recommandations </w:t>
      </w:r>
      <w:r w:rsidR="002278E6">
        <w:t>ont</w:t>
      </w:r>
      <w:r>
        <w:t xml:space="preserve"> </w:t>
      </w:r>
      <w:r w:rsidR="00D045E3">
        <w:t xml:space="preserve">été </w:t>
      </w:r>
      <w:r w:rsidR="002278E6">
        <w:t xml:space="preserve">discutées </w:t>
      </w:r>
      <w:r>
        <w:t>avec le groupe de gestion et le groupe de référence de l’évaluation</w:t>
      </w:r>
      <w:r w:rsidR="0060305E">
        <w:t>, avant leur validation</w:t>
      </w:r>
      <w:r>
        <w:t xml:space="preserve">. </w:t>
      </w:r>
      <w:r w:rsidR="000808B1">
        <w:t xml:space="preserve">Une priorisation sur une échelle </w:t>
      </w:r>
      <w:r w:rsidR="00D045E3">
        <w:t xml:space="preserve">à </w:t>
      </w:r>
      <w:r w:rsidR="000808B1">
        <w:t xml:space="preserve">trois niveaux (faible, moyenne et haute) a été suggérée </w:t>
      </w:r>
      <w:r w:rsidR="00355FD4">
        <w:t>suivant l’importance</w:t>
      </w:r>
      <w:r w:rsidR="00D045E3">
        <w:t xml:space="preserve"> stratégique</w:t>
      </w:r>
      <w:r w:rsidR="00355FD4">
        <w:t xml:space="preserve"> de chaque recommandation. Cette importance peut s’apprécier à travers la </w:t>
      </w:r>
      <w:r w:rsidR="000808B1">
        <w:t>criticité du risque de non atteinte d</w:t>
      </w:r>
      <w:r w:rsidR="00355FD4">
        <w:t xml:space="preserve">es résultats attendus d’une intervention similaire sous l’hypothèse d’une non prise en compte de la recommandation. </w:t>
      </w:r>
    </w:p>
    <w:p w14:paraId="4573305B" w14:textId="2A304BFB" w:rsidR="001364BA" w:rsidRDefault="001364BA" w:rsidP="00B67B4B">
      <w:pPr>
        <w:pStyle w:val="Paragraphedeliste"/>
        <w:numPr>
          <w:ilvl w:val="0"/>
          <w:numId w:val="23"/>
        </w:numPr>
        <w:spacing w:after="0" w:line="276" w:lineRule="auto"/>
      </w:pPr>
      <w:r w:rsidRPr="00840081">
        <w:rPr>
          <w:b/>
          <w:bCs/>
          <w:color w:val="0070C0"/>
        </w:rPr>
        <w:t>R</w:t>
      </w:r>
      <w:r w:rsidR="00F46933" w:rsidRPr="00840081">
        <w:rPr>
          <w:b/>
          <w:bCs/>
          <w:color w:val="0070C0"/>
        </w:rPr>
        <w:t xml:space="preserve">ecommandation </w:t>
      </w:r>
      <w:r w:rsidRPr="00840081">
        <w:rPr>
          <w:b/>
          <w:bCs/>
          <w:color w:val="0070C0"/>
        </w:rPr>
        <w:t>1</w:t>
      </w:r>
      <w:r w:rsidR="00F46933" w:rsidRPr="00840081">
        <w:rPr>
          <w:b/>
          <w:bCs/>
          <w:color w:val="0070C0"/>
        </w:rPr>
        <w:t xml:space="preserve"> </w:t>
      </w:r>
      <w:r w:rsidRPr="00840081">
        <w:rPr>
          <w:b/>
          <w:bCs/>
          <w:color w:val="0070C0"/>
        </w:rPr>
        <w:t>:</w:t>
      </w:r>
      <w:r w:rsidRPr="00840081">
        <w:rPr>
          <w:color w:val="0070C0"/>
        </w:rPr>
        <w:t xml:space="preserve"> </w:t>
      </w:r>
      <w:r>
        <w:t>Prendre en compte dans la théorie de changement des projets de consolidation de la paix et de la cohésion sociale, l</w:t>
      </w:r>
      <w:r w:rsidR="00C015FA">
        <w:t xml:space="preserve">e renforcement de la </w:t>
      </w:r>
      <w:r>
        <w:t xml:space="preserve">résilience économique des </w:t>
      </w:r>
      <w:r w:rsidR="00C015FA">
        <w:t>communautés</w:t>
      </w:r>
      <w:r>
        <w:t xml:space="preserve"> </w:t>
      </w:r>
      <w:r w:rsidR="00B67B4B">
        <w:t>notamment des groupes vulnérables</w:t>
      </w:r>
      <w:r w:rsidR="0011754C">
        <w:t>, tout en étendant la durée de mise en œuvre à au moins 36 mois suivant le mécanisme de financement PRF de PBF</w:t>
      </w:r>
      <w:r>
        <w:t>.</w:t>
      </w:r>
      <w:r w:rsidR="00420DB3">
        <w:t xml:space="preserve"> Il s’agit d’inclure des activités de renforcement des moyens d’existence </w:t>
      </w:r>
      <w:r w:rsidR="00BD2488">
        <w:t xml:space="preserve">à travers </w:t>
      </w:r>
      <w:r w:rsidR="009D216B">
        <w:t>des formations professionnelles, le financement d’</w:t>
      </w:r>
      <w:r w:rsidR="00BD2488">
        <w:t>activités génératrices de revenu</w:t>
      </w:r>
      <w:r w:rsidR="009D216B">
        <w:t xml:space="preserve"> ou de microprojets communautaires.</w:t>
      </w:r>
      <w:r w:rsidR="007068E8">
        <w:t xml:space="preserve"> </w:t>
      </w:r>
    </w:p>
    <w:p w14:paraId="2F0DA376" w14:textId="5623965D" w:rsidR="00C015FA" w:rsidRPr="00C015FA" w:rsidRDefault="00C015FA" w:rsidP="00C015FA">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sidR="00840081">
        <w:rPr>
          <w:i/>
          <w:iCs/>
          <w:sz w:val="20"/>
          <w:szCs w:val="20"/>
        </w:rPr>
        <w:t>2</w:t>
      </w:r>
    </w:p>
    <w:p w14:paraId="5566918E" w14:textId="3299B9D6" w:rsidR="00C015FA" w:rsidRPr="00C015FA" w:rsidRDefault="00C015FA" w:rsidP="00C015FA">
      <w:pPr>
        <w:tabs>
          <w:tab w:val="left" w:pos="284"/>
        </w:tabs>
        <w:spacing w:before="0" w:after="0" w:line="276" w:lineRule="auto"/>
        <w:ind w:left="284"/>
        <w:rPr>
          <w:i/>
          <w:iCs/>
          <w:sz w:val="20"/>
          <w:szCs w:val="20"/>
        </w:rPr>
      </w:pPr>
      <w:r w:rsidRPr="00C015FA">
        <w:rPr>
          <w:i/>
          <w:iCs/>
          <w:sz w:val="20"/>
          <w:szCs w:val="20"/>
        </w:rPr>
        <w:t xml:space="preserve">Responsabilité : </w:t>
      </w:r>
      <w:r w:rsidR="000F45C7">
        <w:rPr>
          <w:i/>
          <w:iCs/>
          <w:sz w:val="20"/>
          <w:szCs w:val="20"/>
        </w:rPr>
        <w:t>PBF,</w:t>
      </w:r>
      <w:r w:rsidR="00AC3896">
        <w:rPr>
          <w:i/>
          <w:iCs/>
          <w:sz w:val="20"/>
          <w:szCs w:val="20"/>
        </w:rPr>
        <w:t xml:space="preserve"> </w:t>
      </w:r>
      <w:r w:rsidRPr="00C015FA">
        <w:rPr>
          <w:i/>
          <w:iCs/>
          <w:sz w:val="20"/>
          <w:szCs w:val="20"/>
        </w:rPr>
        <w:t>ONU Femmes</w:t>
      </w:r>
      <w:r w:rsidR="000F45C7">
        <w:rPr>
          <w:i/>
          <w:iCs/>
          <w:sz w:val="20"/>
          <w:szCs w:val="20"/>
        </w:rPr>
        <w:t xml:space="preserve"> et </w:t>
      </w:r>
      <w:r w:rsidRPr="00C015FA">
        <w:rPr>
          <w:i/>
          <w:iCs/>
          <w:sz w:val="20"/>
          <w:szCs w:val="20"/>
        </w:rPr>
        <w:t>ONUDC</w:t>
      </w:r>
    </w:p>
    <w:p w14:paraId="6FF09377" w14:textId="04869CDF" w:rsidR="00C015FA" w:rsidRDefault="00C015FA" w:rsidP="00C015FA">
      <w:pPr>
        <w:tabs>
          <w:tab w:val="left" w:pos="284"/>
        </w:tabs>
        <w:spacing w:before="0" w:after="0" w:line="276" w:lineRule="auto"/>
        <w:ind w:left="284"/>
        <w:rPr>
          <w:i/>
          <w:iCs/>
          <w:sz w:val="20"/>
          <w:szCs w:val="20"/>
        </w:rPr>
      </w:pPr>
      <w:r w:rsidRPr="00C015FA">
        <w:rPr>
          <w:i/>
          <w:iCs/>
          <w:sz w:val="20"/>
          <w:szCs w:val="20"/>
        </w:rPr>
        <w:t>Priorité</w:t>
      </w:r>
      <w:r w:rsidR="005B5F80">
        <w:rPr>
          <w:rStyle w:val="Appelnotedebasdep"/>
          <w:i/>
          <w:iCs/>
          <w:sz w:val="20"/>
          <w:szCs w:val="20"/>
        </w:rPr>
        <w:footnoteReference w:id="42"/>
      </w:r>
      <w:r w:rsidRPr="00C015FA">
        <w:rPr>
          <w:i/>
          <w:iCs/>
          <w:sz w:val="20"/>
          <w:szCs w:val="20"/>
        </w:rPr>
        <w:t xml:space="preserve"> : </w:t>
      </w:r>
      <w:r w:rsidR="0060305E">
        <w:rPr>
          <w:i/>
          <w:iCs/>
          <w:sz w:val="20"/>
          <w:szCs w:val="20"/>
        </w:rPr>
        <w:t>Moyenne</w:t>
      </w:r>
    </w:p>
    <w:p w14:paraId="0FC8CBB7" w14:textId="0E738F9F" w:rsidR="00D43C40" w:rsidRDefault="00D43C40" w:rsidP="00B67B4B">
      <w:pPr>
        <w:pStyle w:val="Paragraphedeliste"/>
        <w:numPr>
          <w:ilvl w:val="0"/>
          <w:numId w:val="23"/>
        </w:numPr>
        <w:spacing w:after="0" w:line="276" w:lineRule="auto"/>
      </w:pPr>
      <w:r w:rsidRPr="5E3C5D11">
        <w:rPr>
          <w:b/>
          <w:bCs/>
          <w:color w:val="0070C0"/>
        </w:rPr>
        <w:t>Recommandation 2 :</w:t>
      </w:r>
      <w:r>
        <w:t xml:space="preserve"> </w:t>
      </w:r>
      <w:r w:rsidR="00382222">
        <w:t>Veiller à</w:t>
      </w:r>
      <w:r>
        <w:t xml:space="preserve"> l’élaboration et </w:t>
      </w:r>
      <w:r w:rsidR="00382222">
        <w:t xml:space="preserve">à </w:t>
      </w:r>
      <w:r>
        <w:t xml:space="preserve">la disponibilité du plan de suivi-évaluation </w:t>
      </w:r>
      <w:r w:rsidR="00F93115">
        <w:t xml:space="preserve">conjoint </w:t>
      </w:r>
      <w:r w:rsidR="00382222">
        <w:t>dès le démarrage</w:t>
      </w:r>
      <w:r w:rsidR="00B67B4B">
        <w:t xml:space="preserve"> du projet</w:t>
      </w:r>
      <w:r>
        <w:t xml:space="preserve">. Il </w:t>
      </w:r>
      <w:r w:rsidR="00382222">
        <w:t xml:space="preserve">est question de </w:t>
      </w:r>
      <w:r w:rsidR="00021CA4">
        <w:t xml:space="preserve">disposer dès le démarrage, d’un plan de suivi-évaluation </w:t>
      </w:r>
      <w:r w:rsidR="00F93115">
        <w:t xml:space="preserve">conjoint </w:t>
      </w:r>
      <w:r w:rsidR="00021CA4">
        <w:t xml:space="preserve">complet qui définit clairement entre autres, les indicateurs et </w:t>
      </w:r>
      <w:r w:rsidR="0052538B">
        <w:t>leur mode</w:t>
      </w:r>
      <w:r w:rsidR="00021CA4">
        <w:t xml:space="preserve"> de calcul, les activités de suivi, le circuit de collecte et de compilation des données ainsi que les rôles et responsabilité des acteurs sur la chaine. </w:t>
      </w:r>
      <w:r w:rsidR="0052538B">
        <w:t xml:space="preserve">Cet outil essentiel (à inclure dans la liste de vérification pour le lancement du projet) devra être partagé </w:t>
      </w:r>
      <w:r w:rsidR="00A30FF7">
        <w:t>avec le partenaire financier</w:t>
      </w:r>
      <w:r w:rsidR="0052538B">
        <w:t xml:space="preserve">. </w:t>
      </w:r>
    </w:p>
    <w:p w14:paraId="253BE614"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Pr>
          <w:i/>
          <w:iCs/>
          <w:sz w:val="20"/>
          <w:szCs w:val="20"/>
        </w:rPr>
        <w:t>4</w:t>
      </w:r>
    </w:p>
    <w:p w14:paraId="05F64265"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535DC7D9"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Priorité : </w:t>
      </w:r>
      <w:r>
        <w:rPr>
          <w:i/>
          <w:iCs/>
          <w:sz w:val="20"/>
          <w:szCs w:val="20"/>
        </w:rPr>
        <w:t>Haute</w:t>
      </w:r>
    </w:p>
    <w:p w14:paraId="0316B1E7" w14:textId="5447852C" w:rsidR="000A6255" w:rsidRPr="0060123A" w:rsidRDefault="0022379E" w:rsidP="000A6255">
      <w:pPr>
        <w:pStyle w:val="Paragraphedeliste"/>
        <w:numPr>
          <w:ilvl w:val="0"/>
          <w:numId w:val="23"/>
        </w:numPr>
        <w:spacing w:after="0" w:line="276" w:lineRule="auto"/>
        <w:rPr>
          <w:b/>
          <w:caps/>
          <w:color w:val="000000"/>
          <w:sz w:val="24"/>
        </w:rPr>
      </w:pPr>
      <w:r w:rsidRPr="00840081">
        <w:rPr>
          <w:b/>
          <w:bCs/>
          <w:color w:val="0070C0"/>
        </w:rPr>
        <w:t>R</w:t>
      </w:r>
      <w:r w:rsidR="00C015FA" w:rsidRPr="00840081">
        <w:rPr>
          <w:b/>
          <w:bCs/>
          <w:color w:val="0070C0"/>
        </w:rPr>
        <w:t xml:space="preserve">ecommandation </w:t>
      </w:r>
      <w:r w:rsidR="00382222" w:rsidRPr="00840081">
        <w:rPr>
          <w:b/>
          <w:bCs/>
          <w:color w:val="0070C0"/>
        </w:rPr>
        <w:t>3</w:t>
      </w:r>
      <w:r w:rsidRPr="00840081">
        <w:rPr>
          <w:b/>
          <w:bCs/>
          <w:color w:val="0070C0"/>
        </w:rPr>
        <w:t> :</w:t>
      </w:r>
      <w:r w:rsidR="00AC3896">
        <w:t xml:space="preserve"> Elaborer</w:t>
      </w:r>
      <w:r>
        <w:t xml:space="preserve"> </w:t>
      </w:r>
      <w:r w:rsidR="00854E5A">
        <w:t xml:space="preserve">des </w:t>
      </w:r>
      <w:r>
        <w:t>plans de travail conjoints et intégrés</w:t>
      </w:r>
      <w:r w:rsidR="00854E5A">
        <w:t xml:space="preserve"> pour tout projet mis en œuvre</w:t>
      </w:r>
      <w:r w:rsidR="00B67B4B">
        <w:t xml:space="preserve"> </w:t>
      </w:r>
      <w:r w:rsidR="00156D7B">
        <w:t xml:space="preserve">conjointement </w:t>
      </w:r>
      <w:r w:rsidR="00B67B4B">
        <w:t xml:space="preserve">par </w:t>
      </w:r>
      <w:r w:rsidR="00156D7B">
        <w:t xml:space="preserve">au moins </w:t>
      </w:r>
      <w:r w:rsidR="00B67B4B">
        <w:t xml:space="preserve">deux agences d’exécution. </w:t>
      </w:r>
      <w:r w:rsidR="00AC3896">
        <w:t>L’approche de planification conjointe et intégrée</w:t>
      </w:r>
      <w:r w:rsidR="00854E5A">
        <w:t xml:space="preserve"> vise à</w:t>
      </w:r>
      <w:r w:rsidR="00854E5A" w:rsidRPr="00854E5A">
        <w:t xml:space="preserve"> </w:t>
      </w:r>
      <w:r w:rsidR="00AC3896">
        <w:t>r</w:t>
      </w:r>
      <w:r w:rsidR="00854E5A">
        <w:t xml:space="preserve">enforcer la synergie d’action </w:t>
      </w:r>
      <w:r w:rsidR="00AC3896">
        <w:t>entre le</w:t>
      </w:r>
      <w:r w:rsidR="00854E5A">
        <w:t xml:space="preserve">s agences d’exécution </w:t>
      </w:r>
      <w:r w:rsidR="00AC3896">
        <w:t xml:space="preserve">partenaires en mettant en </w:t>
      </w:r>
      <w:r w:rsidR="00854E5A" w:rsidRPr="00854E5A">
        <w:t xml:space="preserve">évidence les activités qui peuvent </w:t>
      </w:r>
      <w:r w:rsidR="00AC3896">
        <w:t xml:space="preserve">/doivent </w:t>
      </w:r>
      <w:r w:rsidR="00854E5A" w:rsidRPr="00854E5A">
        <w:t>être mise</w:t>
      </w:r>
      <w:r w:rsidR="00AC3896">
        <w:t>s</w:t>
      </w:r>
      <w:r w:rsidR="00854E5A" w:rsidRPr="00854E5A">
        <w:t xml:space="preserve"> en œuvre ensemble </w:t>
      </w:r>
      <w:r w:rsidR="00AC3896">
        <w:t>(conjointement).</w:t>
      </w:r>
      <w:r w:rsidR="000A6255">
        <w:t xml:space="preserve"> Il faudrait aussi </w:t>
      </w:r>
      <w:r w:rsidR="000A6255" w:rsidRPr="00A30FF7">
        <w:rPr>
          <w:rFonts w:cs="Times New Roman"/>
        </w:rPr>
        <w:t>veiller à d</w:t>
      </w:r>
      <w:r w:rsidR="000A6255" w:rsidRPr="00043F26">
        <w:rPr>
          <w:rFonts w:cs="Times New Roman"/>
        </w:rPr>
        <w:t>éfinir un cadr</w:t>
      </w:r>
      <w:r w:rsidR="000A6255">
        <w:rPr>
          <w:rFonts w:cs="Times New Roman"/>
        </w:rPr>
        <w:t>e formel de communication interne entre les acteurs</w:t>
      </w:r>
      <w:r w:rsidR="00A94CA2">
        <w:rPr>
          <w:rFonts w:cs="Times New Roman"/>
        </w:rPr>
        <w:t>.</w:t>
      </w:r>
      <w:r w:rsidR="000A6255">
        <w:rPr>
          <w:rFonts w:cs="Times New Roman"/>
        </w:rPr>
        <w:t xml:space="preserve"> </w:t>
      </w:r>
    </w:p>
    <w:p w14:paraId="5AE0C832" w14:textId="3DBDDECB" w:rsidR="00AC3896" w:rsidRPr="00B67B4B" w:rsidRDefault="00AC3896" w:rsidP="00B67B4B">
      <w:pPr>
        <w:pStyle w:val="Paragraphedeliste"/>
        <w:spacing w:after="0" w:line="276" w:lineRule="auto"/>
        <w:ind w:left="360"/>
      </w:pPr>
      <w:r w:rsidRPr="00B67B4B">
        <w:rPr>
          <w:i/>
          <w:iCs/>
          <w:sz w:val="20"/>
          <w:szCs w:val="20"/>
        </w:rPr>
        <w:t xml:space="preserve">Ancrage : Cette recommandation se fonde sur la conclusion </w:t>
      </w:r>
      <w:r w:rsidR="00522779">
        <w:rPr>
          <w:i/>
          <w:iCs/>
          <w:sz w:val="20"/>
          <w:szCs w:val="20"/>
        </w:rPr>
        <w:t>7</w:t>
      </w:r>
    </w:p>
    <w:p w14:paraId="7C6D0312" w14:textId="77777777" w:rsidR="00AC3896" w:rsidRPr="00C015FA" w:rsidRDefault="00AC3896" w:rsidP="00AC3896">
      <w:pPr>
        <w:tabs>
          <w:tab w:val="left" w:pos="284"/>
        </w:tabs>
        <w:spacing w:before="0" w:after="0" w:line="276" w:lineRule="auto"/>
        <w:ind w:left="284"/>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7D1BD2BB" w14:textId="20FAF727" w:rsidR="00AC3896" w:rsidRPr="00C015FA" w:rsidRDefault="00AC3896" w:rsidP="00AC3896">
      <w:pPr>
        <w:tabs>
          <w:tab w:val="left" w:pos="284"/>
        </w:tabs>
        <w:spacing w:before="0" w:after="0" w:line="276" w:lineRule="auto"/>
        <w:ind w:left="284"/>
        <w:rPr>
          <w:i/>
          <w:iCs/>
          <w:sz w:val="20"/>
          <w:szCs w:val="20"/>
        </w:rPr>
      </w:pPr>
      <w:r w:rsidRPr="00C015FA">
        <w:rPr>
          <w:i/>
          <w:iCs/>
          <w:sz w:val="20"/>
          <w:szCs w:val="20"/>
        </w:rPr>
        <w:t xml:space="preserve">Priorité : </w:t>
      </w:r>
      <w:r>
        <w:rPr>
          <w:i/>
          <w:iCs/>
          <w:sz w:val="20"/>
          <w:szCs w:val="20"/>
        </w:rPr>
        <w:t>Haute</w:t>
      </w:r>
    </w:p>
    <w:p w14:paraId="657DB55B" w14:textId="57DC1FC2" w:rsidR="0022379E" w:rsidRPr="0022379E" w:rsidRDefault="00AC3896" w:rsidP="00B67B4B">
      <w:pPr>
        <w:pStyle w:val="Paragraphedeliste"/>
        <w:numPr>
          <w:ilvl w:val="0"/>
          <w:numId w:val="23"/>
        </w:numPr>
        <w:spacing w:after="0" w:line="276" w:lineRule="auto"/>
      </w:pPr>
      <w:r w:rsidRPr="00840081">
        <w:rPr>
          <w:b/>
          <w:bCs/>
          <w:color w:val="0070C0"/>
        </w:rPr>
        <w:t xml:space="preserve">Recommandation </w:t>
      </w:r>
      <w:r w:rsidR="00043F26">
        <w:rPr>
          <w:b/>
          <w:bCs/>
          <w:color w:val="0070C0"/>
        </w:rPr>
        <w:t>4</w:t>
      </w:r>
      <w:r w:rsidRPr="00840081">
        <w:rPr>
          <w:b/>
          <w:bCs/>
          <w:color w:val="0070C0"/>
        </w:rPr>
        <w:t> </w:t>
      </w:r>
      <w:r w:rsidR="0022379E" w:rsidRPr="00840081">
        <w:rPr>
          <w:b/>
          <w:bCs/>
          <w:color w:val="0070C0"/>
        </w:rPr>
        <w:t>:</w:t>
      </w:r>
      <w:r w:rsidR="0022379E">
        <w:t xml:space="preserve"> </w:t>
      </w:r>
      <w:r w:rsidR="0052538B">
        <w:t xml:space="preserve">Améliorer l’inclusion </w:t>
      </w:r>
      <w:r w:rsidR="00025610">
        <w:t xml:space="preserve">des personnes handicapées </w:t>
      </w:r>
      <w:r w:rsidR="007005A4">
        <w:t xml:space="preserve">dans la conception et la mise en œuvre. Prévoir dans la planification </w:t>
      </w:r>
      <w:r w:rsidR="0052538B">
        <w:t>des activités spécifiques en</w:t>
      </w:r>
      <w:r w:rsidR="00025610">
        <w:t xml:space="preserve"> leur</w:t>
      </w:r>
      <w:r w:rsidR="0052538B">
        <w:t xml:space="preserve"> faveur dans les interventions futures</w:t>
      </w:r>
      <w:r w:rsidR="00270535">
        <w:t>.</w:t>
      </w:r>
      <w:r w:rsidR="0013497C">
        <w:t xml:space="preserve"> Dans la mise en œuvre, il s’agira de mobiliser une expertise locale dans le domaine pour accompagner la mise en œuvre de ces activités.</w:t>
      </w:r>
      <w:r w:rsidR="00270535">
        <w:t xml:space="preserve"> </w:t>
      </w:r>
    </w:p>
    <w:p w14:paraId="6453691F" w14:textId="2F54A5EF" w:rsidR="00025610" w:rsidRPr="00C015FA" w:rsidRDefault="00025610" w:rsidP="00025610">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sidR="000A6255">
        <w:rPr>
          <w:i/>
          <w:iCs/>
          <w:sz w:val="20"/>
          <w:szCs w:val="20"/>
        </w:rPr>
        <w:t>9</w:t>
      </w:r>
    </w:p>
    <w:p w14:paraId="6EF4C225" w14:textId="14E6CEBD" w:rsidR="00025610" w:rsidRPr="00C015FA" w:rsidRDefault="00025610" w:rsidP="00025610">
      <w:pPr>
        <w:tabs>
          <w:tab w:val="left" w:pos="284"/>
        </w:tabs>
        <w:spacing w:before="0" w:after="0" w:line="276" w:lineRule="auto"/>
        <w:ind w:left="284"/>
        <w:rPr>
          <w:i/>
          <w:iCs/>
          <w:sz w:val="20"/>
          <w:szCs w:val="20"/>
        </w:rPr>
      </w:pPr>
      <w:r w:rsidRPr="00C015FA">
        <w:rPr>
          <w:i/>
          <w:iCs/>
          <w:sz w:val="20"/>
          <w:szCs w:val="20"/>
        </w:rPr>
        <w:t xml:space="preserve">Responsabilité : </w:t>
      </w:r>
      <w:r w:rsidR="00840081">
        <w:rPr>
          <w:i/>
          <w:iCs/>
          <w:sz w:val="20"/>
          <w:szCs w:val="20"/>
        </w:rPr>
        <w:t xml:space="preserve">PBF, </w:t>
      </w:r>
      <w:r w:rsidR="00840081" w:rsidRPr="00C015FA">
        <w:rPr>
          <w:i/>
          <w:iCs/>
          <w:sz w:val="20"/>
          <w:szCs w:val="20"/>
        </w:rPr>
        <w:t>ONU Femmes</w:t>
      </w:r>
      <w:r w:rsidR="00840081">
        <w:rPr>
          <w:i/>
          <w:iCs/>
          <w:sz w:val="20"/>
          <w:szCs w:val="20"/>
        </w:rPr>
        <w:t xml:space="preserve"> et </w:t>
      </w:r>
      <w:r w:rsidR="00840081" w:rsidRPr="00C015FA">
        <w:rPr>
          <w:i/>
          <w:iCs/>
          <w:sz w:val="20"/>
          <w:szCs w:val="20"/>
        </w:rPr>
        <w:t>ONUDC</w:t>
      </w:r>
    </w:p>
    <w:p w14:paraId="0599CA9D" w14:textId="37B037A4" w:rsidR="00025610" w:rsidRDefault="00025610" w:rsidP="00025610">
      <w:pPr>
        <w:tabs>
          <w:tab w:val="left" w:pos="284"/>
        </w:tabs>
        <w:spacing w:before="0" w:after="0" w:line="276" w:lineRule="auto"/>
        <w:ind w:left="284"/>
        <w:rPr>
          <w:i/>
          <w:iCs/>
          <w:sz w:val="20"/>
          <w:szCs w:val="20"/>
        </w:rPr>
      </w:pPr>
      <w:r w:rsidRPr="00C015FA">
        <w:rPr>
          <w:i/>
          <w:iCs/>
          <w:sz w:val="20"/>
          <w:szCs w:val="20"/>
        </w:rPr>
        <w:t xml:space="preserve">Priorité : </w:t>
      </w:r>
      <w:bookmarkStart w:id="975" w:name="_Toc39563201"/>
      <w:r w:rsidR="00840081">
        <w:rPr>
          <w:i/>
          <w:iCs/>
          <w:sz w:val="20"/>
          <w:szCs w:val="20"/>
        </w:rPr>
        <w:t>Moyenne</w:t>
      </w:r>
    </w:p>
    <w:p w14:paraId="7E536617" w14:textId="55849F84" w:rsidR="00666A74" w:rsidRDefault="00666A74" w:rsidP="00025610">
      <w:pPr>
        <w:tabs>
          <w:tab w:val="left" w:pos="284"/>
        </w:tabs>
        <w:spacing w:before="0" w:after="0" w:line="276" w:lineRule="auto"/>
        <w:ind w:left="284"/>
        <w:rPr>
          <w:i/>
          <w:iCs/>
          <w:sz w:val="20"/>
          <w:szCs w:val="20"/>
        </w:rPr>
      </w:pPr>
    </w:p>
    <w:p w14:paraId="5BE8737A" w14:textId="25903DDB" w:rsidR="00043F26" w:rsidRDefault="00043F26" w:rsidP="00025610">
      <w:pPr>
        <w:tabs>
          <w:tab w:val="left" w:pos="284"/>
        </w:tabs>
        <w:spacing w:before="0" w:after="0" w:line="276" w:lineRule="auto"/>
        <w:ind w:left="284"/>
        <w:rPr>
          <w:i/>
          <w:iCs/>
          <w:sz w:val="20"/>
          <w:szCs w:val="20"/>
        </w:rPr>
      </w:pPr>
    </w:p>
    <w:p w14:paraId="29A1D094" w14:textId="77777777" w:rsidR="00043F26" w:rsidRDefault="00043F26" w:rsidP="00025610">
      <w:pPr>
        <w:tabs>
          <w:tab w:val="left" w:pos="284"/>
        </w:tabs>
        <w:spacing w:before="0" w:after="0" w:line="276" w:lineRule="auto"/>
        <w:ind w:left="284"/>
        <w:rPr>
          <w:i/>
          <w:iCs/>
          <w:sz w:val="20"/>
          <w:szCs w:val="20"/>
        </w:rPr>
      </w:pPr>
    </w:p>
    <w:p w14:paraId="02EBEAE6" w14:textId="5296D026" w:rsidR="008C7B16" w:rsidRPr="005D2C17" w:rsidRDefault="00711328" w:rsidP="0024178E">
      <w:pPr>
        <w:pStyle w:val="Titre1"/>
        <w:numPr>
          <w:ilvl w:val="0"/>
          <w:numId w:val="81"/>
        </w:numPr>
      </w:pPr>
      <w:bookmarkStart w:id="976" w:name="_Toc95451878"/>
      <w:bookmarkEnd w:id="975"/>
      <w:r>
        <w:t>ENSEIGNEMENTS TIRES</w:t>
      </w:r>
      <w:bookmarkEnd w:id="976"/>
    </w:p>
    <w:p w14:paraId="50C86B8C" w14:textId="53B5DADF" w:rsidR="0043239F" w:rsidRDefault="0043239F" w:rsidP="00F31290">
      <w:pPr>
        <w:spacing w:before="0" w:after="0"/>
        <w:rPr>
          <w:rFonts w:ascii="Times New Roman" w:hAnsi="Times New Roman" w:cs="Times New Roman"/>
          <w:b/>
        </w:rPr>
      </w:pPr>
    </w:p>
    <w:p w14:paraId="418585EF" w14:textId="7509107A" w:rsidR="000E71CB" w:rsidRPr="00F06584" w:rsidRDefault="000E71CB" w:rsidP="000E71CB">
      <w:pPr>
        <w:pStyle w:val="Paragraphedeliste"/>
        <w:numPr>
          <w:ilvl w:val="0"/>
          <w:numId w:val="23"/>
        </w:numPr>
        <w:spacing w:after="0" w:line="276" w:lineRule="auto"/>
      </w:pPr>
      <w:bookmarkStart w:id="977" w:name="_Toc39563202"/>
      <w:r w:rsidRPr="00F06584">
        <w:t>De la mise en œuvre du projet, quelques enseignements ont été tir</w:t>
      </w:r>
      <w:r w:rsidR="001B1F53">
        <w:t>é</w:t>
      </w:r>
      <w:r w:rsidRPr="00F06584">
        <w:t xml:space="preserve">s. Les principaux enseignements sont relatifs </w:t>
      </w:r>
      <w:r>
        <w:t xml:space="preserve">à la nécessité de la mise en place de plan </w:t>
      </w:r>
      <w:r w:rsidR="00DE534C">
        <w:t xml:space="preserve">de </w:t>
      </w:r>
      <w:r w:rsidR="00DE534C" w:rsidRPr="00F06584">
        <w:t>suivi</w:t>
      </w:r>
      <w:r w:rsidRPr="00F06584">
        <w:t xml:space="preserve">-évaluation du projet, </w:t>
      </w:r>
      <w:r>
        <w:t xml:space="preserve">à </w:t>
      </w:r>
      <w:r w:rsidRPr="00F06584">
        <w:t>l’implication des femmes dans les MCPG</w:t>
      </w:r>
      <w:r>
        <w:t xml:space="preserve">C, </w:t>
      </w:r>
      <w:r w:rsidRPr="00F06584">
        <w:t>à l</w:t>
      </w:r>
      <w:r>
        <w:t>’évolution de la compréhension de la</w:t>
      </w:r>
      <w:r w:rsidRPr="00F06584">
        <w:t xml:space="preserve"> notion de transfrontali</w:t>
      </w:r>
      <w:r>
        <w:t xml:space="preserve">ère et à la prise en compte </w:t>
      </w:r>
      <w:r w:rsidR="0068045D">
        <w:t xml:space="preserve">de </w:t>
      </w:r>
      <w:r>
        <w:t>la résilience économique dans les projets de consolidation de la paix et cohésion sociale.</w:t>
      </w:r>
      <w:r w:rsidRPr="00F06584">
        <w:t xml:space="preserve"> </w:t>
      </w:r>
    </w:p>
    <w:p w14:paraId="3A6FFD16" w14:textId="0E671D18" w:rsidR="000E71CB" w:rsidRPr="00750842" w:rsidRDefault="000E71CB" w:rsidP="000E71CB">
      <w:pPr>
        <w:pStyle w:val="Paragraphedeliste"/>
        <w:numPr>
          <w:ilvl w:val="0"/>
          <w:numId w:val="23"/>
        </w:numPr>
        <w:spacing w:after="0" w:line="276" w:lineRule="auto"/>
      </w:pPr>
      <w:r w:rsidRPr="009F5BDE">
        <w:rPr>
          <w:b/>
          <w:bCs/>
          <w:color w:val="0070C0"/>
        </w:rPr>
        <w:t>Enseignement 1 :</w:t>
      </w:r>
      <w:r w:rsidRPr="009F5BDE">
        <w:rPr>
          <w:color w:val="0070C0"/>
        </w:rPr>
        <w:t xml:space="preserve"> </w:t>
      </w:r>
      <w:r w:rsidRPr="00F06584">
        <w:rPr>
          <w:b/>
          <w:bCs/>
        </w:rPr>
        <w:t>la mise en place d’un plan de suivi-évaluation du projet est essentielle non seulement pour faciliter les processus de monitoring et d’évaluation du projet mais aussi pour garantir la qualité des données et informations produites</w:t>
      </w:r>
      <w:r>
        <w:rPr>
          <w:b/>
          <w:bCs/>
        </w:rPr>
        <w:t xml:space="preserve"> surtout dans le cadre de projets conjoints et multi-acteurs</w:t>
      </w:r>
      <w:r w:rsidRPr="00F06584">
        <w:rPr>
          <w:b/>
          <w:bCs/>
        </w:rPr>
        <w:t>.</w:t>
      </w:r>
      <w:r w:rsidRPr="00750842">
        <w:t xml:space="preserve"> </w:t>
      </w:r>
      <w:r>
        <w:t xml:space="preserve">Comme relevé plus haut, l’absence du plan de suivi-évaluation dans le cadre de ce projet s’est traduit par des </w:t>
      </w:r>
      <w:r w:rsidRPr="00750842">
        <w:t>insuffisances telles l’absence d’une base de données unique du projet</w:t>
      </w:r>
      <w:r>
        <w:t xml:space="preserve"> ainsi que </w:t>
      </w:r>
      <w:r w:rsidRPr="00750842">
        <w:t xml:space="preserve">la </w:t>
      </w:r>
      <w:r w:rsidR="008E04FA" w:rsidRPr="00750842">
        <w:t>non-harmonisation</w:t>
      </w:r>
      <w:r w:rsidRPr="00750842">
        <w:t xml:space="preserve"> des outils et méthodes de collecte des données et de calcul des indicateurs</w:t>
      </w:r>
      <w:r>
        <w:t>. Ainsi, b</w:t>
      </w:r>
      <w:r w:rsidRPr="00750842">
        <w:t xml:space="preserve">ien que </w:t>
      </w:r>
      <w:r>
        <w:t>ONU Femmes et ONUDC</w:t>
      </w:r>
      <w:r w:rsidRPr="00750842">
        <w:t xml:space="preserve"> disposent chacune de système d’évaluations solides, il est impérieux que pour tout projet il soit défini un plan de suivi-évaluation spécifique qui décrit les indicateurs et leur mode de calcul, les activités de suivi, le circuit de collecte et de compilation des données ainsi que les rôles et responsabilité des acteurs sur la chaine</w:t>
      </w:r>
      <w:r>
        <w:t>.</w:t>
      </w:r>
      <w:r w:rsidRPr="00750842">
        <w:t xml:space="preserve"> </w:t>
      </w:r>
      <w:r>
        <w:t>La mise en œuvre de cet outil est davantage essentielle dans le cadre des projets conjoints et multi-acteurs, en ce sens qu’il doit permettre d’assurer une harmonisation des outils et méthodes de collecte, de traitement et production des indicateurs.</w:t>
      </w:r>
      <w:r w:rsidR="007760A2">
        <w:t xml:space="preserve"> </w:t>
      </w:r>
    </w:p>
    <w:p w14:paraId="754D17F8" w14:textId="7EE2D1C5" w:rsidR="000E71CB" w:rsidRPr="00EA6AD3" w:rsidRDefault="000E71CB" w:rsidP="000E71CB">
      <w:pPr>
        <w:pStyle w:val="Paragraphedeliste"/>
        <w:numPr>
          <w:ilvl w:val="0"/>
          <w:numId w:val="23"/>
        </w:numPr>
        <w:spacing w:after="0" w:line="276" w:lineRule="auto"/>
      </w:pPr>
      <w:r w:rsidRPr="009F5BDE">
        <w:rPr>
          <w:b/>
          <w:bCs/>
          <w:color w:val="0070C0"/>
        </w:rPr>
        <w:t>Enseignement 2 :</w:t>
      </w:r>
      <w:r w:rsidRPr="006F12B1">
        <w:rPr>
          <w:b/>
          <w:bCs/>
        </w:rPr>
        <w:t xml:space="preserve"> l’intégration et l’implication des femmes et des jeunes dans les MCPGC s’avère être une stratégie prometteuse non seulement pour dynamiser et accroitre l’efficacité des mécanismes existants, mais aussi pour provoquer le changement de mentalités des populations en faveur d’une plus grande participation de la femme aux instances de décisions communautaires. </w:t>
      </w:r>
      <w:r>
        <w:t xml:space="preserve">Les entretiens et focus group au niveau communautaire ont révélé qu’avec l’intégration des femmes et des jeunes, les MCPGC ont entretenu une saine émulation dans la prévention et la gestion des conflits, dynamisant ainsi la fonctionnalité et l’efficacité de ces structures. Un responsable de radio communautaire témoigne de cet engagement en ces termes : </w:t>
      </w:r>
      <w:r w:rsidRPr="00EC19E5">
        <w:rPr>
          <w:i/>
          <w:shd w:val="clear" w:color="auto" w:fill="F2F2F2"/>
        </w:rPr>
        <w:t>L'efficacité des mécanismes de prévention et de gestion des conflits qui intègrent les femmes et les jeunes est vraiment à féliciter car les femmes et les jeunes ont joué leur rôle dans la prévention et la gestion des conflits en tenant des séances de sensibilisation</w:t>
      </w:r>
      <w:r w:rsidR="00D20BB2">
        <w:rPr>
          <w:i/>
          <w:shd w:val="clear" w:color="auto" w:fill="F2F2F2"/>
        </w:rPr>
        <w:t>s</w:t>
      </w:r>
      <w:r w:rsidRPr="00EC19E5">
        <w:rPr>
          <w:i/>
          <w:shd w:val="clear" w:color="auto" w:fill="F2F2F2"/>
        </w:rPr>
        <w:t xml:space="preserve"> et des rencontres avec les membres du FDS autour de la cohésion sociale et le vivre ensemble de toutes les communautés sans distinction. Leurs implications, engagements et surtout leur détermination, prouvent leur efficacité dans les mécanismes de prévention et gestion des conflits</w:t>
      </w:r>
      <w:r>
        <w:t xml:space="preserve">. Par ailleurs, les MPGC ont été pour beaucoup de femmes, des cadres de développement et de valorisation de leur leadership en matière de promotion de la paix. L’exemple de leur détermination non seulement inspire les autres femmes mais aussi a permis de convaincre les leaders communautaires et religieux de l’importance de leur contribution à la promotion de la paix, favorisant ainsi le changement de mentalités. </w:t>
      </w:r>
    </w:p>
    <w:p w14:paraId="299D8346" w14:textId="1AC85A79" w:rsidR="000E71CB" w:rsidRDefault="000E71CB" w:rsidP="000E71CB">
      <w:pPr>
        <w:pStyle w:val="Paragraphedeliste"/>
        <w:numPr>
          <w:ilvl w:val="0"/>
          <w:numId w:val="23"/>
        </w:numPr>
        <w:spacing w:after="0" w:line="276" w:lineRule="auto"/>
      </w:pPr>
      <w:r w:rsidRPr="009F5BDE">
        <w:rPr>
          <w:b/>
          <w:bCs/>
          <w:color w:val="0070C0"/>
        </w:rPr>
        <w:t>Enseignement 3 :</w:t>
      </w:r>
      <w:r>
        <w:rPr>
          <w:b/>
          <w:bCs/>
        </w:rPr>
        <w:t xml:space="preserve"> </w:t>
      </w:r>
      <w:r w:rsidRPr="00990707">
        <w:rPr>
          <w:b/>
          <w:bCs/>
        </w:rPr>
        <w:t>L</w:t>
      </w:r>
      <w:r>
        <w:rPr>
          <w:b/>
          <w:bCs/>
        </w:rPr>
        <w:t xml:space="preserve">’expérience du projet </w:t>
      </w:r>
      <w:r w:rsidRPr="00990707">
        <w:rPr>
          <w:b/>
          <w:bCs/>
        </w:rPr>
        <w:t xml:space="preserve">a </w:t>
      </w:r>
      <w:r>
        <w:rPr>
          <w:b/>
          <w:bCs/>
        </w:rPr>
        <w:t xml:space="preserve">permis </w:t>
      </w:r>
      <w:r w:rsidRPr="00990707">
        <w:rPr>
          <w:b/>
          <w:bCs/>
        </w:rPr>
        <w:t xml:space="preserve">de se rendre compte que la notion </w:t>
      </w:r>
      <w:r>
        <w:rPr>
          <w:b/>
          <w:bCs/>
        </w:rPr>
        <w:t xml:space="preserve">d’activité </w:t>
      </w:r>
      <w:r w:rsidRPr="00990707">
        <w:rPr>
          <w:b/>
          <w:bCs/>
        </w:rPr>
        <w:t>transfron</w:t>
      </w:r>
      <w:r>
        <w:rPr>
          <w:b/>
          <w:bCs/>
        </w:rPr>
        <w:t>tali</w:t>
      </w:r>
      <w:r w:rsidRPr="00990707">
        <w:rPr>
          <w:b/>
          <w:bCs/>
        </w:rPr>
        <w:t>ère n’est pas seulement qu’une délimitation géographique et physique</w:t>
      </w:r>
      <w:r w:rsidRPr="00874CA9">
        <w:t xml:space="preserve"> </w:t>
      </w:r>
      <w:r w:rsidRPr="008E6460">
        <w:rPr>
          <w:b/>
          <w:bCs/>
        </w:rPr>
        <w:t xml:space="preserve">mais aussi </w:t>
      </w:r>
      <w:r>
        <w:rPr>
          <w:b/>
          <w:bCs/>
        </w:rPr>
        <w:t>un</w:t>
      </w:r>
      <w:r w:rsidRPr="008E6460">
        <w:rPr>
          <w:b/>
          <w:bCs/>
        </w:rPr>
        <w:t xml:space="preserve"> flux des échanges entre les différentes communautés</w:t>
      </w:r>
      <w:r w:rsidR="001B1F53">
        <w:rPr>
          <w:b/>
          <w:bCs/>
        </w:rPr>
        <w:t xml:space="preserve"> de part et d’autre</w:t>
      </w:r>
      <w:r w:rsidRPr="008E6460">
        <w:rPr>
          <w:b/>
          <w:bCs/>
        </w:rPr>
        <w:t xml:space="preserve"> de la frontière</w:t>
      </w:r>
      <w:r w:rsidRPr="00874CA9">
        <w:t xml:space="preserve">. </w:t>
      </w:r>
      <w:r>
        <w:t>Le</w:t>
      </w:r>
      <w:r w:rsidRPr="00874CA9">
        <w:t xml:space="preserve"> projet a</w:t>
      </w:r>
      <w:r>
        <w:t xml:space="preserve"> donc</w:t>
      </w:r>
      <w:r w:rsidRPr="00874CA9">
        <w:t xml:space="preserve"> </w:t>
      </w:r>
      <w:r>
        <w:t>ce</w:t>
      </w:r>
      <w:r w:rsidRPr="00874CA9">
        <w:t xml:space="preserve"> mérite d’avoir fait progresser la notion transfrontalière et lui donner une connotation plus réaliste.</w:t>
      </w:r>
      <w:r>
        <w:t xml:space="preserve"> Cette </w:t>
      </w:r>
      <w:r w:rsidRPr="00874CA9">
        <w:t>nouvelle lecture de la notion transfrontalière</w:t>
      </w:r>
      <w:r>
        <w:t xml:space="preserve"> comporte des implications majeures pour la définition et la mise en œuvre des activités transfrontalières. En effet, bien plus que le fait de rassembler physiquement des communautés de différents pays partageant une frontière commune, les actions transfrontalières devraient s’étendre aussi aux actions qui touchent directement les relations économiques, sociales et culturelles des communautés de part et d’autre de la frontalière. En lien avec ce nouvel entendement de la notion transfrontalière, les acteurs de l’ALG et des GLCT (GLCT/Sahel-Tillabery et Gulmu-Tillabery) interrogés dans le cadre des entretiens soulignent surtout la nécessité de cibler et développer les lieux et occasions de brassage entre les communautés transfrontalières (marchés, moulins, forages, etc.). </w:t>
      </w:r>
    </w:p>
    <w:p w14:paraId="1AC1E9C7" w14:textId="7EF3D69C" w:rsidR="000E71CB" w:rsidRDefault="000E71CB" w:rsidP="000E71CB">
      <w:pPr>
        <w:pStyle w:val="Paragraphedeliste"/>
        <w:numPr>
          <w:ilvl w:val="0"/>
          <w:numId w:val="23"/>
        </w:numPr>
        <w:spacing w:after="0" w:line="276" w:lineRule="auto"/>
      </w:pPr>
      <w:r w:rsidRPr="009F5BDE">
        <w:rPr>
          <w:b/>
          <w:bCs/>
          <w:color w:val="0070C0"/>
        </w:rPr>
        <w:t>Enseignement 4 :</w:t>
      </w:r>
      <w:r>
        <w:t xml:space="preserve"> </w:t>
      </w:r>
      <w:r w:rsidRPr="001C642A">
        <w:rPr>
          <w:b/>
          <w:bCs/>
        </w:rPr>
        <w:t>La prise en compte de la résilience économique des ménages renforce les effets du projet sur la paix et la cohésion sociale</w:t>
      </w:r>
      <w:r>
        <w:rPr>
          <w:b/>
          <w:bCs/>
        </w:rPr>
        <w:t xml:space="preserve">. </w:t>
      </w:r>
      <w:r w:rsidRPr="00CE1640">
        <w:t>C</w:t>
      </w:r>
      <w:r>
        <w:t>omme précédemment soulign</w:t>
      </w:r>
      <w:r w:rsidR="005B576B">
        <w:t>é</w:t>
      </w:r>
      <w:r>
        <w:t xml:space="preserve">, </w:t>
      </w:r>
      <w:r w:rsidRPr="00460D2E">
        <w:t>la vulnérabilité économique est un facteur important qui alimente les conflits. En effet, l</w:t>
      </w:r>
      <w:r>
        <w:t>a pauvreté, l</w:t>
      </w:r>
      <w:r w:rsidRPr="00460D2E">
        <w:t>e sous-emploi ou l’oisiveté</w:t>
      </w:r>
      <w:r>
        <w:t xml:space="preserve"> favorisent </w:t>
      </w:r>
      <w:r w:rsidRPr="00460D2E">
        <w:t xml:space="preserve">l’enrôlement des jeunes dans les groupes armés </w:t>
      </w:r>
      <w:r>
        <w:t>rebelles ou terroristes</w:t>
      </w:r>
      <w:r w:rsidRPr="00460D2E">
        <w:t>. La majorité des personnes enquêté</w:t>
      </w:r>
      <w:r>
        <w:t>e</w:t>
      </w:r>
      <w:r w:rsidRPr="00460D2E">
        <w:t>s sont conscientes de cela et ont souhaité que la vulnérabilité économique soit prise en compte dans les futurs projets. La vulnérabilité économique touche aussi bien les investissements individuels (activités génératrices de revenus), que les investissements communautaires et sociaux (forages, maison</w:t>
      </w:r>
      <w:r>
        <w:t>s</w:t>
      </w:r>
      <w:r w:rsidRPr="00460D2E">
        <w:t xml:space="preserve"> de jeunes, moulins, centre</w:t>
      </w:r>
      <w:r>
        <w:t>s</w:t>
      </w:r>
      <w:r w:rsidRPr="00460D2E">
        <w:t xml:space="preserve"> de formation, école</w:t>
      </w:r>
      <w:r>
        <w:t>s</w:t>
      </w:r>
      <w:r w:rsidRPr="00460D2E">
        <w:t>, centre</w:t>
      </w:r>
      <w:r>
        <w:t>s</w:t>
      </w:r>
      <w:r w:rsidRPr="00460D2E">
        <w:t xml:space="preserve"> de santé, etc.).</w:t>
      </w:r>
      <w:r>
        <w:t xml:space="preserve"> Le bailleur (PBF) s’est dit prêt à financer des projets de consolidation de la paix intégrant la composante résilience économique des populations, pour peu que le lien entre cette composante et la consolidation de la paix soit solidement document</w:t>
      </w:r>
      <w:r w:rsidR="005B576B">
        <w:t>é</w:t>
      </w:r>
      <w:r>
        <w:t xml:space="preserve"> dans la proposition de projet.</w:t>
      </w:r>
      <w:r w:rsidR="007760A2">
        <w:t xml:space="preserve"> </w:t>
      </w:r>
    </w:p>
    <w:p w14:paraId="0E92077A" w14:textId="5277F36D" w:rsidR="00911D6C" w:rsidRPr="005D2C17" w:rsidRDefault="00262834" w:rsidP="00B723D5">
      <w:pPr>
        <w:pStyle w:val="Paragraphedeliste"/>
        <w:numPr>
          <w:ilvl w:val="0"/>
          <w:numId w:val="23"/>
        </w:numPr>
        <w:spacing w:after="0" w:line="276" w:lineRule="auto"/>
      </w:pPr>
      <w:r w:rsidRPr="009F5BDE">
        <w:rPr>
          <w:b/>
          <w:bCs/>
          <w:color w:val="0070C0"/>
        </w:rPr>
        <w:t>Enseignement 5 :</w:t>
      </w:r>
      <w:r w:rsidRPr="009F5BDE">
        <w:rPr>
          <w:color w:val="0070C0"/>
        </w:rPr>
        <w:t xml:space="preserve"> </w:t>
      </w:r>
      <w:r w:rsidRPr="00B723D5">
        <w:rPr>
          <w:b/>
          <w:bCs/>
        </w:rPr>
        <w:t>L’implication des acteurs majeurs sur les questions transfrontalières comme l’ALG aurait permis au projet d’a</w:t>
      </w:r>
      <w:r w:rsidR="0096018D" w:rsidRPr="00B723D5">
        <w:rPr>
          <w:b/>
          <w:bCs/>
        </w:rPr>
        <w:t xml:space="preserve">méliorer la mise en œuvre des activités </w:t>
      </w:r>
      <w:r w:rsidRPr="00B723D5">
        <w:rPr>
          <w:b/>
          <w:bCs/>
        </w:rPr>
        <w:t>transfrontali</w:t>
      </w:r>
      <w:r w:rsidR="0096018D" w:rsidRPr="00B723D5">
        <w:rPr>
          <w:b/>
          <w:bCs/>
        </w:rPr>
        <w:t>ères</w:t>
      </w:r>
      <w:r w:rsidRPr="00B723D5">
        <w:t xml:space="preserve">. </w:t>
      </w:r>
      <w:r w:rsidR="00D43F1D" w:rsidRPr="00B723D5">
        <w:t xml:space="preserve">Au regard de l’expérience de l’ALG sur </w:t>
      </w:r>
      <w:r w:rsidRPr="00B723D5">
        <w:t>l</w:t>
      </w:r>
      <w:r w:rsidR="00D43F1D" w:rsidRPr="00B723D5">
        <w:t>es questions de coopération transfrontalière et de mise en œuvre de projets transfrontaliers, sa contribution dans ce projet aurait été déterminante tant dans la définition que la mise en œuvre des activités transfrontalières.</w:t>
      </w:r>
      <w:r w:rsidR="007760A2" w:rsidRPr="00B723D5">
        <w:t xml:space="preserve"> </w:t>
      </w:r>
      <w:r w:rsidR="00D43F1D" w:rsidRPr="00B723D5">
        <w:t xml:space="preserve">Par ailleurs, les entretiens ont révélé qu’une </w:t>
      </w:r>
      <w:r w:rsidRPr="00B723D5">
        <w:t>dynamique de mise en place de GLCT est en cours dans la zone transfrontalière entre le Mali et le Niger. Cette dynamique aurait pu bénéficier de l’accompagnement du projet</w:t>
      </w:r>
      <w:r w:rsidR="00D43F1D" w:rsidRPr="00B723D5">
        <w:t xml:space="preserve">, </w:t>
      </w:r>
      <w:r w:rsidR="00741AE3" w:rsidRPr="00B723D5">
        <w:t>sous l’hypothèse d’une éventuelle réaffectation des ressources des activités transfrontalières non tenues du fait de l’insécurité et de la COVID- 19.</w:t>
      </w:r>
      <w:r w:rsidR="007760A2" w:rsidRPr="00B723D5">
        <w:t xml:space="preserve"> </w:t>
      </w:r>
      <w:r w:rsidR="00DB3353" w:rsidRPr="00B723D5">
        <w:t xml:space="preserve">En effet, la collaboration avec l’ALG aurait permis de renforcer </w:t>
      </w:r>
      <w:r w:rsidR="00CB19F4">
        <w:t xml:space="preserve">les </w:t>
      </w:r>
      <w:r w:rsidR="00DB3353" w:rsidRPr="00B723D5">
        <w:t>effets de synergie avec le Programme conjoint de coopération transfrontalière dans la région du Liptako-Gourma demarr</w:t>
      </w:r>
      <w:r w:rsidR="00CB19F4">
        <w:t>é</w:t>
      </w:r>
      <w:r w:rsidR="00DB3353" w:rsidRPr="00B723D5">
        <w:t xml:space="preserve"> en 2009 et dont l’effet porte sur la Prévention et la résolution des conflits, de l'extrémisme violent et de la criminalité ; la promotion de l'accès à la justice, des droits de l'homme et de l'État de droit. </w:t>
      </w:r>
      <w:r w:rsidR="00C90633" w:rsidRPr="005D2C17">
        <w:t>ANNEXE</w:t>
      </w:r>
      <w:bookmarkEnd w:id="977"/>
      <w:r w:rsidR="00B752E9" w:rsidRPr="005D2C17">
        <w:t xml:space="preserve"> </w:t>
      </w:r>
    </w:p>
    <w:p w14:paraId="49705C49" w14:textId="77777777" w:rsidR="00B723D5" w:rsidRPr="00B723D5" w:rsidRDefault="00B723D5" w:rsidP="00B723D5">
      <w:pPr>
        <w:pStyle w:val="Paragraphedeliste"/>
        <w:numPr>
          <w:ilvl w:val="0"/>
          <w:numId w:val="23"/>
        </w:numPr>
        <w:spacing w:after="0" w:line="276" w:lineRule="auto"/>
        <w:sectPr w:rsidR="00B723D5" w:rsidRPr="00B723D5" w:rsidSect="00CF454A">
          <w:pgSz w:w="11906" w:h="16838"/>
          <w:pgMar w:top="1418" w:right="1418" w:bottom="1418" w:left="1418" w:header="709" w:footer="709" w:gutter="0"/>
          <w:cols w:space="708"/>
          <w:titlePg/>
          <w:docGrid w:linePitch="360"/>
        </w:sectPr>
      </w:pPr>
      <w:r w:rsidRPr="00B723D5">
        <w:br w:type="page"/>
      </w:r>
    </w:p>
    <w:p w14:paraId="607EBF06" w14:textId="36BF519D" w:rsidR="003A3323" w:rsidRDefault="003A3323" w:rsidP="00F564A4">
      <w:pPr>
        <w:pStyle w:val="Titre1"/>
      </w:pPr>
      <w:bookmarkStart w:id="978" w:name="_Toc95451879"/>
      <w:r>
        <w:t>ANNEXE</w:t>
      </w:r>
      <w:bookmarkEnd w:id="978"/>
      <w:r>
        <w:t xml:space="preserve"> </w:t>
      </w:r>
    </w:p>
    <w:p w14:paraId="0F86930B" w14:textId="6D010AED" w:rsidR="003C242D" w:rsidRDefault="003C242D" w:rsidP="00B723D5">
      <w:pPr>
        <w:pStyle w:val="Titre2"/>
        <w:numPr>
          <w:ilvl w:val="0"/>
          <w:numId w:val="0"/>
        </w:numPr>
        <w:ind w:left="720" w:hanging="720"/>
      </w:pPr>
      <w:bookmarkStart w:id="979" w:name="_Toc95451880"/>
      <w:r>
        <w:t>Annexe 1 : Matrices d’évaluation</w:t>
      </w:r>
      <w:bookmarkEnd w:id="979"/>
    </w:p>
    <w:p w14:paraId="38C3C93D" w14:textId="77777777" w:rsidR="003C242D" w:rsidRDefault="003C242D" w:rsidP="003C242D">
      <w:pPr>
        <w:pStyle w:val="TM8"/>
      </w:pPr>
      <w:bookmarkStart w:id="980" w:name="_Hlk89250147"/>
      <w:r w:rsidRPr="00876174">
        <w:t>Matrice d</w:t>
      </w:r>
      <w:r>
        <w:t>’</w:t>
      </w:r>
      <w:r w:rsidRPr="00876174">
        <w:t>évaluation du critère de Pertinence</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54"/>
        <w:gridCol w:w="2524"/>
        <w:gridCol w:w="2519"/>
        <w:gridCol w:w="2499"/>
        <w:gridCol w:w="1978"/>
        <w:gridCol w:w="2118"/>
      </w:tblGrid>
      <w:tr w:rsidR="00F01CB8" w:rsidRPr="00B96884" w14:paraId="07498A71" w14:textId="77777777" w:rsidTr="009E2DEE">
        <w:trPr>
          <w:trHeight w:val="196"/>
          <w:tblHeader/>
        </w:trPr>
        <w:tc>
          <w:tcPr>
            <w:tcW w:w="841" w:type="pct"/>
            <w:shd w:val="clear" w:color="auto" w:fill="002060"/>
            <w:vAlign w:val="center"/>
          </w:tcPr>
          <w:p w14:paraId="091A262F" w14:textId="77777777" w:rsidR="00C816C9" w:rsidRPr="00B96884" w:rsidRDefault="00C816C9" w:rsidP="009E2DEE">
            <w:pPr>
              <w:spacing w:before="20" w:after="20" w:line="240" w:lineRule="auto"/>
              <w:jc w:val="left"/>
              <w:rPr>
                <w:b/>
                <w:bCs/>
                <w:sz w:val="20"/>
                <w:szCs w:val="20"/>
              </w:rPr>
            </w:pPr>
            <w:bookmarkStart w:id="981" w:name="_Hlk89250067"/>
            <w:r w:rsidRPr="00B96884">
              <w:rPr>
                <w:b/>
                <w:bCs/>
                <w:sz w:val="20"/>
                <w:szCs w:val="20"/>
              </w:rPr>
              <w:t xml:space="preserve">Questions clés </w:t>
            </w:r>
          </w:p>
        </w:tc>
        <w:tc>
          <w:tcPr>
            <w:tcW w:w="902" w:type="pct"/>
            <w:shd w:val="clear" w:color="auto" w:fill="002060"/>
            <w:vAlign w:val="center"/>
          </w:tcPr>
          <w:p w14:paraId="4B37A174" w14:textId="77777777" w:rsidR="00C816C9" w:rsidRPr="00B96884" w:rsidRDefault="00C816C9" w:rsidP="009E2DEE">
            <w:pPr>
              <w:spacing w:before="20" w:after="20" w:line="240" w:lineRule="auto"/>
              <w:jc w:val="left"/>
              <w:rPr>
                <w:b/>
                <w:bCs/>
                <w:sz w:val="20"/>
                <w:szCs w:val="20"/>
              </w:rPr>
            </w:pPr>
            <w:r w:rsidRPr="00B96884">
              <w:rPr>
                <w:b/>
                <w:bCs/>
                <w:sz w:val="20"/>
                <w:szCs w:val="20"/>
              </w:rPr>
              <w:t>Sous questions</w:t>
            </w:r>
          </w:p>
        </w:tc>
        <w:tc>
          <w:tcPr>
            <w:tcW w:w="900" w:type="pct"/>
            <w:shd w:val="clear" w:color="auto" w:fill="002060"/>
            <w:vAlign w:val="center"/>
          </w:tcPr>
          <w:p w14:paraId="3039CAD0" w14:textId="77777777" w:rsidR="00C816C9" w:rsidRPr="00B96884" w:rsidRDefault="00C816C9" w:rsidP="009E2DEE">
            <w:pPr>
              <w:spacing w:before="20" w:after="20" w:line="240" w:lineRule="auto"/>
              <w:jc w:val="left"/>
              <w:rPr>
                <w:b/>
                <w:bCs/>
                <w:sz w:val="20"/>
                <w:szCs w:val="20"/>
              </w:rPr>
            </w:pPr>
            <w:r w:rsidRPr="00B96884">
              <w:rPr>
                <w:b/>
                <w:bCs/>
                <w:sz w:val="20"/>
                <w:szCs w:val="20"/>
              </w:rPr>
              <w:t>Indicateurs</w:t>
            </w:r>
          </w:p>
        </w:tc>
        <w:tc>
          <w:tcPr>
            <w:tcW w:w="893" w:type="pct"/>
            <w:shd w:val="clear" w:color="auto" w:fill="002060"/>
            <w:vAlign w:val="center"/>
          </w:tcPr>
          <w:p w14:paraId="34266814" w14:textId="77777777" w:rsidR="00C816C9" w:rsidRPr="00B96884" w:rsidRDefault="00C816C9" w:rsidP="009E2DEE">
            <w:pPr>
              <w:spacing w:before="20" w:after="2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40738AED" w14:textId="77777777" w:rsidR="00C816C9" w:rsidRPr="00B96884" w:rsidRDefault="00C816C9" w:rsidP="009E2DEE">
            <w:pPr>
              <w:spacing w:before="20" w:after="20" w:line="240" w:lineRule="auto"/>
              <w:jc w:val="left"/>
              <w:rPr>
                <w:b/>
                <w:bCs/>
                <w:sz w:val="20"/>
                <w:szCs w:val="20"/>
              </w:rPr>
            </w:pPr>
            <w:r w:rsidRPr="00B96884">
              <w:rPr>
                <w:b/>
                <w:bCs/>
                <w:sz w:val="20"/>
                <w:szCs w:val="20"/>
              </w:rPr>
              <w:t>Méthodes de collecte</w:t>
            </w:r>
          </w:p>
        </w:tc>
        <w:tc>
          <w:tcPr>
            <w:tcW w:w="757" w:type="pct"/>
            <w:shd w:val="clear" w:color="auto" w:fill="002060"/>
            <w:vAlign w:val="center"/>
          </w:tcPr>
          <w:p w14:paraId="2BA580C3" w14:textId="77777777" w:rsidR="00C816C9" w:rsidRPr="00B96884" w:rsidRDefault="00C816C9" w:rsidP="009E2DEE">
            <w:pPr>
              <w:spacing w:before="20" w:after="20" w:line="240" w:lineRule="auto"/>
              <w:jc w:val="left"/>
              <w:rPr>
                <w:b/>
                <w:bCs/>
                <w:sz w:val="20"/>
                <w:szCs w:val="20"/>
              </w:rPr>
            </w:pPr>
            <w:r w:rsidRPr="00B96884">
              <w:rPr>
                <w:b/>
                <w:bCs/>
                <w:sz w:val="20"/>
                <w:szCs w:val="20"/>
              </w:rPr>
              <w:t>Hypothèses</w:t>
            </w:r>
          </w:p>
        </w:tc>
      </w:tr>
      <w:tr w:rsidR="00C816C9" w:rsidRPr="00B96884" w14:paraId="1748CD3A" w14:textId="77777777" w:rsidTr="00EC19E5">
        <w:tc>
          <w:tcPr>
            <w:tcW w:w="841" w:type="pct"/>
            <w:vMerge w:val="restart"/>
            <w:vAlign w:val="center"/>
          </w:tcPr>
          <w:p w14:paraId="2B50BD1C" w14:textId="77777777" w:rsidR="00C816C9" w:rsidRPr="00B96884" w:rsidRDefault="00C816C9" w:rsidP="009E2DEE">
            <w:pPr>
              <w:spacing w:line="240" w:lineRule="auto"/>
              <w:jc w:val="left"/>
              <w:rPr>
                <w:sz w:val="20"/>
                <w:szCs w:val="20"/>
              </w:rPr>
            </w:pPr>
            <w:r w:rsidRPr="00B96884">
              <w:rPr>
                <w:b/>
                <w:bCs/>
                <w:sz w:val="20"/>
                <w:szCs w:val="20"/>
              </w:rPr>
              <w:t xml:space="preserve">QE1. </w:t>
            </w:r>
            <w:r w:rsidRPr="00B96884">
              <w:rPr>
                <w:sz w:val="20"/>
                <w:szCs w:val="20"/>
              </w:rPr>
              <w:t>Dans quelle mesure l’appui apporté par le projet était</w:t>
            </w:r>
            <w:r w:rsidRPr="00B96884">
              <w:rPr>
                <w:rFonts w:ascii="Cambria Math" w:hAnsi="Cambria Math" w:cs="Cambria Math"/>
                <w:sz w:val="20"/>
                <w:szCs w:val="20"/>
              </w:rPr>
              <w:t>‐</w:t>
            </w:r>
            <w:r w:rsidRPr="00B96884">
              <w:rPr>
                <w:sz w:val="20"/>
                <w:szCs w:val="20"/>
              </w:rPr>
              <w:t>il (i) adapt</w:t>
            </w:r>
            <w:r w:rsidRPr="00B96884">
              <w:rPr>
                <w:rFonts w:cs="Century Gothic"/>
                <w:sz w:val="20"/>
                <w:szCs w:val="20"/>
              </w:rPr>
              <w:t>é</w:t>
            </w:r>
            <w:r w:rsidRPr="00B96884">
              <w:rPr>
                <w:sz w:val="20"/>
                <w:szCs w:val="20"/>
              </w:rPr>
              <w:t xml:space="preserve"> aux besoins des populations cibles concernées ? (ii) compatible avec les objectifs nationaux (au Mali et au Niger) en matière de consolidation de la paix et la cohésion sociale ?</w:t>
            </w:r>
          </w:p>
        </w:tc>
        <w:tc>
          <w:tcPr>
            <w:tcW w:w="902" w:type="pct"/>
            <w:vAlign w:val="center"/>
          </w:tcPr>
          <w:p w14:paraId="5373AD84" w14:textId="09ED8263"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 Est-ce-que le projet a pris en compte les besoins des femmes et des jeunes ?</w:t>
            </w:r>
          </w:p>
        </w:tc>
        <w:tc>
          <w:tcPr>
            <w:tcW w:w="900" w:type="pct"/>
            <w:vAlign w:val="center"/>
          </w:tcPr>
          <w:p w14:paraId="17D492B2" w14:textId="16BAF76D"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directs (femmes et jeunes) qui affirment que le projet a pris en compte leurs besoins en matière de paix et de cohésion sociale</w:t>
            </w:r>
          </w:p>
          <w:p w14:paraId="6883C861" w14:textId="71B674EE" w:rsidR="00C816C9" w:rsidRPr="00B96884" w:rsidRDefault="00C816C9" w:rsidP="009E2DEE">
            <w:pPr>
              <w:spacing w:before="0" w:after="0" w:line="240" w:lineRule="auto"/>
              <w:contextualSpacing/>
              <w:jc w:val="left"/>
              <w:rPr>
                <w:sz w:val="20"/>
                <w:szCs w:val="20"/>
              </w:rPr>
            </w:pPr>
          </w:p>
        </w:tc>
        <w:tc>
          <w:tcPr>
            <w:tcW w:w="893" w:type="pct"/>
            <w:vAlign w:val="center"/>
          </w:tcPr>
          <w:p w14:paraId="22AB2A4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1B809A2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2FA6161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et collectivités </w:t>
            </w:r>
          </w:p>
          <w:p w14:paraId="11AA675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FDS et ACP</w:t>
            </w:r>
          </w:p>
          <w:p w14:paraId="514B5F8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 (ONU femmes, ONUDC, ONG Locales) Leaders communautaires</w:t>
            </w:r>
          </w:p>
        </w:tc>
        <w:tc>
          <w:tcPr>
            <w:tcW w:w="707" w:type="pct"/>
            <w:vAlign w:val="center"/>
          </w:tcPr>
          <w:p w14:paraId="539C9F9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AA39D7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restart"/>
            <w:vAlign w:val="center"/>
          </w:tcPr>
          <w:p w14:paraId="31DC420F"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69DF07E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2C3EE33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p w14:paraId="039F7499"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52674DA7" w14:textId="77777777" w:rsidTr="00EC19E5">
        <w:tc>
          <w:tcPr>
            <w:tcW w:w="841" w:type="pct"/>
            <w:vMerge/>
            <w:vAlign w:val="center"/>
          </w:tcPr>
          <w:p w14:paraId="5EF5F406" w14:textId="77777777" w:rsidR="00C816C9" w:rsidRPr="00B96884" w:rsidRDefault="00C816C9" w:rsidP="009E2DEE">
            <w:pPr>
              <w:spacing w:line="240" w:lineRule="auto"/>
              <w:jc w:val="left"/>
              <w:rPr>
                <w:b/>
                <w:bCs/>
                <w:sz w:val="20"/>
                <w:szCs w:val="20"/>
              </w:rPr>
            </w:pPr>
          </w:p>
        </w:tc>
        <w:tc>
          <w:tcPr>
            <w:tcW w:w="902" w:type="pct"/>
            <w:vAlign w:val="center"/>
          </w:tcPr>
          <w:p w14:paraId="1C9F6EBC" w14:textId="77777777" w:rsidR="00C816C9" w:rsidRPr="00B96884" w:rsidDel="00EE4D36"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activités et les résultats du projet participent-elles aux objectifs nationaux (au Mali et au Niger), régionaux et internationaux en matière de consolidation de la paix ou de la cohésion sociale ?</w:t>
            </w:r>
          </w:p>
        </w:tc>
        <w:tc>
          <w:tcPr>
            <w:tcW w:w="900" w:type="pct"/>
            <w:vAlign w:val="center"/>
          </w:tcPr>
          <w:p w14:paraId="2B67F2FF" w14:textId="397FC956" w:rsidR="00C816C9" w:rsidRPr="00B96884" w:rsidDel="00EE4D36"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Alignement (oui ou non) des activités et des résultats du projet avec les objectifs nationaux (au Mali et au Niger), régionaux et internationaux</w:t>
            </w:r>
          </w:p>
        </w:tc>
        <w:tc>
          <w:tcPr>
            <w:tcW w:w="893" w:type="pct"/>
            <w:vAlign w:val="center"/>
          </w:tcPr>
          <w:p w14:paraId="4DE1EC2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Plan d’action du projet</w:t>
            </w:r>
          </w:p>
          <w:p w14:paraId="6F2DE4B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EAB478C"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Accord pour la paix et la réconciliation au Mali et au Niger</w:t>
            </w:r>
          </w:p>
          <w:p w14:paraId="1BE4996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Stratégies nationales, voire régionales et internationales)</w:t>
            </w:r>
          </w:p>
          <w:p w14:paraId="2BDDF29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 et collectivités</w:t>
            </w:r>
          </w:p>
        </w:tc>
        <w:tc>
          <w:tcPr>
            <w:tcW w:w="707" w:type="pct"/>
            <w:vAlign w:val="center"/>
          </w:tcPr>
          <w:p w14:paraId="7CAF589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DE6E11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4D5509D7"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400C99C" w14:textId="77777777" w:rsidTr="00EC19E5">
        <w:tc>
          <w:tcPr>
            <w:tcW w:w="841" w:type="pct"/>
            <w:vAlign w:val="center"/>
          </w:tcPr>
          <w:p w14:paraId="601AE39F" w14:textId="77777777" w:rsidR="00C816C9" w:rsidRPr="00B96884" w:rsidRDefault="00C816C9" w:rsidP="009E2DEE">
            <w:pPr>
              <w:spacing w:line="240" w:lineRule="auto"/>
              <w:jc w:val="left"/>
              <w:rPr>
                <w:b/>
                <w:bCs/>
                <w:sz w:val="20"/>
                <w:szCs w:val="20"/>
              </w:rPr>
            </w:pPr>
            <w:r w:rsidRPr="00B96884">
              <w:rPr>
                <w:b/>
                <w:bCs/>
                <w:sz w:val="20"/>
                <w:szCs w:val="20"/>
              </w:rPr>
              <w:t xml:space="preserve">QE2. </w:t>
            </w:r>
            <w:r w:rsidRPr="00B96884">
              <w:rPr>
                <w:sz w:val="20"/>
                <w:szCs w:val="20"/>
              </w:rPr>
              <w:t>Dans quelle mesure le projet est-il aligné sur les domaines d’intervention de PBF, ONU Femmes et ONU DC ?</w:t>
            </w:r>
          </w:p>
        </w:tc>
        <w:tc>
          <w:tcPr>
            <w:tcW w:w="902" w:type="pct"/>
            <w:vAlign w:val="center"/>
          </w:tcPr>
          <w:p w14:paraId="029B307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 projet est-il aligné sur les domaines d'intervention de PBF, ONU Femmes et ONUDC ?</w:t>
            </w:r>
          </w:p>
        </w:tc>
        <w:tc>
          <w:tcPr>
            <w:tcW w:w="900" w:type="pct"/>
            <w:vAlign w:val="center"/>
          </w:tcPr>
          <w:p w14:paraId="169E253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Adéquation (oui ou non) du projet avec les domaines d’intervention de PBF, ONU femmes et ONU DC</w:t>
            </w:r>
          </w:p>
        </w:tc>
        <w:tc>
          <w:tcPr>
            <w:tcW w:w="893" w:type="pct"/>
            <w:vAlign w:val="center"/>
          </w:tcPr>
          <w:p w14:paraId="4C05568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03D4D9A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PBF, </w:t>
            </w:r>
          </w:p>
          <w:p w14:paraId="17AE8B0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tc>
        <w:tc>
          <w:tcPr>
            <w:tcW w:w="707" w:type="pct"/>
            <w:vAlign w:val="center"/>
          </w:tcPr>
          <w:p w14:paraId="1E18373B"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20B81F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2E84B42C"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0FF5BDF" w14:textId="77777777" w:rsidTr="00EC19E5">
        <w:tc>
          <w:tcPr>
            <w:tcW w:w="841" w:type="pct"/>
            <w:vMerge w:val="restart"/>
            <w:vAlign w:val="center"/>
          </w:tcPr>
          <w:p w14:paraId="1D434668" w14:textId="2F45CED6" w:rsidR="00C816C9" w:rsidRPr="00B96884" w:rsidRDefault="00C816C9" w:rsidP="009E2DEE">
            <w:pPr>
              <w:spacing w:line="240" w:lineRule="auto"/>
              <w:jc w:val="left"/>
              <w:rPr>
                <w:sz w:val="20"/>
                <w:szCs w:val="20"/>
              </w:rPr>
            </w:pPr>
            <w:r w:rsidRPr="00B96884">
              <w:rPr>
                <w:b/>
                <w:bCs/>
                <w:sz w:val="20"/>
                <w:szCs w:val="20"/>
              </w:rPr>
              <w:t xml:space="preserve">QE3. </w:t>
            </w:r>
            <w:r w:rsidRPr="00B96884">
              <w:rPr>
                <w:sz w:val="20"/>
                <w:szCs w:val="20"/>
              </w:rPr>
              <w:t>Dans quelle</w:t>
            </w:r>
            <w:r w:rsidRPr="00B96884">
              <w:rPr>
                <w:b/>
                <w:bCs/>
                <w:sz w:val="20"/>
                <w:szCs w:val="20"/>
              </w:rPr>
              <w:t xml:space="preserve"> </w:t>
            </w:r>
            <w:r w:rsidR="005E5220" w:rsidRPr="000A3BC1">
              <w:rPr>
                <w:sz w:val="20"/>
                <w:szCs w:val="20"/>
              </w:rPr>
              <w:t xml:space="preserve">mesure </w:t>
            </w:r>
            <w:r w:rsidRPr="000A3BC1">
              <w:rPr>
                <w:sz w:val="20"/>
                <w:szCs w:val="20"/>
              </w:rPr>
              <w:t>le</w:t>
            </w:r>
            <w:r w:rsidRPr="00B96884">
              <w:rPr>
                <w:sz w:val="20"/>
                <w:szCs w:val="20"/>
              </w:rPr>
              <w:t xml:space="preserve"> projet a-t-il pris en compte les problèmes de genre et de droits humains identifiés dans le contexte</w:t>
            </w:r>
            <w:r w:rsidR="005D072F">
              <w:rPr>
                <w:sz w:val="20"/>
                <w:szCs w:val="20"/>
              </w:rPr>
              <w:t xml:space="preserve"> </w:t>
            </w:r>
            <w:r w:rsidRPr="00B96884">
              <w:rPr>
                <w:sz w:val="20"/>
                <w:szCs w:val="20"/>
              </w:rPr>
              <w:t>?</w:t>
            </w:r>
          </w:p>
        </w:tc>
        <w:tc>
          <w:tcPr>
            <w:tcW w:w="902" w:type="pct"/>
            <w:vAlign w:val="center"/>
          </w:tcPr>
          <w:p w14:paraId="38F0CA5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activités du projet apportent-elles une réponse aux défis de prise en compte des femmes et des jeunes dans les mécanismes de gestion des conflits ?</w:t>
            </w:r>
          </w:p>
        </w:tc>
        <w:tc>
          <w:tcPr>
            <w:tcW w:w="900" w:type="pct"/>
            <w:vAlign w:val="center"/>
          </w:tcPr>
          <w:p w14:paraId="08902FAD" w14:textId="15230A15"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directs (femmes et jeunes) qui affirment que le projet a pris en compte le problème de participation des femmes et des jeunes aux mécanismes de gestion des conflits</w:t>
            </w:r>
          </w:p>
        </w:tc>
        <w:tc>
          <w:tcPr>
            <w:tcW w:w="893" w:type="pct"/>
            <w:vAlign w:val="center"/>
          </w:tcPr>
          <w:p w14:paraId="1E81A3D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6E76439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4A0C00A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4982BA6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 Femmes, jeunes</w:t>
            </w:r>
          </w:p>
        </w:tc>
        <w:tc>
          <w:tcPr>
            <w:tcW w:w="707" w:type="pct"/>
            <w:vAlign w:val="center"/>
          </w:tcPr>
          <w:p w14:paraId="3735B4D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266A6FF"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57213BC8"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6DBA6EC0" w14:textId="77777777" w:rsidTr="00EC19E5">
        <w:tc>
          <w:tcPr>
            <w:tcW w:w="841" w:type="pct"/>
            <w:vMerge/>
            <w:vAlign w:val="center"/>
          </w:tcPr>
          <w:p w14:paraId="4F744949" w14:textId="77777777" w:rsidR="00C816C9" w:rsidRPr="00B96884" w:rsidRDefault="00C816C9" w:rsidP="009E2DEE">
            <w:pPr>
              <w:spacing w:line="240" w:lineRule="auto"/>
              <w:jc w:val="left"/>
              <w:rPr>
                <w:b/>
                <w:bCs/>
                <w:sz w:val="20"/>
                <w:szCs w:val="20"/>
              </w:rPr>
            </w:pPr>
          </w:p>
        </w:tc>
        <w:tc>
          <w:tcPr>
            <w:tcW w:w="902" w:type="pct"/>
            <w:vAlign w:val="center"/>
          </w:tcPr>
          <w:p w14:paraId="3B2C561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 projet a-t-il promu le respect des droits humains dans les procédures des FDS et ACP ?</w:t>
            </w:r>
          </w:p>
        </w:tc>
        <w:tc>
          <w:tcPr>
            <w:tcW w:w="900" w:type="pct"/>
            <w:vAlign w:val="center"/>
          </w:tcPr>
          <w:p w14:paraId="2EF00275" w14:textId="49C707C8"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(F</w:t>
            </w:r>
            <w:r>
              <w:rPr>
                <w:sz w:val="20"/>
                <w:szCs w:val="20"/>
              </w:rPr>
              <w:t>DS</w:t>
            </w:r>
            <w:r w:rsidRPr="00B96884">
              <w:rPr>
                <w:sz w:val="20"/>
                <w:szCs w:val="20"/>
              </w:rPr>
              <w:t xml:space="preserve"> et ACP) qui affirment que le projet a promu le respect des droits humains dans les procédures des FDS et ACP </w:t>
            </w:r>
          </w:p>
        </w:tc>
        <w:tc>
          <w:tcPr>
            <w:tcW w:w="893" w:type="pct"/>
            <w:vAlign w:val="center"/>
          </w:tcPr>
          <w:p w14:paraId="489B0245"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7DB2DAA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517AD40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702482D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tc>
        <w:tc>
          <w:tcPr>
            <w:tcW w:w="707" w:type="pct"/>
            <w:vAlign w:val="center"/>
          </w:tcPr>
          <w:p w14:paraId="43BBF60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CD948E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56CF674A"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4E2963F" w14:textId="77777777" w:rsidTr="00EC19E5">
        <w:tc>
          <w:tcPr>
            <w:tcW w:w="841" w:type="pct"/>
            <w:vMerge/>
            <w:vAlign w:val="center"/>
          </w:tcPr>
          <w:p w14:paraId="2437B908" w14:textId="77777777" w:rsidR="00C816C9" w:rsidRPr="00B96884" w:rsidRDefault="00C816C9" w:rsidP="009E2DEE">
            <w:pPr>
              <w:spacing w:line="240" w:lineRule="auto"/>
              <w:jc w:val="left"/>
              <w:rPr>
                <w:sz w:val="20"/>
                <w:szCs w:val="20"/>
              </w:rPr>
            </w:pPr>
          </w:p>
        </w:tc>
        <w:tc>
          <w:tcPr>
            <w:tcW w:w="902" w:type="pct"/>
            <w:vAlign w:val="center"/>
          </w:tcPr>
          <w:p w14:paraId="08C2365C"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besoins et les problèmes identifiés au départ sont</w:t>
            </w:r>
            <w:r w:rsidRPr="00B96884">
              <w:rPr>
                <w:rFonts w:ascii="Cambria Math" w:hAnsi="Cambria Math" w:cs="Cambria Math"/>
                <w:sz w:val="20"/>
                <w:szCs w:val="20"/>
              </w:rPr>
              <w:t>‐</w:t>
            </w:r>
            <w:r w:rsidRPr="00B96884">
              <w:rPr>
                <w:sz w:val="20"/>
                <w:szCs w:val="20"/>
              </w:rPr>
              <w:t>ils rest</w:t>
            </w:r>
            <w:r w:rsidRPr="00B96884">
              <w:rPr>
                <w:rFonts w:cs="Century Gothic"/>
                <w:sz w:val="20"/>
                <w:szCs w:val="20"/>
              </w:rPr>
              <w:t>é</w:t>
            </w:r>
            <w:r w:rsidRPr="00B96884">
              <w:rPr>
                <w:sz w:val="20"/>
                <w:szCs w:val="20"/>
              </w:rPr>
              <w:t>s les m</w:t>
            </w:r>
            <w:r w:rsidRPr="00B96884">
              <w:rPr>
                <w:rFonts w:cs="Century Gothic"/>
                <w:sz w:val="20"/>
                <w:szCs w:val="20"/>
              </w:rPr>
              <w:t>ê</w:t>
            </w:r>
            <w:r w:rsidRPr="00B96884">
              <w:rPr>
                <w:sz w:val="20"/>
                <w:szCs w:val="20"/>
              </w:rPr>
              <w:t xml:space="preserve">mes au cours de la mise en </w:t>
            </w:r>
            <w:r w:rsidRPr="00B96884">
              <w:rPr>
                <w:rFonts w:cs="Century Gothic"/>
                <w:sz w:val="20"/>
                <w:szCs w:val="20"/>
              </w:rPr>
              <w:t>œ</w:t>
            </w:r>
            <w:r w:rsidRPr="00B96884">
              <w:rPr>
                <w:sz w:val="20"/>
                <w:szCs w:val="20"/>
              </w:rPr>
              <w:t>uvre du projet ou ont-ils connu une évolution ?</w:t>
            </w:r>
          </w:p>
        </w:tc>
        <w:tc>
          <w:tcPr>
            <w:tcW w:w="900" w:type="pct"/>
            <w:vAlign w:val="center"/>
          </w:tcPr>
          <w:p w14:paraId="1DAC21B8" w14:textId="77777777" w:rsidR="00C816C9" w:rsidRPr="00071E0F" w:rsidRDefault="00C816C9" w:rsidP="00DC4CE1">
            <w:pPr>
              <w:numPr>
                <w:ilvl w:val="0"/>
                <w:numId w:val="9"/>
              </w:numPr>
              <w:spacing w:before="0" w:after="0" w:line="240" w:lineRule="auto"/>
              <w:ind w:left="229" w:hanging="229"/>
              <w:contextualSpacing/>
              <w:jc w:val="left"/>
              <w:rPr>
                <w:sz w:val="20"/>
                <w:szCs w:val="20"/>
              </w:rPr>
            </w:pPr>
            <w:bookmarkStart w:id="982" w:name="_Hlk76560347"/>
            <w:r w:rsidRPr="00071E0F">
              <w:rPr>
                <w:sz w:val="20"/>
                <w:szCs w:val="20"/>
              </w:rPr>
              <w:t>Nombre d’activités ajustées, supprimées ou ajoutées pour donner suite à l’évolution des besoins des bénéficiaires</w:t>
            </w:r>
          </w:p>
          <w:bookmarkEnd w:id="982"/>
          <w:p w14:paraId="6F964F75"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Ajustement de la théorie de changement</w:t>
            </w:r>
          </w:p>
        </w:tc>
        <w:tc>
          <w:tcPr>
            <w:tcW w:w="893" w:type="pct"/>
            <w:vAlign w:val="center"/>
          </w:tcPr>
          <w:p w14:paraId="74731D8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7F3FF48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 révisé</w:t>
            </w:r>
          </w:p>
          <w:p w14:paraId="53955D2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tc>
        <w:tc>
          <w:tcPr>
            <w:tcW w:w="707" w:type="pct"/>
            <w:vAlign w:val="center"/>
          </w:tcPr>
          <w:p w14:paraId="24226C5E"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57A4208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4E808E5E"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49FF38E7" w14:textId="77777777" w:rsidTr="00EC19E5">
        <w:tc>
          <w:tcPr>
            <w:tcW w:w="841" w:type="pct"/>
            <w:vMerge/>
            <w:vAlign w:val="center"/>
          </w:tcPr>
          <w:p w14:paraId="73AAD084" w14:textId="77777777" w:rsidR="00C816C9" w:rsidRPr="00B96884" w:rsidRDefault="00C816C9" w:rsidP="009E2DEE">
            <w:pPr>
              <w:spacing w:line="240" w:lineRule="auto"/>
              <w:jc w:val="left"/>
              <w:rPr>
                <w:b/>
                <w:bCs/>
                <w:sz w:val="20"/>
                <w:szCs w:val="20"/>
              </w:rPr>
            </w:pPr>
          </w:p>
        </w:tc>
        <w:tc>
          <w:tcPr>
            <w:tcW w:w="902" w:type="pct"/>
            <w:vAlign w:val="center"/>
          </w:tcPr>
          <w:p w14:paraId="7B0E4BC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 cas d’évolution de ces derniers, quelle a été la capacité de réactivité du projet face aux changements et l’émergence d’autres besoins et priorités</w:t>
            </w:r>
          </w:p>
        </w:tc>
        <w:tc>
          <w:tcPr>
            <w:tcW w:w="900" w:type="pct"/>
            <w:vAlign w:val="center"/>
          </w:tcPr>
          <w:p w14:paraId="6E7E7DB0"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Nombre/nature des nouveaux problèmes identifiés.</w:t>
            </w:r>
          </w:p>
        </w:tc>
        <w:tc>
          <w:tcPr>
            <w:tcW w:w="893" w:type="pct"/>
            <w:vAlign w:val="center"/>
          </w:tcPr>
          <w:p w14:paraId="05A8CC2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37AC36A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64B979A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3A7C3B4E"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 Femmes, jeunes</w:t>
            </w:r>
          </w:p>
          <w:p w14:paraId="4AFBF80D" w14:textId="1C3823AD"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w:t>
            </w:r>
            <w:r>
              <w:rPr>
                <w:sz w:val="20"/>
                <w:szCs w:val="20"/>
              </w:rPr>
              <w:t>DS</w:t>
            </w:r>
            <w:r w:rsidRPr="00B96884">
              <w:rPr>
                <w:sz w:val="20"/>
                <w:szCs w:val="20"/>
              </w:rPr>
              <w:t xml:space="preserve"> &amp; ACP</w:t>
            </w:r>
          </w:p>
        </w:tc>
        <w:tc>
          <w:tcPr>
            <w:tcW w:w="707" w:type="pct"/>
            <w:vAlign w:val="center"/>
          </w:tcPr>
          <w:p w14:paraId="3F67E6F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1435D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72628E6F"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1D7ECF3A" w14:textId="77777777" w:rsidTr="00EC19E5">
        <w:tc>
          <w:tcPr>
            <w:tcW w:w="841" w:type="pct"/>
            <w:vMerge w:val="restart"/>
            <w:vAlign w:val="center"/>
          </w:tcPr>
          <w:p w14:paraId="5F36C411" w14:textId="77777777" w:rsidR="00C816C9" w:rsidRPr="00B96884" w:rsidRDefault="00C816C9" w:rsidP="009E2DEE">
            <w:pPr>
              <w:spacing w:line="240" w:lineRule="auto"/>
              <w:jc w:val="left"/>
              <w:rPr>
                <w:sz w:val="20"/>
                <w:szCs w:val="20"/>
              </w:rPr>
            </w:pPr>
            <w:r w:rsidRPr="00B96884">
              <w:rPr>
                <w:b/>
                <w:bCs/>
                <w:sz w:val="20"/>
                <w:szCs w:val="20"/>
              </w:rPr>
              <w:t>QE4</w:t>
            </w:r>
            <w:r w:rsidRPr="00B96884">
              <w:rPr>
                <w:sz w:val="20"/>
                <w:szCs w:val="20"/>
              </w:rPr>
              <w:t>. En quoi la théorie de changement est</w:t>
            </w:r>
            <w:r w:rsidRPr="00B96884">
              <w:rPr>
                <w:rFonts w:ascii="Cambria Math" w:hAnsi="Cambria Math" w:cs="Cambria Math"/>
                <w:sz w:val="20"/>
                <w:szCs w:val="20"/>
              </w:rPr>
              <w:t>‐</w:t>
            </w:r>
            <w:r w:rsidRPr="00B96884">
              <w:rPr>
                <w:sz w:val="20"/>
                <w:szCs w:val="20"/>
              </w:rPr>
              <w:t>elle valide ?</w:t>
            </w:r>
          </w:p>
        </w:tc>
        <w:tc>
          <w:tcPr>
            <w:tcW w:w="902" w:type="pct"/>
            <w:vAlign w:val="center"/>
          </w:tcPr>
          <w:p w14:paraId="530CAB53"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La définition du but et des résultats est</w:t>
            </w:r>
            <w:r w:rsidRPr="00B96884">
              <w:rPr>
                <w:rFonts w:ascii="Cambria Math" w:hAnsi="Cambria Math" w:cs="Cambria Math"/>
                <w:sz w:val="20"/>
                <w:szCs w:val="20"/>
              </w:rPr>
              <w:t>‐</w:t>
            </w:r>
            <w:r w:rsidRPr="00B96884">
              <w:rPr>
                <w:sz w:val="20"/>
                <w:szCs w:val="20"/>
              </w:rPr>
              <w:t>elle clairement articul</w:t>
            </w:r>
            <w:r w:rsidRPr="00B96884">
              <w:rPr>
                <w:rFonts w:cs="Century Gothic"/>
                <w:sz w:val="20"/>
                <w:szCs w:val="20"/>
              </w:rPr>
              <w:t>é</w:t>
            </w:r>
            <w:r w:rsidRPr="00B96884">
              <w:rPr>
                <w:sz w:val="20"/>
                <w:szCs w:val="20"/>
              </w:rPr>
              <w:t>e ?</w:t>
            </w:r>
          </w:p>
          <w:p w14:paraId="28155F4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liens de cause à effet énoncés dans la théorie de changements sont-ils pertinents ?</w:t>
            </w:r>
          </w:p>
          <w:p w14:paraId="56F3FAC2" w14:textId="77777777" w:rsidR="00C816C9" w:rsidRPr="00B96884" w:rsidRDefault="00C816C9" w:rsidP="009E2DEE">
            <w:pPr>
              <w:spacing w:before="0" w:after="0" w:line="240" w:lineRule="auto"/>
              <w:ind w:left="229"/>
              <w:contextualSpacing/>
              <w:jc w:val="left"/>
              <w:rPr>
                <w:sz w:val="20"/>
                <w:szCs w:val="20"/>
              </w:rPr>
            </w:pPr>
          </w:p>
        </w:tc>
        <w:tc>
          <w:tcPr>
            <w:tcW w:w="900" w:type="pct"/>
            <w:vAlign w:val="center"/>
          </w:tcPr>
          <w:p w14:paraId="68E7BC84"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Pertinence des liens de cause à effet : Impact - Effets</w:t>
            </w:r>
          </w:p>
          <w:p w14:paraId="1D37FE34"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Pertinence des liens de cause à effet : Effets - Extrants</w:t>
            </w:r>
          </w:p>
        </w:tc>
        <w:tc>
          <w:tcPr>
            <w:tcW w:w="893" w:type="pct"/>
            <w:vMerge w:val="restart"/>
            <w:vAlign w:val="center"/>
          </w:tcPr>
          <w:p w14:paraId="081FDA1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8FEB65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6EA514F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ONU Femmes</w:t>
            </w:r>
          </w:p>
          <w:p w14:paraId="4E225C3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ONU DC</w:t>
            </w:r>
          </w:p>
        </w:tc>
        <w:tc>
          <w:tcPr>
            <w:tcW w:w="707" w:type="pct"/>
            <w:vMerge w:val="restart"/>
            <w:vAlign w:val="center"/>
          </w:tcPr>
          <w:p w14:paraId="17396A9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BB52A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7D5E15FF"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0E20591A" w14:textId="77777777" w:rsidTr="00EC19E5">
        <w:tc>
          <w:tcPr>
            <w:tcW w:w="841" w:type="pct"/>
            <w:vMerge/>
            <w:vAlign w:val="center"/>
          </w:tcPr>
          <w:p w14:paraId="24E093A7" w14:textId="77777777" w:rsidR="00C816C9" w:rsidRPr="00B96884" w:rsidRDefault="00C816C9" w:rsidP="009E2DEE">
            <w:pPr>
              <w:spacing w:line="240" w:lineRule="auto"/>
              <w:jc w:val="left"/>
              <w:rPr>
                <w:b/>
                <w:bCs/>
                <w:sz w:val="20"/>
                <w:szCs w:val="20"/>
              </w:rPr>
            </w:pPr>
          </w:p>
        </w:tc>
        <w:tc>
          <w:tcPr>
            <w:tcW w:w="902" w:type="pct"/>
            <w:vAlign w:val="center"/>
          </w:tcPr>
          <w:p w14:paraId="568D2E41" w14:textId="73826643"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hypothèses qui soutiennent les activités du projet sont-</w:t>
            </w:r>
            <w:r w:rsidR="002C21A1">
              <w:rPr>
                <w:sz w:val="20"/>
                <w:szCs w:val="20"/>
              </w:rPr>
              <w:t>elles</w:t>
            </w:r>
            <w:r w:rsidR="002C21A1" w:rsidRPr="00B96884">
              <w:rPr>
                <w:sz w:val="20"/>
                <w:szCs w:val="20"/>
              </w:rPr>
              <w:t xml:space="preserve"> </w:t>
            </w:r>
            <w:r w:rsidRPr="00B96884">
              <w:rPr>
                <w:sz w:val="20"/>
                <w:szCs w:val="20"/>
              </w:rPr>
              <w:t>réalistes ?</w:t>
            </w:r>
          </w:p>
        </w:tc>
        <w:tc>
          <w:tcPr>
            <w:tcW w:w="900" w:type="pct"/>
            <w:vAlign w:val="center"/>
          </w:tcPr>
          <w:p w14:paraId="0134637C"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Réalisme des hypothèses énoncées</w:t>
            </w:r>
          </w:p>
        </w:tc>
        <w:tc>
          <w:tcPr>
            <w:tcW w:w="893" w:type="pct"/>
            <w:vMerge/>
            <w:vAlign w:val="center"/>
          </w:tcPr>
          <w:p w14:paraId="51D946C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177D9CD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p>
        </w:tc>
        <w:tc>
          <w:tcPr>
            <w:tcW w:w="757" w:type="pct"/>
            <w:vMerge/>
            <w:vAlign w:val="center"/>
          </w:tcPr>
          <w:p w14:paraId="48F585F1" w14:textId="77777777" w:rsidR="00C816C9" w:rsidRPr="00B96884" w:rsidRDefault="00C816C9" w:rsidP="009E2DEE">
            <w:pPr>
              <w:spacing w:before="0" w:after="0" w:line="240" w:lineRule="auto"/>
              <w:ind w:left="229"/>
              <w:contextualSpacing/>
              <w:jc w:val="left"/>
              <w:rPr>
                <w:sz w:val="20"/>
                <w:szCs w:val="20"/>
              </w:rPr>
            </w:pPr>
          </w:p>
        </w:tc>
      </w:tr>
      <w:bookmarkEnd w:id="981"/>
    </w:tbl>
    <w:p w14:paraId="0DF1F040" w14:textId="77777777" w:rsidR="003C242D" w:rsidRPr="00CB02DB" w:rsidRDefault="003C242D" w:rsidP="003C242D"/>
    <w:p w14:paraId="159A6FCA" w14:textId="77777777" w:rsidR="003C242D" w:rsidRPr="00E7183E" w:rsidRDefault="003C242D" w:rsidP="003C242D">
      <w:pPr>
        <w:pStyle w:val="TM8"/>
        <w:rPr>
          <w:rFonts w:cs="Times New Roman"/>
          <w:i/>
          <w:sz w:val="24"/>
        </w:rPr>
      </w:pPr>
      <w:r w:rsidRPr="00E7183E">
        <w:t xml:space="preserve">Matrice d'évaluation du </w:t>
      </w:r>
      <w:r>
        <w:t>c</w:t>
      </w:r>
      <w:r w:rsidRPr="00E7183E">
        <w:t>ritère d'efficacité</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9"/>
        <w:gridCol w:w="2650"/>
        <w:gridCol w:w="2538"/>
        <w:gridCol w:w="2510"/>
        <w:gridCol w:w="1978"/>
        <w:gridCol w:w="2247"/>
      </w:tblGrid>
      <w:tr w:rsidR="00F01CB8" w:rsidRPr="00B71C6F" w14:paraId="1FDCF364" w14:textId="77777777" w:rsidTr="009E2DEE">
        <w:trPr>
          <w:tblHeader/>
        </w:trPr>
        <w:tc>
          <w:tcPr>
            <w:tcW w:w="739" w:type="pct"/>
            <w:shd w:val="clear" w:color="auto" w:fill="002060"/>
            <w:vAlign w:val="center"/>
          </w:tcPr>
          <w:p w14:paraId="3EC4E644" w14:textId="77777777" w:rsidR="00B05C86" w:rsidRPr="00B96884" w:rsidRDefault="00B05C86" w:rsidP="009E2DEE">
            <w:pPr>
              <w:spacing w:before="0" w:after="0" w:line="240" w:lineRule="auto"/>
              <w:jc w:val="left"/>
              <w:rPr>
                <w:b/>
                <w:bCs/>
                <w:sz w:val="20"/>
                <w:szCs w:val="20"/>
              </w:rPr>
            </w:pPr>
            <w:r w:rsidRPr="00B96884">
              <w:rPr>
                <w:b/>
                <w:bCs/>
                <w:sz w:val="20"/>
                <w:szCs w:val="20"/>
              </w:rPr>
              <w:t>Questions clés d’évaluation</w:t>
            </w:r>
          </w:p>
        </w:tc>
        <w:tc>
          <w:tcPr>
            <w:tcW w:w="947" w:type="pct"/>
            <w:shd w:val="clear" w:color="auto" w:fill="002060"/>
            <w:vAlign w:val="center"/>
          </w:tcPr>
          <w:p w14:paraId="22C29193" w14:textId="77777777" w:rsidR="00B05C86" w:rsidRPr="00B96884" w:rsidRDefault="00B05C86" w:rsidP="009E2DEE">
            <w:pPr>
              <w:spacing w:before="0" w:after="0" w:line="240" w:lineRule="auto"/>
              <w:jc w:val="left"/>
              <w:rPr>
                <w:b/>
                <w:bCs/>
                <w:sz w:val="20"/>
                <w:szCs w:val="20"/>
              </w:rPr>
            </w:pPr>
            <w:r w:rsidRPr="00B96884">
              <w:rPr>
                <w:b/>
                <w:bCs/>
                <w:sz w:val="20"/>
                <w:szCs w:val="20"/>
              </w:rPr>
              <w:t>Sous-questions</w:t>
            </w:r>
          </w:p>
        </w:tc>
        <w:tc>
          <w:tcPr>
            <w:tcW w:w="907" w:type="pct"/>
            <w:shd w:val="clear" w:color="auto" w:fill="002060"/>
            <w:vAlign w:val="center"/>
          </w:tcPr>
          <w:p w14:paraId="1D578A33" w14:textId="77777777" w:rsidR="00B05C86" w:rsidRPr="00B96884" w:rsidRDefault="00B05C86" w:rsidP="009E2DEE">
            <w:pPr>
              <w:spacing w:before="0" w:after="0" w:line="240" w:lineRule="auto"/>
              <w:jc w:val="left"/>
              <w:rPr>
                <w:b/>
                <w:bCs/>
                <w:sz w:val="20"/>
                <w:szCs w:val="20"/>
              </w:rPr>
            </w:pPr>
            <w:r w:rsidRPr="00B96884">
              <w:rPr>
                <w:b/>
                <w:bCs/>
                <w:sz w:val="20"/>
                <w:szCs w:val="20"/>
              </w:rPr>
              <w:t>Indicateurs</w:t>
            </w:r>
          </w:p>
        </w:tc>
        <w:tc>
          <w:tcPr>
            <w:tcW w:w="897" w:type="pct"/>
            <w:shd w:val="clear" w:color="auto" w:fill="002060"/>
            <w:vAlign w:val="center"/>
          </w:tcPr>
          <w:p w14:paraId="425D792E" w14:textId="77777777" w:rsidR="00B05C86" w:rsidRPr="00B96884" w:rsidRDefault="00B05C86" w:rsidP="009E2DEE">
            <w:pPr>
              <w:spacing w:before="0" w:after="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16FEAB76" w14:textId="77777777" w:rsidR="00B05C86" w:rsidRPr="00B96884" w:rsidRDefault="00B05C86" w:rsidP="009E2DEE">
            <w:pPr>
              <w:spacing w:before="0" w:after="0" w:line="240" w:lineRule="auto"/>
              <w:jc w:val="left"/>
              <w:rPr>
                <w:b/>
                <w:bCs/>
                <w:sz w:val="20"/>
                <w:szCs w:val="20"/>
              </w:rPr>
            </w:pPr>
            <w:r w:rsidRPr="00B96884">
              <w:rPr>
                <w:b/>
                <w:bCs/>
                <w:sz w:val="20"/>
                <w:szCs w:val="20"/>
              </w:rPr>
              <w:t>Méthodes de collecte</w:t>
            </w:r>
          </w:p>
        </w:tc>
        <w:tc>
          <w:tcPr>
            <w:tcW w:w="803" w:type="pct"/>
            <w:shd w:val="clear" w:color="auto" w:fill="002060"/>
            <w:vAlign w:val="center"/>
          </w:tcPr>
          <w:p w14:paraId="430487DD"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Hypothèses </w:t>
            </w:r>
          </w:p>
        </w:tc>
      </w:tr>
      <w:tr w:rsidR="00B05C86" w:rsidRPr="00B71C6F" w14:paraId="3DB044DD" w14:textId="77777777" w:rsidTr="009F5BDE">
        <w:trPr>
          <w:trHeight w:val="2943"/>
        </w:trPr>
        <w:tc>
          <w:tcPr>
            <w:tcW w:w="739" w:type="pct"/>
            <w:vMerge w:val="restart"/>
            <w:vAlign w:val="center"/>
          </w:tcPr>
          <w:p w14:paraId="7A720F74"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QE5. </w:t>
            </w:r>
            <w:r w:rsidRPr="00B96884">
              <w:rPr>
                <w:sz w:val="20"/>
                <w:szCs w:val="20"/>
              </w:rPr>
              <w:t>Quels résultats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permis de r</w:t>
            </w:r>
            <w:r w:rsidRPr="00B96884">
              <w:rPr>
                <w:rFonts w:cs="Century Gothic"/>
                <w:sz w:val="20"/>
                <w:szCs w:val="20"/>
              </w:rPr>
              <w:t>é</w:t>
            </w:r>
            <w:r w:rsidRPr="00B96884">
              <w:rPr>
                <w:sz w:val="20"/>
                <w:szCs w:val="20"/>
              </w:rPr>
              <w:t>aliser ? Quelles sont les valeurs actuelles des indicateurs de produits du projet ?</w:t>
            </w:r>
          </w:p>
        </w:tc>
        <w:tc>
          <w:tcPr>
            <w:tcW w:w="947" w:type="pct"/>
            <w:vAlign w:val="center"/>
          </w:tcPr>
          <w:p w14:paraId="7EB580B7" w14:textId="6461046B"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Quelles ont été les principales réalisations des comités locaux de prévention et gestion de conflits ?</w:t>
            </w:r>
          </w:p>
        </w:tc>
        <w:tc>
          <w:tcPr>
            <w:tcW w:w="907" w:type="pct"/>
            <w:vAlign w:val="center"/>
          </w:tcPr>
          <w:p w14:paraId="2E0B02A1"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3" w:name="_Hlk76560849"/>
            <w:r w:rsidRPr="00071E0F">
              <w:rPr>
                <w:sz w:val="20"/>
                <w:szCs w:val="20"/>
              </w:rPr>
              <w:t xml:space="preserve">Nombre personnes sensibilisées par les comités locaux </w:t>
            </w:r>
          </w:p>
          <w:p w14:paraId="06DEC5E2" w14:textId="7770AC3B"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071E0F">
              <w:rPr>
                <w:sz w:val="20"/>
                <w:szCs w:val="20"/>
              </w:rPr>
              <w:t xml:space="preserve">Nombre de conflits gérés par les comités locaux </w:t>
            </w:r>
            <w:bookmarkEnd w:id="983"/>
          </w:p>
        </w:tc>
        <w:tc>
          <w:tcPr>
            <w:tcW w:w="897" w:type="pct"/>
            <w:vAlign w:val="center"/>
          </w:tcPr>
          <w:p w14:paraId="7BCD035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3054E6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Collectivités territoriales</w:t>
            </w:r>
          </w:p>
          <w:p w14:paraId="7D9DE21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2CF7854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0BBC8733" w14:textId="2EC15F3F"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Femmes &amp; jeunes</w:t>
            </w:r>
          </w:p>
        </w:tc>
        <w:tc>
          <w:tcPr>
            <w:tcW w:w="707" w:type="pct"/>
            <w:vAlign w:val="center"/>
          </w:tcPr>
          <w:p w14:paraId="407CF75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457A460" w14:textId="1528D723"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Entrevues directes ou à distance</w:t>
            </w:r>
          </w:p>
        </w:tc>
        <w:tc>
          <w:tcPr>
            <w:tcW w:w="803" w:type="pct"/>
            <w:vAlign w:val="center"/>
          </w:tcPr>
          <w:p w14:paraId="0149C5B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0632412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50FAB9A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B05C86" w:rsidRPr="00B71C6F" w14:paraId="48CB7172" w14:textId="77777777" w:rsidTr="009F5BDE">
        <w:trPr>
          <w:trHeight w:val="1491"/>
        </w:trPr>
        <w:tc>
          <w:tcPr>
            <w:tcW w:w="739" w:type="pct"/>
            <w:vMerge/>
            <w:tcBorders>
              <w:bottom w:val="single" w:sz="4" w:space="0" w:color="0070C0"/>
            </w:tcBorders>
            <w:vAlign w:val="center"/>
          </w:tcPr>
          <w:p w14:paraId="4F689867" w14:textId="77777777" w:rsidR="00B05C86" w:rsidRPr="00B96884" w:rsidRDefault="00B05C86" w:rsidP="009E2DEE">
            <w:pPr>
              <w:spacing w:before="0" w:after="0" w:line="240" w:lineRule="auto"/>
              <w:jc w:val="left"/>
              <w:rPr>
                <w:b/>
                <w:bCs/>
                <w:sz w:val="20"/>
                <w:szCs w:val="20"/>
              </w:rPr>
            </w:pPr>
          </w:p>
        </w:tc>
        <w:tc>
          <w:tcPr>
            <w:tcW w:w="947" w:type="pct"/>
            <w:tcBorders>
              <w:bottom w:val="single" w:sz="4" w:space="0" w:color="0070C0"/>
            </w:tcBorders>
            <w:vAlign w:val="center"/>
          </w:tcPr>
          <w:p w14:paraId="231FB4E8" w14:textId="676C0255"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Conformément aux prévisions, quels sont les produits réalisés et non réalisés ?</w:t>
            </w:r>
          </w:p>
        </w:tc>
        <w:tc>
          <w:tcPr>
            <w:tcW w:w="907" w:type="pct"/>
            <w:tcBorders>
              <w:bottom w:val="single" w:sz="4" w:space="0" w:color="0070C0"/>
            </w:tcBorders>
            <w:vAlign w:val="center"/>
          </w:tcPr>
          <w:p w14:paraId="33AE8DB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de résultats atteints par le projet</w:t>
            </w:r>
          </w:p>
          <w:p w14:paraId="50786086" w14:textId="4A802E81"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Taux de réalisation des indicateurs de produit du projet</w:t>
            </w:r>
          </w:p>
        </w:tc>
        <w:tc>
          <w:tcPr>
            <w:tcW w:w="897" w:type="pct"/>
            <w:vMerge w:val="restart"/>
            <w:tcBorders>
              <w:bottom w:val="single" w:sz="4" w:space="0" w:color="0070C0"/>
            </w:tcBorders>
            <w:vAlign w:val="center"/>
          </w:tcPr>
          <w:p w14:paraId="75D32FC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41DC459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Suivi des indicateurs</w:t>
            </w:r>
          </w:p>
          <w:p w14:paraId="3A66DED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780ADC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3E97C84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5FEAC72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4CE6CC9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p w14:paraId="79FA8221" w14:textId="4D441AF1"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Ménages</w:t>
            </w:r>
          </w:p>
        </w:tc>
        <w:tc>
          <w:tcPr>
            <w:tcW w:w="707" w:type="pct"/>
            <w:vMerge w:val="restart"/>
            <w:tcBorders>
              <w:bottom w:val="single" w:sz="4" w:space="0" w:color="0070C0"/>
            </w:tcBorders>
            <w:vAlign w:val="center"/>
          </w:tcPr>
          <w:p w14:paraId="6873ACE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516B5752" w14:textId="38BC8F0E"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Entrevues directes ou à distance</w:t>
            </w:r>
          </w:p>
        </w:tc>
        <w:tc>
          <w:tcPr>
            <w:tcW w:w="803" w:type="pct"/>
            <w:vMerge w:val="restart"/>
            <w:tcBorders>
              <w:bottom w:val="single" w:sz="4" w:space="0" w:color="0070C0"/>
            </w:tcBorders>
            <w:vAlign w:val="center"/>
          </w:tcPr>
          <w:p w14:paraId="1E01CC31" w14:textId="77777777" w:rsidR="00B05C86" w:rsidRPr="00BD1CAC" w:rsidRDefault="00B05C86" w:rsidP="00DC4CE1">
            <w:pPr>
              <w:numPr>
                <w:ilvl w:val="0"/>
                <w:numId w:val="9"/>
              </w:numPr>
              <w:spacing w:before="0" w:after="0" w:line="240" w:lineRule="auto"/>
              <w:ind w:left="229" w:hanging="229"/>
              <w:contextualSpacing/>
              <w:jc w:val="left"/>
              <w:rPr>
                <w:sz w:val="20"/>
                <w:szCs w:val="20"/>
              </w:rPr>
            </w:pPr>
            <w:r w:rsidRPr="00BD1CAC">
              <w:rPr>
                <w:sz w:val="20"/>
                <w:szCs w:val="20"/>
              </w:rPr>
              <w:t xml:space="preserve">La disponibilité des parties prenantes pour la collecte de données </w:t>
            </w:r>
          </w:p>
          <w:p w14:paraId="460340C1" w14:textId="77777777" w:rsidR="00B05C86" w:rsidRPr="00BD1CAC" w:rsidRDefault="00B05C86" w:rsidP="00DC4CE1">
            <w:pPr>
              <w:numPr>
                <w:ilvl w:val="0"/>
                <w:numId w:val="9"/>
              </w:numPr>
              <w:spacing w:before="0" w:after="0" w:line="240" w:lineRule="auto"/>
              <w:ind w:left="229" w:hanging="229"/>
              <w:contextualSpacing/>
              <w:jc w:val="left"/>
              <w:rPr>
                <w:sz w:val="20"/>
                <w:szCs w:val="20"/>
              </w:rPr>
            </w:pPr>
            <w:r w:rsidRPr="00BD1CAC">
              <w:rPr>
                <w:sz w:val="20"/>
                <w:szCs w:val="20"/>
              </w:rPr>
              <w:t>La disponibilité de la documentation et des données</w:t>
            </w:r>
          </w:p>
          <w:p w14:paraId="05D7F47F" w14:textId="77777777"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D1CAC">
              <w:rPr>
                <w:sz w:val="20"/>
                <w:szCs w:val="20"/>
              </w:rPr>
              <w:t>Non aggravation du contexte sécuritaire et sanitaire</w:t>
            </w:r>
          </w:p>
        </w:tc>
      </w:tr>
      <w:tr w:rsidR="00B05C86" w:rsidRPr="00B71C6F" w14:paraId="66E48758" w14:textId="77777777" w:rsidTr="009F5BDE">
        <w:tc>
          <w:tcPr>
            <w:tcW w:w="739" w:type="pct"/>
            <w:vMerge/>
            <w:vAlign w:val="center"/>
          </w:tcPr>
          <w:p w14:paraId="0008BBA0" w14:textId="77777777" w:rsidR="00B05C86" w:rsidRPr="00B96884" w:rsidRDefault="00B05C86" w:rsidP="009E2DEE">
            <w:pPr>
              <w:spacing w:before="0" w:after="0" w:line="240" w:lineRule="auto"/>
              <w:jc w:val="left"/>
              <w:rPr>
                <w:b/>
                <w:bCs/>
                <w:sz w:val="20"/>
                <w:szCs w:val="20"/>
              </w:rPr>
            </w:pPr>
          </w:p>
        </w:tc>
        <w:tc>
          <w:tcPr>
            <w:tcW w:w="947" w:type="pct"/>
            <w:vAlign w:val="center"/>
          </w:tcPr>
          <w:p w14:paraId="6A12A6D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Des résultats satisfaisants ont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atteints par rapport aux objectifs fixés ? Quelles sont les causes de la réalisation et de la non</w:t>
            </w:r>
            <w:r w:rsidRPr="00B96884">
              <w:rPr>
                <w:rFonts w:ascii="Cambria Math" w:hAnsi="Cambria Math" w:cs="Cambria Math"/>
                <w:sz w:val="20"/>
                <w:szCs w:val="20"/>
              </w:rPr>
              <w:t>‐</w:t>
            </w:r>
            <w:r w:rsidRPr="00B96884">
              <w:rPr>
                <w:sz w:val="20"/>
                <w:szCs w:val="20"/>
              </w:rPr>
              <w:t>r</w:t>
            </w:r>
            <w:r w:rsidRPr="00B96884">
              <w:rPr>
                <w:rFonts w:cs="Century Gothic"/>
                <w:sz w:val="20"/>
                <w:szCs w:val="20"/>
              </w:rPr>
              <w:t>é</w:t>
            </w:r>
            <w:r w:rsidRPr="00B96884">
              <w:rPr>
                <w:sz w:val="20"/>
                <w:szCs w:val="20"/>
              </w:rPr>
              <w:t>alisation des r</w:t>
            </w:r>
            <w:r w:rsidRPr="00B96884">
              <w:rPr>
                <w:rFonts w:cs="Century Gothic"/>
                <w:sz w:val="20"/>
                <w:szCs w:val="20"/>
              </w:rPr>
              <w:t>é</w:t>
            </w:r>
            <w:r w:rsidRPr="00B96884">
              <w:rPr>
                <w:sz w:val="20"/>
                <w:szCs w:val="20"/>
              </w:rPr>
              <w:t>sultats escompt</w:t>
            </w:r>
            <w:r w:rsidRPr="00B96884">
              <w:rPr>
                <w:rFonts w:cs="Century Gothic"/>
                <w:sz w:val="20"/>
                <w:szCs w:val="20"/>
              </w:rPr>
              <w:t>é</w:t>
            </w:r>
            <w:r w:rsidRPr="00B96884">
              <w:rPr>
                <w:sz w:val="20"/>
                <w:szCs w:val="20"/>
              </w:rPr>
              <w:t>s ?</w:t>
            </w:r>
          </w:p>
        </w:tc>
        <w:tc>
          <w:tcPr>
            <w:tcW w:w="907" w:type="pct"/>
            <w:vAlign w:val="center"/>
          </w:tcPr>
          <w:p w14:paraId="68985FE6" w14:textId="77777777" w:rsidR="00B05C86" w:rsidRPr="00067E59"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Meilleurs résultats atteints (dépassement de la cible)</w:t>
            </w:r>
          </w:p>
          <w:p w14:paraId="38A3EC72" w14:textId="77777777" w:rsidR="00B05C86" w:rsidRPr="00067E59"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Facteurs explicatifs des résultats satisfaisants</w:t>
            </w:r>
          </w:p>
          <w:p w14:paraId="03B2AED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Facteurs explicatifs de la non-réalisation des résultats</w:t>
            </w:r>
          </w:p>
        </w:tc>
        <w:tc>
          <w:tcPr>
            <w:tcW w:w="897" w:type="pct"/>
            <w:vMerge/>
            <w:vAlign w:val="center"/>
          </w:tcPr>
          <w:p w14:paraId="78EAA81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5D3EDAA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4F5765AD" w14:textId="77777777" w:rsidR="00B05C86" w:rsidRPr="00B96884" w:rsidRDefault="00B05C86" w:rsidP="00DC4CE1">
            <w:pPr>
              <w:numPr>
                <w:ilvl w:val="0"/>
                <w:numId w:val="9"/>
              </w:numPr>
              <w:spacing w:before="0" w:after="0" w:line="240" w:lineRule="auto"/>
              <w:contextualSpacing/>
              <w:jc w:val="left"/>
              <w:rPr>
                <w:sz w:val="20"/>
                <w:szCs w:val="20"/>
              </w:rPr>
            </w:pPr>
          </w:p>
        </w:tc>
      </w:tr>
      <w:tr w:rsidR="00B05C86" w:rsidRPr="00B71C6F" w14:paraId="01168128" w14:textId="77777777" w:rsidTr="009F5BDE">
        <w:tc>
          <w:tcPr>
            <w:tcW w:w="739" w:type="pct"/>
            <w:vMerge/>
            <w:vAlign w:val="center"/>
          </w:tcPr>
          <w:p w14:paraId="68293194" w14:textId="77777777" w:rsidR="00B05C86" w:rsidRPr="00B96884" w:rsidRDefault="00B05C86" w:rsidP="009E2DEE">
            <w:pPr>
              <w:spacing w:before="0" w:after="0" w:line="240" w:lineRule="auto"/>
              <w:jc w:val="left"/>
              <w:rPr>
                <w:b/>
                <w:bCs/>
                <w:sz w:val="20"/>
                <w:szCs w:val="20"/>
              </w:rPr>
            </w:pPr>
          </w:p>
        </w:tc>
        <w:tc>
          <w:tcPr>
            <w:tcW w:w="947" w:type="pct"/>
            <w:vAlign w:val="center"/>
          </w:tcPr>
          <w:p w14:paraId="0F5FE93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 a été la principale valeur ajoutée de ce projet dans un changement de qualité de vie des personnes handicapées ?</w:t>
            </w:r>
          </w:p>
        </w:tc>
        <w:tc>
          <w:tcPr>
            <w:tcW w:w="907" w:type="pct"/>
            <w:vAlign w:val="center"/>
          </w:tcPr>
          <w:p w14:paraId="6D828C6A"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Témoignages ou histoires de vie de changement qualitatif observé dans la vie des personnes handicapé </w:t>
            </w:r>
          </w:p>
        </w:tc>
        <w:tc>
          <w:tcPr>
            <w:tcW w:w="897" w:type="pct"/>
            <w:vAlign w:val="center"/>
          </w:tcPr>
          <w:p w14:paraId="4451A9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BE0A26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3C298B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B697BC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38BE25D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71BF34F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4F601C4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et jeunes handicapées</w:t>
            </w:r>
          </w:p>
        </w:tc>
        <w:tc>
          <w:tcPr>
            <w:tcW w:w="707" w:type="pct"/>
            <w:vAlign w:val="center"/>
          </w:tcPr>
          <w:p w14:paraId="352AD34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6F6FBD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C284CC9" w14:textId="77777777" w:rsidR="00B05C86" w:rsidRPr="00B96884" w:rsidRDefault="00B05C86" w:rsidP="00DC4CE1">
            <w:pPr>
              <w:numPr>
                <w:ilvl w:val="0"/>
                <w:numId w:val="9"/>
              </w:numPr>
              <w:spacing w:before="0" w:after="0" w:line="240" w:lineRule="auto"/>
              <w:contextualSpacing/>
              <w:jc w:val="left"/>
              <w:rPr>
                <w:sz w:val="20"/>
                <w:szCs w:val="20"/>
              </w:rPr>
            </w:pPr>
          </w:p>
        </w:tc>
      </w:tr>
      <w:tr w:rsidR="00B05C86" w:rsidRPr="00B71C6F" w14:paraId="760F5BE7" w14:textId="77777777" w:rsidTr="009F5BDE">
        <w:tc>
          <w:tcPr>
            <w:tcW w:w="739" w:type="pct"/>
            <w:vMerge w:val="restart"/>
            <w:vAlign w:val="center"/>
          </w:tcPr>
          <w:p w14:paraId="57658F9B" w14:textId="77777777" w:rsidR="00B05C86" w:rsidRPr="000A377A" w:rsidRDefault="00B05C86" w:rsidP="009E2DEE">
            <w:pPr>
              <w:spacing w:before="0" w:after="0" w:line="240" w:lineRule="auto"/>
              <w:jc w:val="left"/>
              <w:rPr>
                <w:b/>
                <w:bCs/>
                <w:sz w:val="20"/>
                <w:szCs w:val="20"/>
              </w:rPr>
            </w:pPr>
            <w:r w:rsidRPr="000A377A">
              <w:rPr>
                <w:b/>
                <w:bCs/>
                <w:sz w:val="20"/>
                <w:szCs w:val="20"/>
              </w:rPr>
              <w:t>QE6.</w:t>
            </w:r>
            <w:r w:rsidRPr="000A377A">
              <w:rPr>
                <w:sz w:val="20"/>
                <w:szCs w:val="20"/>
              </w:rPr>
              <w:t xml:space="preserve"> Quelle était la qualité de la réponse ? (Rapidité et pertinence de la réponse, équilibre entre humanitaire (court terme) et objectifs de développement (moyen et long termes)</w:t>
            </w:r>
          </w:p>
        </w:tc>
        <w:tc>
          <w:tcPr>
            <w:tcW w:w="947" w:type="pct"/>
            <w:vAlign w:val="center"/>
          </w:tcPr>
          <w:p w14:paraId="6E43105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mise en œuvre des activités a-t-il accusé un retard important ?</w:t>
            </w:r>
          </w:p>
        </w:tc>
        <w:tc>
          <w:tcPr>
            <w:tcW w:w="907" w:type="pct"/>
            <w:vAlign w:val="center"/>
          </w:tcPr>
          <w:p w14:paraId="1DD7AA0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4" w:name="_Hlk76561241"/>
            <w:r w:rsidRPr="00071E0F">
              <w:rPr>
                <w:sz w:val="20"/>
                <w:szCs w:val="20"/>
              </w:rPr>
              <w:t>Nombre de jours et de mois de retard accusé dans la mise en œuvre des activités</w:t>
            </w:r>
            <w:bookmarkEnd w:id="984"/>
          </w:p>
        </w:tc>
        <w:tc>
          <w:tcPr>
            <w:tcW w:w="897" w:type="pct"/>
            <w:vMerge w:val="restart"/>
            <w:vAlign w:val="center"/>
          </w:tcPr>
          <w:p w14:paraId="75A2E49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0529A14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Suivi des indicateurs</w:t>
            </w:r>
          </w:p>
          <w:p w14:paraId="291DAC1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725EB84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w:t>
            </w:r>
          </w:p>
          <w:p w14:paraId="36D06D2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74F890F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Collectivités territoriales</w:t>
            </w:r>
          </w:p>
          <w:p w14:paraId="7EDF249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18C415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0CB2E01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4BFBD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F09625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7CC7E0D7" w14:textId="77777777" w:rsidTr="009F5BDE">
        <w:tc>
          <w:tcPr>
            <w:tcW w:w="739" w:type="pct"/>
            <w:vMerge/>
            <w:vAlign w:val="center"/>
          </w:tcPr>
          <w:p w14:paraId="4645B01E" w14:textId="77777777" w:rsidR="00B05C86" w:rsidRPr="000A377A" w:rsidRDefault="00B05C86" w:rsidP="009E2DEE">
            <w:pPr>
              <w:spacing w:before="0" w:after="0" w:line="240" w:lineRule="auto"/>
              <w:jc w:val="left"/>
              <w:rPr>
                <w:sz w:val="20"/>
                <w:szCs w:val="20"/>
              </w:rPr>
            </w:pPr>
          </w:p>
        </w:tc>
        <w:tc>
          <w:tcPr>
            <w:tcW w:w="947" w:type="pct"/>
            <w:vAlign w:val="center"/>
          </w:tcPr>
          <w:p w14:paraId="7A824AD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Est-ce que la réponse apportée par le projet est une solution à court, moyen et long terme ?</w:t>
            </w:r>
          </w:p>
        </w:tc>
        <w:tc>
          <w:tcPr>
            <w:tcW w:w="907" w:type="pct"/>
            <w:vAlign w:val="center"/>
          </w:tcPr>
          <w:p w14:paraId="737DC8B5"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court terme (moins de 2 ans)</w:t>
            </w:r>
          </w:p>
          <w:p w14:paraId="3B89C75B"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moyen terme (entre 2 et 5 ans)</w:t>
            </w:r>
          </w:p>
          <w:p w14:paraId="2FB1D4C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long terme (plus de 5 ans)</w:t>
            </w:r>
          </w:p>
        </w:tc>
        <w:tc>
          <w:tcPr>
            <w:tcW w:w="897" w:type="pct"/>
            <w:vMerge/>
            <w:vAlign w:val="center"/>
          </w:tcPr>
          <w:p w14:paraId="543CFDF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Align w:val="center"/>
          </w:tcPr>
          <w:p w14:paraId="42E873A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AA9B5F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BB6BEF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6B9382BF" w14:textId="77777777" w:rsidTr="009F5BDE">
        <w:tc>
          <w:tcPr>
            <w:tcW w:w="739" w:type="pct"/>
            <w:vMerge w:val="restart"/>
            <w:vAlign w:val="center"/>
          </w:tcPr>
          <w:p w14:paraId="57BDBC1F" w14:textId="6420302D" w:rsidR="00B05C86" w:rsidRPr="000A377A" w:rsidRDefault="00B05C86" w:rsidP="009E2DEE">
            <w:pPr>
              <w:spacing w:before="0" w:after="0" w:line="240" w:lineRule="auto"/>
              <w:jc w:val="left"/>
              <w:rPr>
                <w:sz w:val="20"/>
                <w:szCs w:val="20"/>
              </w:rPr>
            </w:pPr>
            <w:r w:rsidRPr="000A377A">
              <w:rPr>
                <w:b/>
                <w:bCs/>
                <w:sz w:val="20"/>
                <w:szCs w:val="20"/>
              </w:rPr>
              <w:t xml:space="preserve">QE7. </w:t>
            </w:r>
            <w:bookmarkStart w:id="985" w:name="_Hlk78894830"/>
            <w:r w:rsidR="001875EA" w:rsidRPr="000A377A">
              <w:rPr>
                <w:sz w:val="20"/>
                <w:szCs w:val="20"/>
              </w:rPr>
              <w:t>En quoi le</w:t>
            </w:r>
            <w:r w:rsidRPr="000A377A">
              <w:rPr>
                <w:sz w:val="20"/>
                <w:szCs w:val="20"/>
              </w:rPr>
              <w:t xml:space="preserve"> partenariat </w:t>
            </w:r>
            <w:r w:rsidR="001875EA" w:rsidRPr="000A377A">
              <w:rPr>
                <w:sz w:val="20"/>
                <w:szCs w:val="20"/>
              </w:rPr>
              <w:t xml:space="preserve">entre </w:t>
            </w:r>
            <w:r w:rsidRPr="000A377A">
              <w:rPr>
                <w:sz w:val="20"/>
                <w:szCs w:val="20"/>
              </w:rPr>
              <w:t xml:space="preserve">ONU Femmes et ONU DC </w:t>
            </w:r>
            <w:r w:rsidR="001875EA" w:rsidRPr="000A377A">
              <w:rPr>
                <w:sz w:val="20"/>
                <w:szCs w:val="20"/>
              </w:rPr>
              <w:t>d’une part et celui entre l’équipe projet et les autres interventions de PBF dans la zone d’intervention a-t-il fonctionné et</w:t>
            </w:r>
            <w:r w:rsidRPr="000A377A">
              <w:rPr>
                <w:sz w:val="20"/>
                <w:szCs w:val="20"/>
              </w:rPr>
              <w:t xml:space="preserve"> facilit</w:t>
            </w:r>
            <w:r w:rsidRPr="000A377A">
              <w:rPr>
                <w:rFonts w:cs="Century Gothic"/>
                <w:sz w:val="20"/>
                <w:szCs w:val="20"/>
              </w:rPr>
              <w:t>é</w:t>
            </w:r>
            <w:r w:rsidRPr="000A377A">
              <w:rPr>
                <w:sz w:val="20"/>
                <w:szCs w:val="20"/>
              </w:rPr>
              <w:t xml:space="preserve"> l</w:t>
            </w:r>
            <w:r w:rsidRPr="000A377A">
              <w:rPr>
                <w:rFonts w:cs="Century Gothic"/>
                <w:sz w:val="20"/>
                <w:szCs w:val="20"/>
              </w:rPr>
              <w:t>’</w:t>
            </w:r>
            <w:r w:rsidRPr="000A377A">
              <w:rPr>
                <w:sz w:val="20"/>
                <w:szCs w:val="20"/>
              </w:rPr>
              <w:t>atteinte des r</w:t>
            </w:r>
            <w:r w:rsidRPr="000A377A">
              <w:rPr>
                <w:rFonts w:cs="Century Gothic"/>
                <w:sz w:val="20"/>
                <w:szCs w:val="20"/>
              </w:rPr>
              <w:t>é</w:t>
            </w:r>
            <w:r w:rsidRPr="000A377A">
              <w:rPr>
                <w:sz w:val="20"/>
                <w:szCs w:val="20"/>
              </w:rPr>
              <w:t>sultats ? A</w:t>
            </w:r>
            <w:r w:rsidRPr="000A377A">
              <w:rPr>
                <w:rFonts w:ascii="Cambria Math" w:hAnsi="Cambria Math" w:cs="Cambria Math"/>
                <w:sz w:val="20"/>
                <w:szCs w:val="20"/>
              </w:rPr>
              <w:t>‐</w:t>
            </w:r>
            <w:r w:rsidRPr="000A377A">
              <w:rPr>
                <w:sz w:val="20"/>
                <w:szCs w:val="20"/>
              </w:rPr>
              <w:t>t</w:t>
            </w:r>
            <w:r w:rsidRPr="000A377A">
              <w:rPr>
                <w:rFonts w:ascii="Cambria Math" w:hAnsi="Cambria Math" w:cs="Cambria Math"/>
                <w:sz w:val="20"/>
                <w:szCs w:val="20"/>
              </w:rPr>
              <w:t>‐</w:t>
            </w:r>
            <w:r w:rsidRPr="000A377A">
              <w:rPr>
                <w:sz w:val="20"/>
                <w:szCs w:val="20"/>
              </w:rPr>
              <w:t>il occasionn</w:t>
            </w:r>
            <w:r w:rsidRPr="000A377A">
              <w:rPr>
                <w:rFonts w:cs="Century Gothic"/>
                <w:sz w:val="20"/>
                <w:szCs w:val="20"/>
              </w:rPr>
              <w:t>é</w:t>
            </w:r>
            <w:r w:rsidRPr="000A377A">
              <w:rPr>
                <w:sz w:val="20"/>
                <w:szCs w:val="20"/>
              </w:rPr>
              <w:t xml:space="preserve"> des obstacles ?</w:t>
            </w:r>
            <w:bookmarkEnd w:id="985"/>
          </w:p>
        </w:tc>
        <w:tc>
          <w:tcPr>
            <w:tcW w:w="947" w:type="pct"/>
            <w:vAlign w:val="center"/>
          </w:tcPr>
          <w:p w14:paraId="24E6D12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la synergie et la complémentarité sur le terrain entre ONU Femmes et ONU DC ?</w:t>
            </w:r>
          </w:p>
        </w:tc>
        <w:tc>
          <w:tcPr>
            <w:tcW w:w="907" w:type="pct"/>
            <w:vAlign w:val="center"/>
          </w:tcPr>
          <w:p w14:paraId="45F34BA4" w14:textId="7DFC320F"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6" w:name="_Hlk76561273"/>
            <w:r w:rsidRPr="00071E0F">
              <w:rPr>
                <w:sz w:val="20"/>
                <w:szCs w:val="20"/>
              </w:rPr>
              <w:t xml:space="preserve">Activités </w:t>
            </w:r>
            <w:r w:rsidR="001875EA">
              <w:rPr>
                <w:sz w:val="20"/>
                <w:szCs w:val="20"/>
              </w:rPr>
              <w:t>planifiées ou</w:t>
            </w:r>
            <w:r w:rsidR="001875EA" w:rsidRPr="00071E0F">
              <w:rPr>
                <w:sz w:val="20"/>
                <w:szCs w:val="20"/>
              </w:rPr>
              <w:t xml:space="preserve"> </w:t>
            </w:r>
            <w:r w:rsidRPr="00071E0F">
              <w:rPr>
                <w:sz w:val="20"/>
                <w:szCs w:val="20"/>
              </w:rPr>
              <w:t>réalisées conjointement</w:t>
            </w:r>
            <w:bookmarkEnd w:id="986"/>
          </w:p>
        </w:tc>
        <w:tc>
          <w:tcPr>
            <w:tcW w:w="897" w:type="pct"/>
            <w:vMerge w:val="restart"/>
            <w:vAlign w:val="center"/>
          </w:tcPr>
          <w:p w14:paraId="21A9B76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6EEE38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ONU Femmes</w:t>
            </w:r>
          </w:p>
          <w:p w14:paraId="159BB9D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ONU DC</w:t>
            </w:r>
          </w:p>
          <w:p w14:paraId="12343F80" w14:textId="6F22F6E2" w:rsidR="00B05C86" w:rsidRPr="00B96884" w:rsidRDefault="001875EA" w:rsidP="00DC4CE1">
            <w:pPr>
              <w:numPr>
                <w:ilvl w:val="0"/>
                <w:numId w:val="9"/>
              </w:numPr>
              <w:spacing w:before="0" w:after="0" w:line="240" w:lineRule="auto"/>
              <w:ind w:left="229" w:hanging="229"/>
              <w:contextualSpacing/>
              <w:jc w:val="left"/>
              <w:rPr>
                <w:sz w:val="20"/>
                <w:szCs w:val="20"/>
              </w:rPr>
            </w:pPr>
            <w:r>
              <w:rPr>
                <w:sz w:val="20"/>
                <w:szCs w:val="20"/>
              </w:rPr>
              <w:t>Acteurs d’autres interventions de PBF</w:t>
            </w:r>
          </w:p>
        </w:tc>
        <w:tc>
          <w:tcPr>
            <w:tcW w:w="707" w:type="pct"/>
            <w:vMerge w:val="restart"/>
            <w:vAlign w:val="center"/>
          </w:tcPr>
          <w:p w14:paraId="7974CA4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81935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55FD257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2D6337F3" w14:textId="77777777" w:rsidTr="009F5BDE">
        <w:tc>
          <w:tcPr>
            <w:tcW w:w="739" w:type="pct"/>
            <w:vMerge/>
            <w:vAlign w:val="center"/>
          </w:tcPr>
          <w:p w14:paraId="150BD9E4" w14:textId="77777777" w:rsidR="00B05C86" w:rsidRPr="00B96884" w:rsidRDefault="00B05C86" w:rsidP="009E2DEE">
            <w:pPr>
              <w:spacing w:before="0" w:after="0" w:line="240" w:lineRule="auto"/>
              <w:jc w:val="left"/>
              <w:rPr>
                <w:b/>
                <w:bCs/>
                <w:sz w:val="20"/>
                <w:szCs w:val="20"/>
              </w:rPr>
            </w:pPr>
          </w:p>
        </w:tc>
        <w:tc>
          <w:tcPr>
            <w:tcW w:w="947" w:type="pct"/>
            <w:vAlign w:val="center"/>
          </w:tcPr>
          <w:p w14:paraId="02B2C71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 a été la valeur ajoutée du partenariat ? </w:t>
            </w:r>
          </w:p>
        </w:tc>
        <w:tc>
          <w:tcPr>
            <w:tcW w:w="907" w:type="pct"/>
            <w:vAlign w:val="center"/>
          </w:tcPr>
          <w:p w14:paraId="1F8C66DE"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Effets </w:t>
            </w:r>
            <w:bookmarkStart w:id="987" w:name="_Hlk76561310"/>
            <w:r w:rsidRPr="00071E0F">
              <w:rPr>
                <w:sz w:val="20"/>
                <w:szCs w:val="20"/>
              </w:rPr>
              <w:t>synergiques du partenariat</w:t>
            </w:r>
            <w:bookmarkEnd w:id="987"/>
          </w:p>
        </w:tc>
        <w:tc>
          <w:tcPr>
            <w:tcW w:w="897" w:type="pct"/>
            <w:vMerge/>
            <w:vAlign w:val="center"/>
          </w:tcPr>
          <w:p w14:paraId="68531E4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57BC78A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746DA51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1875EA" w:rsidRPr="00B71C6F" w14:paraId="449E7004" w14:textId="77777777" w:rsidTr="009F5BDE">
        <w:tc>
          <w:tcPr>
            <w:tcW w:w="739" w:type="pct"/>
            <w:vMerge/>
            <w:vAlign w:val="center"/>
          </w:tcPr>
          <w:p w14:paraId="3600D95F" w14:textId="77777777" w:rsidR="001875EA" w:rsidRPr="00B96884" w:rsidRDefault="001875EA" w:rsidP="009E2DEE">
            <w:pPr>
              <w:spacing w:before="0" w:after="0" w:line="240" w:lineRule="auto"/>
              <w:jc w:val="left"/>
              <w:rPr>
                <w:b/>
                <w:bCs/>
                <w:sz w:val="20"/>
                <w:szCs w:val="20"/>
              </w:rPr>
            </w:pPr>
          </w:p>
        </w:tc>
        <w:tc>
          <w:tcPr>
            <w:tcW w:w="947" w:type="pct"/>
            <w:vAlign w:val="center"/>
          </w:tcPr>
          <w:p w14:paraId="599FD2A0" w14:textId="511D0D81" w:rsidR="001875EA" w:rsidRPr="00B96884" w:rsidRDefault="001875EA"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Quelles ont été la synergie et la complémentarité sur le terrain entre </w:t>
            </w:r>
            <w:r>
              <w:rPr>
                <w:sz w:val="20"/>
                <w:szCs w:val="20"/>
              </w:rPr>
              <w:t>l’équipe projet et les autres interventions du PBF</w:t>
            </w:r>
            <w:r w:rsidRPr="00B96884">
              <w:rPr>
                <w:sz w:val="20"/>
                <w:szCs w:val="20"/>
              </w:rPr>
              <w:t xml:space="preserve"> ?</w:t>
            </w:r>
          </w:p>
        </w:tc>
        <w:tc>
          <w:tcPr>
            <w:tcW w:w="907" w:type="pct"/>
            <w:vAlign w:val="center"/>
          </w:tcPr>
          <w:p w14:paraId="6360180B" w14:textId="1C544DB6" w:rsidR="001875EA" w:rsidRPr="00071E0F" w:rsidRDefault="001875EA" w:rsidP="00DC4CE1">
            <w:pPr>
              <w:numPr>
                <w:ilvl w:val="0"/>
                <w:numId w:val="9"/>
              </w:numPr>
              <w:spacing w:before="0" w:after="0" w:line="240" w:lineRule="auto"/>
              <w:ind w:left="229" w:hanging="229"/>
              <w:contextualSpacing/>
              <w:jc w:val="left"/>
              <w:rPr>
                <w:sz w:val="20"/>
                <w:szCs w:val="20"/>
              </w:rPr>
            </w:pPr>
            <w:r w:rsidRPr="00071E0F">
              <w:rPr>
                <w:sz w:val="20"/>
                <w:szCs w:val="20"/>
              </w:rPr>
              <w:t xml:space="preserve">Activités </w:t>
            </w:r>
            <w:r>
              <w:rPr>
                <w:sz w:val="20"/>
                <w:szCs w:val="20"/>
              </w:rPr>
              <w:t xml:space="preserve">planifiées ou </w:t>
            </w:r>
            <w:r w:rsidRPr="00071E0F">
              <w:rPr>
                <w:sz w:val="20"/>
                <w:szCs w:val="20"/>
              </w:rPr>
              <w:t>réalisées conjointement</w:t>
            </w:r>
          </w:p>
        </w:tc>
        <w:tc>
          <w:tcPr>
            <w:tcW w:w="897" w:type="pct"/>
            <w:vMerge/>
            <w:vAlign w:val="center"/>
          </w:tcPr>
          <w:p w14:paraId="7887489E"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78F9C171"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207F098F"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r>
      <w:tr w:rsidR="00B05C86" w:rsidRPr="00B71C6F" w14:paraId="42C2180B" w14:textId="77777777" w:rsidTr="009F5BDE">
        <w:tc>
          <w:tcPr>
            <w:tcW w:w="739" w:type="pct"/>
            <w:vMerge/>
            <w:vAlign w:val="center"/>
          </w:tcPr>
          <w:p w14:paraId="526641F6" w14:textId="77777777" w:rsidR="00B05C86" w:rsidRPr="00B96884" w:rsidRDefault="00B05C86" w:rsidP="009E2DEE">
            <w:pPr>
              <w:spacing w:before="0" w:after="0" w:line="240" w:lineRule="auto"/>
              <w:jc w:val="left"/>
              <w:rPr>
                <w:b/>
                <w:bCs/>
                <w:sz w:val="20"/>
                <w:szCs w:val="20"/>
              </w:rPr>
            </w:pPr>
          </w:p>
        </w:tc>
        <w:tc>
          <w:tcPr>
            <w:tcW w:w="947" w:type="pct"/>
            <w:vAlign w:val="center"/>
          </w:tcPr>
          <w:p w14:paraId="37FD6EA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les obstacles et difficultés du partenariat ?</w:t>
            </w:r>
          </w:p>
        </w:tc>
        <w:tc>
          <w:tcPr>
            <w:tcW w:w="907" w:type="pct"/>
            <w:vAlign w:val="center"/>
          </w:tcPr>
          <w:p w14:paraId="108AF947"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Difficultés rencontrées</w:t>
            </w:r>
          </w:p>
        </w:tc>
        <w:tc>
          <w:tcPr>
            <w:tcW w:w="897" w:type="pct"/>
            <w:vMerge/>
            <w:vAlign w:val="center"/>
          </w:tcPr>
          <w:p w14:paraId="3E89CEE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47D2E03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7FF05A3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49580FA4" w14:textId="77777777" w:rsidTr="009F5BDE">
        <w:tc>
          <w:tcPr>
            <w:tcW w:w="739" w:type="pct"/>
            <w:vAlign w:val="center"/>
          </w:tcPr>
          <w:p w14:paraId="2B214805" w14:textId="77777777" w:rsidR="00B05C86" w:rsidRPr="00B96884" w:rsidRDefault="00B05C86" w:rsidP="009E2DEE">
            <w:pPr>
              <w:spacing w:before="0" w:after="0" w:line="240" w:lineRule="auto"/>
              <w:jc w:val="left"/>
              <w:rPr>
                <w:sz w:val="20"/>
                <w:szCs w:val="20"/>
              </w:rPr>
            </w:pPr>
            <w:r w:rsidRPr="00B96884">
              <w:rPr>
                <w:b/>
                <w:bCs/>
                <w:sz w:val="20"/>
                <w:szCs w:val="20"/>
              </w:rPr>
              <w:t xml:space="preserve">QE8. </w:t>
            </w:r>
            <w:r w:rsidRPr="00B96884">
              <w:rPr>
                <w:sz w:val="20"/>
                <w:szCs w:val="20"/>
              </w:rPr>
              <w:t>Dans quelle mesure les changements ou les progrès réalisés peuvent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ê</w:t>
            </w:r>
            <w:r w:rsidRPr="00B96884">
              <w:rPr>
                <w:sz w:val="20"/>
                <w:szCs w:val="20"/>
              </w:rPr>
              <w:t>tre attribu</w:t>
            </w:r>
            <w:r w:rsidRPr="00B96884">
              <w:rPr>
                <w:rFonts w:cs="Century Gothic"/>
                <w:sz w:val="20"/>
                <w:szCs w:val="20"/>
              </w:rPr>
              <w:t>é</w:t>
            </w:r>
            <w:r w:rsidRPr="00B96884">
              <w:rPr>
                <w:sz w:val="20"/>
                <w:szCs w:val="20"/>
              </w:rPr>
              <w:t>s au projet ?</w:t>
            </w:r>
          </w:p>
        </w:tc>
        <w:tc>
          <w:tcPr>
            <w:tcW w:w="947" w:type="pct"/>
            <w:vAlign w:val="center"/>
          </w:tcPr>
          <w:p w14:paraId="36D4C27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 est la contribution du projet aux changements et progrès constatés sur le terrain ?</w:t>
            </w:r>
          </w:p>
        </w:tc>
        <w:tc>
          <w:tcPr>
            <w:tcW w:w="907" w:type="pct"/>
            <w:vAlign w:val="center"/>
          </w:tcPr>
          <w:p w14:paraId="1B35BA48"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de résultats atteints grâce au projet</w:t>
            </w:r>
          </w:p>
          <w:p w14:paraId="77382E93"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Leçons apprises du projet</w:t>
            </w:r>
          </w:p>
        </w:tc>
        <w:tc>
          <w:tcPr>
            <w:tcW w:w="897" w:type="pct"/>
            <w:vAlign w:val="center"/>
          </w:tcPr>
          <w:p w14:paraId="415FB61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FDA41F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3225D6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8651D3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7A1FA68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2B45063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120CAFE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Femmes &amp; jeunes </w:t>
            </w:r>
          </w:p>
        </w:tc>
        <w:tc>
          <w:tcPr>
            <w:tcW w:w="707" w:type="pct"/>
            <w:vAlign w:val="center"/>
          </w:tcPr>
          <w:p w14:paraId="0BC5A3D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82B1DF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803" w:type="pct"/>
            <w:vMerge/>
            <w:vAlign w:val="center"/>
          </w:tcPr>
          <w:p w14:paraId="692847D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70F462DB" w14:textId="77777777" w:rsidTr="009F5BDE">
        <w:tc>
          <w:tcPr>
            <w:tcW w:w="739" w:type="pct"/>
            <w:vAlign w:val="center"/>
          </w:tcPr>
          <w:p w14:paraId="525CE3F0"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QE9. </w:t>
            </w:r>
            <w:r w:rsidRPr="00B96884">
              <w:rPr>
                <w:sz w:val="20"/>
                <w:szCs w:val="20"/>
              </w:rPr>
              <w:t>De quelle façon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contribué à un changement de perception ou de mentalité sur le rôle des femmes dans la prévention et la gestion des conflits ? </w:t>
            </w:r>
          </w:p>
        </w:tc>
        <w:tc>
          <w:tcPr>
            <w:tcW w:w="947" w:type="pct"/>
            <w:vAlign w:val="center"/>
          </w:tcPr>
          <w:p w14:paraId="50A1547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Comment les communautés perçoivent aujourd'hui la participation des femmes dans la prévention et la gestion des conflits ?</w:t>
            </w:r>
          </w:p>
        </w:tc>
        <w:tc>
          <w:tcPr>
            <w:tcW w:w="907" w:type="pct"/>
            <w:vAlign w:val="center"/>
          </w:tcPr>
          <w:p w14:paraId="583230BF"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8" w:name="_Hlk76561392"/>
            <w:r w:rsidRPr="00071E0F">
              <w:rPr>
                <w:sz w:val="20"/>
                <w:szCs w:val="20"/>
              </w:rPr>
              <w:t>Stratégies ou méthodes développées pour faire accepter la participation des femmes dans la prévention et la gestion des conflits</w:t>
            </w:r>
          </w:p>
          <w:p w14:paraId="1884EF3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Prise en compte de l’aspect genre dans le processus de paix</w:t>
            </w:r>
            <w:bookmarkEnd w:id="988"/>
          </w:p>
        </w:tc>
        <w:tc>
          <w:tcPr>
            <w:tcW w:w="897" w:type="pct"/>
            <w:vAlign w:val="center"/>
          </w:tcPr>
          <w:p w14:paraId="3EDA1D6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50A694A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21A229F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65305A9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0B0F603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67EAFB4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CB63F0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p w14:paraId="369C31B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Ménages</w:t>
            </w:r>
          </w:p>
        </w:tc>
        <w:tc>
          <w:tcPr>
            <w:tcW w:w="707" w:type="pct"/>
            <w:vAlign w:val="center"/>
          </w:tcPr>
          <w:p w14:paraId="212C8C0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04D21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64FDA01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6152F758" w14:textId="77777777" w:rsidTr="009F5BDE">
        <w:tc>
          <w:tcPr>
            <w:tcW w:w="739" w:type="pct"/>
            <w:vMerge w:val="restart"/>
            <w:vAlign w:val="center"/>
          </w:tcPr>
          <w:p w14:paraId="6A816218" w14:textId="77777777" w:rsidR="00B05C86" w:rsidRPr="00B96884" w:rsidRDefault="00B05C86" w:rsidP="009E2DEE">
            <w:pPr>
              <w:spacing w:before="0" w:after="0" w:line="240" w:lineRule="auto"/>
              <w:jc w:val="left"/>
              <w:rPr>
                <w:sz w:val="20"/>
                <w:szCs w:val="20"/>
              </w:rPr>
            </w:pPr>
            <w:r w:rsidRPr="00B96884">
              <w:rPr>
                <w:b/>
                <w:bCs/>
                <w:sz w:val="20"/>
                <w:szCs w:val="20"/>
              </w:rPr>
              <w:t>QE1</w:t>
            </w:r>
            <w:r>
              <w:rPr>
                <w:b/>
                <w:bCs/>
                <w:sz w:val="20"/>
                <w:szCs w:val="20"/>
              </w:rPr>
              <w:t>0</w:t>
            </w:r>
            <w:r w:rsidRPr="00B96884">
              <w:rPr>
                <w:b/>
                <w:bCs/>
                <w:sz w:val="20"/>
                <w:szCs w:val="20"/>
              </w:rPr>
              <w:t xml:space="preserve">. </w:t>
            </w:r>
            <w:r w:rsidRPr="00B96884">
              <w:rPr>
                <w:sz w:val="20"/>
                <w:szCs w:val="20"/>
              </w:rPr>
              <w:t>Quelles ont été les contraintes du projet ?</w:t>
            </w:r>
          </w:p>
          <w:p w14:paraId="009D1A59" w14:textId="77777777" w:rsidR="00B05C86" w:rsidRPr="00B96884" w:rsidRDefault="00B05C86" w:rsidP="009E2DEE">
            <w:pPr>
              <w:spacing w:before="0" w:after="0" w:line="240" w:lineRule="auto"/>
              <w:jc w:val="left"/>
              <w:rPr>
                <w:b/>
                <w:bCs/>
                <w:sz w:val="20"/>
                <w:szCs w:val="20"/>
              </w:rPr>
            </w:pPr>
            <w:r w:rsidRPr="00B96884">
              <w:rPr>
                <w:sz w:val="20"/>
                <w:szCs w:val="20"/>
              </w:rPr>
              <w:t>Quels efforts ont été déployés pour surmonter les difficultés ?</w:t>
            </w:r>
          </w:p>
        </w:tc>
        <w:tc>
          <w:tcPr>
            <w:tcW w:w="947" w:type="pct"/>
            <w:vAlign w:val="center"/>
          </w:tcPr>
          <w:p w14:paraId="260883D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Quels sont les blocages d’ordre culturel, social et institutionnel à l’implication et au leadership des femmes dans la prévention et la gestion des conflits ?</w:t>
            </w:r>
          </w:p>
          <w:p w14:paraId="2FB6180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mesures ont été prises pour surmontées les difficultés</w:t>
            </w:r>
          </w:p>
        </w:tc>
        <w:tc>
          <w:tcPr>
            <w:tcW w:w="907" w:type="pct"/>
            <w:vAlign w:val="center"/>
          </w:tcPr>
          <w:p w14:paraId="77C4E333"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Nombre/nature des obstacles et contraintes rencontrés par le projet</w:t>
            </w:r>
          </w:p>
          <w:p w14:paraId="574D207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d’actions menées pour surmonter les difficultés</w:t>
            </w:r>
          </w:p>
        </w:tc>
        <w:tc>
          <w:tcPr>
            <w:tcW w:w="897" w:type="pct"/>
            <w:vAlign w:val="center"/>
          </w:tcPr>
          <w:p w14:paraId="44E42E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0D8F59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E5161F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3328139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2384DC3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B01F7D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58D2BC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23D697B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7A880AF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5018C53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5A065D2A" w14:textId="77777777" w:rsidTr="009F5BDE">
        <w:tc>
          <w:tcPr>
            <w:tcW w:w="739" w:type="pct"/>
            <w:vMerge/>
            <w:vAlign w:val="center"/>
          </w:tcPr>
          <w:p w14:paraId="46E7CA6D" w14:textId="77777777" w:rsidR="00B05C86" w:rsidRPr="00B96884" w:rsidRDefault="00B05C86" w:rsidP="009E2DEE">
            <w:pPr>
              <w:spacing w:before="0" w:after="0" w:line="240" w:lineRule="auto"/>
              <w:jc w:val="left"/>
              <w:rPr>
                <w:b/>
                <w:bCs/>
                <w:sz w:val="20"/>
                <w:szCs w:val="20"/>
              </w:rPr>
            </w:pPr>
          </w:p>
        </w:tc>
        <w:tc>
          <w:tcPr>
            <w:tcW w:w="947" w:type="pct"/>
            <w:vAlign w:val="center"/>
          </w:tcPr>
          <w:p w14:paraId="454DA12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sont les barrières auxquelles les personnes handicapées ont dû faire face ?</w:t>
            </w:r>
          </w:p>
        </w:tc>
        <w:tc>
          <w:tcPr>
            <w:tcW w:w="907" w:type="pct"/>
            <w:vAlign w:val="center"/>
          </w:tcPr>
          <w:p w14:paraId="4E2CEC3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Nombre d’obstacles ayant limité la participation des personnes handicapées </w:t>
            </w:r>
          </w:p>
        </w:tc>
        <w:tc>
          <w:tcPr>
            <w:tcW w:w="897" w:type="pct"/>
            <w:vAlign w:val="center"/>
          </w:tcPr>
          <w:p w14:paraId="2C6E4AD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1E3A5D5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01CC6A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 FDS &amp; ACP</w:t>
            </w:r>
          </w:p>
          <w:p w14:paraId="2AFCBC0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CC6DC9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40A857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12AE3D6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176943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7D20450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1BA2ED15" w14:textId="77777777" w:rsidTr="009F5BDE">
        <w:tc>
          <w:tcPr>
            <w:tcW w:w="739" w:type="pct"/>
            <w:vAlign w:val="center"/>
          </w:tcPr>
          <w:p w14:paraId="4130F2E4" w14:textId="77777777" w:rsidR="00B05C86" w:rsidRPr="00B96884" w:rsidRDefault="00B05C86" w:rsidP="009E2DEE">
            <w:pPr>
              <w:spacing w:before="0" w:after="0" w:line="240" w:lineRule="auto"/>
              <w:jc w:val="left"/>
              <w:rPr>
                <w:sz w:val="20"/>
                <w:szCs w:val="20"/>
                <w:highlight w:val="yellow"/>
              </w:rPr>
            </w:pPr>
            <w:r w:rsidRPr="00B96884">
              <w:rPr>
                <w:b/>
                <w:bCs/>
                <w:sz w:val="20"/>
                <w:szCs w:val="20"/>
              </w:rPr>
              <w:t>QE1</w:t>
            </w:r>
            <w:r>
              <w:rPr>
                <w:b/>
                <w:bCs/>
                <w:sz w:val="20"/>
                <w:szCs w:val="20"/>
              </w:rPr>
              <w:t>1</w:t>
            </w:r>
            <w:r w:rsidRPr="00B96884">
              <w:rPr>
                <w:b/>
                <w:bCs/>
                <w:sz w:val="20"/>
                <w:szCs w:val="20"/>
              </w:rPr>
              <w:t xml:space="preserve">. </w:t>
            </w:r>
            <w:r w:rsidRPr="00B96884">
              <w:rPr>
                <w:sz w:val="20"/>
                <w:szCs w:val="20"/>
              </w:rPr>
              <w:t>Dans quelle mesure les risques ont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g</w:t>
            </w:r>
            <w:r w:rsidRPr="00B96884">
              <w:rPr>
                <w:rFonts w:cs="Century Gothic"/>
                <w:sz w:val="20"/>
                <w:szCs w:val="20"/>
              </w:rPr>
              <w:t>é</w:t>
            </w:r>
            <w:r w:rsidRPr="00B96884">
              <w:rPr>
                <w:sz w:val="20"/>
                <w:szCs w:val="20"/>
              </w:rPr>
              <w:t>r</w:t>
            </w:r>
            <w:r w:rsidRPr="00B96884">
              <w:rPr>
                <w:rFonts w:cs="Century Gothic"/>
                <w:sz w:val="20"/>
                <w:szCs w:val="20"/>
              </w:rPr>
              <w:t>é</w:t>
            </w:r>
            <w:r w:rsidRPr="00B96884">
              <w:rPr>
                <w:sz w:val="20"/>
                <w:szCs w:val="20"/>
              </w:rPr>
              <w:t>s pour atteindre les r</w:t>
            </w:r>
            <w:r w:rsidRPr="00B96884">
              <w:rPr>
                <w:rFonts w:cs="Century Gothic"/>
                <w:sz w:val="20"/>
                <w:szCs w:val="20"/>
              </w:rPr>
              <w:t>é</w:t>
            </w:r>
            <w:r w:rsidRPr="00B96884">
              <w:rPr>
                <w:sz w:val="20"/>
                <w:szCs w:val="20"/>
              </w:rPr>
              <w:t>sultats ?</w:t>
            </w:r>
          </w:p>
        </w:tc>
        <w:tc>
          <w:tcPr>
            <w:tcW w:w="947" w:type="pct"/>
            <w:vAlign w:val="center"/>
          </w:tcPr>
          <w:p w14:paraId="0DE2FE7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Quels sont les risques identifiés et monitorés</w:t>
            </w:r>
          </w:p>
        </w:tc>
        <w:tc>
          <w:tcPr>
            <w:tcW w:w="907" w:type="pct"/>
            <w:vAlign w:val="center"/>
          </w:tcPr>
          <w:p w14:paraId="58496C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de risques identifiés et monitorés</w:t>
            </w:r>
            <w:r w:rsidRPr="00B96884">
              <w:rPr>
                <w:strike/>
                <w:sz w:val="20"/>
                <w:szCs w:val="20"/>
              </w:rPr>
              <w:t xml:space="preserve"> </w:t>
            </w:r>
          </w:p>
        </w:tc>
        <w:tc>
          <w:tcPr>
            <w:tcW w:w="897" w:type="pct"/>
            <w:vAlign w:val="center"/>
          </w:tcPr>
          <w:p w14:paraId="13D4771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58E897B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tc>
        <w:tc>
          <w:tcPr>
            <w:tcW w:w="707" w:type="pct"/>
            <w:vAlign w:val="center"/>
          </w:tcPr>
          <w:p w14:paraId="6E11782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F3BA29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1DD8A79D" w14:textId="77777777" w:rsidR="00B05C86" w:rsidRPr="00B96884" w:rsidRDefault="00B05C86" w:rsidP="00DC4CE1">
            <w:pPr>
              <w:numPr>
                <w:ilvl w:val="0"/>
                <w:numId w:val="9"/>
              </w:numPr>
              <w:spacing w:before="0" w:after="0" w:line="240" w:lineRule="auto"/>
              <w:ind w:left="229" w:hanging="229"/>
              <w:contextualSpacing/>
              <w:jc w:val="left"/>
              <w:rPr>
                <w:sz w:val="20"/>
                <w:szCs w:val="20"/>
                <w:highlight w:val="yellow"/>
              </w:rPr>
            </w:pPr>
          </w:p>
        </w:tc>
      </w:tr>
      <w:tr w:rsidR="00B05C86" w:rsidRPr="00B71C6F" w14:paraId="3486D9A8" w14:textId="77777777" w:rsidTr="009F5BDE">
        <w:tc>
          <w:tcPr>
            <w:tcW w:w="739" w:type="pct"/>
            <w:vMerge w:val="restart"/>
            <w:vAlign w:val="center"/>
          </w:tcPr>
          <w:p w14:paraId="546DF733" w14:textId="77777777" w:rsidR="00B05C86" w:rsidRPr="00B96884" w:rsidRDefault="00B05C86" w:rsidP="009E2DEE">
            <w:pPr>
              <w:spacing w:before="0" w:after="0" w:line="240" w:lineRule="auto"/>
              <w:jc w:val="left"/>
              <w:rPr>
                <w:sz w:val="20"/>
                <w:szCs w:val="20"/>
              </w:rPr>
            </w:pPr>
            <w:r w:rsidRPr="00B96884">
              <w:rPr>
                <w:b/>
                <w:bCs/>
                <w:sz w:val="20"/>
                <w:szCs w:val="20"/>
              </w:rPr>
              <w:t>QE1</w:t>
            </w:r>
            <w:r>
              <w:rPr>
                <w:b/>
                <w:bCs/>
                <w:sz w:val="20"/>
                <w:szCs w:val="20"/>
              </w:rPr>
              <w:t>2</w:t>
            </w:r>
            <w:r w:rsidRPr="00B96884">
              <w:rPr>
                <w:b/>
                <w:bCs/>
                <w:sz w:val="20"/>
                <w:szCs w:val="20"/>
              </w:rPr>
              <w:t xml:space="preserve">. </w:t>
            </w:r>
            <w:r w:rsidRPr="00B96884">
              <w:rPr>
                <w:sz w:val="20"/>
                <w:szCs w:val="20"/>
              </w:rPr>
              <w:t>Un système de gestion axée sur les résultats (GAR)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w:t>
            </w:r>
            <w:r w:rsidRPr="00B96884">
              <w:rPr>
                <w:rFonts w:cs="Century Gothic"/>
                <w:sz w:val="20"/>
                <w:szCs w:val="20"/>
              </w:rPr>
              <w:t>é</w:t>
            </w:r>
            <w:r w:rsidRPr="00B96884">
              <w:rPr>
                <w:sz w:val="20"/>
                <w:szCs w:val="20"/>
              </w:rPr>
              <w:t xml:space="preserve">tabli et mis en </w:t>
            </w:r>
            <w:r w:rsidRPr="00B96884">
              <w:rPr>
                <w:rFonts w:cs="Century Gothic"/>
                <w:sz w:val="20"/>
                <w:szCs w:val="20"/>
              </w:rPr>
              <w:t>œ</w:t>
            </w:r>
            <w:r w:rsidRPr="00B96884">
              <w:rPr>
                <w:sz w:val="20"/>
                <w:szCs w:val="20"/>
              </w:rPr>
              <w:t>uvre en lien avec les systèmes de (GAR) globaux des bureaux pays au Mali et au Niger ?</w:t>
            </w:r>
          </w:p>
        </w:tc>
        <w:tc>
          <w:tcPr>
            <w:tcW w:w="947" w:type="pct"/>
            <w:vAlign w:val="center"/>
          </w:tcPr>
          <w:p w14:paraId="19B13EB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 projet a-t-il établi un système de gestion axée sur les résultats (GAR) en lien avec les systèmes de (GAR) globaux des bureaux pays au Mali et au Niger ?</w:t>
            </w:r>
          </w:p>
        </w:tc>
        <w:tc>
          <w:tcPr>
            <w:tcW w:w="907" w:type="pct"/>
            <w:vAlign w:val="center"/>
          </w:tcPr>
          <w:p w14:paraId="3FBEB3A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Lien (Oui ou non) entre le système GAR du Projet et celui des bureaux Pays de ONU Femmes Mali et Niger</w:t>
            </w:r>
          </w:p>
        </w:tc>
        <w:tc>
          <w:tcPr>
            <w:tcW w:w="897" w:type="pct"/>
            <w:vAlign w:val="center"/>
          </w:tcPr>
          <w:p w14:paraId="11FE5BE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661908D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tc>
        <w:tc>
          <w:tcPr>
            <w:tcW w:w="707" w:type="pct"/>
            <w:vMerge w:val="restart"/>
            <w:vAlign w:val="center"/>
          </w:tcPr>
          <w:p w14:paraId="6974B1A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CCFA76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5554D6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553FD73A" w14:textId="77777777" w:rsidTr="009F5BDE">
        <w:tc>
          <w:tcPr>
            <w:tcW w:w="739" w:type="pct"/>
            <w:vMerge/>
            <w:vAlign w:val="center"/>
          </w:tcPr>
          <w:p w14:paraId="3458E430" w14:textId="77777777" w:rsidR="00B05C86" w:rsidRPr="00B96884" w:rsidRDefault="00B05C86" w:rsidP="009E2DEE">
            <w:pPr>
              <w:spacing w:before="0" w:after="0" w:line="240" w:lineRule="auto"/>
              <w:jc w:val="left"/>
              <w:rPr>
                <w:b/>
                <w:bCs/>
                <w:sz w:val="20"/>
                <w:szCs w:val="20"/>
              </w:rPr>
            </w:pPr>
          </w:p>
        </w:tc>
        <w:tc>
          <w:tcPr>
            <w:tcW w:w="947" w:type="pct"/>
            <w:vAlign w:val="center"/>
          </w:tcPr>
          <w:p w14:paraId="5136DD5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 système de planification, suivi et rapportage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fonctionn</w:t>
            </w:r>
            <w:r w:rsidRPr="00B96884">
              <w:rPr>
                <w:rFonts w:cs="Century Gothic"/>
                <w:sz w:val="20"/>
                <w:szCs w:val="20"/>
              </w:rPr>
              <w:t>é</w:t>
            </w:r>
            <w:r w:rsidRPr="00B96884">
              <w:rPr>
                <w:sz w:val="20"/>
                <w:szCs w:val="20"/>
              </w:rPr>
              <w:t xml:space="preserve"> et contribu</w:t>
            </w:r>
            <w:r w:rsidRPr="00B96884">
              <w:rPr>
                <w:rFonts w:cs="Century Gothic"/>
                <w:sz w:val="20"/>
                <w:szCs w:val="20"/>
              </w:rPr>
              <w:t>é</w:t>
            </w:r>
            <w:r w:rsidRPr="00B96884">
              <w:rPr>
                <w:sz w:val="20"/>
                <w:szCs w:val="20"/>
              </w:rPr>
              <w:t xml:space="preserve"> </w:t>
            </w:r>
            <w:r w:rsidRPr="00B96884">
              <w:rPr>
                <w:rFonts w:cs="Century Gothic"/>
                <w:sz w:val="20"/>
                <w:szCs w:val="20"/>
              </w:rPr>
              <w:t>à</w:t>
            </w:r>
            <w:r w:rsidRPr="00B96884">
              <w:rPr>
                <w:sz w:val="20"/>
                <w:szCs w:val="20"/>
              </w:rPr>
              <w:t xml:space="preserve"> la prise de décision appliquées ?</w:t>
            </w:r>
          </w:p>
        </w:tc>
        <w:tc>
          <w:tcPr>
            <w:tcW w:w="907" w:type="pct"/>
            <w:vAlign w:val="center"/>
          </w:tcPr>
          <w:p w14:paraId="40D5BBD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Existence (oui ou non) de document de planification du suivi, axé sur les résultats</w:t>
            </w:r>
          </w:p>
          <w:p w14:paraId="6293857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d’indicateurs du projet renseigné</w:t>
            </w:r>
          </w:p>
        </w:tc>
        <w:tc>
          <w:tcPr>
            <w:tcW w:w="897" w:type="pct"/>
            <w:vAlign w:val="center"/>
          </w:tcPr>
          <w:p w14:paraId="5073EAB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A004913" w14:textId="77777777" w:rsidR="00B05C86" w:rsidRPr="00B96884" w:rsidRDefault="00B05C86" w:rsidP="00DC4CE1">
            <w:pPr>
              <w:numPr>
                <w:ilvl w:val="0"/>
                <w:numId w:val="9"/>
              </w:numPr>
              <w:spacing w:before="0" w:after="0" w:line="240" w:lineRule="auto"/>
              <w:ind w:left="229" w:hanging="229"/>
              <w:jc w:val="left"/>
              <w:rPr>
                <w:sz w:val="20"/>
                <w:szCs w:val="20"/>
              </w:rPr>
            </w:pPr>
            <w:r w:rsidRPr="00B96884">
              <w:rPr>
                <w:sz w:val="20"/>
                <w:szCs w:val="20"/>
              </w:rPr>
              <w:t>Equipe de projet</w:t>
            </w:r>
          </w:p>
        </w:tc>
        <w:tc>
          <w:tcPr>
            <w:tcW w:w="707" w:type="pct"/>
            <w:vMerge/>
            <w:vAlign w:val="center"/>
          </w:tcPr>
          <w:p w14:paraId="4800022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4360022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0BD2E096" w14:textId="77777777" w:rsidTr="009F5BDE">
        <w:trPr>
          <w:trHeight w:val="1717"/>
        </w:trPr>
        <w:tc>
          <w:tcPr>
            <w:tcW w:w="739" w:type="pct"/>
            <w:vAlign w:val="center"/>
          </w:tcPr>
          <w:p w14:paraId="0D30C156" w14:textId="77777777" w:rsidR="00B05C86" w:rsidRPr="00B96884" w:rsidRDefault="00B05C86" w:rsidP="009E2DEE">
            <w:pPr>
              <w:spacing w:before="0" w:after="0" w:line="240" w:lineRule="auto"/>
              <w:jc w:val="left"/>
              <w:rPr>
                <w:b/>
                <w:bCs/>
                <w:sz w:val="20"/>
                <w:szCs w:val="20"/>
              </w:rPr>
            </w:pPr>
            <w:r w:rsidRPr="00B96884">
              <w:rPr>
                <w:b/>
                <w:bCs/>
                <w:sz w:val="20"/>
                <w:szCs w:val="20"/>
              </w:rPr>
              <w:t>QE1</w:t>
            </w:r>
            <w:r>
              <w:rPr>
                <w:b/>
                <w:bCs/>
                <w:sz w:val="20"/>
                <w:szCs w:val="20"/>
              </w:rPr>
              <w:t>3</w:t>
            </w:r>
            <w:r w:rsidRPr="00B96884">
              <w:rPr>
                <w:b/>
                <w:bCs/>
                <w:sz w:val="20"/>
                <w:szCs w:val="20"/>
              </w:rPr>
              <w:t xml:space="preserve">. </w:t>
            </w:r>
            <w:r w:rsidRPr="00B96884">
              <w:rPr>
                <w:sz w:val="20"/>
                <w:szCs w:val="20"/>
              </w:rPr>
              <w:t>En quoi</w:t>
            </w:r>
            <w:r w:rsidRPr="00B96884">
              <w:rPr>
                <w:b/>
                <w:bCs/>
                <w:sz w:val="20"/>
                <w:szCs w:val="20"/>
              </w:rPr>
              <w:t xml:space="preserve"> </w:t>
            </w:r>
            <w:r w:rsidRPr="00B96884">
              <w:rPr>
                <w:sz w:val="20"/>
                <w:szCs w:val="20"/>
              </w:rPr>
              <w:t>les communaut</w:t>
            </w:r>
            <w:r w:rsidRPr="00B96884">
              <w:rPr>
                <w:rFonts w:cs="Century Gothic"/>
                <w:sz w:val="20"/>
                <w:szCs w:val="20"/>
              </w:rPr>
              <w:t>é</w:t>
            </w:r>
            <w:r w:rsidRPr="00B96884">
              <w:rPr>
                <w:sz w:val="20"/>
                <w:szCs w:val="20"/>
              </w:rPr>
              <w:t>s transfrontali</w:t>
            </w:r>
            <w:r w:rsidRPr="00B96884">
              <w:rPr>
                <w:rFonts w:cs="Century Gothic"/>
                <w:sz w:val="20"/>
                <w:szCs w:val="20"/>
              </w:rPr>
              <w:t>è</w:t>
            </w:r>
            <w:r w:rsidRPr="00B96884">
              <w:rPr>
                <w:sz w:val="20"/>
                <w:szCs w:val="20"/>
              </w:rPr>
              <w:t>res du Mali et du Niger ont appr</w:t>
            </w:r>
            <w:r w:rsidRPr="00B96884">
              <w:rPr>
                <w:rFonts w:cs="Century Gothic"/>
                <w:sz w:val="20"/>
                <w:szCs w:val="20"/>
              </w:rPr>
              <w:t>é</w:t>
            </w:r>
            <w:r w:rsidRPr="00B96884">
              <w:rPr>
                <w:sz w:val="20"/>
                <w:szCs w:val="20"/>
              </w:rPr>
              <w:t>ci</w:t>
            </w:r>
            <w:r w:rsidRPr="00B96884">
              <w:rPr>
                <w:rFonts w:cs="Century Gothic"/>
                <w:sz w:val="20"/>
                <w:szCs w:val="20"/>
              </w:rPr>
              <w:t>é</w:t>
            </w:r>
            <w:r w:rsidRPr="00B96884">
              <w:rPr>
                <w:sz w:val="20"/>
                <w:szCs w:val="20"/>
              </w:rPr>
              <w:t xml:space="preserve"> positivement les actions du projet ?</w:t>
            </w:r>
          </w:p>
        </w:tc>
        <w:tc>
          <w:tcPr>
            <w:tcW w:w="947" w:type="pct"/>
            <w:vAlign w:val="center"/>
          </w:tcPr>
          <w:p w14:paraId="2275BDFC" w14:textId="77777777" w:rsidR="00B05C86" w:rsidRPr="00B96884" w:rsidRDefault="00B05C86" w:rsidP="00DC4CE1">
            <w:pPr>
              <w:pStyle w:val="Retraitcorpsdetexte"/>
              <w:numPr>
                <w:ilvl w:val="0"/>
                <w:numId w:val="9"/>
              </w:numPr>
              <w:spacing w:before="0" w:after="0" w:line="240" w:lineRule="auto"/>
              <w:jc w:val="left"/>
              <w:rPr>
                <w:sz w:val="20"/>
                <w:szCs w:val="20"/>
              </w:rPr>
            </w:pPr>
            <w:r w:rsidRPr="00B96884">
              <w:rPr>
                <w:sz w:val="20"/>
                <w:szCs w:val="20"/>
              </w:rPr>
              <w:t>Quels sont les actions ou résultats qui sont bien appréciés par les communautés ?</w:t>
            </w:r>
          </w:p>
        </w:tc>
        <w:tc>
          <w:tcPr>
            <w:tcW w:w="907" w:type="pct"/>
            <w:vAlign w:val="center"/>
          </w:tcPr>
          <w:p w14:paraId="1A0639CD" w14:textId="7A424113"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Activités ou résultats bien apprécié</w:t>
            </w:r>
            <w:r w:rsidR="00EA205C">
              <w:rPr>
                <w:sz w:val="20"/>
                <w:szCs w:val="20"/>
              </w:rPr>
              <w:t>s</w:t>
            </w:r>
            <w:r w:rsidRPr="00071E0F">
              <w:rPr>
                <w:sz w:val="20"/>
                <w:szCs w:val="20"/>
              </w:rPr>
              <w:t xml:space="preserve"> des communautés</w:t>
            </w:r>
          </w:p>
        </w:tc>
        <w:tc>
          <w:tcPr>
            <w:tcW w:w="897" w:type="pct"/>
            <w:vAlign w:val="center"/>
          </w:tcPr>
          <w:p w14:paraId="7BE42B5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7B6069F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3CCE518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21B247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653342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7103F80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restart"/>
            <w:vAlign w:val="center"/>
          </w:tcPr>
          <w:p w14:paraId="40502D18" w14:textId="77777777" w:rsidR="00B05C86" w:rsidRPr="00B96884" w:rsidRDefault="00B05C86" w:rsidP="00DC4CE1">
            <w:pPr>
              <w:numPr>
                <w:ilvl w:val="0"/>
                <w:numId w:val="9"/>
              </w:numPr>
              <w:spacing w:before="0" w:after="0" w:line="240" w:lineRule="auto"/>
              <w:contextualSpacing/>
              <w:jc w:val="left"/>
              <w:rPr>
                <w:sz w:val="20"/>
                <w:szCs w:val="20"/>
              </w:rPr>
            </w:pPr>
            <w:r w:rsidRPr="00B96884">
              <w:rPr>
                <w:sz w:val="20"/>
                <w:szCs w:val="20"/>
              </w:rPr>
              <w:t xml:space="preserve">La disponibilité des parties prenantes pour la collecte de données </w:t>
            </w:r>
          </w:p>
          <w:p w14:paraId="5EDEBCDF" w14:textId="77777777" w:rsidR="00B05C86" w:rsidRPr="00B96884" w:rsidRDefault="00B05C86" w:rsidP="00DC4CE1">
            <w:pPr>
              <w:numPr>
                <w:ilvl w:val="0"/>
                <w:numId w:val="9"/>
              </w:numPr>
              <w:spacing w:before="0" w:after="0" w:line="240" w:lineRule="auto"/>
              <w:contextualSpacing/>
              <w:jc w:val="left"/>
              <w:rPr>
                <w:sz w:val="20"/>
                <w:szCs w:val="20"/>
              </w:rPr>
            </w:pPr>
            <w:r w:rsidRPr="00B96884">
              <w:rPr>
                <w:sz w:val="20"/>
                <w:szCs w:val="20"/>
              </w:rPr>
              <w:t>La disponibilité de la documentation et des données</w:t>
            </w:r>
          </w:p>
          <w:p w14:paraId="220097F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B05C86" w:rsidRPr="00B71C6F" w14:paraId="05790E01" w14:textId="77777777" w:rsidTr="009F5BDE">
        <w:tc>
          <w:tcPr>
            <w:tcW w:w="739" w:type="pct"/>
            <w:vAlign w:val="center"/>
          </w:tcPr>
          <w:p w14:paraId="33FE85A7" w14:textId="41E9DA36" w:rsidR="00B05C86" w:rsidRPr="00B96884" w:rsidRDefault="00B05C86" w:rsidP="009E2DEE">
            <w:pPr>
              <w:spacing w:before="0" w:after="0" w:line="240" w:lineRule="auto"/>
              <w:jc w:val="left"/>
              <w:rPr>
                <w:b/>
                <w:bCs/>
                <w:sz w:val="20"/>
                <w:szCs w:val="20"/>
              </w:rPr>
            </w:pPr>
            <w:r w:rsidRPr="00B96884">
              <w:rPr>
                <w:b/>
                <w:bCs/>
                <w:sz w:val="20"/>
                <w:szCs w:val="20"/>
              </w:rPr>
              <w:t>QE1</w:t>
            </w:r>
            <w:r>
              <w:rPr>
                <w:b/>
                <w:bCs/>
                <w:sz w:val="20"/>
                <w:szCs w:val="20"/>
              </w:rPr>
              <w:t>4</w:t>
            </w:r>
            <w:r w:rsidRPr="00B96884">
              <w:rPr>
                <w:b/>
                <w:bCs/>
                <w:sz w:val="20"/>
                <w:szCs w:val="20"/>
              </w:rPr>
              <w:t xml:space="preserve">. </w:t>
            </w:r>
            <w:r w:rsidR="004F1171" w:rsidRPr="004F1171">
              <w:rPr>
                <w:sz w:val="20"/>
                <w:szCs w:val="20"/>
              </w:rPr>
              <w:t>Dans quelle mesure</w:t>
            </w:r>
            <w:r w:rsidR="004F1171">
              <w:rPr>
                <w:b/>
                <w:bCs/>
                <w:sz w:val="20"/>
                <w:szCs w:val="20"/>
              </w:rPr>
              <w:t xml:space="preserve"> </w:t>
            </w:r>
            <w:r w:rsidRPr="00B96884">
              <w:rPr>
                <w:sz w:val="20"/>
                <w:szCs w:val="20"/>
              </w:rPr>
              <w:t xml:space="preserve">les autorités du Mali et du Niger </w:t>
            </w:r>
            <w:r w:rsidR="004F1171">
              <w:rPr>
                <w:sz w:val="20"/>
                <w:szCs w:val="20"/>
              </w:rPr>
              <w:t xml:space="preserve">ont-elles </w:t>
            </w:r>
            <w:r w:rsidRPr="00B96884">
              <w:rPr>
                <w:sz w:val="20"/>
                <w:szCs w:val="20"/>
              </w:rPr>
              <w:t>accompagn</w:t>
            </w:r>
            <w:r w:rsidR="004F1171">
              <w:rPr>
                <w:sz w:val="20"/>
                <w:szCs w:val="20"/>
              </w:rPr>
              <w:t>é</w:t>
            </w:r>
            <w:r w:rsidRPr="00B96884">
              <w:rPr>
                <w:sz w:val="20"/>
                <w:szCs w:val="20"/>
              </w:rPr>
              <w:t xml:space="preserve"> les initiatives communautaires inclusives de paix et de cohésion sociale ?</w:t>
            </w:r>
          </w:p>
        </w:tc>
        <w:tc>
          <w:tcPr>
            <w:tcW w:w="947" w:type="pct"/>
            <w:vAlign w:val="center"/>
          </w:tcPr>
          <w:p w14:paraId="465A231F" w14:textId="77777777" w:rsidR="00B05C86" w:rsidRPr="00B96884" w:rsidRDefault="00B05C86" w:rsidP="00DC4CE1">
            <w:pPr>
              <w:pStyle w:val="Retraitcorpsdetexte"/>
              <w:numPr>
                <w:ilvl w:val="0"/>
                <w:numId w:val="9"/>
              </w:numPr>
              <w:spacing w:before="0" w:after="0" w:line="240" w:lineRule="auto"/>
              <w:jc w:val="left"/>
              <w:rPr>
                <w:rFonts w:eastAsia="Calibri"/>
                <w:sz w:val="20"/>
                <w:szCs w:val="20"/>
              </w:rPr>
            </w:pPr>
            <w:r w:rsidRPr="00B96884">
              <w:rPr>
                <w:sz w:val="20"/>
                <w:szCs w:val="20"/>
              </w:rPr>
              <w:t>Quelles ont été les principales initiatives menées par les autorités du Mali et du Niger pour accompagner les initiatives communautaires inclusives de paix et de cohésion sociale ?</w:t>
            </w:r>
          </w:p>
        </w:tc>
        <w:tc>
          <w:tcPr>
            <w:tcW w:w="907" w:type="pct"/>
            <w:vAlign w:val="center"/>
          </w:tcPr>
          <w:p w14:paraId="0B0232BC"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9" w:name="_Hlk76561993"/>
            <w:r w:rsidRPr="00071E0F">
              <w:rPr>
                <w:sz w:val="20"/>
                <w:szCs w:val="20"/>
              </w:rPr>
              <w:t>Nombre/nature d’initiatives entreprises par les autorités du Mali et du Niger pour accompagner les initiatives communautaires inclusives de paix et de cohésion sociale</w:t>
            </w:r>
            <w:bookmarkEnd w:id="989"/>
          </w:p>
        </w:tc>
        <w:tc>
          <w:tcPr>
            <w:tcW w:w="897" w:type="pct"/>
            <w:vAlign w:val="center"/>
          </w:tcPr>
          <w:p w14:paraId="6E60FAE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des collectivités</w:t>
            </w:r>
          </w:p>
          <w:p w14:paraId="19879C3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028080F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6E1145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53D5604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BDBC0D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7881B64B" w14:textId="77777777" w:rsidR="00B05C86" w:rsidRPr="00B96884" w:rsidRDefault="00B05C86" w:rsidP="009E2DEE">
            <w:pPr>
              <w:spacing w:before="0" w:after="0" w:line="240" w:lineRule="auto"/>
              <w:contextualSpacing/>
              <w:jc w:val="left"/>
              <w:rPr>
                <w:sz w:val="20"/>
                <w:szCs w:val="20"/>
              </w:rPr>
            </w:pPr>
          </w:p>
        </w:tc>
        <w:tc>
          <w:tcPr>
            <w:tcW w:w="707" w:type="pct"/>
            <w:vAlign w:val="center"/>
          </w:tcPr>
          <w:p w14:paraId="233B524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5D16C4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3E34AA6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bl>
    <w:p w14:paraId="22C6C048" w14:textId="77777777" w:rsidR="003C242D" w:rsidRPr="00012738" w:rsidRDefault="003C242D" w:rsidP="003C242D"/>
    <w:p w14:paraId="3DCB4846" w14:textId="77777777" w:rsidR="003C242D" w:rsidRDefault="003C242D" w:rsidP="003C242D">
      <w:pPr>
        <w:pStyle w:val="TM8"/>
      </w:pPr>
      <w:r w:rsidRPr="009C7889">
        <w:t>Matrice d'évaluation du critère d'efficience</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578"/>
        <w:gridCol w:w="2804"/>
        <w:gridCol w:w="2250"/>
        <w:gridCol w:w="2261"/>
        <w:gridCol w:w="1978"/>
        <w:gridCol w:w="2121"/>
      </w:tblGrid>
      <w:tr w:rsidR="00F01CB8" w:rsidRPr="0074044A" w14:paraId="441255EC" w14:textId="77777777" w:rsidTr="009E2DEE">
        <w:trPr>
          <w:tblHeader/>
        </w:trPr>
        <w:tc>
          <w:tcPr>
            <w:tcW w:w="921" w:type="pct"/>
            <w:shd w:val="clear" w:color="auto" w:fill="002060"/>
            <w:vAlign w:val="center"/>
          </w:tcPr>
          <w:p w14:paraId="7CDE11F2" w14:textId="77777777" w:rsidR="00C816C9" w:rsidRPr="0025264F" w:rsidRDefault="00C816C9" w:rsidP="009E2DEE">
            <w:pPr>
              <w:spacing w:before="0" w:after="0" w:line="240" w:lineRule="auto"/>
              <w:jc w:val="center"/>
              <w:rPr>
                <w:b/>
                <w:bCs/>
                <w:sz w:val="20"/>
                <w:szCs w:val="20"/>
              </w:rPr>
            </w:pPr>
            <w:r w:rsidRPr="0025264F">
              <w:rPr>
                <w:b/>
                <w:bCs/>
                <w:sz w:val="20"/>
                <w:szCs w:val="20"/>
              </w:rPr>
              <w:t>Questions clés d’évaluation</w:t>
            </w:r>
          </w:p>
        </w:tc>
        <w:tc>
          <w:tcPr>
            <w:tcW w:w="1002" w:type="pct"/>
            <w:shd w:val="clear" w:color="auto" w:fill="002060"/>
            <w:vAlign w:val="center"/>
          </w:tcPr>
          <w:p w14:paraId="6E636ECB" w14:textId="77777777" w:rsidR="00C816C9" w:rsidRPr="0025264F" w:rsidRDefault="00C816C9" w:rsidP="009E2DEE">
            <w:pPr>
              <w:spacing w:before="0" w:after="0" w:line="240" w:lineRule="auto"/>
              <w:jc w:val="center"/>
              <w:rPr>
                <w:b/>
                <w:bCs/>
                <w:sz w:val="20"/>
                <w:szCs w:val="20"/>
              </w:rPr>
            </w:pPr>
            <w:r w:rsidRPr="0025264F">
              <w:rPr>
                <w:b/>
                <w:bCs/>
                <w:sz w:val="20"/>
                <w:szCs w:val="20"/>
              </w:rPr>
              <w:t>Sous-questions</w:t>
            </w:r>
          </w:p>
        </w:tc>
        <w:tc>
          <w:tcPr>
            <w:tcW w:w="804" w:type="pct"/>
            <w:shd w:val="clear" w:color="auto" w:fill="002060"/>
            <w:vAlign w:val="center"/>
          </w:tcPr>
          <w:p w14:paraId="779E4194" w14:textId="77777777" w:rsidR="00C816C9" w:rsidRPr="0025264F" w:rsidRDefault="00C816C9" w:rsidP="009E2DEE">
            <w:pPr>
              <w:spacing w:before="0" w:after="0" w:line="240" w:lineRule="auto"/>
              <w:jc w:val="center"/>
              <w:rPr>
                <w:b/>
                <w:bCs/>
                <w:sz w:val="20"/>
                <w:szCs w:val="20"/>
              </w:rPr>
            </w:pPr>
            <w:r w:rsidRPr="0025264F">
              <w:rPr>
                <w:b/>
                <w:bCs/>
                <w:sz w:val="20"/>
                <w:szCs w:val="20"/>
              </w:rPr>
              <w:t>Indicateurs</w:t>
            </w:r>
          </w:p>
        </w:tc>
        <w:tc>
          <w:tcPr>
            <w:tcW w:w="808" w:type="pct"/>
            <w:shd w:val="clear" w:color="auto" w:fill="002060"/>
            <w:vAlign w:val="center"/>
          </w:tcPr>
          <w:p w14:paraId="0D46B0E5" w14:textId="77777777" w:rsidR="00C816C9" w:rsidRPr="0025264F" w:rsidRDefault="00C816C9" w:rsidP="009E2DEE">
            <w:pPr>
              <w:spacing w:before="0" w:after="0" w:line="240" w:lineRule="auto"/>
              <w:jc w:val="center"/>
              <w:rPr>
                <w:b/>
                <w:bCs/>
                <w:sz w:val="20"/>
                <w:szCs w:val="20"/>
              </w:rPr>
            </w:pPr>
            <w:r w:rsidRPr="0025264F">
              <w:rPr>
                <w:b/>
                <w:bCs/>
                <w:sz w:val="20"/>
                <w:szCs w:val="20"/>
              </w:rPr>
              <w:t>Source d’information</w:t>
            </w:r>
          </w:p>
        </w:tc>
        <w:tc>
          <w:tcPr>
            <w:tcW w:w="707" w:type="pct"/>
            <w:shd w:val="clear" w:color="auto" w:fill="002060"/>
            <w:vAlign w:val="center"/>
          </w:tcPr>
          <w:p w14:paraId="6BFD0AD8" w14:textId="77777777" w:rsidR="00C816C9" w:rsidRPr="0025264F" w:rsidRDefault="00C816C9" w:rsidP="009E2DEE">
            <w:pPr>
              <w:spacing w:before="0" w:after="0" w:line="240" w:lineRule="auto"/>
              <w:jc w:val="center"/>
              <w:rPr>
                <w:b/>
                <w:bCs/>
                <w:sz w:val="20"/>
                <w:szCs w:val="20"/>
              </w:rPr>
            </w:pPr>
            <w:r w:rsidRPr="0025264F">
              <w:rPr>
                <w:b/>
                <w:bCs/>
                <w:sz w:val="20"/>
                <w:szCs w:val="20"/>
              </w:rPr>
              <w:t>Méthodes de collecte</w:t>
            </w:r>
          </w:p>
        </w:tc>
        <w:tc>
          <w:tcPr>
            <w:tcW w:w="758" w:type="pct"/>
            <w:shd w:val="clear" w:color="auto" w:fill="002060"/>
            <w:vAlign w:val="center"/>
          </w:tcPr>
          <w:p w14:paraId="6595EF83" w14:textId="77777777" w:rsidR="00C816C9" w:rsidRPr="0025264F" w:rsidRDefault="00C816C9" w:rsidP="009E2DEE">
            <w:pPr>
              <w:spacing w:before="0" w:after="0" w:line="240" w:lineRule="auto"/>
              <w:jc w:val="center"/>
              <w:rPr>
                <w:b/>
                <w:bCs/>
                <w:sz w:val="20"/>
                <w:szCs w:val="20"/>
              </w:rPr>
            </w:pPr>
            <w:r w:rsidRPr="0025264F">
              <w:rPr>
                <w:b/>
                <w:bCs/>
                <w:sz w:val="20"/>
                <w:szCs w:val="20"/>
              </w:rPr>
              <w:t>Hypothèses</w:t>
            </w:r>
          </w:p>
        </w:tc>
      </w:tr>
      <w:tr w:rsidR="00C816C9" w:rsidRPr="0074044A" w14:paraId="40E0BCCA" w14:textId="77777777" w:rsidTr="00B65C1B">
        <w:trPr>
          <w:trHeight w:val="1472"/>
        </w:trPr>
        <w:tc>
          <w:tcPr>
            <w:tcW w:w="921" w:type="pct"/>
            <w:vAlign w:val="center"/>
          </w:tcPr>
          <w:p w14:paraId="0E7716B4" w14:textId="77777777" w:rsidR="00C816C9" w:rsidRPr="0025264F" w:rsidRDefault="00C816C9" w:rsidP="009E2DEE">
            <w:pPr>
              <w:spacing w:before="0" w:after="0" w:line="240" w:lineRule="auto"/>
              <w:jc w:val="left"/>
              <w:rPr>
                <w:sz w:val="20"/>
                <w:szCs w:val="20"/>
              </w:rPr>
            </w:pPr>
            <w:r w:rsidRPr="0025264F">
              <w:rPr>
                <w:b/>
                <w:bCs/>
                <w:sz w:val="20"/>
                <w:szCs w:val="20"/>
              </w:rPr>
              <w:t xml:space="preserve">QE15. </w:t>
            </w:r>
            <w:r w:rsidRPr="0025264F">
              <w:rPr>
                <w:sz w:val="20"/>
                <w:szCs w:val="20"/>
              </w:rPr>
              <w:t>Dans quelle mesure les mécanismes d'intervention (instruments de financement, cadre réglementaire administratif, personnel, calendrier et procédures) ont</w:t>
            </w:r>
            <w:r w:rsidRPr="0025264F">
              <w:rPr>
                <w:rFonts w:ascii="Cambria Math" w:hAnsi="Cambria Math" w:cs="Cambria Math"/>
                <w:sz w:val="20"/>
                <w:szCs w:val="20"/>
              </w:rPr>
              <w:t>‐</w:t>
            </w:r>
            <w:r w:rsidRPr="0025264F">
              <w:rPr>
                <w:sz w:val="20"/>
                <w:szCs w:val="20"/>
              </w:rPr>
              <w:t>ils favoris</w:t>
            </w:r>
            <w:r w:rsidRPr="0025264F">
              <w:rPr>
                <w:rFonts w:cs="Century Gothic"/>
                <w:sz w:val="20"/>
                <w:szCs w:val="20"/>
              </w:rPr>
              <w:t>é</w:t>
            </w:r>
            <w:r w:rsidRPr="0025264F">
              <w:rPr>
                <w:sz w:val="20"/>
                <w:szCs w:val="20"/>
              </w:rPr>
              <w:t xml:space="preserve"> ou entrav</w:t>
            </w:r>
            <w:r w:rsidRPr="0025264F">
              <w:rPr>
                <w:rFonts w:cs="Century Gothic"/>
                <w:sz w:val="20"/>
                <w:szCs w:val="20"/>
              </w:rPr>
              <w:t>é</w:t>
            </w:r>
            <w:r w:rsidRPr="0025264F">
              <w:rPr>
                <w:sz w:val="20"/>
                <w:szCs w:val="20"/>
              </w:rPr>
              <w:t xml:space="preserve"> la r</w:t>
            </w:r>
            <w:r w:rsidRPr="0025264F">
              <w:rPr>
                <w:rFonts w:cs="Century Gothic"/>
                <w:sz w:val="20"/>
                <w:szCs w:val="20"/>
              </w:rPr>
              <w:t>é</w:t>
            </w:r>
            <w:r w:rsidRPr="0025264F">
              <w:rPr>
                <w:sz w:val="20"/>
                <w:szCs w:val="20"/>
              </w:rPr>
              <w:t>alisation des r</w:t>
            </w:r>
            <w:r w:rsidRPr="0025264F">
              <w:rPr>
                <w:rFonts w:cs="Century Gothic"/>
                <w:sz w:val="20"/>
                <w:szCs w:val="20"/>
              </w:rPr>
              <w:t>é</w:t>
            </w:r>
            <w:r w:rsidRPr="0025264F">
              <w:rPr>
                <w:sz w:val="20"/>
                <w:szCs w:val="20"/>
              </w:rPr>
              <w:t>sultats du projet ?</w:t>
            </w:r>
          </w:p>
        </w:tc>
        <w:tc>
          <w:tcPr>
            <w:tcW w:w="1002" w:type="pct"/>
          </w:tcPr>
          <w:p w14:paraId="09AEB45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 quoi les procédures (cadre réglementaire, demande de décaissement, personnel, calendrier) ont retardé ou perturbé la mise en œuvre des activités du projet ?</w:t>
            </w:r>
          </w:p>
        </w:tc>
        <w:tc>
          <w:tcPr>
            <w:tcW w:w="804" w:type="pct"/>
            <w:vAlign w:val="center"/>
          </w:tcPr>
          <w:p w14:paraId="0E480807"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Nombre de jours/mois de retards liés aux procédures</w:t>
            </w:r>
            <w:r w:rsidRPr="0025264F">
              <w:rPr>
                <w:rStyle w:val="Appelnotedebasdep"/>
                <w:sz w:val="20"/>
                <w:szCs w:val="20"/>
              </w:rPr>
              <w:footnoteReference w:id="43"/>
            </w:r>
            <w:r w:rsidRPr="0025264F">
              <w:rPr>
                <w:sz w:val="20"/>
                <w:szCs w:val="20"/>
              </w:rPr>
              <w:t xml:space="preserve"> (cadre réglementaire, demande de décaissement, personnel, calendrier)</w:t>
            </w:r>
          </w:p>
        </w:tc>
        <w:tc>
          <w:tcPr>
            <w:tcW w:w="808" w:type="pct"/>
            <w:vAlign w:val="center"/>
          </w:tcPr>
          <w:p w14:paraId="7C68B96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589D7B7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Align w:val="center"/>
          </w:tcPr>
          <w:p w14:paraId="2C97209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3CC9DA7B"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val="restart"/>
          </w:tcPr>
          <w:p w14:paraId="26CF7F2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La disponibilité des parties prenantes pour la collecte de données </w:t>
            </w:r>
          </w:p>
          <w:p w14:paraId="014E705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La disponibilité de la documentation et des données</w:t>
            </w:r>
          </w:p>
          <w:p w14:paraId="3938534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Non aggravation du contexte sécuritaire et sanitaire</w:t>
            </w:r>
          </w:p>
        </w:tc>
      </w:tr>
      <w:tr w:rsidR="00C816C9" w:rsidRPr="0074044A" w14:paraId="2893E707" w14:textId="77777777" w:rsidTr="00B65C1B">
        <w:trPr>
          <w:trHeight w:val="397"/>
        </w:trPr>
        <w:tc>
          <w:tcPr>
            <w:tcW w:w="921" w:type="pct"/>
            <w:vAlign w:val="center"/>
          </w:tcPr>
          <w:p w14:paraId="08B77471" w14:textId="77777777" w:rsidR="00C816C9" w:rsidRPr="0025264F" w:rsidRDefault="00C816C9" w:rsidP="009E2DEE">
            <w:pPr>
              <w:spacing w:before="0" w:after="0" w:line="240" w:lineRule="auto"/>
              <w:jc w:val="left"/>
              <w:rPr>
                <w:sz w:val="20"/>
                <w:szCs w:val="20"/>
              </w:rPr>
            </w:pPr>
            <w:r w:rsidRPr="0025264F">
              <w:rPr>
                <w:b/>
                <w:bCs/>
                <w:sz w:val="20"/>
                <w:szCs w:val="20"/>
              </w:rPr>
              <w:t xml:space="preserve">QE16. </w:t>
            </w:r>
            <w:r w:rsidRPr="0025264F">
              <w:rPr>
                <w:sz w:val="20"/>
                <w:szCs w:val="20"/>
              </w:rPr>
              <w:t>En quoi les moyens engag</w:t>
            </w:r>
            <w:r w:rsidRPr="0025264F">
              <w:rPr>
                <w:rFonts w:cs="Century Gothic"/>
                <w:sz w:val="20"/>
                <w:szCs w:val="20"/>
              </w:rPr>
              <w:t>é</w:t>
            </w:r>
            <w:r w:rsidRPr="0025264F">
              <w:rPr>
                <w:sz w:val="20"/>
                <w:szCs w:val="20"/>
              </w:rPr>
              <w:t>s (fonds, compétences, temps …) ont permis de réaliser toutes les activités du projet ?</w:t>
            </w:r>
          </w:p>
        </w:tc>
        <w:tc>
          <w:tcPr>
            <w:tcW w:w="1002" w:type="pct"/>
          </w:tcPr>
          <w:p w14:paraId="00FACB7A" w14:textId="236536C0"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Est-ce que toutes les activités du projet ont </w:t>
            </w:r>
            <w:r w:rsidR="00305D73">
              <w:rPr>
                <w:sz w:val="20"/>
                <w:szCs w:val="20"/>
              </w:rPr>
              <w:t xml:space="preserve">été </w:t>
            </w:r>
            <w:r w:rsidRPr="0025264F">
              <w:rPr>
                <w:sz w:val="20"/>
                <w:szCs w:val="20"/>
              </w:rPr>
              <w:t>réalisées sur la période de mise en œuvre du projet</w:t>
            </w:r>
          </w:p>
        </w:tc>
        <w:tc>
          <w:tcPr>
            <w:tcW w:w="804" w:type="pct"/>
            <w:vAlign w:val="center"/>
          </w:tcPr>
          <w:p w14:paraId="305CB22E"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Proportion des activités non réalisées</w:t>
            </w:r>
          </w:p>
          <w:p w14:paraId="6F2C64A7" w14:textId="77777777" w:rsidR="00C816C9" w:rsidRPr="00071E0F" w:rsidRDefault="00C816C9" w:rsidP="009E2DEE">
            <w:pPr>
              <w:spacing w:before="0" w:after="0" w:line="240" w:lineRule="auto"/>
              <w:ind w:left="229"/>
              <w:contextualSpacing/>
              <w:jc w:val="left"/>
              <w:rPr>
                <w:sz w:val="20"/>
                <w:szCs w:val="20"/>
              </w:rPr>
            </w:pPr>
          </w:p>
        </w:tc>
        <w:tc>
          <w:tcPr>
            <w:tcW w:w="808" w:type="pct"/>
            <w:vAlign w:val="center"/>
          </w:tcPr>
          <w:p w14:paraId="151E4D2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4681767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p w14:paraId="6FAA11F6" w14:textId="77777777" w:rsidR="00C816C9" w:rsidRPr="0025264F" w:rsidRDefault="00C816C9" w:rsidP="009E2DEE">
            <w:pPr>
              <w:spacing w:before="0" w:after="0" w:line="240" w:lineRule="auto"/>
              <w:contextualSpacing/>
              <w:jc w:val="left"/>
              <w:rPr>
                <w:sz w:val="20"/>
                <w:szCs w:val="20"/>
              </w:rPr>
            </w:pPr>
          </w:p>
        </w:tc>
        <w:tc>
          <w:tcPr>
            <w:tcW w:w="707" w:type="pct"/>
            <w:vAlign w:val="center"/>
          </w:tcPr>
          <w:p w14:paraId="6A7FF1B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4967FFB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35CA2FA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733AB620" w14:textId="77777777" w:rsidTr="00B65C1B">
        <w:trPr>
          <w:trHeight w:val="354"/>
        </w:trPr>
        <w:tc>
          <w:tcPr>
            <w:tcW w:w="921" w:type="pct"/>
            <w:vMerge w:val="restart"/>
            <w:vAlign w:val="center"/>
          </w:tcPr>
          <w:p w14:paraId="4D12AF97" w14:textId="77777777" w:rsidR="00C816C9" w:rsidRPr="0025264F" w:rsidRDefault="00C816C9" w:rsidP="009E2DEE">
            <w:pPr>
              <w:spacing w:before="0" w:after="0" w:line="240" w:lineRule="auto"/>
              <w:jc w:val="left"/>
              <w:rPr>
                <w:sz w:val="20"/>
                <w:szCs w:val="20"/>
              </w:rPr>
            </w:pPr>
            <w:r w:rsidRPr="0025264F">
              <w:rPr>
                <w:b/>
                <w:bCs/>
                <w:sz w:val="20"/>
                <w:szCs w:val="20"/>
              </w:rPr>
              <w:t xml:space="preserve">QE17. </w:t>
            </w:r>
            <w:r w:rsidRPr="0025264F">
              <w:rPr>
                <w:sz w:val="20"/>
                <w:szCs w:val="20"/>
              </w:rPr>
              <w:t>Le projet a</w:t>
            </w:r>
            <w:r w:rsidRPr="0025264F">
              <w:rPr>
                <w:rFonts w:ascii="Cambria Math" w:hAnsi="Cambria Math" w:cs="Cambria Math"/>
                <w:sz w:val="20"/>
                <w:szCs w:val="20"/>
              </w:rPr>
              <w:t>‐</w:t>
            </w:r>
            <w:r w:rsidRPr="0025264F">
              <w:rPr>
                <w:sz w:val="20"/>
                <w:szCs w:val="20"/>
              </w:rPr>
              <w:t>t</w:t>
            </w:r>
            <w:r w:rsidRPr="0025264F">
              <w:rPr>
                <w:rFonts w:ascii="Cambria Math" w:hAnsi="Cambria Math" w:cs="Cambria Math"/>
                <w:sz w:val="20"/>
                <w:szCs w:val="20"/>
              </w:rPr>
              <w:t>‐</w:t>
            </w:r>
            <w:r w:rsidRPr="0025264F">
              <w:rPr>
                <w:sz w:val="20"/>
                <w:szCs w:val="20"/>
              </w:rPr>
              <w:t>il utilis</w:t>
            </w:r>
            <w:r w:rsidRPr="0025264F">
              <w:rPr>
                <w:rFonts w:cs="Century Gothic"/>
                <w:sz w:val="20"/>
                <w:szCs w:val="20"/>
              </w:rPr>
              <w:t>é</w:t>
            </w:r>
            <w:r w:rsidRPr="0025264F">
              <w:rPr>
                <w:sz w:val="20"/>
                <w:szCs w:val="20"/>
              </w:rPr>
              <w:t xml:space="preserve"> les ressources (financi</w:t>
            </w:r>
            <w:r w:rsidRPr="0025264F">
              <w:rPr>
                <w:rFonts w:cs="Century Gothic"/>
                <w:sz w:val="20"/>
                <w:szCs w:val="20"/>
              </w:rPr>
              <w:t>è</w:t>
            </w:r>
            <w:r w:rsidRPr="0025264F">
              <w:rPr>
                <w:sz w:val="20"/>
                <w:szCs w:val="20"/>
              </w:rPr>
              <w:t>res, humaines, techniques) de la mani</w:t>
            </w:r>
            <w:r w:rsidRPr="0025264F">
              <w:rPr>
                <w:rFonts w:cs="Century Gothic"/>
                <w:sz w:val="20"/>
                <w:szCs w:val="20"/>
              </w:rPr>
              <w:t>è</w:t>
            </w:r>
            <w:r w:rsidRPr="0025264F">
              <w:rPr>
                <w:sz w:val="20"/>
                <w:szCs w:val="20"/>
              </w:rPr>
              <w:t>re la plus économe possible pour atteindre ses objectifs ?</w:t>
            </w:r>
          </w:p>
        </w:tc>
        <w:tc>
          <w:tcPr>
            <w:tcW w:w="1002" w:type="pct"/>
          </w:tcPr>
          <w:p w14:paraId="60E7089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 a été le niveau de dépassement des ressources (humaines, financières et matériels) par rapport à la planification ?</w:t>
            </w:r>
          </w:p>
        </w:tc>
        <w:tc>
          <w:tcPr>
            <w:tcW w:w="804" w:type="pct"/>
            <w:vAlign w:val="center"/>
          </w:tcPr>
          <w:p w14:paraId="1A41C022"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Dépassement des ressources (financières, humaines et matérielles)</w:t>
            </w:r>
          </w:p>
        </w:tc>
        <w:tc>
          <w:tcPr>
            <w:tcW w:w="808" w:type="pct"/>
            <w:vMerge w:val="restart"/>
            <w:vAlign w:val="center"/>
          </w:tcPr>
          <w:p w14:paraId="6774971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7ED4424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Merge w:val="restart"/>
            <w:vAlign w:val="center"/>
          </w:tcPr>
          <w:p w14:paraId="2FFFE5E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0724953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217DD40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6C45B7CC" w14:textId="77777777" w:rsidTr="00B65C1B">
        <w:tc>
          <w:tcPr>
            <w:tcW w:w="921" w:type="pct"/>
            <w:vMerge/>
            <w:vAlign w:val="center"/>
          </w:tcPr>
          <w:p w14:paraId="2E69D752" w14:textId="77777777" w:rsidR="00C816C9" w:rsidRPr="0025264F" w:rsidRDefault="00C816C9" w:rsidP="009E2DEE">
            <w:pPr>
              <w:spacing w:before="0" w:after="0" w:line="240" w:lineRule="auto"/>
              <w:jc w:val="left"/>
              <w:rPr>
                <w:b/>
                <w:bCs/>
                <w:sz w:val="20"/>
                <w:szCs w:val="20"/>
              </w:rPr>
            </w:pPr>
          </w:p>
        </w:tc>
        <w:tc>
          <w:tcPr>
            <w:tcW w:w="1002" w:type="pct"/>
          </w:tcPr>
          <w:p w14:paraId="2D763BA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 est le taux d’exécution des ressources financières</w:t>
            </w:r>
          </w:p>
        </w:tc>
        <w:tc>
          <w:tcPr>
            <w:tcW w:w="804" w:type="pct"/>
            <w:vAlign w:val="center"/>
          </w:tcPr>
          <w:p w14:paraId="2BDA7D56"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 xml:space="preserve">Taux d’exécution des ressources financières </w:t>
            </w:r>
          </w:p>
        </w:tc>
        <w:tc>
          <w:tcPr>
            <w:tcW w:w="808" w:type="pct"/>
            <w:vMerge/>
            <w:vAlign w:val="center"/>
          </w:tcPr>
          <w:p w14:paraId="78070AA8"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4130B4A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c>
          <w:tcPr>
            <w:tcW w:w="758" w:type="pct"/>
            <w:vMerge/>
          </w:tcPr>
          <w:p w14:paraId="048E906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01BE0686" w14:textId="77777777" w:rsidTr="00B65C1B">
        <w:tc>
          <w:tcPr>
            <w:tcW w:w="921" w:type="pct"/>
            <w:vAlign w:val="center"/>
          </w:tcPr>
          <w:p w14:paraId="49A8EFCA" w14:textId="77777777" w:rsidR="00C816C9" w:rsidRPr="0025264F" w:rsidRDefault="00C816C9" w:rsidP="009E2DEE">
            <w:pPr>
              <w:spacing w:before="0" w:after="0" w:line="240" w:lineRule="auto"/>
              <w:jc w:val="left"/>
              <w:rPr>
                <w:sz w:val="20"/>
                <w:szCs w:val="20"/>
              </w:rPr>
            </w:pPr>
            <w:r w:rsidRPr="0025264F">
              <w:rPr>
                <w:b/>
                <w:bCs/>
                <w:sz w:val="20"/>
                <w:szCs w:val="20"/>
              </w:rPr>
              <w:t xml:space="preserve">QE18. </w:t>
            </w:r>
            <w:r w:rsidRPr="0025264F">
              <w:rPr>
                <w:sz w:val="20"/>
                <w:szCs w:val="20"/>
              </w:rPr>
              <w:t>Les mécanismes de coordination mis en place pour la mise en œuvre du projet ont</w:t>
            </w:r>
            <w:r w:rsidRPr="0025264F">
              <w:rPr>
                <w:rFonts w:ascii="Cambria Math" w:hAnsi="Cambria Math" w:cs="Cambria Math"/>
                <w:sz w:val="20"/>
                <w:szCs w:val="20"/>
              </w:rPr>
              <w:t>‐</w:t>
            </w:r>
            <w:r w:rsidRPr="0025264F">
              <w:rPr>
                <w:sz w:val="20"/>
                <w:szCs w:val="20"/>
              </w:rPr>
              <w:t>ils permis de promouvoir l'utilisation efficace des ressources financières et humaines ?</w:t>
            </w:r>
          </w:p>
        </w:tc>
        <w:tc>
          <w:tcPr>
            <w:tcW w:w="1002" w:type="pct"/>
          </w:tcPr>
          <w:p w14:paraId="7103FAC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Les mécanismes de coordination mis en place ont-ils favorisé une mutualisation des ressources ?</w:t>
            </w:r>
          </w:p>
        </w:tc>
        <w:tc>
          <w:tcPr>
            <w:tcW w:w="804" w:type="pct"/>
            <w:vAlign w:val="center"/>
          </w:tcPr>
          <w:p w14:paraId="40B7F7A3"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 de rencontres de coordination tenues</w:t>
            </w:r>
          </w:p>
          <w:p w14:paraId="6CA3F829" w14:textId="153386A9"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 xml:space="preserve">Nombre </w:t>
            </w:r>
            <w:r w:rsidR="00EA205C">
              <w:rPr>
                <w:sz w:val="20"/>
                <w:szCs w:val="20"/>
              </w:rPr>
              <w:t>d’</w:t>
            </w:r>
            <w:r w:rsidRPr="00071E0F">
              <w:rPr>
                <w:sz w:val="20"/>
                <w:szCs w:val="20"/>
              </w:rPr>
              <w:t xml:space="preserve">activités conjointement mises en œuvre </w:t>
            </w:r>
          </w:p>
        </w:tc>
        <w:tc>
          <w:tcPr>
            <w:tcW w:w="808" w:type="pct"/>
            <w:vAlign w:val="center"/>
          </w:tcPr>
          <w:p w14:paraId="697435D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2A41E67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Comptes rendus des réunions de coordination</w:t>
            </w:r>
          </w:p>
          <w:p w14:paraId="3D329AD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Align w:val="center"/>
          </w:tcPr>
          <w:p w14:paraId="596B653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081644B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595735F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7D7FC6A5" w14:textId="77777777" w:rsidTr="00B65C1B">
        <w:tc>
          <w:tcPr>
            <w:tcW w:w="921" w:type="pct"/>
            <w:vAlign w:val="center"/>
          </w:tcPr>
          <w:p w14:paraId="720CE239" w14:textId="77777777" w:rsidR="00C816C9" w:rsidRPr="0025264F" w:rsidRDefault="00C816C9" w:rsidP="009E2DEE">
            <w:pPr>
              <w:spacing w:before="0" w:after="0" w:line="240" w:lineRule="auto"/>
              <w:jc w:val="left"/>
              <w:rPr>
                <w:sz w:val="20"/>
                <w:szCs w:val="20"/>
              </w:rPr>
            </w:pPr>
            <w:r w:rsidRPr="0025264F">
              <w:rPr>
                <w:b/>
                <w:bCs/>
                <w:sz w:val="20"/>
                <w:szCs w:val="20"/>
              </w:rPr>
              <w:t xml:space="preserve">QE19. </w:t>
            </w:r>
            <w:r w:rsidRPr="0025264F">
              <w:rPr>
                <w:sz w:val="20"/>
                <w:szCs w:val="20"/>
              </w:rPr>
              <w:t>Quelles peuvent être les propositions de stratégies plus efficaces pour une utilisation optimale des ressources ?</w:t>
            </w:r>
          </w:p>
        </w:tc>
        <w:tc>
          <w:tcPr>
            <w:tcW w:w="1002" w:type="pct"/>
          </w:tcPr>
          <w:p w14:paraId="734F909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Quelles sont les alternatives qui auraient permis de réaliser les mêmes résultats à moindre coûts ou dans de brefs délais ?</w:t>
            </w:r>
          </w:p>
        </w:tc>
        <w:tc>
          <w:tcPr>
            <w:tcW w:w="804" w:type="pct"/>
            <w:vAlign w:val="center"/>
          </w:tcPr>
          <w:p w14:paraId="4E6B6A71" w14:textId="77777777" w:rsidR="00C816C9" w:rsidRPr="00071E0F" w:rsidRDefault="00C816C9" w:rsidP="00DC4CE1">
            <w:pPr>
              <w:numPr>
                <w:ilvl w:val="0"/>
                <w:numId w:val="9"/>
              </w:numPr>
              <w:spacing w:before="0" w:after="0" w:line="240" w:lineRule="auto"/>
              <w:ind w:left="229" w:hanging="229"/>
              <w:contextualSpacing/>
              <w:jc w:val="left"/>
              <w:rPr>
                <w:sz w:val="20"/>
                <w:szCs w:val="20"/>
              </w:rPr>
            </w:pPr>
            <w:bookmarkStart w:id="990" w:name="_Hlk76562061"/>
            <w:r w:rsidRPr="00071E0F">
              <w:rPr>
                <w:sz w:val="20"/>
                <w:szCs w:val="20"/>
              </w:rPr>
              <w:t xml:space="preserve">Existence d’alternatives d’utilisation des ressources </w:t>
            </w:r>
            <w:bookmarkEnd w:id="990"/>
          </w:p>
        </w:tc>
        <w:tc>
          <w:tcPr>
            <w:tcW w:w="808" w:type="pct"/>
            <w:vAlign w:val="center"/>
          </w:tcPr>
          <w:p w14:paraId="09DF4CB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568DDB65"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p w14:paraId="1B269B45"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Départements Ministériels, </w:t>
            </w:r>
          </w:p>
          <w:p w14:paraId="331F56E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FDS &amp; ACP</w:t>
            </w:r>
          </w:p>
          <w:p w14:paraId="54565FB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Autorités locales</w:t>
            </w:r>
          </w:p>
          <w:p w14:paraId="10A1FFD7"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Leaders communautaires</w:t>
            </w:r>
          </w:p>
          <w:p w14:paraId="31E09C38"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Femmes et jeunes handicapées</w:t>
            </w:r>
          </w:p>
        </w:tc>
        <w:tc>
          <w:tcPr>
            <w:tcW w:w="707" w:type="pct"/>
            <w:vAlign w:val="center"/>
          </w:tcPr>
          <w:p w14:paraId="10D5E44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78A2C8F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1804716B"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bl>
    <w:p w14:paraId="43ED8CC8" w14:textId="77777777" w:rsidR="003C242D" w:rsidRDefault="003C242D" w:rsidP="003C242D">
      <w:pPr>
        <w:tabs>
          <w:tab w:val="left" w:pos="2214"/>
        </w:tabs>
        <w:rPr>
          <w:sz w:val="20"/>
          <w:szCs w:val="20"/>
        </w:rPr>
      </w:pPr>
    </w:p>
    <w:p w14:paraId="0B3EA655" w14:textId="77777777" w:rsidR="003C242D" w:rsidRPr="00A7770F" w:rsidRDefault="003C242D" w:rsidP="003C242D">
      <w:pPr>
        <w:pStyle w:val="TM8"/>
        <w:rPr>
          <w:i/>
        </w:rPr>
      </w:pPr>
      <w:r w:rsidRPr="00A7770F">
        <w:t>Matrice d'évaluation du critère d'impact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31"/>
        <w:gridCol w:w="2257"/>
        <w:gridCol w:w="2977"/>
        <w:gridCol w:w="2432"/>
        <w:gridCol w:w="2074"/>
        <w:gridCol w:w="2121"/>
      </w:tblGrid>
      <w:tr w:rsidR="00F01CB8" w:rsidRPr="0074044A" w14:paraId="5698949E" w14:textId="77777777" w:rsidTr="009E2DEE">
        <w:trPr>
          <w:tblHeader/>
        </w:trPr>
        <w:tc>
          <w:tcPr>
            <w:tcW w:w="762" w:type="pct"/>
            <w:shd w:val="clear" w:color="auto" w:fill="002060"/>
            <w:vAlign w:val="center"/>
          </w:tcPr>
          <w:p w14:paraId="1A61EE5B" w14:textId="77777777" w:rsidR="00C816C9" w:rsidRPr="0074044A" w:rsidRDefault="00C816C9" w:rsidP="009E2DEE">
            <w:pPr>
              <w:spacing w:before="0" w:after="0" w:line="240" w:lineRule="auto"/>
              <w:jc w:val="left"/>
              <w:rPr>
                <w:b/>
                <w:bCs/>
              </w:rPr>
            </w:pPr>
            <w:bookmarkStart w:id="991" w:name="_Hlk86323476"/>
            <w:r w:rsidRPr="0074044A">
              <w:rPr>
                <w:b/>
                <w:bCs/>
              </w:rPr>
              <w:t>Questions clés d’évaluation</w:t>
            </w:r>
          </w:p>
        </w:tc>
        <w:tc>
          <w:tcPr>
            <w:tcW w:w="807" w:type="pct"/>
            <w:shd w:val="clear" w:color="auto" w:fill="002060"/>
            <w:vAlign w:val="center"/>
          </w:tcPr>
          <w:p w14:paraId="3A01EBDB" w14:textId="77777777" w:rsidR="00C816C9" w:rsidRPr="0074044A" w:rsidRDefault="00C816C9" w:rsidP="009E2DEE">
            <w:pPr>
              <w:spacing w:before="0" w:after="0" w:line="240" w:lineRule="auto"/>
              <w:jc w:val="left"/>
              <w:rPr>
                <w:b/>
                <w:bCs/>
              </w:rPr>
            </w:pPr>
            <w:r w:rsidRPr="0074044A">
              <w:rPr>
                <w:b/>
                <w:bCs/>
              </w:rPr>
              <w:t>Sous-questions</w:t>
            </w:r>
          </w:p>
        </w:tc>
        <w:tc>
          <w:tcPr>
            <w:tcW w:w="1064" w:type="pct"/>
            <w:shd w:val="clear" w:color="auto" w:fill="002060"/>
            <w:vAlign w:val="center"/>
          </w:tcPr>
          <w:p w14:paraId="76C1FF61" w14:textId="77777777" w:rsidR="00C816C9" w:rsidRPr="0074044A" w:rsidRDefault="00C816C9" w:rsidP="009E2DEE">
            <w:pPr>
              <w:spacing w:before="0" w:after="0" w:line="240" w:lineRule="auto"/>
              <w:jc w:val="left"/>
              <w:rPr>
                <w:b/>
                <w:bCs/>
              </w:rPr>
            </w:pPr>
            <w:r w:rsidRPr="0074044A">
              <w:rPr>
                <w:b/>
                <w:bCs/>
              </w:rPr>
              <w:t>Indicateurs</w:t>
            </w:r>
          </w:p>
        </w:tc>
        <w:tc>
          <w:tcPr>
            <w:tcW w:w="869" w:type="pct"/>
            <w:shd w:val="clear" w:color="auto" w:fill="002060"/>
            <w:vAlign w:val="center"/>
          </w:tcPr>
          <w:p w14:paraId="0B6F2FBE" w14:textId="77777777" w:rsidR="00C816C9" w:rsidRPr="0074044A" w:rsidRDefault="00C816C9" w:rsidP="009E2DEE">
            <w:pPr>
              <w:spacing w:before="0" w:after="0" w:line="240" w:lineRule="auto"/>
              <w:jc w:val="left"/>
              <w:rPr>
                <w:b/>
                <w:bCs/>
              </w:rPr>
            </w:pPr>
            <w:r w:rsidRPr="0074044A">
              <w:rPr>
                <w:b/>
                <w:bCs/>
              </w:rPr>
              <w:t>Source d’information</w:t>
            </w:r>
          </w:p>
        </w:tc>
        <w:tc>
          <w:tcPr>
            <w:tcW w:w="741" w:type="pct"/>
            <w:shd w:val="clear" w:color="auto" w:fill="002060"/>
            <w:vAlign w:val="center"/>
          </w:tcPr>
          <w:p w14:paraId="4387371B" w14:textId="77777777" w:rsidR="00C816C9" w:rsidRPr="0074044A" w:rsidRDefault="00C816C9" w:rsidP="009E2DEE">
            <w:pPr>
              <w:spacing w:before="0" w:after="0" w:line="240" w:lineRule="auto"/>
              <w:jc w:val="left"/>
              <w:rPr>
                <w:b/>
                <w:bCs/>
              </w:rPr>
            </w:pPr>
            <w:r w:rsidRPr="0074044A">
              <w:rPr>
                <w:b/>
                <w:bCs/>
              </w:rPr>
              <w:t>Méthodes de collecte</w:t>
            </w:r>
          </w:p>
        </w:tc>
        <w:tc>
          <w:tcPr>
            <w:tcW w:w="758" w:type="pct"/>
            <w:shd w:val="clear" w:color="auto" w:fill="002060"/>
            <w:vAlign w:val="center"/>
          </w:tcPr>
          <w:p w14:paraId="3559F1A8" w14:textId="77777777" w:rsidR="00C816C9" w:rsidRPr="0074044A" w:rsidRDefault="00C816C9" w:rsidP="009E2DEE">
            <w:pPr>
              <w:spacing w:before="0" w:after="0" w:line="240" w:lineRule="auto"/>
              <w:jc w:val="left"/>
              <w:rPr>
                <w:b/>
                <w:bCs/>
              </w:rPr>
            </w:pPr>
            <w:r w:rsidRPr="0074044A">
              <w:rPr>
                <w:b/>
                <w:bCs/>
              </w:rPr>
              <w:t>Hypothèses</w:t>
            </w:r>
          </w:p>
        </w:tc>
      </w:tr>
      <w:tr w:rsidR="00C816C9" w:rsidRPr="0074044A" w14:paraId="1946935F" w14:textId="77777777" w:rsidTr="00B65C1B">
        <w:tc>
          <w:tcPr>
            <w:tcW w:w="762" w:type="pct"/>
            <w:vAlign w:val="center"/>
          </w:tcPr>
          <w:p w14:paraId="368A6264" w14:textId="77777777" w:rsidR="00C816C9" w:rsidRPr="0074044A" w:rsidRDefault="00C816C9" w:rsidP="009E2DEE">
            <w:pPr>
              <w:spacing w:line="240" w:lineRule="auto"/>
              <w:jc w:val="left"/>
            </w:pPr>
            <w:r w:rsidRPr="0074044A">
              <w:rPr>
                <w:b/>
                <w:bCs/>
              </w:rPr>
              <w:t>QE2</w:t>
            </w:r>
            <w:r>
              <w:rPr>
                <w:b/>
                <w:bCs/>
              </w:rPr>
              <w:t>0</w:t>
            </w:r>
            <w:r w:rsidRPr="0074044A">
              <w:rPr>
                <w:b/>
                <w:bCs/>
              </w:rPr>
              <w:t xml:space="preserve">. </w:t>
            </w:r>
            <w:r w:rsidRPr="0074044A">
              <w:t>Quels sont les effets non intentionnels, positifs et négatifs pendant la durée du projet, particulièrement sur les communautés transfrontalières, les femmes et les jeunes ?</w:t>
            </w:r>
          </w:p>
        </w:tc>
        <w:tc>
          <w:tcPr>
            <w:tcW w:w="807" w:type="pct"/>
            <w:vAlign w:val="center"/>
          </w:tcPr>
          <w:p w14:paraId="75ED6CDE" w14:textId="77777777" w:rsidR="00C816C9" w:rsidRPr="0074044A" w:rsidRDefault="00C816C9" w:rsidP="00DC4CE1">
            <w:pPr>
              <w:numPr>
                <w:ilvl w:val="0"/>
                <w:numId w:val="9"/>
              </w:numPr>
              <w:spacing w:before="0" w:after="0" w:line="240" w:lineRule="auto"/>
              <w:ind w:left="229" w:hanging="229"/>
              <w:contextualSpacing/>
              <w:jc w:val="left"/>
            </w:pPr>
            <w:r w:rsidRPr="0074044A">
              <w:t>Quels sont les changements inattendus sur les femmes et les jeunes ?</w:t>
            </w:r>
          </w:p>
        </w:tc>
        <w:tc>
          <w:tcPr>
            <w:tcW w:w="1064" w:type="pct"/>
            <w:vAlign w:val="center"/>
          </w:tcPr>
          <w:p w14:paraId="09CAFB43" w14:textId="466BADEC" w:rsidR="00C816C9" w:rsidRPr="00071E0F" w:rsidRDefault="00C816C9" w:rsidP="00DC4CE1">
            <w:pPr>
              <w:numPr>
                <w:ilvl w:val="0"/>
                <w:numId w:val="9"/>
              </w:numPr>
              <w:spacing w:before="0" w:after="0" w:line="240" w:lineRule="auto"/>
              <w:ind w:left="229" w:hanging="229"/>
              <w:contextualSpacing/>
              <w:jc w:val="left"/>
            </w:pPr>
            <w:r w:rsidRPr="00071E0F">
              <w:t xml:space="preserve">Nombre d’effets non </w:t>
            </w:r>
            <w:bookmarkStart w:id="992" w:name="_Hlk76562109"/>
            <w:r w:rsidRPr="00071E0F">
              <w:t>intentionnels sur les femmes, les jeunes et les communautés</w:t>
            </w:r>
            <w:r w:rsidR="007068E8">
              <w:t xml:space="preserve"> </w:t>
            </w:r>
            <w:bookmarkEnd w:id="992"/>
          </w:p>
          <w:p w14:paraId="4B15FE59" w14:textId="77777777" w:rsidR="00C816C9" w:rsidRPr="00071E0F" w:rsidRDefault="00C816C9" w:rsidP="00DC4CE1">
            <w:pPr>
              <w:numPr>
                <w:ilvl w:val="0"/>
                <w:numId w:val="9"/>
              </w:numPr>
              <w:spacing w:before="0" w:after="0" w:line="240" w:lineRule="auto"/>
              <w:ind w:left="229" w:hanging="229"/>
              <w:contextualSpacing/>
              <w:jc w:val="left"/>
            </w:pPr>
            <w:r w:rsidRPr="00071E0F">
              <w:t>Nombre de bonnes pratiques</w:t>
            </w:r>
          </w:p>
          <w:p w14:paraId="25CB8156" w14:textId="4AE28078" w:rsidR="00C816C9" w:rsidRPr="00071E0F" w:rsidRDefault="00C816C9" w:rsidP="00DC4CE1">
            <w:pPr>
              <w:numPr>
                <w:ilvl w:val="0"/>
                <w:numId w:val="9"/>
              </w:numPr>
              <w:spacing w:before="0" w:after="0" w:line="240" w:lineRule="auto"/>
              <w:ind w:left="229" w:hanging="229"/>
              <w:contextualSpacing/>
              <w:jc w:val="left"/>
            </w:pPr>
            <w:r w:rsidRPr="00071E0F">
              <w:t>Histoires de vie et témoignages</w:t>
            </w:r>
            <w:r w:rsidR="00463B66">
              <w:t xml:space="preserve"> sur les changements induits</w:t>
            </w:r>
          </w:p>
        </w:tc>
        <w:tc>
          <w:tcPr>
            <w:tcW w:w="869" w:type="pct"/>
            <w:vAlign w:val="center"/>
          </w:tcPr>
          <w:p w14:paraId="0B2D9464" w14:textId="77777777" w:rsidR="00C816C9" w:rsidRPr="0074044A" w:rsidRDefault="00C816C9" w:rsidP="00DC4CE1">
            <w:pPr>
              <w:numPr>
                <w:ilvl w:val="0"/>
                <w:numId w:val="9"/>
              </w:numPr>
              <w:spacing w:before="0" w:after="0" w:line="240" w:lineRule="auto"/>
              <w:ind w:left="229" w:hanging="229"/>
              <w:contextualSpacing/>
              <w:jc w:val="left"/>
            </w:pPr>
            <w:r w:rsidRPr="0074044A">
              <w:t>Rapport d’activités</w:t>
            </w:r>
          </w:p>
          <w:p w14:paraId="6EA27321" w14:textId="77777777" w:rsidR="00C816C9" w:rsidRPr="0074044A" w:rsidRDefault="00C816C9" w:rsidP="00DC4CE1">
            <w:pPr>
              <w:numPr>
                <w:ilvl w:val="0"/>
                <w:numId w:val="9"/>
              </w:numPr>
              <w:spacing w:before="0" w:after="0" w:line="240" w:lineRule="auto"/>
              <w:ind w:left="229" w:hanging="229"/>
              <w:contextualSpacing/>
              <w:jc w:val="left"/>
            </w:pPr>
            <w:r w:rsidRPr="0074044A">
              <w:t>Equipe de projet</w:t>
            </w:r>
          </w:p>
          <w:p w14:paraId="692798AB" w14:textId="77777777" w:rsidR="00C816C9" w:rsidRPr="0074044A" w:rsidRDefault="00C816C9" w:rsidP="00DC4CE1">
            <w:pPr>
              <w:numPr>
                <w:ilvl w:val="0"/>
                <w:numId w:val="9"/>
              </w:numPr>
              <w:spacing w:before="0" w:after="0" w:line="240" w:lineRule="auto"/>
              <w:ind w:left="229" w:hanging="229"/>
              <w:contextualSpacing/>
              <w:jc w:val="left"/>
            </w:pPr>
            <w:r w:rsidRPr="0074044A">
              <w:t xml:space="preserve">Départements Ministériels, </w:t>
            </w:r>
          </w:p>
          <w:p w14:paraId="2F18D6AD" w14:textId="77777777" w:rsidR="00C816C9" w:rsidRPr="0074044A" w:rsidRDefault="00C816C9" w:rsidP="00DC4CE1">
            <w:pPr>
              <w:numPr>
                <w:ilvl w:val="0"/>
                <w:numId w:val="9"/>
              </w:numPr>
              <w:spacing w:before="0" w:after="0" w:line="240" w:lineRule="auto"/>
              <w:ind w:left="229" w:hanging="229"/>
              <w:contextualSpacing/>
              <w:jc w:val="left"/>
            </w:pPr>
            <w:r w:rsidRPr="0074044A">
              <w:t>FDS &amp; ACP</w:t>
            </w:r>
          </w:p>
          <w:p w14:paraId="66F07CAB" w14:textId="77777777" w:rsidR="00C816C9" w:rsidRPr="0074044A" w:rsidRDefault="00C816C9" w:rsidP="00DC4CE1">
            <w:pPr>
              <w:numPr>
                <w:ilvl w:val="0"/>
                <w:numId w:val="9"/>
              </w:numPr>
              <w:spacing w:before="0" w:after="0" w:line="240" w:lineRule="auto"/>
              <w:ind w:left="229" w:hanging="229"/>
              <w:contextualSpacing/>
              <w:jc w:val="left"/>
            </w:pPr>
            <w:r w:rsidRPr="0074044A">
              <w:t>Autorités locales</w:t>
            </w:r>
          </w:p>
          <w:p w14:paraId="32EB9373" w14:textId="77777777" w:rsidR="00C816C9" w:rsidRPr="0074044A" w:rsidRDefault="00C816C9" w:rsidP="00DC4CE1">
            <w:pPr>
              <w:numPr>
                <w:ilvl w:val="0"/>
                <w:numId w:val="9"/>
              </w:numPr>
              <w:spacing w:before="0" w:after="0" w:line="240" w:lineRule="auto"/>
              <w:ind w:left="229" w:hanging="229"/>
              <w:contextualSpacing/>
              <w:jc w:val="left"/>
            </w:pPr>
            <w:r w:rsidRPr="0074044A">
              <w:t>Leaders communautaires</w:t>
            </w:r>
          </w:p>
          <w:p w14:paraId="128468C3" w14:textId="77777777" w:rsidR="00C816C9" w:rsidRPr="0074044A" w:rsidRDefault="00C816C9" w:rsidP="00DC4CE1">
            <w:pPr>
              <w:numPr>
                <w:ilvl w:val="0"/>
                <w:numId w:val="9"/>
              </w:numPr>
              <w:spacing w:before="0" w:after="0" w:line="240" w:lineRule="auto"/>
              <w:ind w:left="229" w:hanging="229"/>
              <w:contextualSpacing/>
              <w:jc w:val="left"/>
            </w:pPr>
            <w:r w:rsidRPr="0074044A">
              <w:t>Femmes et jeunes</w:t>
            </w:r>
          </w:p>
          <w:p w14:paraId="7CB3CD57" w14:textId="77777777" w:rsidR="00C816C9" w:rsidRPr="0074044A" w:rsidRDefault="00C816C9" w:rsidP="00DC4CE1">
            <w:pPr>
              <w:numPr>
                <w:ilvl w:val="0"/>
                <w:numId w:val="9"/>
              </w:numPr>
              <w:spacing w:before="0" w:after="0" w:line="240" w:lineRule="auto"/>
              <w:ind w:left="229" w:hanging="229"/>
              <w:contextualSpacing/>
              <w:jc w:val="left"/>
            </w:pPr>
            <w:r w:rsidRPr="0074044A">
              <w:t>Ménages</w:t>
            </w:r>
          </w:p>
          <w:p w14:paraId="18D96DE8" w14:textId="77777777" w:rsidR="00C816C9" w:rsidRPr="0074044A" w:rsidRDefault="00C816C9" w:rsidP="00DC4CE1">
            <w:pPr>
              <w:numPr>
                <w:ilvl w:val="0"/>
                <w:numId w:val="9"/>
              </w:numPr>
              <w:spacing w:before="0" w:after="0" w:line="240" w:lineRule="auto"/>
              <w:ind w:left="229" w:hanging="229"/>
              <w:contextualSpacing/>
              <w:jc w:val="left"/>
            </w:pPr>
            <w:r w:rsidRPr="0074044A">
              <w:t>Femmes et jeunes handicapées</w:t>
            </w:r>
          </w:p>
        </w:tc>
        <w:tc>
          <w:tcPr>
            <w:tcW w:w="741" w:type="pct"/>
            <w:vAlign w:val="center"/>
          </w:tcPr>
          <w:p w14:paraId="685A14F3" w14:textId="77777777" w:rsidR="00C816C9" w:rsidRPr="0074044A" w:rsidRDefault="00C816C9" w:rsidP="00DC4CE1">
            <w:pPr>
              <w:numPr>
                <w:ilvl w:val="0"/>
                <w:numId w:val="9"/>
              </w:numPr>
              <w:spacing w:before="0" w:after="0" w:line="240" w:lineRule="auto"/>
              <w:ind w:left="229" w:hanging="229"/>
              <w:contextualSpacing/>
              <w:jc w:val="left"/>
            </w:pPr>
            <w:r w:rsidRPr="0074044A">
              <w:t>Revue documentaire</w:t>
            </w:r>
          </w:p>
          <w:p w14:paraId="62E2ACE8" w14:textId="77777777" w:rsidR="00C816C9" w:rsidRPr="0074044A" w:rsidRDefault="00C816C9" w:rsidP="00DC4CE1">
            <w:pPr>
              <w:numPr>
                <w:ilvl w:val="0"/>
                <w:numId w:val="9"/>
              </w:numPr>
              <w:spacing w:before="0" w:after="0" w:line="240" w:lineRule="auto"/>
              <w:ind w:left="229" w:hanging="229"/>
              <w:contextualSpacing/>
              <w:jc w:val="left"/>
            </w:pPr>
            <w:r w:rsidRPr="0074044A">
              <w:t>Entrevues directes ou à distance</w:t>
            </w:r>
          </w:p>
        </w:tc>
        <w:tc>
          <w:tcPr>
            <w:tcW w:w="758" w:type="pct"/>
            <w:vMerge w:val="restart"/>
            <w:vAlign w:val="center"/>
          </w:tcPr>
          <w:p w14:paraId="2D101913" w14:textId="77777777" w:rsidR="00C816C9" w:rsidRPr="0074044A" w:rsidRDefault="00C816C9" w:rsidP="00DC4CE1">
            <w:pPr>
              <w:numPr>
                <w:ilvl w:val="0"/>
                <w:numId w:val="9"/>
              </w:numPr>
              <w:spacing w:before="0" w:after="0" w:line="240" w:lineRule="auto"/>
              <w:ind w:left="229" w:hanging="229"/>
              <w:contextualSpacing/>
              <w:jc w:val="left"/>
            </w:pPr>
            <w:r w:rsidRPr="0074044A">
              <w:t xml:space="preserve">La disponibilité des parties prenantes pour la collecte de données </w:t>
            </w:r>
          </w:p>
          <w:p w14:paraId="5D9EAABE" w14:textId="77777777" w:rsidR="00C816C9" w:rsidRPr="0074044A" w:rsidRDefault="00C816C9" w:rsidP="00DC4CE1">
            <w:pPr>
              <w:numPr>
                <w:ilvl w:val="0"/>
                <w:numId w:val="9"/>
              </w:numPr>
              <w:spacing w:before="0" w:after="0" w:line="240" w:lineRule="auto"/>
              <w:ind w:left="229" w:hanging="229"/>
              <w:contextualSpacing/>
              <w:jc w:val="left"/>
            </w:pPr>
            <w:r w:rsidRPr="0074044A">
              <w:t>La disponibilité de la documentation et des données</w:t>
            </w:r>
          </w:p>
          <w:p w14:paraId="2B0927BF" w14:textId="77777777" w:rsidR="00C816C9" w:rsidRPr="0074044A" w:rsidRDefault="00C816C9" w:rsidP="00DC4CE1">
            <w:pPr>
              <w:numPr>
                <w:ilvl w:val="0"/>
                <w:numId w:val="9"/>
              </w:numPr>
              <w:spacing w:before="0" w:after="0" w:line="240" w:lineRule="auto"/>
              <w:ind w:left="229" w:hanging="229"/>
              <w:contextualSpacing/>
              <w:jc w:val="left"/>
            </w:pPr>
            <w:r w:rsidRPr="0074044A">
              <w:t>Non aggravation du contexte sécuritaire et sanitaire</w:t>
            </w:r>
          </w:p>
        </w:tc>
      </w:tr>
      <w:tr w:rsidR="00C816C9" w:rsidRPr="0074044A" w14:paraId="34DD8C06" w14:textId="77777777" w:rsidTr="00B65C1B">
        <w:tc>
          <w:tcPr>
            <w:tcW w:w="762" w:type="pct"/>
            <w:vAlign w:val="center"/>
          </w:tcPr>
          <w:p w14:paraId="439053D7" w14:textId="77777777" w:rsidR="00C816C9" w:rsidRPr="0074044A" w:rsidRDefault="00C816C9" w:rsidP="009E2DEE">
            <w:pPr>
              <w:spacing w:line="240" w:lineRule="auto"/>
              <w:jc w:val="left"/>
              <w:rPr>
                <w:b/>
                <w:bCs/>
              </w:rPr>
            </w:pPr>
            <w:r w:rsidRPr="0074044A">
              <w:rPr>
                <w:b/>
                <w:bCs/>
              </w:rPr>
              <w:t>QE2</w:t>
            </w:r>
            <w:r>
              <w:rPr>
                <w:b/>
                <w:bCs/>
              </w:rPr>
              <w:t>1</w:t>
            </w:r>
            <w:r w:rsidRPr="0074044A">
              <w:rPr>
                <w:b/>
                <w:bCs/>
              </w:rPr>
              <w:t xml:space="preserve">. </w:t>
            </w:r>
            <w:r w:rsidRPr="0074044A">
              <w:t>Quels sont les effets intentionnels, positifs et négatifs pendant la durée du projet, particulièrement sur les communautés transfrontalières, les femmes et les jeunes ?</w:t>
            </w:r>
          </w:p>
        </w:tc>
        <w:tc>
          <w:tcPr>
            <w:tcW w:w="807" w:type="pct"/>
            <w:vAlign w:val="center"/>
          </w:tcPr>
          <w:p w14:paraId="12ED3F04" w14:textId="77777777" w:rsidR="00C816C9" w:rsidRPr="0074044A" w:rsidRDefault="00C816C9" w:rsidP="00DC4CE1">
            <w:pPr>
              <w:numPr>
                <w:ilvl w:val="0"/>
                <w:numId w:val="9"/>
              </w:numPr>
              <w:spacing w:before="0" w:after="0" w:line="240" w:lineRule="auto"/>
              <w:ind w:left="229" w:hanging="229"/>
              <w:contextualSpacing/>
              <w:jc w:val="left"/>
            </w:pPr>
            <w:r>
              <w:t>Quel est le niveau des indicateurs des effets du projet</w:t>
            </w:r>
          </w:p>
        </w:tc>
        <w:tc>
          <w:tcPr>
            <w:tcW w:w="1064" w:type="pct"/>
            <w:vAlign w:val="center"/>
          </w:tcPr>
          <w:p w14:paraId="3297431D" w14:textId="77777777" w:rsidR="00C816C9" w:rsidRPr="00071E0F" w:rsidRDefault="00C816C9" w:rsidP="00DC4CE1">
            <w:pPr>
              <w:numPr>
                <w:ilvl w:val="0"/>
                <w:numId w:val="9"/>
              </w:numPr>
              <w:spacing w:before="0" w:after="0" w:line="240" w:lineRule="auto"/>
              <w:ind w:left="229" w:hanging="229"/>
              <w:contextualSpacing/>
              <w:jc w:val="left"/>
            </w:pPr>
            <w:r w:rsidRPr="00071E0F">
              <w:rPr>
                <w:sz w:val="20"/>
                <w:szCs w:val="20"/>
              </w:rPr>
              <w:t>Nombre de conflits non gérés en diminution au niveau communautaire</w:t>
            </w:r>
          </w:p>
          <w:p w14:paraId="6FF66E06" w14:textId="2D50CE8B" w:rsidR="00C816C9" w:rsidRPr="00071E0F" w:rsidRDefault="00F3541E" w:rsidP="00DC4CE1">
            <w:pPr>
              <w:numPr>
                <w:ilvl w:val="0"/>
                <w:numId w:val="9"/>
              </w:numPr>
              <w:spacing w:before="0" w:after="0" w:line="240" w:lineRule="auto"/>
              <w:ind w:left="229" w:hanging="229"/>
              <w:contextualSpacing/>
              <w:jc w:val="left"/>
            </w:pPr>
            <w:r>
              <w:rPr>
                <w:sz w:val="20"/>
                <w:szCs w:val="20"/>
              </w:rPr>
              <w:t xml:space="preserve">Proportion des bénéficiaires directs (femme et jeunes) qui ont une </w:t>
            </w:r>
            <w:r w:rsidR="00C816C9" w:rsidRPr="00071E0F">
              <w:rPr>
                <w:sz w:val="20"/>
                <w:szCs w:val="20"/>
              </w:rPr>
              <w:t xml:space="preserve">connaissance des droits et recours par les communautés locales </w:t>
            </w:r>
          </w:p>
          <w:p w14:paraId="5BE7C8C0" w14:textId="7E30941D" w:rsidR="00C816C9" w:rsidRPr="00071E0F" w:rsidRDefault="00F3541E" w:rsidP="00DC4CE1">
            <w:pPr>
              <w:numPr>
                <w:ilvl w:val="0"/>
                <w:numId w:val="9"/>
              </w:numPr>
              <w:spacing w:before="0" w:after="0" w:line="240" w:lineRule="auto"/>
              <w:ind w:left="229" w:hanging="229"/>
              <w:contextualSpacing/>
              <w:jc w:val="left"/>
            </w:pPr>
            <w:r>
              <w:rPr>
                <w:sz w:val="20"/>
                <w:szCs w:val="20"/>
              </w:rPr>
              <w:t>Proportion des bénéficiaires (femmes et jeunes) qui a</w:t>
            </w:r>
            <w:r w:rsidR="00C816C9" w:rsidRPr="00071E0F">
              <w:rPr>
                <w:sz w:val="20"/>
                <w:szCs w:val="20"/>
              </w:rPr>
              <w:t>ppréci</w:t>
            </w:r>
            <w:r>
              <w:rPr>
                <w:sz w:val="20"/>
                <w:szCs w:val="20"/>
              </w:rPr>
              <w:t>ent</w:t>
            </w:r>
            <w:r w:rsidR="00C816C9" w:rsidRPr="00071E0F">
              <w:rPr>
                <w:sz w:val="20"/>
                <w:szCs w:val="20"/>
              </w:rPr>
              <w:t xml:space="preserve"> la participation des femmes et des jeunes dans les mécanismes de prévention et de gestion des conflits</w:t>
            </w:r>
            <w:r w:rsidR="00C816C9" w:rsidRPr="00071E0F">
              <w:t xml:space="preserve"> </w:t>
            </w:r>
          </w:p>
          <w:p w14:paraId="660D4F3B" w14:textId="184A31B6" w:rsidR="00C816C9" w:rsidRPr="00071E0F" w:rsidRDefault="00F3541E" w:rsidP="00DC4CE1">
            <w:pPr>
              <w:numPr>
                <w:ilvl w:val="0"/>
                <w:numId w:val="9"/>
              </w:numPr>
              <w:spacing w:before="0" w:after="0" w:line="240" w:lineRule="auto"/>
              <w:ind w:left="229" w:hanging="229"/>
              <w:contextualSpacing/>
              <w:jc w:val="left"/>
            </w:pPr>
            <w:r>
              <w:rPr>
                <w:sz w:val="20"/>
                <w:szCs w:val="20"/>
              </w:rPr>
              <w:t>Proportion des bénéficiaires (femmes, jeunes) qui déclarent la</w:t>
            </w:r>
            <w:r w:rsidR="00C816C9" w:rsidRPr="00071E0F">
              <w:rPr>
                <w:sz w:val="20"/>
                <w:szCs w:val="20"/>
              </w:rPr>
              <w:t xml:space="preserve"> confiance entre les communautés et les FDS / acteurs de la chaîne pénale</w:t>
            </w:r>
            <w:r w:rsidR="00C816C9" w:rsidRPr="00071E0F">
              <w:t xml:space="preserve"> </w:t>
            </w:r>
            <w:r>
              <w:t>est bonne</w:t>
            </w:r>
          </w:p>
          <w:p w14:paraId="27A57056" w14:textId="010BC927" w:rsidR="00C816C9" w:rsidRPr="00071E0F" w:rsidRDefault="00F3541E" w:rsidP="00DC4CE1">
            <w:pPr>
              <w:numPr>
                <w:ilvl w:val="0"/>
                <w:numId w:val="9"/>
              </w:numPr>
              <w:spacing w:before="0" w:after="0" w:line="240" w:lineRule="auto"/>
              <w:ind w:left="229" w:hanging="229"/>
              <w:contextualSpacing/>
              <w:jc w:val="left"/>
            </w:pPr>
            <w:r>
              <w:rPr>
                <w:sz w:val="20"/>
                <w:szCs w:val="20"/>
              </w:rPr>
              <w:t>Proportion de personnes qui déclarent que</w:t>
            </w:r>
            <w:r w:rsidR="00C816C9" w:rsidRPr="00071E0F">
              <w:rPr>
                <w:sz w:val="20"/>
                <w:szCs w:val="20"/>
              </w:rPr>
              <w:t xml:space="preserve"> la collaboration entre les FDS et les acteurs de la chaîne pénale </w:t>
            </w:r>
            <w:r>
              <w:rPr>
                <w:sz w:val="20"/>
                <w:szCs w:val="20"/>
              </w:rPr>
              <w:t>est bonne</w:t>
            </w:r>
          </w:p>
        </w:tc>
        <w:tc>
          <w:tcPr>
            <w:tcW w:w="869" w:type="pct"/>
            <w:vAlign w:val="center"/>
          </w:tcPr>
          <w:p w14:paraId="10D36E49" w14:textId="77777777" w:rsidR="00C816C9" w:rsidRDefault="00C816C9" w:rsidP="00DC4CE1">
            <w:pPr>
              <w:numPr>
                <w:ilvl w:val="0"/>
                <w:numId w:val="9"/>
              </w:numPr>
              <w:spacing w:before="0" w:after="0" w:line="240" w:lineRule="auto"/>
              <w:ind w:left="229" w:hanging="229"/>
              <w:contextualSpacing/>
              <w:jc w:val="left"/>
            </w:pPr>
            <w:r>
              <w:t>Bénéficiaires directs (femmes, jeunes, FDS, ACP)</w:t>
            </w:r>
          </w:p>
          <w:p w14:paraId="1A3A8E3C" w14:textId="77777777" w:rsidR="00C816C9" w:rsidRPr="0074044A" w:rsidRDefault="00C816C9" w:rsidP="00DC4CE1">
            <w:pPr>
              <w:numPr>
                <w:ilvl w:val="0"/>
                <w:numId w:val="9"/>
              </w:numPr>
              <w:spacing w:before="0" w:after="0" w:line="240" w:lineRule="auto"/>
              <w:ind w:left="229" w:hanging="229"/>
              <w:contextualSpacing/>
              <w:jc w:val="left"/>
            </w:pPr>
            <w:r>
              <w:t>Rapport d’activités</w:t>
            </w:r>
          </w:p>
        </w:tc>
        <w:tc>
          <w:tcPr>
            <w:tcW w:w="741" w:type="pct"/>
            <w:vAlign w:val="center"/>
          </w:tcPr>
          <w:p w14:paraId="536F519D" w14:textId="77777777" w:rsidR="00C816C9" w:rsidRDefault="00C816C9" w:rsidP="00DC4CE1">
            <w:pPr>
              <w:numPr>
                <w:ilvl w:val="0"/>
                <w:numId w:val="9"/>
              </w:numPr>
              <w:spacing w:before="0" w:after="0" w:line="240" w:lineRule="auto"/>
              <w:ind w:left="229" w:hanging="229"/>
              <w:contextualSpacing/>
              <w:jc w:val="left"/>
            </w:pPr>
            <w:r>
              <w:t>Revue documentaire</w:t>
            </w:r>
          </w:p>
          <w:p w14:paraId="709AC840" w14:textId="77777777" w:rsidR="00C816C9" w:rsidRPr="0074044A" w:rsidRDefault="00C816C9" w:rsidP="00DC4CE1">
            <w:pPr>
              <w:numPr>
                <w:ilvl w:val="0"/>
                <w:numId w:val="9"/>
              </w:numPr>
              <w:spacing w:before="0" w:after="0" w:line="240" w:lineRule="auto"/>
              <w:ind w:left="229" w:hanging="229"/>
              <w:contextualSpacing/>
              <w:jc w:val="left"/>
            </w:pPr>
            <w:r>
              <w:t>Entretiens individuels</w:t>
            </w:r>
          </w:p>
        </w:tc>
        <w:tc>
          <w:tcPr>
            <w:tcW w:w="758" w:type="pct"/>
            <w:vMerge/>
            <w:vAlign w:val="center"/>
          </w:tcPr>
          <w:p w14:paraId="7D0145BE" w14:textId="77777777" w:rsidR="00C816C9" w:rsidRPr="0074044A" w:rsidRDefault="00C816C9" w:rsidP="00DC4CE1">
            <w:pPr>
              <w:numPr>
                <w:ilvl w:val="0"/>
                <w:numId w:val="9"/>
              </w:numPr>
              <w:spacing w:before="0" w:after="0" w:line="240" w:lineRule="auto"/>
              <w:ind w:left="229" w:hanging="229"/>
              <w:contextualSpacing/>
              <w:jc w:val="left"/>
            </w:pPr>
          </w:p>
        </w:tc>
      </w:tr>
      <w:bookmarkEnd w:id="991"/>
    </w:tbl>
    <w:p w14:paraId="0B7D3B7D" w14:textId="77777777" w:rsidR="003C242D" w:rsidRDefault="003C242D" w:rsidP="003C242D">
      <w:pPr>
        <w:tabs>
          <w:tab w:val="left" w:pos="2214"/>
        </w:tabs>
        <w:rPr>
          <w:sz w:val="20"/>
          <w:szCs w:val="20"/>
        </w:rPr>
      </w:pPr>
    </w:p>
    <w:p w14:paraId="5E5FEFF1" w14:textId="2DE96FDB" w:rsidR="003C242D" w:rsidRDefault="003C242D" w:rsidP="003C242D">
      <w:pPr>
        <w:pStyle w:val="TM8"/>
      </w:pPr>
      <w:r w:rsidRPr="00AC5B8D">
        <w:t>Matrice d'évaluation du critère de durabilité</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65"/>
        <w:gridCol w:w="2408"/>
        <w:gridCol w:w="2553"/>
        <w:gridCol w:w="2549"/>
        <w:gridCol w:w="2127"/>
        <w:gridCol w:w="2090"/>
      </w:tblGrid>
      <w:tr w:rsidR="00F01CB8" w:rsidRPr="00593E9F" w14:paraId="03880496" w14:textId="77777777" w:rsidTr="009E2DEE">
        <w:trPr>
          <w:tblHeader/>
        </w:trPr>
        <w:tc>
          <w:tcPr>
            <w:tcW w:w="809" w:type="pct"/>
            <w:shd w:val="clear" w:color="auto" w:fill="002060"/>
            <w:vAlign w:val="center"/>
          </w:tcPr>
          <w:p w14:paraId="76675FB0" w14:textId="77777777" w:rsidR="00B05C86" w:rsidRPr="00593E9F" w:rsidRDefault="00B05C86" w:rsidP="009E2DEE">
            <w:pPr>
              <w:spacing w:before="0" w:after="0" w:line="240" w:lineRule="auto"/>
              <w:jc w:val="left"/>
              <w:rPr>
                <w:b/>
                <w:bCs/>
                <w:sz w:val="20"/>
                <w:szCs w:val="20"/>
              </w:rPr>
            </w:pPr>
            <w:bookmarkStart w:id="993" w:name="_Hlk86323883"/>
            <w:r w:rsidRPr="00593E9F">
              <w:rPr>
                <w:b/>
                <w:bCs/>
                <w:sz w:val="20"/>
                <w:szCs w:val="20"/>
              </w:rPr>
              <w:t>Questions clés d’évaluation</w:t>
            </w:r>
          </w:p>
        </w:tc>
        <w:tc>
          <w:tcPr>
            <w:tcW w:w="860" w:type="pct"/>
            <w:shd w:val="clear" w:color="auto" w:fill="002060"/>
            <w:vAlign w:val="center"/>
          </w:tcPr>
          <w:p w14:paraId="76CEE83B" w14:textId="77777777" w:rsidR="00B05C86" w:rsidRPr="00593E9F" w:rsidRDefault="00B05C86" w:rsidP="009E2DEE">
            <w:pPr>
              <w:spacing w:before="0" w:after="0" w:line="240" w:lineRule="auto"/>
              <w:jc w:val="left"/>
              <w:rPr>
                <w:b/>
                <w:bCs/>
                <w:sz w:val="20"/>
                <w:szCs w:val="20"/>
              </w:rPr>
            </w:pPr>
            <w:r w:rsidRPr="00593E9F">
              <w:rPr>
                <w:b/>
                <w:bCs/>
                <w:sz w:val="20"/>
                <w:szCs w:val="20"/>
              </w:rPr>
              <w:t>Sous-questions</w:t>
            </w:r>
          </w:p>
        </w:tc>
        <w:tc>
          <w:tcPr>
            <w:tcW w:w="912" w:type="pct"/>
            <w:shd w:val="clear" w:color="auto" w:fill="002060"/>
            <w:vAlign w:val="center"/>
          </w:tcPr>
          <w:p w14:paraId="7AB02507" w14:textId="77777777" w:rsidR="00B05C86" w:rsidRPr="00593E9F" w:rsidRDefault="00B05C86" w:rsidP="009E2DEE">
            <w:pPr>
              <w:spacing w:before="0" w:after="0" w:line="240" w:lineRule="auto"/>
              <w:jc w:val="left"/>
              <w:rPr>
                <w:b/>
                <w:bCs/>
                <w:sz w:val="20"/>
                <w:szCs w:val="20"/>
              </w:rPr>
            </w:pPr>
            <w:r w:rsidRPr="00593E9F">
              <w:rPr>
                <w:b/>
                <w:bCs/>
                <w:sz w:val="20"/>
                <w:szCs w:val="20"/>
              </w:rPr>
              <w:t>Indicateurs</w:t>
            </w:r>
          </w:p>
        </w:tc>
        <w:tc>
          <w:tcPr>
            <w:tcW w:w="911" w:type="pct"/>
            <w:shd w:val="clear" w:color="auto" w:fill="002060"/>
            <w:vAlign w:val="center"/>
          </w:tcPr>
          <w:p w14:paraId="528978A6" w14:textId="77777777" w:rsidR="00B05C86" w:rsidRPr="00593E9F" w:rsidRDefault="00B05C86" w:rsidP="009E2DEE">
            <w:pPr>
              <w:spacing w:before="0" w:after="0" w:line="240" w:lineRule="auto"/>
              <w:jc w:val="left"/>
              <w:rPr>
                <w:b/>
                <w:bCs/>
                <w:sz w:val="20"/>
                <w:szCs w:val="20"/>
              </w:rPr>
            </w:pPr>
            <w:r w:rsidRPr="00593E9F">
              <w:rPr>
                <w:b/>
                <w:bCs/>
                <w:sz w:val="20"/>
                <w:szCs w:val="20"/>
              </w:rPr>
              <w:t>Source d’information</w:t>
            </w:r>
          </w:p>
        </w:tc>
        <w:tc>
          <w:tcPr>
            <w:tcW w:w="760" w:type="pct"/>
            <w:shd w:val="clear" w:color="auto" w:fill="002060"/>
            <w:vAlign w:val="center"/>
          </w:tcPr>
          <w:p w14:paraId="7EE662ED" w14:textId="77777777" w:rsidR="00B05C86" w:rsidRPr="00593E9F" w:rsidRDefault="00B05C86" w:rsidP="009E2DEE">
            <w:pPr>
              <w:spacing w:before="0" w:after="0" w:line="240" w:lineRule="auto"/>
              <w:jc w:val="left"/>
              <w:rPr>
                <w:b/>
                <w:bCs/>
                <w:sz w:val="20"/>
                <w:szCs w:val="20"/>
              </w:rPr>
            </w:pPr>
            <w:r w:rsidRPr="00593E9F">
              <w:rPr>
                <w:b/>
                <w:bCs/>
                <w:sz w:val="20"/>
                <w:szCs w:val="20"/>
              </w:rPr>
              <w:t>Méthodes de collecte</w:t>
            </w:r>
          </w:p>
        </w:tc>
        <w:tc>
          <w:tcPr>
            <w:tcW w:w="747" w:type="pct"/>
            <w:shd w:val="clear" w:color="auto" w:fill="002060"/>
            <w:vAlign w:val="center"/>
          </w:tcPr>
          <w:p w14:paraId="676E0A24" w14:textId="77777777" w:rsidR="00B05C86" w:rsidRPr="00593E9F" w:rsidRDefault="00B05C86" w:rsidP="009E2DEE">
            <w:pPr>
              <w:spacing w:before="0" w:after="0" w:line="240" w:lineRule="auto"/>
              <w:jc w:val="left"/>
              <w:rPr>
                <w:b/>
                <w:bCs/>
                <w:sz w:val="20"/>
                <w:szCs w:val="20"/>
              </w:rPr>
            </w:pPr>
            <w:r w:rsidRPr="00593E9F">
              <w:rPr>
                <w:b/>
                <w:bCs/>
                <w:sz w:val="20"/>
                <w:szCs w:val="20"/>
              </w:rPr>
              <w:t>Hypothèses</w:t>
            </w:r>
          </w:p>
        </w:tc>
      </w:tr>
      <w:tr w:rsidR="00B05C86" w:rsidRPr="00593E9F" w14:paraId="1E102BA1" w14:textId="77777777" w:rsidTr="00B65C1B">
        <w:trPr>
          <w:trHeight w:val="5390"/>
        </w:trPr>
        <w:tc>
          <w:tcPr>
            <w:tcW w:w="809" w:type="pct"/>
            <w:vMerge w:val="restart"/>
            <w:vAlign w:val="center"/>
          </w:tcPr>
          <w:p w14:paraId="1424AB7D" w14:textId="77777777" w:rsidR="00B05C86" w:rsidRPr="00593E9F" w:rsidRDefault="00B05C86" w:rsidP="009E2DEE">
            <w:pPr>
              <w:spacing w:line="240" w:lineRule="auto"/>
              <w:jc w:val="left"/>
              <w:rPr>
                <w:sz w:val="20"/>
                <w:szCs w:val="20"/>
              </w:rPr>
            </w:pPr>
            <w:r w:rsidRPr="00593E9F">
              <w:rPr>
                <w:b/>
                <w:bCs/>
                <w:sz w:val="20"/>
                <w:szCs w:val="20"/>
              </w:rPr>
              <w:t xml:space="preserve">QE22. </w:t>
            </w:r>
            <w:r w:rsidRPr="00593E9F">
              <w:rPr>
                <w:sz w:val="20"/>
                <w:szCs w:val="20"/>
              </w:rPr>
              <w:t>Dans quelle mesure l’approche d’intervention a</w:t>
            </w:r>
            <w:r w:rsidRPr="00593E9F">
              <w:rPr>
                <w:rFonts w:ascii="Cambria Math" w:hAnsi="Cambria Math" w:cs="Cambria Math"/>
                <w:sz w:val="20"/>
                <w:szCs w:val="20"/>
              </w:rPr>
              <w:t>‐</w:t>
            </w:r>
            <w:r w:rsidRPr="00593E9F">
              <w:rPr>
                <w:sz w:val="20"/>
                <w:szCs w:val="20"/>
              </w:rPr>
              <w:t>t</w:t>
            </w:r>
            <w:r w:rsidRPr="00593E9F">
              <w:rPr>
                <w:rFonts w:ascii="Cambria Math" w:hAnsi="Cambria Math" w:cs="Cambria Math"/>
                <w:sz w:val="20"/>
                <w:szCs w:val="20"/>
              </w:rPr>
              <w:t>‐</w:t>
            </w:r>
            <w:r w:rsidRPr="00593E9F">
              <w:rPr>
                <w:sz w:val="20"/>
                <w:szCs w:val="20"/>
              </w:rPr>
              <w:t>elle permis de renforcer les capacit</w:t>
            </w:r>
            <w:r w:rsidRPr="00593E9F">
              <w:rPr>
                <w:rFonts w:cs="Century Gothic"/>
                <w:sz w:val="20"/>
                <w:szCs w:val="20"/>
              </w:rPr>
              <w:t>é</w:t>
            </w:r>
            <w:r w:rsidRPr="00593E9F">
              <w:rPr>
                <w:sz w:val="20"/>
                <w:szCs w:val="20"/>
              </w:rPr>
              <w:t>s techniques et opérationnelles du Gouvernement (au Mali et au Niger), garantissant les résultats attendus du projet ? L’approche du projet a</w:t>
            </w:r>
            <w:r w:rsidRPr="00593E9F">
              <w:rPr>
                <w:rFonts w:ascii="Cambria Math" w:hAnsi="Cambria Math" w:cs="Cambria Math"/>
                <w:sz w:val="20"/>
                <w:szCs w:val="20"/>
              </w:rPr>
              <w:t>‐</w:t>
            </w:r>
            <w:r w:rsidRPr="00593E9F">
              <w:rPr>
                <w:sz w:val="20"/>
                <w:szCs w:val="20"/>
              </w:rPr>
              <w:t>t</w:t>
            </w:r>
            <w:r w:rsidRPr="00593E9F">
              <w:rPr>
                <w:rFonts w:ascii="Cambria Math" w:hAnsi="Cambria Math" w:cs="Cambria Math"/>
                <w:sz w:val="20"/>
                <w:szCs w:val="20"/>
              </w:rPr>
              <w:t>‐</w:t>
            </w:r>
            <w:r w:rsidRPr="00593E9F">
              <w:rPr>
                <w:sz w:val="20"/>
                <w:szCs w:val="20"/>
              </w:rPr>
              <w:t xml:space="preserve">elle </w:t>
            </w:r>
            <w:r w:rsidRPr="00593E9F">
              <w:rPr>
                <w:rFonts w:cs="Century Gothic"/>
                <w:sz w:val="20"/>
                <w:szCs w:val="20"/>
              </w:rPr>
              <w:t>é</w:t>
            </w:r>
            <w:r w:rsidRPr="00593E9F">
              <w:rPr>
                <w:sz w:val="20"/>
                <w:szCs w:val="20"/>
              </w:rPr>
              <w:t>t</w:t>
            </w:r>
            <w:r w:rsidRPr="00593E9F">
              <w:rPr>
                <w:rFonts w:cs="Century Gothic"/>
                <w:sz w:val="20"/>
                <w:szCs w:val="20"/>
              </w:rPr>
              <w:t>é</w:t>
            </w:r>
            <w:r w:rsidRPr="00593E9F">
              <w:rPr>
                <w:sz w:val="20"/>
                <w:szCs w:val="20"/>
              </w:rPr>
              <w:t xml:space="preserve"> inclusive et formative, favorisant l</w:t>
            </w:r>
            <w:r w:rsidRPr="00593E9F">
              <w:rPr>
                <w:rFonts w:cs="Century Gothic"/>
                <w:sz w:val="20"/>
                <w:szCs w:val="20"/>
              </w:rPr>
              <w:t>’</w:t>
            </w:r>
            <w:r w:rsidRPr="00593E9F">
              <w:rPr>
                <w:sz w:val="20"/>
                <w:szCs w:val="20"/>
              </w:rPr>
              <w:t>appropriation par les acteurs concern</w:t>
            </w:r>
            <w:r w:rsidRPr="00593E9F">
              <w:rPr>
                <w:rFonts w:cs="Century Gothic"/>
                <w:sz w:val="20"/>
                <w:szCs w:val="20"/>
              </w:rPr>
              <w:t>é</w:t>
            </w:r>
            <w:r w:rsidRPr="00593E9F">
              <w:rPr>
                <w:sz w:val="20"/>
                <w:szCs w:val="20"/>
              </w:rPr>
              <w:t>s, la fourniture continue des services ?</w:t>
            </w:r>
          </w:p>
        </w:tc>
        <w:tc>
          <w:tcPr>
            <w:tcW w:w="860" w:type="pct"/>
            <w:vAlign w:val="center"/>
          </w:tcPr>
          <w:p w14:paraId="5DD38857" w14:textId="5E673826"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La stratégie du faire-faire, </w:t>
            </w:r>
            <w:r w:rsidR="004C0862">
              <w:rPr>
                <w:sz w:val="20"/>
                <w:szCs w:val="20"/>
              </w:rPr>
              <w:t>de</w:t>
            </w:r>
            <w:r w:rsidR="004C0862" w:rsidRPr="00593E9F">
              <w:rPr>
                <w:sz w:val="20"/>
                <w:szCs w:val="20"/>
              </w:rPr>
              <w:t xml:space="preserve"> </w:t>
            </w:r>
            <w:r w:rsidRPr="00593E9F">
              <w:rPr>
                <w:sz w:val="20"/>
                <w:szCs w:val="20"/>
              </w:rPr>
              <w:t xml:space="preserve">renforcement des capacités, et </w:t>
            </w:r>
            <w:r w:rsidR="004C0862">
              <w:rPr>
                <w:sz w:val="20"/>
                <w:szCs w:val="20"/>
              </w:rPr>
              <w:t>d</w:t>
            </w:r>
            <w:r w:rsidRPr="00593E9F">
              <w:rPr>
                <w:sz w:val="20"/>
                <w:szCs w:val="20"/>
              </w:rPr>
              <w:t>’implication des acteurs permette-</w:t>
            </w:r>
            <w:r w:rsidR="004C0862">
              <w:rPr>
                <w:sz w:val="20"/>
                <w:szCs w:val="20"/>
              </w:rPr>
              <w:t>t-</w:t>
            </w:r>
            <w:r w:rsidRPr="00593E9F">
              <w:rPr>
                <w:sz w:val="20"/>
                <w:szCs w:val="20"/>
              </w:rPr>
              <w:t>elle de pérenniser les activités et acquis du projet ?</w:t>
            </w:r>
          </w:p>
        </w:tc>
        <w:tc>
          <w:tcPr>
            <w:tcW w:w="912" w:type="pct"/>
            <w:vAlign w:val="center"/>
          </w:tcPr>
          <w:p w14:paraId="172258B6" w14:textId="796192B2"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Proportion des imam</w:t>
            </w:r>
            <w:r w:rsidR="00F34932">
              <w:rPr>
                <w:sz w:val="20"/>
                <w:szCs w:val="20"/>
              </w:rPr>
              <w:t>s</w:t>
            </w:r>
            <w:r w:rsidRPr="00593E9F">
              <w:rPr>
                <w:sz w:val="20"/>
                <w:szCs w:val="20"/>
              </w:rPr>
              <w:t xml:space="preserve"> et chef</w:t>
            </w:r>
            <w:r w:rsidR="00F34932">
              <w:rPr>
                <w:sz w:val="20"/>
                <w:szCs w:val="20"/>
              </w:rPr>
              <w:t>s</w:t>
            </w:r>
            <w:r w:rsidRPr="00593E9F">
              <w:rPr>
                <w:sz w:val="20"/>
                <w:szCs w:val="20"/>
              </w:rPr>
              <w:t xml:space="preserve"> coutumiers qui affirment être engagés à maintenir la participation des femmes dans les mécanismes communautaires </w:t>
            </w:r>
          </w:p>
          <w:p w14:paraId="1BB1EF3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Proportion des femmes et jeunes qui affirment être engagés à maintenir leur participation aux comités de veille et d’alerte précoce </w:t>
            </w:r>
          </w:p>
          <w:p w14:paraId="14322A08"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Proportion des FDS et des ACP qui affirment être engagés à prendre en compte les droits humains dans leurs missions </w:t>
            </w:r>
          </w:p>
        </w:tc>
        <w:tc>
          <w:tcPr>
            <w:tcW w:w="911" w:type="pct"/>
            <w:vAlign w:val="center"/>
          </w:tcPr>
          <w:p w14:paraId="638338B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3C23AD15"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3FB3C7F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Départements Ministériels, </w:t>
            </w:r>
          </w:p>
          <w:p w14:paraId="6F0BE1B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FDS &amp; ACP</w:t>
            </w:r>
          </w:p>
          <w:p w14:paraId="35DF1B26"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Autorités locales</w:t>
            </w:r>
          </w:p>
          <w:p w14:paraId="4B21496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Leaders communautaires</w:t>
            </w:r>
          </w:p>
          <w:p w14:paraId="570A1B5B"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39C8669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5813DA2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restart"/>
            <w:vAlign w:val="center"/>
          </w:tcPr>
          <w:p w14:paraId="0CA6338A"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La disponibilité des parties prenantes pour la collecte de données </w:t>
            </w:r>
          </w:p>
          <w:p w14:paraId="5F13EF4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La disponibilité de la documentation et des données</w:t>
            </w:r>
          </w:p>
          <w:p w14:paraId="1ACF4ED6"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Non aggravation du contexte sécuritaire et sanitaire</w:t>
            </w:r>
          </w:p>
        </w:tc>
      </w:tr>
      <w:tr w:rsidR="00B05C86" w:rsidRPr="00593E9F" w14:paraId="0736B12F" w14:textId="77777777" w:rsidTr="00B65C1B">
        <w:trPr>
          <w:trHeight w:val="905"/>
        </w:trPr>
        <w:tc>
          <w:tcPr>
            <w:tcW w:w="809" w:type="pct"/>
            <w:vMerge/>
            <w:vAlign w:val="center"/>
          </w:tcPr>
          <w:p w14:paraId="6D6688B1" w14:textId="77777777" w:rsidR="00B05C86" w:rsidRPr="00593E9F" w:rsidRDefault="00B05C86" w:rsidP="009E2DEE">
            <w:pPr>
              <w:spacing w:line="240" w:lineRule="auto"/>
              <w:jc w:val="left"/>
              <w:rPr>
                <w:b/>
                <w:bCs/>
                <w:sz w:val="20"/>
                <w:szCs w:val="20"/>
              </w:rPr>
            </w:pPr>
          </w:p>
        </w:tc>
        <w:tc>
          <w:tcPr>
            <w:tcW w:w="860" w:type="pct"/>
            <w:vAlign w:val="center"/>
          </w:tcPr>
          <w:p w14:paraId="1196D9E7" w14:textId="71D9CEEB"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Les différents appuis de renforcement des capacités techniques et opérationnelles ont-ils contribué aux résultats du projet qui est d’améliorer la collaboration entre FDS, ACP et communautés</w:t>
            </w:r>
          </w:p>
        </w:tc>
        <w:tc>
          <w:tcPr>
            <w:tcW w:w="912" w:type="pct"/>
            <w:vAlign w:val="center"/>
          </w:tcPr>
          <w:p w14:paraId="63322019"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Nature des appuis de renforcement technique et opérationnel</w:t>
            </w:r>
          </w:p>
          <w:p w14:paraId="15064D3B" w14:textId="184CBE54"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Nombre d’autorités administratives et locales affirmant que les appuis du projet ont contribué à améliorer la collaboration </w:t>
            </w:r>
            <w:r w:rsidR="00F34932">
              <w:rPr>
                <w:sz w:val="20"/>
                <w:szCs w:val="20"/>
              </w:rPr>
              <w:t xml:space="preserve">avec les </w:t>
            </w:r>
            <w:r w:rsidRPr="00B05C86">
              <w:rPr>
                <w:sz w:val="20"/>
                <w:szCs w:val="20"/>
              </w:rPr>
              <w:t>FDS, ACP et Communautés locales</w:t>
            </w:r>
          </w:p>
        </w:tc>
        <w:tc>
          <w:tcPr>
            <w:tcW w:w="911" w:type="pct"/>
            <w:vAlign w:val="center"/>
          </w:tcPr>
          <w:p w14:paraId="2DCD845C"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Rapport d’activités</w:t>
            </w:r>
          </w:p>
          <w:p w14:paraId="405B928A"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Départements Ministériels, </w:t>
            </w:r>
          </w:p>
          <w:p w14:paraId="14119F2A"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FDS &amp; ACP</w:t>
            </w:r>
          </w:p>
          <w:p w14:paraId="0313B85F"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Autorités locales</w:t>
            </w:r>
          </w:p>
          <w:p w14:paraId="2694CB23"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Leaders communautaires</w:t>
            </w:r>
          </w:p>
        </w:tc>
        <w:tc>
          <w:tcPr>
            <w:tcW w:w="760" w:type="pct"/>
            <w:vAlign w:val="center"/>
          </w:tcPr>
          <w:p w14:paraId="3541C127"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369BD1EE"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ou à distance</w:t>
            </w:r>
          </w:p>
        </w:tc>
        <w:tc>
          <w:tcPr>
            <w:tcW w:w="747" w:type="pct"/>
            <w:vMerge/>
            <w:vAlign w:val="center"/>
          </w:tcPr>
          <w:p w14:paraId="12D16C5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46141FD6" w14:textId="77777777" w:rsidTr="00B65C1B">
        <w:trPr>
          <w:trHeight w:val="763"/>
        </w:trPr>
        <w:tc>
          <w:tcPr>
            <w:tcW w:w="809" w:type="pct"/>
            <w:vMerge/>
            <w:vAlign w:val="center"/>
          </w:tcPr>
          <w:p w14:paraId="58380E8C" w14:textId="77777777" w:rsidR="00B05C86" w:rsidRPr="00593E9F" w:rsidRDefault="00B05C86" w:rsidP="009E2DEE">
            <w:pPr>
              <w:spacing w:line="240" w:lineRule="auto"/>
              <w:jc w:val="left"/>
              <w:rPr>
                <w:b/>
                <w:bCs/>
                <w:sz w:val="20"/>
                <w:szCs w:val="20"/>
              </w:rPr>
            </w:pPr>
          </w:p>
        </w:tc>
        <w:tc>
          <w:tcPr>
            <w:tcW w:w="860" w:type="pct"/>
            <w:vAlign w:val="center"/>
          </w:tcPr>
          <w:p w14:paraId="7992ECB8" w14:textId="38E1F986" w:rsidR="00B05C86" w:rsidRPr="0052744A"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Les activités du projet sont</w:t>
            </w:r>
            <w:r w:rsidRPr="00B05C86">
              <w:rPr>
                <w:rFonts w:ascii="Cambria Math" w:hAnsi="Cambria Math" w:cs="Cambria Math"/>
                <w:sz w:val="20"/>
                <w:szCs w:val="20"/>
              </w:rPr>
              <w:t>‐</w:t>
            </w:r>
            <w:r w:rsidRPr="00B05C86">
              <w:rPr>
                <w:sz w:val="20"/>
                <w:szCs w:val="20"/>
              </w:rPr>
              <w:t>elles int</w:t>
            </w:r>
            <w:r w:rsidRPr="00B05C86">
              <w:rPr>
                <w:rFonts w:cs="Century Gothic"/>
                <w:sz w:val="20"/>
                <w:szCs w:val="20"/>
              </w:rPr>
              <w:t>é</w:t>
            </w:r>
            <w:r w:rsidRPr="00B05C86">
              <w:rPr>
                <w:sz w:val="20"/>
                <w:szCs w:val="20"/>
              </w:rPr>
              <w:t>gr</w:t>
            </w:r>
            <w:r w:rsidRPr="00B05C86">
              <w:rPr>
                <w:rFonts w:cs="Century Gothic"/>
                <w:sz w:val="20"/>
                <w:szCs w:val="20"/>
              </w:rPr>
              <w:t>é</w:t>
            </w:r>
            <w:r w:rsidRPr="00B05C86">
              <w:rPr>
                <w:sz w:val="20"/>
                <w:szCs w:val="20"/>
              </w:rPr>
              <w:t xml:space="preserve">es aux pratiques des institutions partenaires notamment nationales et Quelle est la probabilité que les avantages du projet soient maintenus sur le long terme après que le projet </w:t>
            </w:r>
            <w:r w:rsidR="00566BF9">
              <w:rPr>
                <w:sz w:val="20"/>
                <w:szCs w:val="20"/>
              </w:rPr>
              <w:t>soit</w:t>
            </w:r>
            <w:r w:rsidR="00566BF9" w:rsidRPr="00B05C86">
              <w:rPr>
                <w:sz w:val="20"/>
                <w:szCs w:val="20"/>
              </w:rPr>
              <w:t xml:space="preserve"> </w:t>
            </w:r>
            <w:r w:rsidRPr="00B05C86">
              <w:rPr>
                <w:sz w:val="20"/>
                <w:szCs w:val="20"/>
              </w:rPr>
              <w:t>terminé ? </w:t>
            </w:r>
          </w:p>
        </w:tc>
        <w:tc>
          <w:tcPr>
            <w:tcW w:w="912" w:type="pct"/>
            <w:vAlign w:val="center"/>
          </w:tcPr>
          <w:p w14:paraId="14904336"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Nombre d’activités intégrées aux pratiques des institutions nationales</w:t>
            </w:r>
          </w:p>
          <w:p w14:paraId="7D6F258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Nombre d’autorités administratives et locales affirmant que les avantages du projet seront maintenus sur le long terme</w:t>
            </w:r>
          </w:p>
        </w:tc>
        <w:tc>
          <w:tcPr>
            <w:tcW w:w="911" w:type="pct"/>
            <w:vAlign w:val="center"/>
          </w:tcPr>
          <w:p w14:paraId="2BFFFE71"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Rapport d’activités</w:t>
            </w:r>
          </w:p>
          <w:p w14:paraId="16D110B1"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Départements Ministériels, </w:t>
            </w:r>
          </w:p>
          <w:p w14:paraId="6D7A0F65"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FDS &amp; ACP</w:t>
            </w:r>
          </w:p>
          <w:p w14:paraId="7EAD7F43"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Autorités locales</w:t>
            </w:r>
          </w:p>
          <w:p w14:paraId="60F82AF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Leaders communautaires</w:t>
            </w:r>
          </w:p>
        </w:tc>
        <w:tc>
          <w:tcPr>
            <w:tcW w:w="760" w:type="pct"/>
            <w:vAlign w:val="center"/>
          </w:tcPr>
          <w:p w14:paraId="2B9643A4"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3EADBD9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ou à distance</w:t>
            </w:r>
          </w:p>
        </w:tc>
        <w:tc>
          <w:tcPr>
            <w:tcW w:w="747" w:type="pct"/>
            <w:vMerge/>
            <w:vAlign w:val="center"/>
          </w:tcPr>
          <w:p w14:paraId="2A4F7A50"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712306A3" w14:textId="77777777" w:rsidTr="00B65C1B">
        <w:trPr>
          <w:trHeight w:val="763"/>
        </w:trPr>
        <w:tc>
          <w:tcPr>
            <w:tcW w:w="809" w:type="pct"/>
            <w:vAlign w:val="center"/>
          </w:tcPr>
          <w:p w14:paraId="0D16273E" w14:textId="77777777" w:rsidR="00B05C86" w:rsidRPr="00593E9F" w:rsidRDefault="00B05C86" w:rsidP="009E2DEE">
            <w:pPr>
              <w:spacing w:line="240" w:lineRule="auto"/>
              <w:jc w:val="left"/>
              <w:rPr>
                <w:sz w:val="20"/>
                <w:szCs w:val="20"/>
              </w:rPr>
            </w:pPr>
            <w:r w:rsidRPr="00593E9F">
              <w:rPr>
                <w:b/>
                <w:bCs/>
                <w:sz w:val="20"/>
                <w:szCs w:val="20"/>
              </w:rPr>
              <w:t xml:space="preserve">QE23. </w:t>
            </w:r>
            <w:r w:rsidRPr="00593E9F">
              <w:rPr>
                <w:sz w:val="20"/>
                <w:szCs w:val="20"/>
              </w:rPr>
              <w:t>Dans quelle mesure les capacités des femmes et des jeunes filles ont</w:t>
            </w:r>
            <w:r w:rsidRPr="00593E9F">
              <w:rPr>
                <w:rFonts w:ascii="Cambria Math" w:hAnsi="Cambria Math" w:cs="Cambria Math"/>
                <w:sz w:val="20"/>
                <w:szCs w:val="20"/>
              </w:rPr>
              <w:t>‐</w:t>
            </w:r>
            <w:r w:rsidRPr="00593E9F">
              <w:rPr>
                <w:sz w:val="20"/>
                <w:szCs w:val="20"/>
              </w:rPr>
              <w:t xml:space="preserve">elles </w:t>
            </w:r>
            <w:r w:rsidRPr="00593E9F">
              <w:rPr>
                <w:rFonts w:cs="Century Gothic"/>
                <w:sz w:val="20"/>
                <w:szCs w:val="20"/>
              </w:rPr>
              <w:t>é</w:t>
            </w:r>
            <w:r w:rsidRPr="00593E9F">
              <w:rPr>
                <w:sz w:val="20"/>
                <w:szCs w:val="20"/>
              </w:rPr>
              <w:t>t</w:t>
            </w:r>
            <w:r w:rsidRPr="00593E9F">
              <w:rPr>
                <w:rFonts w:cs="Century Gothic"/>
                <w:sz w:val="20"/>
                <w:szCs w:val="20"/>
              </w:rPr>
              <w:t>é</w:t>
            </w:r>
            <w:r w:rsidRPr="00593E9F">
              <w:rPr>
                <w:sz w:val="20"/>
                <w:szCs w:val="20"/>
              </w:rPr>
              <w:t xml:space="preserve"> renforc</w:t>
            </w:r>
            <w:r w:rsidRPr="00593E9F">
              <w:rPr>
                <w:rFonts w:cs="Century Gothic"/>
                <w:sz w:val="20"/>
                <w:szCs w:val="20"/>
              </w:rPr>
              <w:t>é</w:t>
            </w:r>
            <w:r w:rsidRPr="00593E9F">
              <w:rPr>
                <w:sz w:val="20"/>
                <w:szCs w:val="20"/>
              </w:rPr>
              <w:t>es ?</w:t>
            </w:r>
          </w:p>
          <w:p w14:paraId="25EC287A" w14:textId="77777777" w:rsidR="00B05C86" w:rsidRPr="00593E9F" w:rsidRDefault="00B05C86" w:rsidP="009E2DEE">
            <w:pPr>
              <w:spacing w:line="240" w:lineRule="auto"/>
              <w:jc w:val="left"/>
              <w:rPr>
                <w:strike/>
                <w:sz w:val="20"/>
                <w:szCs w:val="20"/>
              </w:rPr>
            </w:pPr>
          </w:p>
        </w:tc>
        <w:tc>
          <w:tcPr>
            <w:tcW w:w="860" w:type="pct"/>
            <w:vAlign w:val="center"/>
          </w:tcPr>
          <w:p w14:paraId="6FD9979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Les femmes et les jeunes sont-ils en mesure de maintenir leur engagement et pérenniser les initiatives et acquis du projet à travers le renforcement de capacités ?</w:t>
            </w:r>
          </w:p>
        </w:tc>
        <w:tc>
          <w:tcPr>
            <w:tcW w:w="912" w:type="pct"/>
            <w:vAlign w:val="center"/>
          </w:tcPr>
          <w:p w14:paraId="0998D8A5"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Nombre de femmes et de jeunes filles renforcées </w:t>
            </w:r>
          </w:p>
          <w:p w14:paraId="47BBD755" w14:textId="532E66C5" w:rsidR="00B05C86" w:rsidRPr="00593E9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de thématique</w:t>
            </w:r>
            <w:r w:rsidR="00F34932">
              <w:rPr>
                <w:sz w:val="20"/>
                <w:szCs w:val="20"/>
              </w:rPr>
              <w:t>s</w:t>
            </w:r>
            <w:r w:rsidRPr="00071E0F">
              <w:rPr>
                <w:sz w:val="20"/>
                <w:szCs w:val="20"/>
              </w:rPr>
              <w:t xml:space="preserve"> de formation</w:t>
            </w:r>
          </w:p>
        </w:tc>
        <w:tc>
          <w:tcPr>
            <w:tcW w:w="911" w:type="pct"/>
            <w:vAlign w:val="center"/>
          </w:tcPr>
          <w:p w14:paraId="0C40A3D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26DAE97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373A6892"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56CA7EA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316ACAA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ign w:val="center"/>
          </w:tcPr>
          <w:p w14:paraId="68ED42A8"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764AEA8C" w14:textId="77777777" w:rsidTr="00B65C1B">
        <w:tc>
          <w:tcPr>
            <w:tcW w:w="809" w:type="pct"/>
            <w:vAlign w:val="center"/>
          </w:tcPr>
          <w:p w14:paraId="67C292B9" w14:textId="77777777" w:rsidR="00B05C86" w:rsidRPr="00593E9F" w:rsidRDefault="00B05C86" w:rsidP="009E2DEE">
            <w:pPr>
              <w:spacing w:line="240" w:lineRule="auto"/>
              <w:jc w:val="left"/>
              <w:rPr>
                <w:sz w:val="20"/>
                <w:szCs w:val="20"/>
              </w:rPr>
            </w:pPr>
            <w:r w:rsidRPr="00593E9F">
              <w:rPr>
                <w:b/>
                <w:bCs/>
                <w:sz w:val="20"/>
                <w:szCs w:val="20"/>
              </w:rPr>
              <w:t xml:space="preserve">QE24. </w:t>
            </w:r>
            <w:r w:rsidRPr="00593E9F">
              <w:rPr>
                <w:sz w:val="20"/>
                <w:szCs w:val="20"/>
              </w:rPr>
              <w:t>Dans quelle mesure est-il possible de procéder à un passage à l’échelle des stratégies et résultats du projet ?</w:t>
            </w:r>
          </w:p>
        </w:tc>
        <w:tc>
          <w:tcPr>
            <w:tcW w:w="860" w:type="pct"/>
            <w:vAlign w:val="center"/>
          </w:tcPr>
          <w:p w14:paraId="2E83B89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Quelles précautions prendre pour que la stratégie du projet puisse être utilisée à l'échelle nationale ou dans les zones frontalières ?</w:t>
            </w:r>
          </w:p>
        </w:tc>
        <w:tc>
          <w:tcPr>
            <w:tcW w:w="912" w:type="pct"/>
            <w:vAlign w:val="center"/>
          </w:tcPr>
          <w:p w14:paraId="0E4E7771" w14:textId="7C30F3BD"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Nombre de bonnes pratiques</w:t>
            </w:r>
            <w:r w:rsidR="00093805">
              <w:rPr>
                <w:sz w:val="20"/>
                <w:szCs w:val="20"/>
              </w:rPr>
              <w:t xml:space="preserve"> identifiées</w:t>
            </w:r>
          </w:p>
        </w:tc>
        <w:tc>
          <w:tcPr>
            <w:tcW w:w="911" w:type="pct"/>
            <w:vAlign w:val="center"/>
          </w:tcPr>
          <w:p w14:paraId="7348EF0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5007F774"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5CACF14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Départements Ministériels, </w:t>
            </w:r>
          </w:p>
          <w:p w14:paraId="71B156A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FDS &amp; ACP</w:t>
            </w:r>
          </w:p>
          <w:p w14:paraId="3B575742"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Autorités locales</w:t>
            </w:r>
          </w:p>
          <w:p w14:paraId="20BB572B"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Leaders communautaires</w:t>
            </w:r>
          </w:p>
          <w:p w14:paraId="4E0BDE7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38617C6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0EED5B3A"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ign w:val="center"/>
          </w:tcPr>
          <w:p w14:paraId="42D16635"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bookmarkEnd w:id="993"/>
    </w:tbl>
    <w:p w14:paraId="6F74FEFF" w14:textId="77777777" w:rsidR="00B05C86" w:rsidRPr="00B05C86" w:rsidRDefault="00B05C86" w:rsidP="00B05C86"/>
    <w:p w14:paraId="5E1AB652" w14:textId="77777777" w:rsidR="003C242D" w:rsidRPr="00CB02DB" w:rsidRDefault="003C242D" w:rsidP="003C242D"/>
    <w:p w14:paraId="0CE9C9E1" w14:textId="365CFCD4" w:rsidR="003C242D" w:rsidRDefault="00204D5F" w:rsidP="00204D5F">
      <w:pPr>
        <w:pStyle w:val="TM8"/>
      </w:pPr>
      <w:r w:rsidRPr="00AC5B8D">
        <w:t>Matrice d'évaluation du critère d'égalité des sexes</w:t>
      </w:r>
      <w:r>
        <w:t xml:space="preserve"> </w:t>
      </w:r>
      <w:r w:rsidRPr="00A40DA2">
        <w:t xml:space="preserve">et droits </w:t>
      </w:r>
      <w:r w:rsidR="003D6605" w:rsidRPr="00A40DA2">
        <w:t>humains</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3"/>
        <w:gridCol w:w="2561"/>
        <w:gridCol w:w="2563"/>
        <w:gridCol w:w="2398"/>
        <w:gridCol w:w="1978"/>
        <w:gridCol w:w="1969"/>
      </w:tblGrid>
      <w:tr w:rsidR="00F01CB8" w:rsidRPr="00B96884" w14:paraId="2F89F563" w14:textId="77777777" w:rsidTr="009E2DEE">
        <w:trPr>
          <w:tblHeader/>
        </w:trPr>
        <w:tc>
          <w:tcPr>
            <w:tcW w:w="902" w:type="pct"/>
            <w:shd w:val="clear" w:color="auto" w:fill="002060"/>
            <w:vAlign w:val="center"/>
          </w:tcPr>
          <w:p w14:paraId="66F94D31" w14:textId="77777777" w:rsidR="00B05C86" w:rsidRPr="00B96884" w:rsidRDefault="00B05C86" w:rsidP="009E2DEE">
            <w:pPr>
              <w:spacing w:before="0" w:after="0" w:line="240" w:lineRule="auto"/>
              <w:jc w:val="left"/>
              <w:rPr>
                <w:b/>
                <w:bCs/>
                <w:sz w:val="20"/>
                <w:szCs w:val="20"/>
              </w:rPr>
            </w:pPr>
            <w:bookmarkStart w:id="994" w:name="_Hlk86324100"/>
            <w:r w:rsidRPr="00B96884">
              <w:rPr>
                <w:b/>
                <w:bCs/>
                <w:sz w:val="20"/>
                <w:szCs w:val="20"/>
              </w:rPr>
              <w:t>Questions clés d’évaluation</w:t>
            </w:r>
          </w:p>
        </w:tc>
        <w:tc>
          <w:tcPr>
            <w:tcW w:w="915" w:type="pct"/>
            <w:shd w:val="clear" w:color="auto" w:fill="002060"/>
            <w:vAlign w:val="center"/>
          </w:tcPr>
          <w:p w14:paraId="05133F06" w14:textId="77777777" w:rsidR="00B05C86" w:rsidRPr="00B96884" w:rsidRDefault="00B05C86" w:rsidP="009E2DEE">
            <w:pPr>
              <w:spacing w:before="0" w:after="0" w:line="240" w:lineRule="auto"/>
              <w:jc w:val="left"/>
              <w:rPr>
                <w:b/>
                <w:bCs/>
                <w:sz w:val="20"/>
                <w:szCs w:val="20"/>
              </w:rPr>
            </w:pPr>
            <w:r w:rsidRPr="00B96884">
              <w:rPr>
                <w:b/>
                <w:bCs/>
                <w:sz w:val="20"/>
                <w:szCs w:val="20"/>
              </w:rPr>
              <w:t>Sous-questions</w:t>
            </w:r>
          </w:p>
        </w:tc>
        <w:tc>
          <w:tcPr>
            <w:tcW w:w="916" w:type="pct"/>
            <w:shd w:val="clear" w:color="auto" w:fill="002060"/>
            <w:vAlign w:val="center"/>
          </w:tcPr>
          <w:p w14:paraId="4E658413" w14:textId="77777777" w:rsidR="00B05C86" w:rsidRPr="00B96884" w:rsidRDefault="00B05C86" w:rsidP="009E2DEE">
            <w:pPr>
              <w:spacing w:before="0" w:after="0" w:line="240" w:lineRule="auto"/>
              <w:jc w:val="left"/>
              <w:rPr>
                <w:b/>
                <w:bCs/>
                <w:sz w:val="20"/>
                <w:szCs w:val="20"/>
              </w:rPr>
            </w:pPr>
            <w:r w:rsidRPr="00B96884">
              <w:rPr>
                <w:b/>
                <w:bCs/>
                <w:sz w:val="20"/>
                <w:szCs w:val="20"/>
              </w:rPr>
              <w:t>Indicateurs</w:t>
            </w:r>
          </w:p>
        </w:tc>
        <w:tc>
          <w:tcPr>
            <w:tcW w:w="857" w:type="pct"/>
            <w:shd w:val="clear" w:color="auto" w:fill="002060"/>
            <w:vAlign w:val="center"/>
          </w:tcPr>
          <w:p w14:paraId="27889DE7" w14:textId="77777777" w:rsidR="00B05C86" w:rsidRPr="00B96884" w:rsidRDefault="00B05C86" w:rsidP="009E2DEE">
            <w:pPr>
              <w:spacing w:before="0" w:after="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3F1E67F5" w14:textId="77777777" w:rsidR="00B05C86" w:rsidRPr="00B96884" w:rsidRDefault="00B05C86" w:rsidP="009E2DEE">
            <w:pPr>
              <w:spacing w:before="0" w:after="0" w:line="240" w:lineRule="auto"/>
              <w:jc w:val="left"/>
              <w:rPr>
                <w:b/>
                <w:bCs/>
                <w:sz w:val="20"/>
                <w:szCs w:val="20"/>
              </w:rPr>
            </w:pPr>
            <w:r w:rsidRPr="00B96884">
              <w:rPr>
                <w:b/>
                <w:bCs/>
                <w:sz w:val="20"/>
                <w:szCs w:val="20"/>
              </w:rPr>
              <w:t>Méthodes de collecte</w:t>
            </w:r>
          </w:p>
        </w:tc>
        <w:tc>
          <w:tcPr>
            <w:tcW w:w="704" w:type="pct"/>
            <w:shd w:val="clear" w:color="auto" w:fill="002060"/>
            <w:vAlign w:val="center"/>
          </w:tcPr>
          <w:p w14:paraId="0C86EEF5" w14:textId="77777777" w:rsidR="00B05C86" w:rsidRPr="00B96884" w:rsidRDefault="00B05C86" w:rsidP="009E2DEE">
            <w:pPr>
              <w:spacing w:before="0" w:after="0" w:line="240" w:lineRule="auto"/>
              <w:jc w:val="left"/>
              <w:rPr>
                <w:b/>
                <w:bCs/>
                <w:sz w:val="20"/>
                <w:szCs w:val="20"/>
              </w:rPr>
            </w:pPr>
            <w:r w:rsidRPr="00B96884">
              <w:rPr>
                <w:b/>
                <w:bCs/>
                <w:sz w:val="20"/>
                <w:szCs w:val="20"/>
              </w:rPr>
              <w:t>Hypothèses</w:t>
            </w:r>
          </w:p>
        </w:tc>
      </w:tr>
      <w:tr w:rsidR="00B05C86" w:rsidRPr="00B96884" w14:paraId="16D69649" w14:textId="77777777" w:rsidTr="00B65C1B">
        <w:tc>
          <w:tcPr>
            <w:tcW w:w="902" w:type="pct"/>
            <w:vAlign w:val="center"/>
          </w:tcPr>
          <w:p w14:paraId="5A979C46" w14:textId="4F0A1F6A" w:rsidR="00B05C86" w:rsidRPr="00B96884" w:rsidRDefault="000A3BC1" w:rsidP="009E2DEE">
            <w:pPr>
              <w:spacing w:before="0" w:after="0" w:line="240" w:lineRule="auto"/>
              <w:jc w:val="left"/>
              <w:rPr>
                <w:sz w:val="20"/>
                <w:szCs w:val="20"/>
              </w:rPr>
            </w:pPr>
            <w:r w:rsidRPr="000A3BC1">
              <w:rPr>
                <w:b/>
                <w:bCs/>
                <w:sz w:val="20"/>
                <w:szCs w:val="20"/>
              </w:rPr>
              <w:t>QE25 :</w:t>
            </w:r>
            <w:r>
              <w:rPr>
                <w:sz w:val="20"/>
                <w:szCs w:val="20"/>
              </w:rPr>
              <w:t xml:space="preserve"> </w:t>
            </w:r>
            <w:r w:rsidRPr="000A3BC1">
              <w:rPr>
                <w:sz w:val="20"/>
                <w:szCs w:val="20"/>
              </w:rPr>
              <w:t xml:space="preserve">Dans quelle mesure les considérations de droits </w:t>
            </w:r>
            <w:r w:rsidR="006B5BE6">
              <w:rPr>
                <w:sz w:val="20"/>
                <w:szCs w:val="20"/>
              </w:rPr>
              <w:t>humains</w:t>
            </w:r>
            <w:r w:rsidRPr="000A3BC1">
              <w:rPr>
                <w:sz w:val="20"/>
                <w:szCs w:val="20"/>
              </w:rPr>
              <w:t xml:space="preserve"> ont</w:t>
            </w:r>
            <w:r w:rsidRPr="000A3BC1">
              <w:rPr>
                <w:rFonts w:ascii="Cambria Math" w:hAnsi="Cambria Math" w:cs="Cambria Math"/>
                <w:sz w:val="20"/>
                <w:szCs w:val="20"/>
              </w:rPr>
              <w:t>‐</w:t>
            </w:r>
            <w:r w:rsidRPr="000A3BC1">
              <w:rPr>
                <w:sz w:val="20"/>
                <w:szCs w:val="20"/>
              </w:rPr>
              <w:t xml:space="preserve">elles </w:t>
            </w:r>
            <w:r w:rsidRPr="000A3BC1">
              <w:rPr>
                <w:rFonts w:cs="Century Gothic"/>
                <w:sz w:val="20"/>
                <w:szCs w:val="20"/>
              </w:rPr>
              <w:t>é</w:t>
            </w:r>
            <w:r w:rsidRPr="000A3BC1">
              <w:rPr>
                <w:sz w:val="20"/>
                <w:szCs w:val="20"/>
              </w:rPr>
              <w:t>t</w:t>
            </w:r>
            <w:r w:rsidRPr="000A3BC1">
              <w:rPr>
                <w:rFonts w:cs="Century Gothic"/>
                <w:sz w:val="20"/>
                <w:szCs w:val="20"/>
              </w:rPr>
              <w:t>é</w:t>
            </w:r>
            <w:r w:rsidRPr="000A3BC1">
              <w:rPr>
                <w:sz w:val="20"/>
                <w:szCs w:val="20"/>
              </w:rPr>
              <w:t xml:space="preserve"> int</w:t>
            </w:r>
            <w:r w:rsidRPr="000A3BC1">
              <w:rPr>
                <w:rFonts w:cs="Century Gothic"/>
                <w:sz w:val="20"/>
                <w:szCs w:val="20"/>
              </w:rPr>
              <w:t>é</w:t>
            </w:r>
            <w:r w:rsidRPr="000A3BC1">
              <w:rPr>
                <w:sz w:val="20"/>
                <w:szCs w:val="20"/>
              </w:rPr>
              <w:t>gr</w:t>
            </w:r>
            <w:r w:rsidRPr="000A3BC1">
              <w:rPr>
                <w:rFonts w:cs="Century Gothic"/>
                <w:sz w:val="20"/>
                <w:szCs w:val="20"/>
              </w:rPr>
              <w:t>é</w:t>
            </w:r>
            <w:r w:rsidRPr="000A3BC1">
              <w:rPr>
                <w:sz w:val="20"/>
                <w:szCs w:val="20"/>
              </w:rPr>
              <w:t xml:space="preserve">es dans la conception et la mise en </w:t>
            </w:r>
            <w:r w:rsidRPr="000A3BC1">
              <w:rPr>
                <w:rFonts w:cs="Century Gothic"/>
                <w:sz w:val="20"/>
                <w:szCs w:val="20"/>
              </w:rPr>
              <w:t>œ</w:t>
            </w:r>
            <w:r w:rsidRPr="000A3BC1">
              <w:rPr>
                <w:sz w:val="20"/>
                <w:szCs w:val="20"/>
              </w:rPr>
              <w:t>uvre du projet ?</w:t>
            </w:r>
          </w:p>
        </w:tc>
        <w:tc>
          <w:tcPr>
            <w:tcW w:w="915" w:type="pct"/>
            <w:vAlign w:val="center"/>
          </w:tcPr>
          <w:p w14:paraId="055303F2" w14:textId="0C604B75" w:rsidR="00B05C86" w:rsidRPr="00B96884" w:rsidRDefault="000A3BC1" w:rsidP="00DC4CE1">
            <w:pPr>
              <w:numPr>
                <w:ilvl w:val="0"/>
                <w:numId w:val="9"/>
              </w:numPr>
              <w:spacing w:before="0" w:after="0" w:line="240" w:lineRule="auto"/>
              <w:ind w:left="229" w:hanging="229"/>
              <w:contextualSpacing/>
              <w:jc w:val="left"/>
              <w:rPr>
                <w:sz w:val="20"/>
                <w:szCs w:val="20"/>
              </w:rPr>
            </w:pPr>
            <w:r>
              <w:rPr>
                <w:sz w:val="20"/>
                <w:szCs w:val="20"/>
              </w:rPr>
              <w:t>Est-ce que les activités du projet adressent-elles des réponses aux questions de droits humains ?</w:t>
            </w:r>
          </w:p>
        </w:tc>
        <w:tc>
          <w:tcPr>
            <w:tcW w:w="916" w:type="pct"/>
            <w:vAlign w:val="center"/>
          </w:tcPr>
          <w:p w14:paraId="5CCB1E93" w14:textId="20CF8417" w:rsidR="00B05C86" w:rsidRPr="00071E0F" w:rsidRDefault="006B5BE6" w:rsidP="00DC4CE1">
            <w:pPr>
              <w:numPr>
                <w:ilvl w:val="0"/>
                <w:numId w:val="9"/>
              </w:numPr>
              <w:spacing w:before="0" w:after="0" w:line="240" w:lineRule="auto"/>
              <w:ind w:left="229" w:hanging="229"/>
              <w:contextualSpacing/>
              <w:jc w:val="left"/>
              <w:rPr>
                <w:sz w:val="20"/>
                <w:szCs w:val="20"/>
              </w:rPr>
            </w:pPr>
            <w:r>
              <w:rPr>
                <w:sz w:val="20"/>
                <w:szCs w:val="20"/>
              </w:rPr>
              <w:t>Nombre de FDS et ACP qui affirment que les activités du projet ont un lien avec les questions des droits humains</w:t>
            </w:r>
          </w:p>
        </w:tc>
        <w:tc>
          <w:tcPr>
            <w:tcW w:w="857" w:type="pct"/>
            <w:vAlign w:val="center"/>
          </w:tcPr>
          <w:p w14:paraId="66FE8399"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D0B6EE8"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14709545" w14:textId="043520C4" w:rsidR="00B05C86" w:rsidRPr="00B96884" w:rsidRDefault="006B5BE6" w:rsidP="00DC4CE1">
            <w:pPr>
              <w:numPr>
                <w:ilvl w:val="0"/>
                <w:numId w:val="9"/>
              </w:numPr>
              <w:spacing w:before="0" w:after="0" w:line="240" w:lineRule="auto"/>
              <w:ind w:left="229" w:hanging="229"/>
              <w:contextualSpacing/>
              <w:jc w:val="left"/>
              <w:rPr>
                <w:sz w:val="20"/>
                <w:szCs w:val="20"/>
              </w:rPr>
            </w:pPr>
            <w:r>
              <w:rPr>
                <w:sz w:val="20"/>
                <w:szCs w:val="20"/>
              </w:rPr>
              <w:t>FDS et ACP</w:t>
            </w:r>
          </w:p>
        </w:tc>
        <w:tc>
          <w:tcPr>
            <w:tcW w:w="707" w:type="pct"/>
            <w:vAlign w:val="center"/>
          </w:tcPr>
          <w:p w14:paraId="19A03C18"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1E3F65F" w14:textId="332E2B61" w:rsidR="00B05C8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restart"/>
            <w:vAlign w:val="center"/>
          </w:tcPr>
          <w:p w14:paraId="116F588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77A5025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1057E41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0A3BC1" w:rsidRPr="00B96884" w14:paraId="08AD680B" w14:textId="77777777" w:rsidTr="00B65C1B">
        <w:tc>
          <w:tcPr>
            <w:tcW w:w="902" w:type="pct"/>
            <w:vAlign w:val="center"/>
          </w:tcPr>
          <w:p w14:paraId="6F1FAC31" w14:textId="7435A144" w:rsidR="000A3BC1" w:rsidRPr="00B96884" w:rsidRDefault="000A3BC1" w:rsidP="000A3BC1">
            <w:pPr>
              <w:spacing w:before="0" w:after="0" w:line="240" w:lineRule="auto"/>
              <w:jc w:val="left"/>
              <w:rPr>
                <w:b/>
                <w:bCs/>
                <w:sz w:val="20"/>
                <w:szCs w:val="20"/>
              </w:rPr>
            </w:pPr>
            <w:r w:rsidRPr="00B96884">
              <w:rPr>
                <w:b/>
                <w:bCs/>
                <w:sz w:val="20"/>
                <w:szCs w:val="20"/>
              </w:rPr>
              <w:t>QE2</w:t>
            </w:r>
            <w:r w:rsidR="00003946">
              <w:rPr>
                <w:b/>
                <w:bCs/>
                <w:sz w:val="20"/>
                <w:szCs w:val="20"/>
              </w:rPr>
              <w:t>6</w:t>
            </w:r>
            <w:r w:rsidRPr="00B96884">
              <w:rPr>
                <w:b/>
                <w:bCs/>
                <w:sz w:val="20"/>
                <w:szCs w:val="20"/>
              </w:rPr>
              <w:t xml:space="preserve">. </w:t>
            </w:r>
            <w:r w:rsidRPr="00B96884">
              <w:rPr>
                <w:sz w:val="20"/>
                <w:szCs w:val="20"/>
              </w:rPr>
              <w:t>La composition de l’équipe de gestion du programme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elle tenu compte de l</w:t>
            </w:r>
            <w:r w:rsidRPr="00B96884">
              <w:rPr>
                <w:rFonts w:cs="Century Gothic"/>
                <w:sz w:val="20"/>
                <w:szCs w:val="20"/>
              </w:rPr>
              <w:t>’é</w:t>
            </w:r>
            <w:r w:rsidRPr="00B96884">
              <w:rPr>
                <w:sz w:val="20"/>
                <w:szCs w:val="20"/>
              </w:rPr>
              <w:t>quilibre de genre ?</w:t>
            </w:r>
          </w:p>
        </w:tc>
        <w:tc>
          <w:tcPr>
            <w:tcW w:w="915" w:type="pct"/>
            <w:vAlign w:val="center"/>
          </w:tcPr>
          <w:p w14:paraId="2D1DC17F" w14:textId="1D07901D"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Combien de femmes compte l’équipe de gestion du projet ?</w:t>
            </w:r>
          </w:p>
        </w:tc>
        <w:tc>
          <w:tcPr>
            <w:tcW w:w="916" w:type="pct"/>
            <w:vAlign w:val="center"/>
          </w:tcPr>
          <w:p w14:paraId="6994FBFA" w14:textId="46306201" w:rsidR="000A3BC1" w:rsidRPr="00063711" w:rsidRDefault="000A3BC1" w:rsidP="00DC4CE1">
            <w:pPr>
              <w:numPr>
                <w:ilvl w:val="0"/>
                <w:numId w:val="9"/>
              </w:numPr>
              <w:spacing w:before="0" w:after="0" w:line="240" w:lineRule="auto"/>
              <w:ind w:left="229" w:hanging="229"/>
              <w:contextualSpacing/>
              <w:jc w:val="left"/>
              <w:rPr>
                <w:sz w:val="20"/>
                <w:szCs w:val="20"/>
              </w:rPr>
            </w:pPr>
            <w:r w:rsidRPr="00063711">
              <w:rPr>
                <w:sz w:val="20"/>
                <w:szCs w:val="20"/>
              </w:rPr>
              <w:t xml:space="preserve">Nombre de femmes dans l’équipe de gestion du projet </w:t>
            </w:r>
          </w:p>
        </w:tc>
        <w:tc>
          <w:tcPr>
            <w:tcW w:w="857" w:type="pct"/>
            <w:vAlign w:val="center"/>
          </w:tcPr>
          <w:p w14:paraId="492CA66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50F9197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7F536FE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3EF7EFA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139393AB" w14:textId="48B2405F"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95C60C3"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F94C58A" w14:textId="67F91A64"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296AFE6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085BFBEE" w14:textId="77777777" w:rsidTr="00B65C1B">
        <w:tc>
          <w:tcPr>
            <w:tcW w:w="902" w:type="pct"/>
            <w:vAlign w:val="center"/>
          </w:tcPr>
          <w:p w14:paraId="41502405" w14:textId="573EBFD7" w:rsidR="000A3BC1" w:rsidRPr="00B96884" w:rsidRDefault="000A3BC1" w:rsidP="000A3BC1">
            <w:pPr>
              <w:spacing w:before="0" w:after="0" w:line="240" w:lineRule="auto"/>
              <w:jc w:val="left"/>
              <w:rPr>
                <w:b/>
                <w:bCs/>
                <w:sz w:val="20"/>
                <w:szCs w:val="20"/>
              </w:rPr>
            </w:pPr>
            <w:r w:rsidRPr="00B96884">
              <w:rPr>
                <w:b/>
                <w:bCs/>
                <w:sz w:val="20"/>
                <w:szCs w:val="20"/>
              </w:rPr>
              <w:t>QE2</w:t>
            </w:r>
            <w:r w:rsidR="00003946">
              <w:rPr>
                <w:b/>
                <w:bCs/>
                <w:sz w:val="20"/>
                <w:szCs w:val="20"/>
              </w:rPr>
              <w:t>7</w:t>
            </w:r>
            <w:r w:rsidRPr="00B96884">
              <w:rPr>
                <w:b/>
                <w:bCs/>
                <w:sz w:val="20"/>
                <w:szCs w:val="20"/>
              </w:rPr>
              <w:t xml:space="preserve">. </w:t>
            </w:r>
            <w:r w:rsidRPr="00B96884">
              <w:rPr>
                <w:sz w:val="20"/>
                <w:szCs w:val="20"/>
              </w:rPr>
              <w:t>Les rapports de suivi du projet montrent</w:t>
            </w:r>
            <w:r w:rsidRPr="00B96884">
              <w:rPr>
                <w:rFonts w:ascii="Cambria Math" w:hAnsi="Cambria Math" w:cs="Cambria Math"/>
                <w:sz w:val="20"/>
                <w:szCs w:val="20"/>
              </w:rPr>
              <w:t>‐</w:t>
            </w:r>
            <w:r w:rsidRPr="00B96884">
              <w:rPr>
                <w:sz w:val="20"/>
                <w:szCs w:val="20"/>
              </w:rPr>
              <w:t>ils clairement les r</w:t>
            </w:r>
            <w:r w:rsidRPr="00B96884">
              <w:rPr>
                <w:rFonts w:cs="Century Gothic"/>
                <w:sz w:val="20"/>
                <w:szCs w:val="20"/>
              </w:rPr>
              <w:t>é</w:t>
            </w:r>
            <w:r w:rsidRPr="00B96884">
              <w:rPr>
                <w:sz w:val="20"/>
                <w:szCs w:val="20"/>
              </w:rPr>
              <w:t>sultats sp</w:t>
            </w:r>
            <w:r w:rsidRPr="00B96884">
              <w:rPr>
                <w:rFonts w:cs="Century Gothic"/>
                <w:sz w:val="20"/>
                <w:szCs w:val="20"/>
              </w:rPr>
              <w:t>é</w:t>
            </w:r>
            <w:r w:rsidRPr="00B96884">
              <w:rPr>
                <w:sz w:val="20"/>
                <w:szCs w:val="20"/>
              </w:rPr>
              <w:t>cifiques sur les femmes et les hommes ?</w:t>
            </w:r>
          </w:p>
        </w:tc>
        <w:tc>
          <w:tcPr>
            <w:tcW w:w="915" w:type="pct"/>
            <w:vAlign w:val="center"/>
          </w:tcPr>
          <w:p w14:paraId="3A82A1D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 dispositif de S&amp;E a-t-il permis la désagrégation des résultats par sexe ?</w:t>
            </w:r>
          </w:p>
        </w:tc>
        <w:tc>
          <w:tcPr>
            <w:tcW w:w="916" w:type="pct"/>
            <w:vAlign w:val="center"/>
          </w:tcPr>
          <w:p w14:paraId="4086AC23" w14:textId="502E5CD9" w:rsidR="000A3BC1" w:rsidRPr="00063711" w:rsidRDefault="000A3BC1" w:rsidP="00DC4CE1">
            <w:pPr>
              <w:numPr>
                <w:ilvl w:val="0"/>
                <w:numId w:val="9"/>
              </w:numPr>
              <w:spacing w:before="0" w:after="0" w:line="240" w:lineRule="auto"/>
              <w:ind w:left="229" w:hanging="229"/>
              <w:contextualSpacing/>
              <w:jc w:val="left"/>
              <w:rPr>
                <w:sz w:val="20"/>
                <w:szCs w:val="20"/>
              </w:rPr>
            </w:pPr>
            <w:r w:rsidRPr="00063711">
              <w:rPr>
                <w:sz w:val="20"/>
                <w:szCs w:val="20"/>
              </w:rPr>
              <w:t xml:space="preserve">Proportion des indicateurs du projet désagrégés par sexe </w:t>
            </w:r>
          </w:p>
        </w:tc>
        <w:tc>
          <w:tcPr>
            <w:tcW w:w="857" w:type="pct"/>
            <w:vAlign w:val="center"/>
          </w:tcPr>
          <w:p w14:paraId="0986930F"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0AC45FD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2A9DC08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00F0CE53"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127E54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62928A5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AD1F28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5351E8C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1B23059D" w14:textId="77777777" w:rsidTr="00B65C1B">
        <w:tc>
          <w:tcPr>
            <w:tcW w:w="902" w:type="pct"/>
            <w:vAlign w:val="center"/>
          </w:tcPr>
          <w:p w14:paraId="4BDC8093" w14:textId="0CF8E97B" w:rsidR="000A3BC1" w:rsidRPr="00B96884" w:rsidRDefault="000A3BC1" w:rsidP="000A3BC1">
            <w:pPr>
              <w:spacing w:before="0" w:after="0" w:line="240" w:lineRule="auto"/>
              <w:jc w:val="left"/>
              <w:rPr>
                <w:b/>
                <w:bCs/>
                <w:sz w:val="20"/>
                <w:szCs w:val="20"/>
              </w:rPr>
            </w:pPr>
            <w:r w:rsidRPr="00B96884">
              <w:rPr>
                <w:rFonts w:eastAsia="ヒラギノ角ゴ Pro W3" w:cs="Tahoma"/>
                <w:b/>
                <w:bCs/>
                <w:sz w:val="20"/>
                <w:szCs w:val="20"/>
              </w:rPr>
              <w:t>QE</w:t>
            </w:r>
            <w:r>
              <w:rPr>
                <w:rFonts w:eastAsia="ヒラギノ角ゴ Pro W3" w:cs="Tahoma"/>
                <w:b/>
                <w:bCs/>
                <w:sz w:val="20"/>
                <w:szCs w:val="20"/>
              </w:rPr>
              <w:t>2</w:t>
            </w:r>
            <w:r w:rsidR="00003946">
              <w:rPr>
                <w:rFonts w:eastAsia="ヒラギノ角ゴ Pro W3" w:cs="Tahoma"/>
                <w:b/>
                <w:bCs/>
                <w:sz w:val="20"/>
                <w:szCs w:val="20"/>
              </w:rPr>
              <w:t>8</w:t>
            </w:r>
            <w:r w:rsidRPr="00B96884">
              <w:rPr>
                <w:rFonts w:eastAsia="ヒラギノ角ゴ Pro W3" w:cs="Tahoma"/>
                <w:sz w:val="20"/>
                <w:szCs w:val="20"/>
              </w:rPr>
              <w:t> :</w:t>
            </w:r>
            <w:r w:rsidRPr="00B96884">
              <w:rPr>
                <w:rFonts w:cs="Tahoma"/>
                <w:sz w:val="20"/>
                <w:szCs w:val="20"/>
              </w:rPr>
              <w:t> Quels ont été les principaux progrès en faveur de l’intégration des femmes et des jeunes dans les mécanismes communautaires de prévention et gestion de conflits locaux et transfrontaliers ? </w:t>
            </w:r>
          </w:p>
        </w:tc>
        <w:tc>
          <w:tcPr>
            <w:tcW w:w="915" w:type="pct"/>
            <w:vAlign w:val="center"/>
          </w:tcPr>
          <w:p w14:paraId="653D5A3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Quels sont les progrès liés à l’intégration des femmes et des jeunes dans les </w:t>
            </w:r>
            <w:r w:rsidRPr="00B96884">
              <w:rPr>
                <w:rFonts w:cs="Tahoma"/>
                <w:sz w:val="20"/>
                <w:szCs w:val="20"/>
              </w:rPr>
              <w:t>mécanismes communautaires ?</w:t>
            </w:r>
          </w:p>
        </w:tc>
        <w:tc>
          <w:tcPr>
            <w:tcW w:w="916" w:type="pct"/>
            <w:vAlign w:val="center"/>
          </w:tcPr>
          <w:p w14:paraId="7DBA2559"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5" w:name="_Hlk76562188"/>
            <w:r w:rsidRPr="00071E0F">
              <w:rPr>
                <w:sz w:val="20"/>
                <w:szCs w:val="20"/>
              </w:rPr>
              <w:t xml:space="preserve">Nombre de progrès liés à l’intégration des femmes et des jeunes dans les </w:t>
            </w:r>
            <w:r w:rsidRPr="00071E0F">
              <w:rPr>
                <w:rFonts w:cs="Tahoma"/>
                <w:sz w:val="20"/>
                <w:szCs w:val="20"/>
              </w:rPr>
              <w:t>mécanismes communautaires </w:t>
            </w:r>
            <w:bookmarkEnd w:id="995"/>
          </w:p>
        </w:tc>
        <w:tc>
          <w:tcPr>
            <w:tcW w:w="857" w:type="pct"/>
            <w:vAlign w:val="center"/>
          </w:tcPr>
          <w:p w14:paraId="6937CAD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1C6D1ED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21446F8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59765C1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2CB7A8F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1CDAA21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0A891E5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495D4B6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255DC0" w14:paraId="50D74B6D" w14:textId="77777777" w:rsidTr="00B65C1B">
        <w:tc>
          <w:tcPr>
            <w:tcW w:w="902" w:type="pct"/>
            <w:vAlign w:val="center"/>
          </w:tcPr>
          <w:p w14:paraId="299B254A" w14:textId="5E75067B" w:rsidR="000A3BC1" w:rsidRPr="00255DC0" w:rsidRDefault="000A3BC1" w:rsidP="000A3BC1">
            <w:pPr>
              <w:spacing w:before="0" w:after="0" w:line="240" w:lineRule="auto"/>
              <w:jc w:val="left"/>
              <w:rPr>
                <w:b/>
                <w:bCs/>
                <w:sz w:val="20"/>
                <w:szCs w:val="20"/>
              </w:rPr>
            </w:pPr>
            <w:r w:rsidRPr="00255DC0">
              <w:rPr>
                <w:b/>
                <w:bCs/>
                <w:sz w:val="20"/>
                <w:szCs w:val="20"/>
              </w:rPr>
              <w:t>QE2</w:t>
            </w:r>
            <w:r w:rsidR="00003946">
              <w:rPr>
                <w:b/>
                <w:bCs/>
                <w:sz w:val="20"/>
                <w:szCs w:val="20"/>
              </w:rPr>
              <w:t>9</w:t>
            </w:r>
            <w:r w:rsidRPr="00255DC0">
              <w:rPr>
                <w:b/>
                <w:bCs/>
                <w:sz w:val="20"/>
                <w:szCs w:val="20"/>
              </w:rPr>
              <w:t xml:space="preserve">. </w:t>
            </w:r>
            <w:r w:rsidRPr="00255DC0">
              <w:rPr>
                <w:sz w:val="20"/>
                <w:szCs w:val="20"/>
              </w:rPr>
              <w:t>Quel a été le rôle des femmes affectées par les conflits dans les initiatives communautaires de paix ?</w:t>
            </w:r>
          </w:p>
        </w:tc>
        <w:tc>
          <w:tcPr>
            <w:tcW w:w="915" w:type="pct"/>
            <w:vAlign w:val="center"/>
          </w:tcPr>
          <w:p w14:paraId="3FF245C6" w14:textId="2603DA85"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 xml:space="preserve">Quel a été le rôle </w:t>
            </w:r>
            <w:r>
              <w:rPr>
                <w:sz w:val="20"/>
                <w:szCs w:val="20"/>
              </w:rPr>
              <w:t xml:space="preserve">des </w:t>
            </w:r>
            <w:r w:rsidRPr="00255DC0">
              <w:rPr>
                <w:sz w:val="20"/>
                <w:szCs w:val="20"/>
              </w:rPr>
              <w:t>femmes affectées dans la préparation, la mise en œuvre des initiatives communautaires de paix ?</w:t>
            </w:r>
          </w:p>
        </w:tc>
        <w:tc>
          <w:tcPr>
            <w:tcW w:w="916" w:type="pct"/>
            <w:vAlign w:val="center"/>
          </w:tcPr>
          <w:p w14:paraId="4C6B981E" w14:textId="5EC0DF8B"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Témoignages ou histoire</w:t>
            </w:r>
            <w:r>
              <w:rPr>
                <w:sz w:val="20"/>
                <w:szCs w:val="20"/>
              </w:rPr>
              <w:t>s</w:t>
            </w:r>
            <w:r w:rsidRPr="00255DC0">
              <w:rPr>
                <w:sz w:val="20"/>
                <w:szCs w:val="20"/>
              </w:rPr>
              <w:t xml:space="preserve"> de vie des rôles des femmes affectées</w:t>
            </w:r>
          </w:p>
        </w:tc>
        <w:tc>
          <w:tcPr>
            <w:tcW w:w="857" w:type="pct"/>
            <w:vAlign w:val="center"/>
          </w:tcPr>
          <w:p w14:paraId="56B792E9"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Document de projet</w:t>
            </w:r>
          </w:p>
          <w:p w14:paraId="5B8BD095"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Rapports d’activités</w:t>
            </w:r>
          </w:p>
          <w:p w14:paraId="1DCDB91A"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Equipe projet</w:t>
            </w:r>
          </w:p>
          <w:p w14:paraId="7842CD2B"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Leaders communautaires</w:t>
            </w:r>
          </w:p>
          <w:p w14:paraId="35C5E9B3"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Femmes &amp; jeunes</w:t>
            </w:r>
          </w:p>
        </w:tc>
        <w:tc>
          <w:tcPr>
            <w:tcW w:w="707" w:type="pct"/>
            <w:vAlign w:val="center"/>
          </w:tcPr>
          <w:p w14:paraId="04A35445"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Revue documentaire</w:t>
            </w:r>
          </w:p>
          <w:p w14:paraId="08E47F2F"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Entrevues directes ou à distance</w:t>
            </w:r>
          </w:p>
        </w:tc>
        <w:tc>
          <w:tcPr>
            <w:tcW w:w="704" w:type="pct"/>
            <w:vMerge/>
            <w:vAlign w:val="center"/>
          </w:tcPr>
          <w:p w14:paraId="40EFF6AE" w14:textId="77777777" w:rsidR="000A3BC1" w:rsidRPr="00255DC0"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3673018D" w14:textId="77777777" w:rsidTr="00B65C1B">
        <w:tc>
          <w:tcPr>
            <w:tcW w:w="902" w:type="pct"/>
            <w:vAlign w:val="center"/>
          </w:tcPr>
          <w:p w14:paraId="6E7562BF" w14:textId="46938384" w:rsidR="000A3BC1" w:rsidRPr="00B96884" w:rsidRDefault="000A3BC1" w:rsidP="000A3BC1">
            <w:pPr>
              <w:spacing w:before="0" w:after="0" w:line="240" w:lineRule="auto"/>
              <w:jc w:val="left"/>
              <w:rPr>
                <w:b/>
                <w:bCs/>
                <w:sz w:val="20"/>
                <w:szCs w:val="20"/>
              </w:rPr>
            </w:pPr>
            <w:r w:rsidRPr="00B96884">
              <w:rPr>
                <w:b/>
                <w:bCs/>
                <w:sz w:val="20"/>
                <w:szCs w:val="20"/>
              </w:rPr>
              <w:t>QE</w:t>
            </w:r>
            <w:r w:rsidR="00003946">
              <w:rPr>
                <w:b/>
                <w:bCs/>
                <w:sz w:val="20"/>
                <w:szCs w:val="20"/>
              </w:rPr>
              <w:t>30</w:t>
            </w:r>
            <w:r w:rsidRPr="00B96884">
              <w:rPr>
                <w:b/>
                <w:bCs/>
                <w:sz w:val="20"/>
                <w:szCs w:val="20"/>
              </w:rPr>
              <w:t xml:space="preserve">. </w:t>
            </w:r>
            <w:r w:rsidRPr="00B96884">
              <w:rPr>
                <w:sz w:val="20"/>
                <w:szCs w:val="20"/>
              </w:rPr>
              <w:t>De quelle manière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contribu</w:t>
            </w:r>
            <w:r w:rsidRPr="00B96884">
              <w:rPr>
                <w:rFonts w:cs="Century Gothic"/>
                <w:sz w:val="20"/>
                <w:szCs w:val="20"/>
              </w:rPr>
              <w:t>é</w:t>
            </w:r>
            <w:r w:rsidRPr="00B96884">
              <w:rPr>
                <w:sz w:val="20"/>
                <w:szCs w:val="20"/>
              </w:rPr>
              <w:t xml:space="preserve"> </w:t>
            </w:r>
            <w:r w:rsidRPr="00B96884">
              <w:rPr>
                <w:rFonts w:cs="Century Gothic"/>
                <w:sz w:val="20"/>
                <w:szCs w:val="20"/>
              </w:rPr>
              <w:t>à</w:t>
            </w:r>
            <w:r w:rsidRPr="00B96884">
              <w:rPr>
                <w:sz w:val="20"/>
                <w:szCs w:val="20"/>
              </w:rPr>
              <w:t xml:space="preserve"> </w:t>
            </w:r>
            <w:r>
              <w:rPr>
                <w:sz w:val="20"/>
                <w:szCs w:val="20"/>
              </w:rPr>
              <w:t>la</w:t>
            </w:r>
            <w:r w:rsidRPr="00B96884">
              <w:rPr>
                <w:sz w:val="20"/>
                <w:szCs w:val="20"/>
              </w:rPr>
              <w:t xml:space="preserve"> prise en compte des priorit</w:t>
            </w:r>
            <w:r w:rsidRPr="00B96884">
              <w:rPr>
                <w:rFonts w:cs="Century Gothic"/>
                <w:sz w:val="20"/>
                <w:szCs w:val="20"/>
              </w:rPr>
              <w:t>é</w:t>
            </w:r>
            <w:r w:rsidRPr="00B96884">
              <w:rPr>
                <w:sz w:val="20"/>
                <w:szCs w:val="20"/>
              </w:rPr>
              <w:t>s des femmes et des jeunes dans les mécanismes communautaires ?</w:t>
            </w:r>
          </w:p>
        </w:tc>
        <w:tc>
          <w:tcPr>
            <w:tcW w:w="915" w:type="pct"/>
            <w:vAlign w:val="center"/>
          </w:tcPr>
          <w:p w14:paraId="285A248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Quelles sont les approches ou méthodes du projet de prise en compte des femmes et </w:t>
            </w:r>
            <w:r>
              <w:rPr>
                <w:sz w:val="20"/>
                <w:szCs w:val="20"/>
              </w:rPr>
              <w:t>d</w:t>
            </w:r>
            <w:r w:rsidRPr="00B96884">
              <w:rPr>
                <w:sz w:val="20"/>
                <w:szCs w:val="20"/>
              </w:rPr>
              <w:t>es jeunes dans les mécanismes communautaires ?</w:t>
            </w:r>
          </w:p>
        </w:tc>
        <w:tc>
          <w:tcPr>
            <w:tcW w:w="916" w:type="pct"/>
            <w:vAlign w:val="center"/>
          </w:tcPr>
          <w:p w14:paraId="25386C05"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6" w:name="_Hlk76562204"/>
            <w:r w:rsidRPr="00071E0F">
              <w:rPr>
                <w:sz w:val="20"/>
                <w:szCs w:val="20"/>
              </w:rPr>
              <w:t>Approches (description</w:t>
            </w:r>
            <w:r w:rsidRPr="00071E0F">
              <w:rPr>
                <w:rStyle w:val="Appelnotedebasdep"/>
                <w:sz w:val="20"/>
                <w:szCs w:val="20"/>
              </w:rPr>
              <w:footnoteReference w:id="44"/>
            </w:r>
            <w:r w:rsidRPr="00071E0F">
              <w:rPr>
                <w:sz w:val="20"/>
                <w:szCs w:val="20"/>
              </w:rPr>
              <w:t>) du projet de prise en compte des priorités des femmes et des jeunes</w:t>
            </w:r>
            <w:bookmarkEnd w:id="996"/>
          </w:p>
        </w:tc>
        <w:tc>
          <w:tcPr>
            <w:tcW w:w="857" w:type="pct"/>
            <w:vAlign w:val="center"/>
          </w:tcPr>
          <w:p w14:paraId="0094C3E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Document de projet</w:t>
            </w:r>
          </w:p>
          <w:p w14:paraId="662C1E5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45954DB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0BD2734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239DBE9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5A679F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0EA2701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08B22CF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43E62963" w14:textId="77777777" w:rsidTr="00B65C1B">
        <w:tc>
          <w:tcPr>
            <w:tcW w:w="902" w:type="pct"/>
            <w:vAlign w:val="center"/>
          </w:tcPr>
          <w:p w14:paraId="750F5C8E" w14:textId="5E577FB1" w:rsidR="000A3BC1" w:rsidRPr="00B96884" w:rsidRDefault="000A3BC1" w:rsidP="000A3BC1">
            <w:pPr>
              <w:spacing w:before="0" w:after="0" w:line="240" w:lineRule="auto"/>
              <w:jc w:val="left"/>
              <w:rPr>
                <w:sz w:val="20"/>
                <w:szCs w:val="20"/>
              </w:rPr>
            </w:pPr>
            <w:r w:rsidRPr="00B96884">
              <w:rPr>
                <w:b/>
                <w:bCs/>
                <w:sz w:val="20"/>
                <w:szCs w:val="20"/>
              </w:rPr>
              <w:t>QE3</w:t>
            </w:r>
            <w:r w:rsidR="00003946">
              <w:rPr>
                <w:b/>
                <w:bCs/>
                <w:sz w:val="20"/>
                <w:szCs w:val="20"/>
              </w:rPr>
              <w:t>1</w:t>
            </w:r>
            <w:r w:rsidRPr="00B96884">
              <w:rPr>
                <w:b/>
                <w:bCs/>
                <w:sz w:val="20"/>
                <w:szCs w:val="20"/>
              </w:rPr>
              <w:t xml:space="preserve">. </w:t>
            </w:r>
            <w:r w:rsidRPr="00B96884">
              <w:rPr>
                <w:sz w:val="20"/>
                <w:szCs w:val="20"/>
              </w:rPr>
              <w:t>Quelles ont été les principales initiatives menées par les autorités du Mali et du Niger pour accompagner les initiatives communautaires inclusives de paix et de cohésion sociale ?</w:t>
            </w:r>
          </w:p>
        </w:tc>
        <w:tc>
          <w:tcPr>
            <w:tcW w:w="915" w:type="pct"/>
            <w:vAlign w:val="center"/>
          </w:tcPr>
          <w:p w14:paraId="695EA7B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les principales initiatives menées par les autorités du Mali et du Niger pour accompagner les initiatives communautaires inclusives de paix et de cohésion sociale ?</w:t>
            </w:r>
          </w:p>
        </w:tc>
        <w:tc>
          <w:tcPr>
            <w:tcW w:w="916" w:type="pct"/>
            <w:vAlign w:val="center"/>
          </w:tcPr>
          <w:p w14:paraId="6F555306"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7" w:name="_Hlk76562215"/>
            <w:r w:rsidRPr="00071E0F">
              <w:rPr>
                <w:sz w:val="20"/>
                <w:szCs w:val="20"/>
              </w:rPr>
              <w:t xml:space="preserve">Nombre et natures des initiatives entreprises par les autorités du Mali et du Niger pour accompagner les initiatives communautaires </w:t>
            </w:r>
            <w:bookmarkEnd w:id="997"/>
            <w:r w:rsidRPr="00071E0F">
              <w:rPr>
                <w:sz w:val="20"/>
                <w:szCs w:val="20"/>
              </w:rPr>
              <w:t>inclusives de paix et de cohésion sociale</w:t>
            </w:r>
          </w:p>
        </w:tc>
        <w:tc>
          <w:tcPr>
            <w:tcW w:w="857" w:type="pct"/>
            <w:vAlign w:val="center"/>
          </w:tcPr>
          <w:p w14:paraId="375EFFD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5288F1D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w:t>
            </w:r>
          </w:p>
          <w:p w14:paraId="6AB24A5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54DB2D98"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Leaders Communautaires </w:t>
            </w:r>
          </w:p>
          <w:p w14:paraId="7771045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Femmes et jeunes </w:t>
            </w:r>
          </w:p>
        </w:tc>
        <w:tc>
          <w:tcPr>
            <w:tcW w:w="707" w:type="pct"/>
            <w:vAlign w:val="center"/>
          </w:tcPr>
          <w:p w14:paraId="45BFB16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605A0BF"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00F4A18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1A3AAEA5" w14:textId="77777777" w:rsidTr="00B65C1B">
        <w:tc>
          <w:tcPr>
            <w:tcW w:w="902" w:type="pct"/>
            <w:vMerge w:val="restart"/>
            <w:vAlign w:val="center"/>
          </w:tcPr>
          <w:p w14:paraId="6FCE9746" w14:textId="45508538" w:rsidR="000A3BC1" w:rsidRPr="00B96884" w:rsidRDefault="000A3BC1" w:rsidP="000A3BC1">
            <w:pPr>
              <w:spacing w:before="0" w:after="0" w:line="240" w:lineRule="auto"/>
              <w:jc w:val="left"/>
              <w:rPr>
                <w:sz w:val="20"/>
                <w:szCs w:val="20"/>
              </w:rPr>
            </w:pPr>
            <w:r w:rsidRPr="00B96884">
              <w:rPr>
                <w:b/>
                <w:bCs/>
                <w:sz w:val="20"/>
                <w:szCs w:val="20"/>
              </w:rPr>
              <w:t>QE3</w:t>
            </w:r>
            <w:r w:rsidR="00003946">
              <w:rPr>
                <w:b/>
                <w:bCs/>
                <w:sz w:val="20"/>
                <w:szCs w:val="20"/>
              </w:rPr>
              <w:t>2</w:t>
            </w:r>
            <w:r w:rsidRPr="00B96884">
              <w:rPr>
                <w:b/>
                <w:bCs/>
                <w:sz w:val="20"/>
                <w:szCs w:val="20"/>
              </w:rPr>
              <w:t xml:space="preserve">. </w:t>
            </w:r>
            <w:r w:rsidRPr="00B96884">
              <w:rPr>
                <w:sz w:val="20"/>
                <w:szCs w:val="20"/>
              </w:rPr>
              <w:t>De quelle manière les autorités du Mali et du Niger ont intégré les besoins et intérêts des femmes dans les plans locaux de sécurité et de protection ?</w:t>
            </w:r>
          </w:p>
        </w:tc>
        <w:tc>
          <w:tcPr>
            <w:tcW w:w="915" w:type="pct"/>
            <w:vAlign w:val="center"/>
          </w:tcPr>
          <w:p w14:paraId="638E5BB4" w14:textId="77777777" w:rsidR="000A3BC1" w:rsidRPr="00B96884" w:rsidRDefault="000A3BC1" w:rsidP="00DC4CE1">
            <w:pPr>
              <w:numPr>
                <w:ilvl w:val="0"/>
                <w:numId w:val="9"/>
              </w:numPr>
              <w:spacing w:line="240" w:lineRule="auto"/>
              <w:jc w:val="left"/>
              <w:rPr>
                <w:rFonts w:eastAsia="Calibri" w:cs="Times New Roman"/>
                <w:sz w:val="20"/>
                <w:szCs w:val="20"/>
              </w:rPr>
            </w:pPr>
            <w:r w:rsidRPr="00B96884">
              <w:rPr>
                <w:sz w:val="20"/>
                <w:szCs w:val="20"/>
              </w:rPr>
              <w:t xml:space="preserve">Les </w:t>
            </w:r>
            <w:r w:rsidRPr="00B96884">
              <w:rPr>
                <w:rFonts w:eastAsia="Calibri" w:cs="Times New Roman"/>
                <w:sz w:val="20"/>
                <w:szCs w:val="20"/>
              </w:rPr>
              <w:t xml:space="preserve">plans locaux de sécurité et de protection </w:t>
            </w:r>
            <w:r w:rsidRPr="00B96884">
              <w:rPr>
                <w:sz w:val="20"/>
                <w:szCs w:val="20"/>
              </w:rPr>
              <w:t>prévoient-elles des dispositions spéciales pour les femmes ?</w:t>
            </w:r>
          </w:p>
        </w:tc>
        <w:tc>
          <w:tcPr>
            <w:tcW w:w="916" w:type="pct"/>
            <w:vAlign w:val="center"/>
          </w:tcPr>
          <w:p w14:paraId="6760EB38" w14:textId="77777777" w:rsidR="000A3BC1" w:rsidRPr="00071E0F"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Existence (oui ou non) dans les plans locaux d’actions spécifiques au profit des femmes et des jeunes dans les mécanismes locaux</w:t>
            </w:r>
            <w:r w:rsidRPr="00071E0F">
              <w:rPr>
                <w:sz w:val="20"/>
                <w:szCs w:val="20"/>
              </w:rPr>
              <w:t> </w:t>
            </w:r>
          </w:p>
        </w:tc>
        <w:tc>
          <w:tcPr>
            <w:tcW w:w="857" w:type="pct"/>
            <w:vMerge w:val="restart"/>
            <w:vAlign w:val="center"/>
          </w:tcPr>
          <w:p w14:paraId="0C2CB39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Plans locaux</w:t>
            </w:r>
          </w:p>
          <w:p w14:paraId="29F25F1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des collectivités</w:t>
            </w:r>
          </w:p>
          <w:p w14:paraId="5236571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09B7B22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673A166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A7A228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tc>
        <w:tc>
          <w:tcPr>
            <w:tcW w:w="707" w:type="pct"/>
            <w:vMerge w:val="restart"/>
            <w:vAlign w:val="center"/>
          </w:tcPr>
          <w:p w14:paraId="7A8C000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7E98B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0590AC9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6EB27A01" w14:textId="77777777" w:rsidTr="00B65C1B">
        <w:tc>
          <w:tcPr>
            <w:tcW w:w="902" w:type="pct"/>
            <w:vMerge/>
            <w:vAlign w:val="center"/>
          </w:tcPr>
          <w:p w14:paraId="584ABED7" w14:textId="77777777" w:rsidR="000A3BC1" w:rsidRPr="00B96884" w:rsidRDefault="000A3BC1" w:rsidP="000A3BC1">
            <w:pPr>
              <w:spacing w:before="0" w:after="0" w:line="240" w:lineRule="auto"/>
              <w:jc w:val="left"/>
              <w:rPr>
                <w:b/>
                <w:bCs/>
                <w:sz w:val="20"/>
                <w:szCs w:val="20"/>
              </w:rPr>
            </w:pPr>
          </w:p>
        </w:tc>
        <w:tc>
          <w:tcPr>
            <w:tcW w:w="915" w:type="pct"/>
            <w:vAlign w:val="center"/>
          </w:tcPr>
          <w:p w14:paraId="46882236" w14:textId="77777777" w:rsidR="000A3BC1" w:rsidRPr="00B96884" w:rsidRDefault="000A3BC1" w:rsidP="00DC4CE1">
            <w:pPr>
              <w:numPr>
                <w:ilvl w:val="0"/>
                <w:numId w:val="9"/>
              </w:numPr>
              <w:spacing w:line="240" w:lineRule="auto"/>
              <w:jc w:val="left"/>
              <w:rPr>
                <w:sz w:val="20"/>
                <w:szCs w:val="20"/>
              </w:rPr>
            </w:pPr>
            <w:r w:rsidRPr="00B96884">
              <w:rPr>
                <w:sz w:val="20"/>
                <w:szCs w:val="20"/>
              </w:rPr>
              <w:t>Comment s’est opéré cette prise en compte des femmes et des jeunes ?</w:t>
            </w:r>
          </w:p>
        </w:tc>
        <w:tc>
          <w:tcPr>
            <w:tcW w:w="916" w:type="pct"/>
            <w:vAlign w:val="center"/>
          </w:tcPr>
          <w:p w14:paraId="6F953EDE" w14:textId="77777777" w:rsidR="000A3BC1" w:rsidRPr="00071E0F" w:rsidRDefault="000A3BC1" w:rsidP="00DC4CE1">
            <w:pPr>
              <w:numPr>
                <w:ilvl w:val="0"/>
                <w:numId w:val="9"/>
              </w:numPr>
              <w:spacing w:before="0" w:after="0" w:line="240" w:lineRule="auto"/>
              <w:ind w:left="229" w:hanging="229"/>
              <w:contextualSpacing/>
              <w:jc w:val="left"/>
              <w:rPr>
                <w:sz w:val="20"/>
                <w:szCs w:val="20"/>
              </w:rPr>
            </w:pPr>
            <w:r w:rsidRPr="00071E0F">
              <w:rPr>
                <w:sz w:val="20"/>
                <w:szCs w:val="20"/>
              </w:rPr>
              <w:t xml:space="preserve">Description de l’approche ou de </w:t>
            </w:r>
            <w:r>
              <w:rPr>
                <w:sz w:val="20"/>
                <w:szCs w:val="20"/>
              </w:rPr>
              <w:t>la</w:t>
            </w:r>
            <w:r w:rsidRPr="00071E0F">
              <w:rPr>
                <w:sz w:val="20"/>
                <w:szCs w:val="20"/>
              </w:rPr>
              <w:t xml:space="preserve"> méthode de prise en compte dans les plans locaux de sécurité et de protection</w:t>
            </w:r>
          </w:p>
        </w:tc>
        <w:tc>
          <w:tcPr>
            <w:tcW w:w="857" w:type="pct"/>
            <w:vMerge/>
            <w:vAlign w:val="center"/>
          </w:tcPr>
          <w:p w14:paraId="4B99AEE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61D7AF4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4" w:type="pct"/>
            <w:vMerge/>
            <w:vAlign w:val="center"/>
          </w:tcPr>
          <w:p w14:paraId="2A6B3A9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3508BADC" w14:textId="77777777" w:rsidTr="00B65C1B">
        <w:tc>
          <w:tcPr>
            <w:tcW w:w="902" w:type="pct"/>
            <w:vMerge w:val="restart"/>
            <w:vAlign w:val="center"/>
          </w:tcPr>
          <w:p w14:paraId="4FFF7472" w14:textId="34A1F624" w:rsidR="000A3BC1" w:rsidRPr="00B65C1B" w:rsidRDefault="000A3BC1" w:rsidP="000A3BC1">
            <w:pPr>
              <w:spacing w:before="0" w:after="0" w:line="240" w:lineRule="auto"/>
              <w:jc w:val="left"/>
              <w:rPr>
                <w:color w:val="000000"/>
                <w:sz w:val="20"/>
              </w:rPr>
            </w:pPr>
            <w:r w:rsidRPr="00B65C1B">
              <w:rPr>
                <w:b/>
                <w:color w:val="000000"/>
                <w:sz w:val="20"/>
              </w:rPr>
              <w:t>QE3</w:t>
            </w:r>
            <w:r w:rsidR="00003946" w:rsidRPr="00B65C1B">
              <w:rPr>
                <w:b/>
                <w:color w:val="000000"/>
                <w:sz w:val="20"/>
              </w:rPr>
              <w:t>3</w:t>
            </w:r>
            <w:r w:rsidRPr="00B65C1B">
              <w:rPr>
                <w:b/>
                <w:color w:val="000000"/>
                <w:sz w:val="20"/>
              </w:rPr>
              <w:t xml:space="preserve">. </w:t>
            </w:r>
            <w:r w:rsidRPr="00B65C1B">
              <w:rPr>
                <w:color w:val="000000"/>
                <w:sz w:val="20"/>
              </w:rPr>
              <w:t>Quelles ont été les contraintes ou avantages pour l’implication des femmes et leur leadership dans la prévention et la gestion des conflits ? Quels efforts ont été déployés pour surmonter les difficultés ?</w:t>
            </w:r>
          </w:p>
        </w:tc>
        <w:tc>
          <w:tcPr>
            <w:tcW w:w="915" w:type="pct"/>
            <w:vAlign w:val="center"/>
          </w:tcPr>
          <w:p w14:paraId="16230B77"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 xml:space="preserve">Quels sont les blocages (contraintes ou difficultés) à l’implication et au leadership des femmes dans la prévention et la gestion des conflits </w:t>
            </w:r>
          </w:p>
        </w:tc>
        <w:tc>
          <w:tcPr>
            <w:tcW w:w="916" w:type="pct"/>
            <w:vAlign w:val="center"/>
          </w:tcPr>
          <w:p w14:paraId="597B83BC"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Blocage (description) de l’implication des femmes dans les comités locaux</w:t>
            </w:r>
          </w:p>
        </w:tc>
        <w:tc>
          <w:tcPr>
            <w:tcW w:w="857" w:type="pct"/>
            <w:vMerge w:val="restart"/>
            <w:vAlign w:val="center"/>
          </w:tcPr>
          <w:p w14:paraId="7279A347"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Document du projet</w:t>
            </w:r>
          </w:p>
          <w:p w14:paraId="3F79CEC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Rapport d’exécution</w:t>
            </w:r>
          </w:p>
          <w:p w14:paraId="3EFEAF64"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Equipe de projet</w:t>
            </w:r>
          </w:p>
          <w:p w14:paraId="4B9B55E9"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 xml:space="preserve">Leaders Communautaires </w:t>
            </w:r>
          </w:p>
          <w:p w14:paraId="213BA98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Femmes et jeunes</w:t>
            </w:r>
          </w:p>
        </w:tc>
        <w:tc>
          <w:tcPr>
            <w:tcW w:w="707" w:type="pct"/>
            <w:vMerge w:val="restart"/>
            <w:vAlign w:val="center"/>
          </w:tcPr>
          <w:p w14:paraId="08E390BD"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Revue documentaire</w:t>
            </w:r>
          </w:p>
          <w:p w14:paraId="1D345D55"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Entrevues directes et à distance</w:t>
            </w:r>
          </w:p>
        </w:tc>
        <w:tc>
          <w:tcPr>
            <w:tcW w:w="704" w:type="pct"/>
            <w:vMerge/>
            <w:vAlign w:val="center"/>
          </w:tcPr>
          <w:p w14:paraId="7CED41F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p>
        </w:tc>
      </w:tr>
      <w:tr w:rsidR="000A3BC1" w:rsidRPr="00B96884" w14:paraId="0A139990" w14:textId="77777777" w:rsidTr="00B65C1B">
        <w:tc>
          <w:tcPr>
            <w:tcW w:w="902" w:type="pct"/>
            <w:vMerge/>
            <w:vAlign w:val="center"/>
          </w:tcPr>
          <w:p w14:paraId="2AF555D3" w14:textId="77777777" w:rsidR="000A3BC1" w:rsidRPr="00B96884" w:rsidRDefault="000A3BC1" w:rsidP="000A3BC1">
            <w:pPr>
              <w:spacing w:before="0" w:after="0" w:line="240" w:lineRule="auto"/>
              <w:jc w:val="left"/>
              <w:rPr>
                <w:b/>
                <w:bCs/>
                <w:sz w:val="20"/>
                <w:szCs w:val="20"/>
              </w:rPr>
            </w:pPr>
          </w:p>
        </w:tc>
        <w:tc>
          <w:tcPr>
            <w:tcW w:w="915" w:type="pct"/>
            <w:vAlign w:val="center"/>
          </w:tcPr>
          <w:p w14:paraId="20EA5992"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Quels sont les avantages de l’implication des femmes dans les comités locaux ?</w:t>
            </w:r>
          </w:p>
        </w:tc>
        <w:tc>
          <w:tcPr>
            <w:tcW w:w="916" w:type="pct"/>
            <w:vAlign w:val="center"/>
          </w:tcPr>
          <w:p w14:paraId="597AE851"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Avantages (description) de l’implication des femmes</w:t>
            </w:r>
          </w:p>
        </w:tc>
        <w:tc>
          <w:tcPr>
            <w:tcW w:w="857" w:type="pct"/>
            <w:vMerge/>
            <w:vAlign w:val="center"/>
          </w:tcPr>
          <w:p w14:paraId="5B2F40B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3ED1BB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4" w:type="pct"/>
            <w:vMerge/>
            <w:vAlign w:val="center"/>
          </w:tcPr>
          <w:p w14:paraId="0F09E7F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F01CB8" w:rsidRPr="00B96884" w14:paraId="0F31A74E" w14:textId="77777777" w:rsidTr="00B05C86">
        <w:tc>
          <w:tcPr>
            <w:tcW w:w="902" w:type="pct"/>
            <w:shd w:val="clear" w:color="auto" w:fill="auto"/>
            <w:vAlign w:val="center"/>
          </w:tcPr>
          <w:p w14:paraId="2CF6E5B5" w14:textId="083BD557" w:rsidR="000A3BC1" w:rsidRPr="00B05C86" w:rsidRDefault="000A3BC1" w:rsidP="000A3BC1">
            <w:pPr>
              <w:spacing w:before="0" w:after="0" w:line="240" w:lineRule="auto"/>
              <w:jc w:val="left"/>
              <w:rPr>
                <w:sz w:val="20"/>
                <w:szCs w:val="20"/>
              </w:rPr>
            </w:pPr>
            <w:r w:rsidRPr="00B05C86">
              <w:rPr>
                <w:b/>
                <w:bCs/>
                <w:sz w:val="20"/>
                <w:szCs w:val="20"/>
              </w:rPr>
              <w:t>QE3</w:t>
            </w:r>
            <w:r w:rsidR="00003946">
              <w:rPr>
                <w:b/>
                <w:bCs/>
                <w:sz w:val="20"/>
                <w:szCs w:val="20"/>
              </w:rPr>
              <w:t>4</w:t>
            </w:r>
            <w:r w:rsidRPr="00B05C86">
              <w:rPr>
                <w:b/>
                <w:bCs/>
                <w:sz w:val="20"/>
                <w:szCs w:val="20"/>
              </w:rPr>
              <w:t xml:space="preserve">. </w:t>
            </w:r>
            <w:r w:rsidRPr="00B05C86">
              <w:rPr>
                <w:sz w:val="20"/>
                <w:szCs w:val="20"/>
              </w:rPr>
              <w:t>La participation et le leadership des femmes dans ce projet leur ont</w:t>
            </w:r>
            <w:r w:rsidRPr="00B05C86">
              <w:rPr>
                <w:rFonts w:ascii="Cambria Math" w:hAnsi="Cambria Math" w:cs="Cambria Math"/>
                <w:sz w:val="20"/>
                <w:szCs w:val="20"/>
              </w:rPr>
              <w:t>‐</w:t>
            </w:r>
            <w:r w:rsidRPr="00B05C86">
              <w:rPr>
                <w:sz w:val="20"/>
                <w:szCs w:val="20"/>
              </w:rPr>
              <w:t>elles permis l</w:t>
            </w:r>
            <w:r w:rsidRPr="00B05C86">
              <w:rPr>
                <w:rFonts w:cs="Century Gothic"/>
                <w:sz w:val="20"/>
                <w:szCs w:val="20"/>
              </w:rPr>
              <w:t>’</w:t>
            </w:r>
            <w:r w:rsidRPr="00B05C86">
              <w:rPr>
                <w:sz w:val="20"/>
                <w:szCs w:val="20"/>
              </w:rPr>
              <w:t xml:space="preserve">acquisition et/ou le renforcement de </w:t>
            </w:r>
            <w:r w:rsidR="00B964B8">
              <w:rPr>
                <w:sz w:val="20"/>
                <w:szCs w:val="20"/>
              </w:rPr>
              <w:t xml:space="preserve">leur </w:t>
            </w:r>
            <w:r w:rsidRPr="00B05C86">
              <w:rPr>
                <w:sz w:val="20"/>
                <w:szCs w:val="20"/>
              </w:rPr>
              <w:t>pouvoir décisionnel et d’auto</w:t>
            </w:r>
            <w:r w:rsidRPr="00B05C86">
              <w:rPr>
                <w:rFonts w:ascii="Cambria Math" w:hAnsi="Cambria Math" w:cs="Cambria Math"/>
                <w:sz w:val="20"/>
                <w:szCs w:val="20"/>
              </w:rPr>
              <w:t>‐</w:t>
            </w:r>
            <w:r w:rsidRPr="00B05C86">
              <w:rPr>
                <w:sz w:val="20"/>
                <w:szCs w:val="20"/>
              </w:rPr>
              <w:t>promotion ?</w:t>
            </w:r>
          </w:p>
        </w:tc>
        <w:tc>
          <w:tcPr>
            <w:tcW w:w="915" w:type="pct"/>
            <w:shd w:val="clear" w:color="auto" w:fill="auto"/>
            <w:vAlign w:val="center"/>
          </w:tcPr>
          <w:p w14:paraId="16D713AB" w14:textId="3495CF4B" w:rsidR="000A3BC1" w:rsidRPr="00B964B8" w:rsidRDefault="000A3BC1" w:rsidP="00DC4CE1">
            <w:pPr>
              <w:numPr>
                <w:ilvl w:val="0"/>
                <w:numId w:val="9"/>
              </w:numPr>
              <w:spacing w:before="0" w:after="0" w:line="240" w:lineRule="auto"/>
              <w:ind w:left="229" w:hanging="229"/>
              <w:contextualSpacing/>
              <w:jc w:val="left"/>
              <w:rPr>
                <w:sz w:val="20"/>
                <w:szCs w:val="20"/>
              </w:rPr>
            </w:pPr>
            <w:r w:rsidRPr="00B05C86">
              <w:rPr>
                <w:rFonts w:cs="Tahoma"/>
                <w:sz w:val="20"/>
                <w:szCs w:val="20"/>
              </w:rPr>
              <w:t xml:space="preserve">Est-ce que les femmes </w:t>
            </w:r>
            <w:r w:rsidR="00B964B8">
              <w:rPr>
                <w:rFonts w:cs="Tahoma"/>
                <w:sz w:val="20"/>
                <w:szCs w:val="20"/>
              </w:rPr>
              <w:t>bénéficiaires contribuent</w:t>
            </w:r>
            <w:r w:rsidRPr="00B05C86">
              <w:rPr>
                <w:rFonts w:cs="Tahoma"/>
                <w:sz w:val="20"/>
                <w:szCs w:val="20"/>
              </w:rPr>
              <w:t>-elle</w:t>
            </w:r>
            <w:r w:rsidR="00B964B8">
              <w:rPr>
                <w:rFonts w:cs="Tahoma"/>
                <w:sz w:val="20"/>
                <w:szCs w:val="20"/>
              </w:rPr>
              <w:t xml:space="preserve"> aux décisions des comités locaux ?</w:t>
            </w:r>
          </w:p>
        </w:tc>
        <w:tc>
          <w:tcPr>
            <w:tcW w:w="916" w:type="pct"/>
            <w:shd w:val="clear" w:color="auto" w:fill="auto"/>
            <w:vAlign w:val="center"/>
          </w:tcPr>
          <w:p w14:paraId="541A4277" w14:textId="615855E0"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 xml:space="preserve">Proportion de femmes qui affirment que </w:t>
            </w:r>
            <w:r w:rsidR="00B964B8">
              <w:rPr>
                <w:sz w:val="20"/>
                <w:szCs w:val="20"/>
              </w:rPr>
              <w:t>leurs avis opinions sont pris en compte dans les décisions des comités locaux</w:t>
            </w:r>
          </w:p>
        </w:tc>
        <w:tc>
          <w:tcPr>
            <w:tcW w:w="857" w:type="pct"/>
            <w:shd w:val="clear" w:color="auto" w:fill="auto"/>
            <w:vAlign w:val="center"/>
          </w:tcPr>
          <w:p w14:paraId="0E74A3AE"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Document du projet</w:t>
            </w:r>
          </w:p>
          <w:p w14:paraId="2BB7F286"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Rapport d’exécution et de suivi</w:t>
            </w:r>
          </w:p>
          <w:p w14:paraId="4ADFCDE1"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Equipe de projet</w:t>
            </w:r>
          </w:p>
          <w:p w14:paraId="06EA0A5B"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Acteurs Communautaires et bénéficiaires directs</w:t>
            </w:r>
          </w:p>
          <w:p w14:paraId="5B9C01D3" w14:textId="77777777" w:rsidR="000A3BC1" w:rsidRPr="00B05C86" w:rsidRDefault="000A3BC1" w:rsidP="00DC4CE1">
            <w:pPr>
              <w:numPr>
                <w:ilvl w:val="0"/>
                <w:numId w:val="9"/>
              </w:numPr>
              <w:spacing w:before="0" w:after="0" w:line="240" w:lineRule="auto"/>
              <w:ind w:left="229" w:hanging="229"/>
              <w:contextualSpacing/>
              <w:jc w:val="left"/>
              <w:rPr>
                <w:rFonts w:eastAsia="Calibri" w:cs="Arial"/>
                <w:sz w:val="20"/>
                <w:szCs w:val="20"/>
              </w:rPr>
            </w:pPr>
            <w:r w:rsidRPr="00B65C1B">
              <w:rPr>
                <w:color w:val="000000"/>
                <w:sz w:val="20"/>
              </w:rPr>
              <w:t>Femmes et jeunes</w:t>
            </w:r>
          </w:p>
        </w:tc>
        <w:tc>
          <w:tcPr>
            <w:tcW w:w="707" w:type="pct"/>
            <w:shd w:val="clear" w:color="auto" w:fill="auto"/>
            <w:vAlign w:val="center"/>
          </w:tcPr>
          <w:p w14:paraId="0AFEE169"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6F1A1FE1"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et à distance</w:t>
            </w:r>
          </w:p>
        </w:tc>
        <w:tc>
          <w:tcPr>
            <w:tcW w:w="704" w:type="pct"/>
            <w:vMerge/>
            <w:shd w:val="clear" w:color="auto" w:fill="auto"/>
            <w:vAlign w:val="center"/>
          </w:tcPr>
          <w:p w14:paraId="5845F76B" w14:textId="77777777" w:rsidR="000A3BC1" w:rsidRPr="00B05C86"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5C55BC03" w14:textId="77777777" w:rsidTr="00B65C1B">
        <w:trPr>
          <w:trHeight w:val="338"/>
        </w:trPr>
        <w:tc>
          <w:tcPr>
            <w:tcW w:w="902" w:type="pct"/>
            <w:vAlign w:val="center"/>
          </w:tcPr>
          <w:p w14:paraId="7EEC103B" w14:textId="05A7C6FF" w:rsidR="000A3BC1" w:rsidRPr="00B96884" w:rsidRDefault="000A3BC1" w:rsidP="000A3BC1">
            <w:pPr>
              <w:spacing w:before="0" w:after="0" w:line="240" w:lineRule="auto"/>
              <w:jc w:val="left"/>
              <w:rPr>
                <w:sz w:val="20"/>
                <w:szCs w:val="20"/>
              </w:rPr>
            </w:pPr>
            <w:r w:rsidRPr="00B96884">
              <w:rPr>
                <w:b/>
                <w:bCs/>
                <w:sz w:val="20"/>
                <w:szCs w:val="20"/>
              </w:rPr>
              <w:t>QE</w:t>
            </w:r>
            <w:r>
              <w:rPr>
                <w:b/>
                <w:bCs/>
                <w:sz w:val="20"/>
                <w:szCs w:val="20"/>
              </w:rPr>
              <w:t>3</w:t>
            </w:r>
            <w:r w:rsidR="00003946">
              <w:rPr>
                <w:b/>
                <w:bCs/>
                <w:sz w:val="20"/>
                <w:szCs w:val="20"/>
              </w:rPr>
              <w:t>5</w:t>
            </w:r>
            <w:r w:rsidRPr="00B96884">
              <w:rPr>
                <w:b/>
                <w:bCs/>
                <w:sz w:val="20"/>
                <w:szCs w:val="20"/>
              </w:rPr>
              <w:t xml:space="preserve">. </w:t>
            </w:r>
            <w:r w:rsidRPr="00B96884">
              <w:rPr>
                <w:sz w:val="20"/>
                <w:szCs w:val="20"/>
              </w:rPr>
              <w:t>De quelle façon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contribué à un changement de perception ou de mentalité sur le rôle des femmes dans la prévention et la gestion des conflits ? </w:t>
            </w:r>
          </w:p>
        </w:tc>
        <w:tc>
          <w:tcPr>
            <w:tcW w:w="915" w:type="pct"/>
            <w:vAlign w:val="center"/>
          </w:tcPr>
          <w:p w14:paraId="4137B0C7" w14:textId="77777777" w:rsidR="000A3BC1" w:rsidRDefault="000A3BC1" w:rsidP="00DC4CE1">
            <w:pPr>
              <w:numPr>
                <w:ilvl w:val="0"/>
                <w:numId w:val="9"/>
              </w:numPr>
              <w:spacing w:before="0" w:after="0" w:line="240" w:lineRule="auto"/>
              <w:ind w:left="229" w:hanging="229"/>
              <w:contextualSpacing/>
              <w:jc w:val="left"/>
              <w:rPr>
                <w:sz w:val="20"/>
                <w:szCs w:val="20"/>
              </w:rPr>
            </w:pPr>
            <w:r>
              <w:rPr>
                <w:sz w:val="20"/>
                <w:szCs w:val="20"/>
              </w:rPr>
              <w:t xml:space="preserve">Quelles ont été les approches ou méthodes adoptées par le projet pour provoquer les changements de perception ou de mentalité sur le rôle des femmes ? </w:t>
            </w:r>
          </w:p>
          <w:p w14:paraId="10859A30" w14:textId="77777777" w:rsidR="000A3BC1" w:rsidRPr="00E438F5" w:rsidRDefault="000A3BC1" w:rsidP="000A3BC1">
            <w:pPr>
              <w:spacing w:before="0" w:after="0" w:line="240" w:lineRule="auto"/>
              <w:contextualSpacing/>
              <w:jc w:val="left"/>
              <w:rPr>
                <w:sz w:val="20"/>
                <w:szCs w:val="20"/>
              </w:rPr>
            </w:pPr>
          </w:p>
        </w:tc>
        <w:tc>
          <w:tcPr>
            <w:tcW w:w="916" w:type="pct"/>
            <w:vAlign w:val="center"/>
          </w:tcPr>
          <w:p w14:paraId="7078D962" w14:textId="1384814E"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8" w:name="_Hlk76562270"/>
            <w:r w:rsidRPr="00071E0F">
              <w:rPr>
                <w:rFonts w:cs="Tahoma"/>
                <w:sz w:val="20"/>
                <w:szCs w:val="20"/>
              </w:rPr>
              <w:t>Approche</w:t>
            </w:r>
            <w:r>
              <w:rPr>
                <w:rFonts w:cs="Tahoma"/>
                <w:sz w:val="20"/>
                <w:szCs w:val="20"/>
              </w:rPr>
              <w:t>s</w:t>
            </w:r>
            <w:r w:rsidRPr="00071E0F">
              <w:rPr>
                <w:rFonts w:cs="Tahoma"/>
                <w:sz w:val="20"/>
                <w:szCs w:val="20"/>
              </w:rPr>
              <w:t xml:space="preserve"> ou méthodes </w:t>
            </w:r>
            <w:r>
              <w:rPr>
                <w:rFonts w:cs="Tahoma"/>
                <w:sz w:val="20"/>
                <w:szCs w:val="20"/>
              </w:rPr>
              <w:t>adoptées (description</w:t>
            </w:r>
            <w:r>
              <w:rPr>
                <w:rStyle w:val="Appelnotedebasdep"/>
                <w:rFonts w:cs="Tahoma"/>
                <w:sz w:val="20"/>
                <w:szCs w:val="20"/>
              </w:rPr>
              <w:footnoteReference w:id="45"/>
            </w:r>
            <w:r>
              <w:rPr>
                <w:rFonts w:cs="Tahoma"/>
                <w:sz w:val="20"/>
                <w:szCs w:val="20"/>
              </w:rPr>
              <w:t>)</w:t>
            </w:r>
            <w:r w:rsidR="007068E8">
              <w:rPr>
                <w:rFonts w:cs="Tahoma"/>
                <w:sz w:val="20"/>
                <w:szCs w:val="20"/>
              </w:rPr>
              <w:t xml:space="preserve"> </w:t>
            </w:r>
            <w:r w:rsidRPr="00071E0F">
              <w:rPr>
                <w:rFonts w:cs="Tahoma"/>
                <w:sz w:val="20"/>
                <w:szCs w:val="20"/>
              </w:rPr>
              <w:t>pour</w:t>
            </w:r>
            <w:r>
              <w:rPr>
                <w:rFonts w:cs="Tahoma"/>
                <w:sz w:val="20"/>
                <w:szCs w:val="20"/>
              </w:rPr>
              <w:t xml:space="preserve"> provoquer</w:t>
            </w:r>
            <w:r w:rsidRPr="00071E0F">
              <w:rPr>
                <w:rFonts w:cs="Tahoma"/>
                <w:sz w:val="20"/>
                <w:szCs w:val="20"/>
              </w:rPr>
              <w:t xml:space="preserve"> le</w:t>
            </w:r>
            <w:r>
              <w:rPr>
                <w:rFonts w:cs="Tahoma"/>
                <w:sz w:val="20"/>
                <w:szCs w:val="20"/>
              </w:rPr>
              <w:t>s</w:t>
            </w:r>
            <w:r w:rsidRPr="00071E0F">
              <w:rPr>
                <w:rFonts w:cs="Tahoma"/>
                <w:sz w:val="20"/>
                <w:szCs w:val="20"/>
              </w:rPr>
              <w:t xml:space="preserve"> changement</w:t>
            </w:r>
            <w:r>
              <w:rPr>
                <w:rFonts w:cs="Tahoma"/>
                <w:sz w:val="20"/>
                <w:szCs w:val="20"/>
              </w:rPr>
              <w:t>s</w:t>
            </w:r>
            <w:r w:rsidRPr="00071E0F">
              <w:rPr>
                <w:rFonts w:cs="Tahoma"/>
                <w:sz w:val="20"/>
                <w:szCs w:val="20"/>
              </w:rPr>
              <w:t xml:space="preserve"> de perception sur la participation des femmes dans la prévention et la gestion des conflits </w:t>
            </w:r>
            <w:bookmarkEnd w:id="998"/>
          </w:p>
        </w:tc>
        <w:tc>
          <w:tcPr>
            <w:tcW w:w="857" w:type="pct"/>
            <w:vAlign w:val="center"/>
          </w:tcPr>
          <w:p w14:paraId="67387C6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7D09B31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 et de suivi</w:t>
            </w:r>
          </w:p>
          <w:p w14:paraId="782774B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CB616F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Acteurs Communautaires et bénéficiaires directs</w:t>
            </w:r>
          </w:p>
        </w:tc>
        <w:tc>
          <w:tcPr>
            <w:tcW w:w="707" w:type="pct"/>
            <w:vAlign w:val="center"/>
          </w:tcPr>
          <w:p w14:paraId="109B739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6AD753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37769C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6752FB2E" w14:textId="77777777" w:rsidTr="00B65C1B">
        <w:tc>
          <w:tcPr>
            <w:tcW w:w="902" w:type="pct"/>
            <w:vAlign w:val="center"/>
          </w:tcPr>
          <w:p w14:paraId="601A9ABA" w14:textId="125A2C0A" w:rsidR="000A3BC1" w:rsidRPr="00B96884" w:rsidRDefault="000A3BC1" w:rsidP="000A3BC1">
            <w:pPr>
              <w:spacing w:before="0" w:after="0" w:line="240" w:lineRule="auto"/>
              <w:jc w:val="left"/>
              <w:rPr>
                <w:sz w:val="20"/>
                <w:szCs w:val="20"/>
              </w:rPr>
            </w:pPr>
            <w:r w:rsidRPr="00B96884">
              <w:rPr>
                <w:b/>
                <w:bCs/>
                <w:sz w:val="20"/>
                <w:szCs w:val="20"/>
              </w:rPr>
              <w:t>QE</w:t>
            </w:r>
            <w:r>
              <w:rPr>
                <w:b/>
                <w:bCs/>
                <w:sz w:val="20"/>
                <w:szCs w:val="20"/>
              </w:rPr>
              <w:t>3</w:t>
            </w:r>
            <w:r w:rsidR="00003946">
              <w:rPr>
                <w:b/>
                <w:bCs/>
                <w:sz w:val="20"/>
                <w:szCs w:val="20"/>
              </w:rPr>
              <w:t>6</w:t>
            </w:r>
            <w:r w:rsidRPr="00B96884">
              <w:rPr>
                <w:b/>
                <w:bCs/>
                <w:sz w:val="20"/>
                <w:szCs w:val="20"/>
              </w:rPr>
              <w:t xml:space="preserve">. </w:t>
            </w:r>
            <w:r w:rsidRPr="00B96884">
              <w:rPr>
                <w:sz w:val="20"/>
                <w:szCs w:val="20"/>
              </w:rPr>
              <w:t>Quelle a été la principale valeur ajoutée de ce projet dans un changement de qualité de vie des femmes et des femmes victimes ?</w:t>
            </w:r>
          </w:p>
        </w:tc>
        <w:tc>
          <w:tcPr>
            <w:tcW w:w="915" w:type="pct"/>
            <w:vAlign w:val="center"/>
          </w:tcPr>
          <w:p w14:paraId="77AEB10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En quoi le projet a apporté un plus dans les conditions de vie des femmes et des femmes victimes ? </w:t>
            </w:r>
          </w:p>
        </w:tc>
        <w:tc>
          <w:tcPr>
            <w:tcW w:w="916" w:type="pct"/>
            <w:vAlign w:val="center"/>
          </w:tcPr>
          <w:p w14:paraId="03CA431F" w14:textId="062C47FB"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Témoignages ou histoire</w:t>
            </w:r>
            <w:r>
              <w:rPr>
                <w:sz w:val="20"/>
                <w:szCs w:val="20"/>
              </w:rPr>
              <w:t>s</w:t>
            </w:r>
            <w:r w:rsidRPr="00B96884">
              <w:rPr>
                <w:sz w:val="20"/>
                <w:szCs w:val="20"/>
              </w:rPr>
              <w:t xml:space="preserve"> de vie de changements qualitatifs dans la vie des femmes et des femmes victimes</w:t>
            </w:r>
          </w:p>
        </w:tc>
        <w:tc>
          <w:tcPr>
            <w:tcW w:w="857" w:type="pct"/>
            <w:vAlign w:val="center"/>
          </w:tcPr>
          <w:p w14:paraId="017DAD3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4D69FBB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 et de suivi</w:t>
            </w:r>
          </w:p>
          <w:p w14:paraId="75EB00F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5391B6D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Acteurs Communautaires et bénéficiaires directs</w:t>
            </w:r>
          </w:p>
        </w:tc>
        <w:tc>
          <w:tcPr>
            <w:tcW w:w="707" w:type="pct"/>
            <w:vAlign w:val="center"/>
          </w:tcPr>
          <w:p w14:paraId="182104B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BFB94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6734955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bookmarkEnd w:id="994"/>
    </w:tbl>
    <w:p w14:paraId="3FFEC230" w14:textId="2B6C8BA6" w:rsidR="00B05C86" w:rsidRDefault="00B05C86" w:rsidP="00B05C86"/>
    <w:p w14:paraId="76A894DC" w14:textId="3164F5E2" w:rsidR="00C8501D" w:rsidRPr="00204D5F" w:rsidRDefault="00C8501D" w:rsidP="00C8501D">
      <w:pPr>
        <w:pStyle w:val="TM8"/>
      </w:pPr>
      <w:r w:rsidRPr="00AC5B8D">
        <w:t xml:space="preserve">Matrice d'évaluation du critère </w:t>
      </w:r>
      <w:r>
        <w:t>d’inclusion des personnes handicapées</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1"/>
        <w:gridCol w:w="2426"/>
        <w:gridCol w:w="2429"/>
        <w:gridCol w:w="2261"/>
        <w:gridCol w:w="2356"/>
        <w:gridCol w:w="1969"/>
      </w:tblGrid>
      <w:tr w:rsidR="00F01CB8" w:rsidRPr="001E3262" w14:paraId="1E9E9A65" w14:textId="77777777" w:rsidTr="009E2DEE">
        <w:trPr>
          <w:tblHeader/>
        </w:trPr>
        <w:tc>
          <w:tcPr>
            <w:tcW w:w="912" w:type="pct"/>
            <w:shd w:val="clear" w:color="auto" w:fill="002060"/>
            <w:vAlign w:val="center"/>
          </w:tcPr>
          <w:p w14:paraId="2FEDCBEF" w14:textId="77777777" w:rsidR="00C816C9" w:rsidRPr="00344769" w:rsidRDefault="00C816C9" w:rsidP="009E2DEE">
            <w:pPr>
              <w:spacing w:before="0" w:after="0" w:line="240" w:lineRule="auto"/>
              <w:jc w:val="center"/>
              <w:rPr>
                <w:b/>
                <w:bCs/>
                <w:sz w:val="20"/>
                <w:szCs w:val="20"/>
              </w:rPr>
            </w:pPr>
            <w:bookmarkStart w:id="999" w:name="_Hlk86323991"/>
            <w:r w:rsidRPr="00344769">
              <w:rPr>
                <w:b/>
                <w:bCs/>
                <w:sz w:val="20"/>
                <w:szCs w:val="20"/>
              </w:rPr>
              <w:t>Questions clés d’évaluation</w:t>
            </w:r>
          </w:p>
        </w:tc>
        <w:tc>
          <w:tcPr>
            <w:tcW w:w="867" w:type="pct"/>
            <w:shd w:val="clear" w:color="auto" w:fill="002060"/>
            <w:vAlign w:val="center"/>
          </w:tcPr>
          <w:p w14:paraId="50B5526F" w14:textId="77777777" w:rsidR="00C816C9" w:rsidRPr="00344769" w:rsidRDefault="00C816C9" w:rsidP="009E2DEE">
            <w:pPr>
              <w:spacing w:before="0" w:after="0" w:line="240" w:lineRule="auto"/>
              <w:jc w:val="center"/>
              <w:rPr>
                <w:b/>
                <w:bCs/>
                <w:sz w:val="20"/>
                <w:szCs w:val="20"/>
              </w:rPr>
            </w:pPr>
            <w:r w:rsidRPr="00344769">
              <w:rPr>
                <w:b/>
                <w:bCs/>
                <w:sz w:val="20"/>
                <w:szCs w:val="20"/>
              </w:rPr>
              <w:t>Sous-questions</w:t>
            </w:r>
          </w:p>
        </w:tc>
        <w:tc>
          <w:tcPr>
            <w:tcW w:w="868" w:type="pct"/>
            <w:shd w:val="clear" w:color="auto" w:fill="002060"/>
            <w:vAlign w:val="center"/>
          </w:tcPr>
          <w:p w14:paraId="57285885" w14:textId="77777777" w:rsidR="00C816C9" w:rsidRPr="00344769" w:rsidRDefault="00C816C9" w:rsidP="009E2DEE">
            <w:pPr>
              <w:spacing w:before="0" w:after="0" w:line="240" w:lineRule="auto"/>
              <w:jc w:val="center"/>
              <w:rPr>
                <w:b/>
                <w:bCs/>
                <w:sz w:val="20"/>
                <w:szCs w:val="20"/>
              </w:rPr>
            </w:pPr>
            <w:r w:rsidRPr="00344769">
              <w:rPr>
                <w:b/>
                <w:bCs/>
                <w:sz w:val="20"/>
                <w:szCs w:val="20"/>
              </w:rPr>
              <w:t>Indicateurs</w:t>
            </w:r>
          </w:p>
        </w:tc>
        <w:tc>
          <w:tcPr>
            <w:tcW w:w="808" w:type="pct"/>
            <w:shd w:val="clear" w:color="auto" w:fill="002060"/>
            <w:vAlign w:val="center"/>
          </w:tcPr>
          <w:p w14:paraId="41D8CB3F" w14:textId="77777777" w:rsidR="00C816C9" w:rsidRPr="00344769" w:rsidRDefault="00C816C9" w:rsidP="009E2DEE">
            <w:pPr>
              <w:spacing w:before="0" w:after="0" w:line="240" w:lineRule="auto"/>
              <w:jc w:val="center"/>
              <w:rPr>
                <w:b/>
                <w:bCs/>
                <w:sz w:val="20"/>
                <w:szCs w:val="20"/>
              </w:rPr>
            </w:pPr>
            <w:r w:rsidRPr="00344769">
              <w:rPr>
                <w:b/>
                <w:bCs/>
                <w:sz w:val="20"/>
                <w:szCs w:val="20"/>
              </w:rPr>
              <w:t>Source d’information</w:t>
            </w:r>
          </w:p>
        </w:tc>
        <w:tc>
          <w:tcPr>
            <w:tcW w:w="842" w:type="pct"/>
            <w:shd w:val="clear" w:color="auto" w:fill="002060"/>
            <w:vAlign w:val="center"/>
          </w:tcPr>
          <w:p w14:paraId="34F9FD10" w14:textId="77777777" w:rsidR="00C816C9" w:rsidRPr="00344769" w:rsidRDefault="00C816C9" w:rsidP="009E2DEE">
            <w:pPr>
              <w:spacing w:before="0" w:after="0" w:line="240" w:lineRule="auto"/>
              <w:jc w:val="center"/>
              <w:rPr>
                <w:b/>
                <w:bCs/>
                <w:sz w:val="20"/>
                <w:szCs w:val="20"/>
              </w:rPr>
            </w:pPr>
            <w:r w:rsidRPr="00344769">
              <w:rPr>
                <w:b/>
                <w:bCs/>
                <w:sz w:val="20"/>
                <w:szCs w:val="20"/>
              </w:rPr>
              <w:t>Méthodes de collecte</w:t>
            </w:r>
          </w:p>
        </w:tc>
        <w:tc>
          <w:tcPr>
            <w:tcW w:w="704" w:type="pct"/>
            <w:shd w:val="clear" w:color="auto" w:fill="002060"/>
            <w:vAlign w:val="center"/>
          </w:tcPr>
          <w:p w14:paraId="756E2C18" w14:textId="77777777" w:rsidR="00C816C9" w:rsidRPr="00344769" w:rsidRDefault="00C816C9" w:rsidP="009E2DEE">
            <w:pPr>
              <w:spacing w:before="0" w:after="0" w:line="240" w:lineRule="auto"/>
              <w:jc w:val="center"/>
              <w:rPr>
                <w:b/>
                <w:bCs/>
                <w:sz w:val="20"/>
                <w:szCs w:val="20"/>
              </w:rPr>
            </w:pPr>
            <w:r w:rsidRPr="00344769">
              <w:rPr>
                <w:b/>
                <w:bCs/>
                <w:sz w:val="20"/>
                <w:szCs w:val="20"/>
              </w:rPr>
              <w:t>Hypothèses</w:t>
            </w:r>
          </w:p>
        </w:tc>
      </w:tr>
      <w:tr w:rsidR="00C816C9" w:rsidRPr="001E3262" w14:paraId="7C4BBC6B" w14:textId="77777777" w:rsidTr="00B65C1B">
        <w:tc>
          <w:tcPr>
            <w:tcW w:w="912" w:type="pct"/>
            <w:vMerge w:val="restart"/>
            <w:vAlign w:val="center"/>
          </w:tcPr>
          <w:p w14:paraId="4595C9F7" w14:textId="5AF44CC1" w:rsidR="00C816C9" w:rsidRPr="00344769" w:rsidRDefault="00C816C9" w:rsidP="009E2DEE">
            <w:pPr>
              <w:spacing w:before="0" w:after="0" w:line="240" w:lineRule="auto"/>
              <w:jc w:val="left"/>
              <w:rPr>
                <w:sz w:val="20"/>
                <w:szCs w:val="20"/>
              </w:rPr>
            </w:pPr>
            <w:r w:rsidRPr="00344769">
              <w:rPr>
                <w:b/>
                <w:bCs/>
                <w:sz w:val="20"/>
                <w:szCs w:val="20"/>
              </w:rPr>
              <w:t>QE3</w:t>
            </w:r>
            <w:r w:rsidR="00003946">
              <w:rPr>
                <w:b/>
                <w:bCs/>
                <w:sz w:val="20"/>
                <w:szCs w:val="20"/>
              </w:rPr>
              <w:t>7</w:t>
            </w:r>
            <w:r w:rsidRPr="00344769">
              <w:rPr>
                <w:b/>
                <w:bCs/>
                <w:sz w:val="20"/>
                <w:szCs w:val="20"/>
              </w:rPr>
              <w:t xml:space="preserve">. </w:t>
            </w:r>
            <w:r w:rsidRPr="00344769">
              <w:rPr>
                <w:sz w:val="20"/>
                <w:szCs w:val="20"/>
              </w:rPr>
              <w:t>Les personnes handicapées, ont-elles été impliquées dans la conception et la mise en œuvre du projet ? Y a</w:t>
            </w:r>
            <w:r w:rsidRPr="00344769">
              <w:rPr>
                <w:rFonts w:ascii="Cambria Math" w:hAnsi="Cambria Math" w:cs="Cambria Math"/>
                <w:sz w:val="20"/>
                <w:szCs w:val="20"/>
              </w:rPr>
              <w:t>‐</w:t>
            </w:r>
            <w:r w:rsidRPr="00344769">
              <w:rPr>
                <w:sz w:val="20"/>
                <w:szCs w:val="20"/>
              </w:rPr>
              <w:t>t</w:t>
            </w:r>
            <w:r w:rsidRPr="00344769">
              <w:rPr>
                <w:rFonts w:ascii="Cambria Math" w:hAnsi="Cambria Math" w:cs="Cambria Math"/>
                <w:sz w:val="20"/>
                <w:szCs w:val="20"/>
              </w:rPr>
              <w:t>‐</w:t>
            </w:r>
            <w:r w:rsidRPr="00344769">
              <w:rPr>
                <w:sz w:val="20"/>
                <w:szCs w:val="20"/>
              </w:rPr>
              <w:t>il des personnes handicap</w:t>
            </w:r>
            <w:r w:rsidRPr="00344769">
              <w:rPr>
                <w:rFonts w:cs="Century Gothic"/>
                <w:sz w:val="20"/>
                <w:szCs w:val="20"/>
              </w:rPr>
              <w:t>é</w:t>
            </w:r>
            <w:r w:rsidRPr="00344769">
              <w:rPr>
                <w:sz w:val="20"/>
                <w:szCs w:val="20"/>
              </w:rPr>
              <w:t>es parmi les bénéficiaires du projet ?</w:t>
            </w:r>
          </w:p>
        </w:tc>
        <w:tc>
          <w:tcPr>
            <w:tcW w:w="867" w:type="pct"/>
          </w:tcPr>
          <w:p w14:paraId="1E71E83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ont été impliquées dans la conception du projet ?</w:t>
            </w:r>
          </w:p>
        </w:tc>
        <w:tc>
          <w:tcPr>
            <w:tcW w:w="868" w:type="pct"/>
            <w:vAlign w:val="center"/>
          </w:tcPr>
          <w:p w14:paraId="12E5630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 de personnes handicapées dans la conception du projet</w:t>
            </w:r>
          </w:p>
        </w:tc>
        <w:tc>
          <w:tcPr>
            <w:tcW w:w="808" w:type="pct"/>
            <w:vMerge w:val="restart"/>
            <w:vAlign w:val="center"/>
          </w:tcPr>
          <w:p w14:paraId="0514414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751A37A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09D61E9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765F884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49FCD3D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03574E8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Merge w:val="restart"/>
            <w:vAlign w:val="center"/>
          </w:tcPr>
          <w:p w14:paraId="476D253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413A102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val="restart"/>
          </w:tcPr>
          <w:p w14:paraId="6B8A086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La disponibilité des parties prenantes pour la collecte de données </w:t>
            </w:r>
          </w:p>
          <w:p w14:paraId="29710A4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La disponibilité de la documentation et des données</w:t>
            </w:r>
          </w:p>
          <w:p w14:paraId="70A4C5F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Non aggravation du contexte sécuritaire et sanitaire</w:t>
            </w:r>
          </w:p>
        </w:tc>
      </w:tr>
      <w:tr w:rsidR="00C816C9" w:rsidRPr="001E3262" w14:paraId="4437A0F2" w14:textId="77777777" w:rsidTr="00B65C1B">
        <w:tc>
          <w:tcPr>
            <w:tcW w:w="912" w:type="pct"/>
            <w:vMerge/>
            <w:vAlign w:val="center"/>
          </w:tcPr>
          <w:p w14:paraId="0088427F" w14:textId="77777777" w:rsidR="00C816C9" w:rsidRPr="00344769" w:rsidRDefault="00C816C9" w:rsidP="009E2DEE">
            <w:pPr>
              <w:spacing w:before="0" w:after="0" w:line="240" w:lineRule="auto"/>
              <w:jc w:val="left"/>
              <w:rPr>
                <w:b/>
                <w:bCs/>
                <w:sz w:val="20"/>
                <w:szCs w:val="20"/>
              </w:rPr>
            </w:pPr>
          </w:p>
        </w:tc>
        <w:tc>
          <w:tcPr>
            <w:tcW w:w="867" w:type="pct"/>
          </w:tcPr>
          <w:p w14:paraId="066BABB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font partie de l’équipe projet ?</w:t>
            </w:r>
          </w:p>
        </w:tc>
        <w:tc>
          <w:tcPr>
            <w:tcW w:w="868" w:type="pct"/>
            <w:vAlign w:val="center"/>
          </w:tcPr>
          <w:p w14:paraId="6BA7AAC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Nombre de personnes handicapées dans l’équipe projet</w:t>
            </w:r>
          </w:p>
        </w:tc>
        <w:tc>
          <w:tcPr>
            <w:tcW w:w="808" w:type="pct"/>
            <w:vMerge/>
            <w:vAlign w:val="center"/>
          </w:tcPr>
          <w:p w14:paraId="1A4F801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842" w:type="pct"/>
            <w:vMerge/>
            <w:vAlign w:val="center"/>
          </w:tcPr>
          <w:p w14:paraId="76F1232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704" w:type="pct"/>
            <w:vMerge/>
          </w:tcPr>
          <w:p w14:paraId="1BDE8F9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7638227B" w14:textId="77777777" w:rsidTr="00B65C1B">
        <w:tc>
          <w:tcPr>
            <w:tcW w:w="912" w:type="pct"/>
            <w:vMerge/>
            <w:vAlign w:val="center"/>
          </w:tcPr>
          <w:p w14:paraId="25263EE1" w14:textId="77777777" w:rsidR="00C816C9" w:rsidRPr="00344769" w:rsidRDefault="00C816C9" w:rsidP="009E2DEE">
            <w:pPr>
              <w:spacing w:before="0" w:after="0" w:line="240" w:lineRule="auto"/>
              <w:jc w:val="left"/>
              <w:rPr>
                <w:b/>
                <w:bCs/>
                <w:sz w:val="20"/>
                <w:szCs w:val="20"/>
              </w:rPr>
            </w:pPr>
          </w:p>
        </w:tc>
        <w:tc>
          <w:tcPr>
            <w:tcW w:w="867" w:type="pct"/>
          </w:tcPr>
          <w:p w14:paraId="474704D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ont-ils été bénéficiaires du projet ?</w:t>
            </w:r>
          </w:p>
        </w:tc>
        <w:tc>
          <w:tcPr>
            <w:tcW w:w="868" w:type="pct"/>
            <w:vAlign w:val="center"/>
          </w:tcPr>
          <w:p w14:paraId="0A91BAC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Nombre de personnes handicapées bénéficiaires directs projet</w:t>
            </w:r>
          </w:p>
        </w:tc>
        <w:tc>
          <w:tcPr>
            <w:tcW w:w="808" w:type="pct"/>
            <w:vMerge/>
            <w:vAlign w:val="center"/>
          </w:tcPr>
          <w:p w14:paraId="13B6EB6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842" w:type="pct"/>
            <w:vMerge/>
            <w:vAlign w:val="center"/>
          </w:tcPr>
          <w:p w14:paraId="6B71FEC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704" w:type="pct"/>
            <w:vMerge/>
          </w:tcPr>
          <w:p w14:paraId="0F48C84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48CBE759" w14:textId="77777777" w:rsidTr="00B65C1B">
        <w:tc>
          <w:tcPr>
            <w:tcW w:w="912" w:type="pct"/>
            <w:vMerge/>
            <w:vAlign w:val="center"/>
          </w:tcPr>
          <w:p w14:paraId="628FCEF4" w14:textId="77777777" w:rsidR="00C816C9" w:rsidRPr="00344769" w:rsidRDefault="00C816C9" w:rsidP="009E2DEE">
            <w:pPr>
              <w:spacing w:before="0" w:after="0" w:line="240" w:lineRule="auto"/>
              <w:rPr>
                <w:b/>
                <w:bCs/>
                <w:sz w:val="20"/>
                <w:szCs w:val="20"/>
              </w:rPr>
            </w:pPr>
          </w:p>
        </w:tc>
        <w:tc>
          <w:tcPr>
            <w:tcW w:w="867" w:type="pct"/>
            <w:vAlign w:val="center"/>
          </w:tcPr>
          <w:p w14:paraId="420353A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Quelles sont les priorités des personnes handicapées ayant trouvé réponse dans ce projet ? </w:t>
            </w:r>
          </w:p>
        </w:tc>
        <w:tc>
          <w:tcPr>
            <w:tcW w:w="868" w:type="pct"/>
            <w:vAlign w:val="center"/>
          </w:tcPr>
          <w:p w14:paraId="14AD5F4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Proportion des bénéficiaires directs (femmes et jeunes) qui affirment que les priorités des personnes handicapées ont été prises en compte par le projet</w:t>
            </w:r>
          </w:p>
        </w:tc>
        <w:tc>
          <w:tcPr>
            <w:tcW w:w="808" w:type="pct"/>
            <w:vAlign w:val="center"/>
          </w:tcPr>
          <w:p w14:paraId="5A2BE07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604EC9E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49A4CE9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5295E2E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5B2F6BC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454758C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5D26E60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3853527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ou à distance</w:t>
            </w:r>
          </w:p>
        </w:tc>
        <w:tc>
          <w:tcPr>
            <w:tcW w:w="704" w:type="pct"/>
            <w:vMerge/>
          </w:tcPr>
          <w:p w14:paraId="6F8E7FDB"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0BB8AB26" w14:textId="77777777" w:rsidTr="00B65C1B">
        <w:tc>
          <w:tcPr>
            <w:tcW w:w="912" w:type="pct"/>
            <w:vAlign w:val="center"/>
          </w:tcPr>
          <w:p w14:paraId="517725A9" w14:textId="2A0876F7" w:rsidR="00C816C9" w:rsidRPr="00344769" w:rsidRDefault="00C816C9" w:rsidP="009E2DEE">
            <w:pPr>
              <w:spacing w:before="0" w:after="0" w:line="240" w:lineRule="auto"/>
              <w:rPr>
                <w:sz w:val="20"/>
                <w:szCs w:val="20"/>
              </w:rPr>
            </w:pPr>
            <w:r w:rsidRPr="00344769">
              <w:rPr>
                <w:b/>
                <w:bCs/>
                <w:sz w:val="20"/>
                <w:szCs w:val="20"/>
              </w:rPr>
              <w:t>QE</w:t>
            </w:r>
            <w:r>
              <w:rPr>
                <w:b/>
                <w:bCs/>
                <w:sz w:val="20"/>
                <w:szCs w:val="20"/>
              </w:rPr>
              <w:t>3</w:t>
            </w:r>
            <w:r w:rsidR="00003946">
              <w:rPr>
                <w:b/>
                <w:bCs/>
                <w:sz w:val="20"/>
                <w:szCs w:val="20"/>
              </w:rPr>
              <w:t>8</w:t>
            </w:r>
            <w:r w:rsidRPr="00344769">
              <w:rPr>
                <w:b/>
                <w:bCs/>
                <w:sz w:val="20"/>
                <w:szCs w:val="20"/>
              </w:rPr>
              <w:t xml:space="preserve">. </w:t>
            </w:r>
            <w:r w:rsidRPr="00344769">
              <w:rPr>
                <w:sz w:val="20"/>
                <w:szCs w:val="20"/>
              </w:rPr>
              <w:t>Quelles sont les barrières auxquelles les personnes handicapées ont dû faire face ?</w:t>
            </w:r>
          </w:p>
        </w:tc>
        <w:tc>
          <w:tcPr>
            <w:tcW w:w="867" w:type="pct"/>
          </w:tcPr>
          <w:p w14:paraId="62ECA68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Quelles sont les barrières auxquelles les personnes handicapées ont dû faire face ?</w:t>
            </w:r>
          </w:p>
        </w:tc>
        <w:tc>
          <w:tcPr>
            <w:tcW w:w="868" w:type="pct"/>
            <w:vAlign w:val="center"/>
          </w:tcPr>
          <w:p w14:paraId="2BBE471D" w14:textId="0C7A1109"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Obstacles (description) ayant limité les personnes handicapées au bénéfice du projet</w:t>
            </w:r>
          </w:p>
        </w:tc>
        <w:tc>
          <w:tcPr>
            <w:tcW w:w="808" w:type="pct"/>
            <w:vAlign w:val="center"/>
          </w:tcPr>
          <w:p w14:paraId="3DBAFFD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49F5F94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7C6903A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63BD852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78AA8D5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41FC86A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0FC6F59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5EC930F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6767947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6EBE77A6" w14:textId="77777777" w:rsidTr="00B65C1B">
        <w:tc>
          <w:tcPr>
            <w:tcW w:w="912" w:type="pct"/>
            <w:vAlign w:val="center"/>
          </w:tcPr>
          <w:p w14:paraId="468A9092" w14:textId="29C884A1" w:rsidR="00C816C9" w:rsidRPr="00344769" w:rsidRDefault="00C816C9" w:rsidP="009E2DEE">
            <w:pPr>
              <w:spacing w:before="0" w:after="0" w:line="240" w:lineRule="auto"/>
              <w:jc w:val="left"/>
              <w:rPr>
                <w:sz w:val="20"/>
                <w:szCs w:val="20"/>
              </w:rPr>
            </w:pPr>
            <w:r w:rsidRPr="00344769">
              <w:rPr>
                <w:b/>
                <w:bCs/>
                <w:sz w:val="20"/>
                <w:szCs w:val="20"/>
              </w:rPr>
              <w:t>QE</w:t>
            </w:r>
            <w:r>
              <w:rPr>
                <w:b/>
                <w:bCs/>
                <w:sz w:val="20"/>
                <w:szCs w:val="20"/>
              </w:rPr>
              <w:t>3</w:t>
            </w:r>
            <w:r w:rsidR="00003946">
              <w:rPr>
                <w:b/>
                <w:bCs/>
                <w:sz w:val="20"/>
                <w:szCs w:val="20"/>
              </w:rPr>
              <w:t>9</w:t>
            </w:r>
            <w:r w:rsidRPr="00344769">
              <w:rPr>
                <w:b/>
                <w:bCs/>
                <w:sz w:val="20"/>
                <w:szCs w:val="20"/>
              </w:rPr>
              <w:t xml:space="preserve">. </w:t>
            </w:r>
            <w:r w:rsidRPr="00344769">
              <w:rPr>
                <w:sz w:val="20"/>
                <w:szCs w:val="20"/>
              </w:rPr>
              <w:t>De quelle manière le projet a</w:t>
            </w:r>
            <w:r w:rsidRPr="00344769">
              <w:rPr>
                <w:rFonts w:ascii="Cambria Math" w:hAnsi="Cambria Math" w:cs="Cambria Math"/>
                <w:sz w:val="20"/>
                <w:szCs w:val="20"/>
              </w:rPr>
              <w:t>‐</w:t>
            </w:r>
            <w:r w:rsidRPr="00344769">
              <w:rPr>
                <w:sz w:val="20"/>
                <w:szCs w:val="20"/>
              </w:rPr>
              <w:t>t</w:t>
            </w:r>
            <w:r w:rsidRPr="00344769">
              <w:rPr>
                <w:rFonts w:ascii="Cambria Math" w:hAnsi="Cambria Math" w:cs="Cambria Math"/>
                <w:sz w:val="20"/>
                <w:szCs w:val="20"/>
              </w:rPr>
              <w:t>‐</w:t>
            </w:r>
            <w:r w:rsidRPr="00344769">
              <w:rPr>
                <w:sz w:val="20"/>
                <w:szCs w:val="20"/>
              </w:rPr>
              <w:t>il contribu</w:t>
            </w:r>
            <w:r w:rsidRPr="00344769">
              <w:rPr>
                <w:rFonts w:cs="Century Gothic"/>
                <w:sz w:val="20"/>
                <w:szCs w:val="20"/>
              </w:rPr>
              <w:t>é</w:t>
            </w:r>
            <w:r w:rsidRPr="00344769">
              <w:rPr>
                <w:sz w:val="20"/>
                <w:szCs w:val="20"/>
              </w:rPr>
              <w:t xml:space="preserve"> </w:t>
            </w:r>
            <w:r w:rsidRPr="00344769">
              <w:rPr>
                <w:rFonts w:cs="Century Gothic"/>
                <w:sz w:val="20"/>
                <w:szCs w:val="20"/>
              </w:rPr>
              <w:t>à</w:t>
            </w:r>
            <w:r w:rsidRPr="00344769">
              <w:rPr>
                <w:sz w:val="20"/>
                <w:szCs w:val="20"/>
              </w:rPr>
              <w:t xml:space="preserve"> une prise en compte des priorit</w:t>
            </w:r>
            <w:r w:rsidRPr="00344769">
              <w:rPr>
                <w:rFonts w:cs="Century Gothic"/>
                <w:sz w:val="20"/>
                <w:szCs w:val="20"/>
              </w:rPr>
              <w:t>é</w:t>
            </w:r>
            <w:r w:rsidRPr="00344769">
              <w:rPr>
                <w:sz w:val="20"/>
                <w:szCs w:val="20"/>
              </w:rPr>
              <w:t>s des personnes handicapées ?</w:t>
            </w:r>
          </w:p>
        </w:tc>
        <w:tc>
          <w:tcPr>
            <w:tcW w:w="867" w:type="pct"/>
          </w:tcPr>
          <w:p w14:paraId="4CD8FA9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Comment (approches ou méthodes) le projet a procédé à la prise en compte des priorités des personnes handicapées ? </w:t>
            </w:r>
          </w:p>
        </w:tc>
        <w:tc>
          <w:tcPr>
            <w:tcW w:w="868" w:type="pct"/>
            <w:vAlign w:val="center"/>
          </w:tcPr>
          <w:p w14:paraId="3B13677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bookmarkStart w:id="1000" w:name="_Hlk76562287"/>
            <w:r w:rsidRPr="00071E0F">
              <w:rPr>
                <w:sz w:val="20"/>
                <w:szCs w:val="20"/>
              </w:rPr>
              <w:t>Approche ou méthodes (description) de prise en compte des priorités des personnes handicapées</w:t>
            </w:r>
            <w:bookmarkEnd w:id="1000"/>
          </w:p>
        </w:tc>
        <w:tc>
          <w:tcPr>
            <w:tcW w:w="808" w:type="pct"/>
            <w:vAlign w:val="center"/>
          </w:tcPr>
          <w:p w14:paraId="7275724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1EAD3DF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7730286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0D8A6C7B"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127070B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7EA1FC7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276054F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35A7CCC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0167308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5DC52059" w14:textId="77777777" w:rsidTr="00B65C1B">
        <w:tc>
          <w:tcPr>
            <w:tcW w:w="912" w:type="pct"/>
            <w:vAlign w:val="center"/>
          </w:tcPr>
          <w:p w14:paraId="1C0100C3" w14:textId="4152426E" w:rsidR="00C816C9" w:rsidRPr="00344769" w:rsidRDefault="00C816C9" w:rsidP="009E2DEE">
            <w:pPr>
              <w:spacing w:before="0" w:after="0" w:line="240" w:lineRule="auto"/>
              <w:jc w:val="left"/>
              <w:rPr>
                <w:sz w:val="20"/>
                <w:szCs w:val="20"/>
              </w:rPr>
            </w:pPr>
            <w:r w:rsidRPr="00344769">
              <w:rPr>
                <w:b/>
                <w:bCs/>
                <w:sz w:val="20"/>
                <w:szCs w:val="20"/>
              </w:rPr>
              <w:t>QE</w:t>
            </w:r>
            <w:r w:rsidR="00003946">
              <w:rPr>
                <w:b/>
                <w:bCs/>
                <w:sz w:val="20"/>
                <w:szCs w:val="20"/>
              </w:rPr>
              <w:t>40</w:t>
            </w:r>
            <w:r w:rsidRPr="00344769">
              <w:rPr>
                <w:b/>
                <w:bCs/>
                <w:sz w:val="20"/>
                <w:szCs w:val="20"/>
              </w:rPr>
              <w:t xml:space="preserve">. </w:t>
            </w:r>
            <w:r w:rsidRPr="00344769">
              <w:rPr>
                <w:sz w:val="20"/>
                <w:szCs w:val="20"/>
              </w:rPr>
              <w:t>De quelle manière les autorités du Mali et du Niger ont intégré les besoins et intérêts des personnes handicapées dans les plans locaux de sécurité et de protection ?</w:t>
            </w:r>
          </w:p>
        </w:tc>
        <w:tc>
          <w:tcPr>
            <w:tcW w:w="867" w:type="pct"/>
          </w:tcPr>
          <w:p w14:paraId="6D86F59B" w14:textId="77777777" w:rsidR="00C816C9" w:rsidRPr="004647E8" w:rsidRDefault="00C816C9" w:rsidP="00DC4CE1">
            <w:pPr>
              <w:numPr>
                <w:ilvl w:val="0"/>
                <w:numId w:val="9"/>
              </w:numPr>
              <w:spacing w:line="240" w:lineRule="auto"/>
              <w:rPr>
                <w:rFonts w:eastAsia="Calibri" w:cs="Times New Roman"/>
                <w:sz w:val="20"/>
                <w:szCs w:val="20"/>
              </w:rPr>
            </w:pPr>
            <w:r w:rsidRPr="00344769">
              <w:rPr>
                <w:sz w:val="20"/>
                <w:szCs w:val="20"/>
              </w:rPr>
              <w:t xml:space="preserve">Comment les autorités ont procédé à la prise en compte des besoins et intérêts des personnes handicapées dans les </w:t>
            </w:r>
            <w:r w:rsidRPr="00344769">
              <w:rPr>
                <w:rFonts w:eastAsia="Calibri" w:cs="Times New Roman"/>
                <w:sz w:val="20"/>
                <w:szCs w:val="20"/>
              </w:rPr>
              <w:t xml:space="preserve">plans locaux de sécurité et de protection </w:t>
            </w:r>
            <w:r w:rsidRPr="00344769">
              <w:rPr>
                <w:sz w:val="20"/>
                <w:szCs w:val="20"/>
              </w:rPr>
              <w:t>?</w:t>
            </w:r>
          </w:p>
        </w:tc>
        <w:tc>
          <w:tcPr>
            <w:tcW w:w="868" w:type="pct"/>
            <w:vAlign w:val="center"/>
          </w:tcPr>
          <w:p w14:paraId="6D89210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Approche ou méthodes (description) de prise en compte des priorités des personnes handicapées</w:t>
            </w:r>
          </w:p>
        </w:tc>
        <w:tc>
          <w:tcPr>
            <w:tcW w:w="808" w:type="pct"/>
            <w:vAlign w:val="center"/>
          </w:tcPr>
          <w:p w14:paraId="40C6301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0E2EBA2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31A7D93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0F45AAB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7EB1FE3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0D73AEB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2A01CD9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2238D50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79521A3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EA4B60" w14:paraId="46C063A4" w14:textId="77777777" w:rsidTr="00B65C1B">
        <w:tc>
          <w:tcPr>
            <w:tcW w:w="912" w:type="pct"/>
            <w:vAlign w:val="center"/>
          </w:tcPr>
          <w:p w14:paraId="6E76EB25" w14:textId="4974F29B" w:rsidR="00C816C9" w:rsidRPr="00344769" w:rsidRDefault="00C816C9" w:rsidP="009E2DEE">
            <w:pPr>
              <w:spacing w:before="0" w:after="0" w:line="240" w:lineRule="auto"/>
              <w:jc w:val="left"/>
              <w:rPr>
                <w:sz w:val="20"/>
                <w:szCs w:val="20"/>
              </w:rPr>
            </w:pPr>
            <w:r w:rsidRPr="00344769">
              <w:rPr>
                <w:b/>
                <w:bCs/>
                <w:sz w:val="20"/>
                <w:szCs w:val="20"/>
              </w:rPr>
              <w:t>QE4</w:t>
            </w:r>
            <w:r w:rsidR="00003946">
              <w:rPr>
                <w:b/>
                <w:bCs/>
                <w:sz w:val="20"/>
                <w:szCs w:val="20"/>
              </w:rPr>
              <w:t>1</w:t>
            </w:r>
            <w:r w:rsidRPr="00344769">
              <w:rPr>
                <w:b/>
                <w:bCs/>
                <w:sz w:val="20"/>
                <w:szCs w:val="20"/>
              </w:rPr>
              <w:t xml:space="preserve">. </w:t>
            </w:r>
            <w:r w:rsidRPr="00344769">
              <w:rPr>
                <w:sz w:val="20"/>
                <w:szCs w:val="20"/>
              </w:rPr>
              <w:t>Quelle a été la principale valeur ajoutée de ce projet dans un changement de qualité de vie des personnes handicapées ?</w:t>
            </w:r>
          </w:p>
        </w:tc>
        <w:tc>
          <w:tcPr>
            <w:tcW w:w="867" w:type="pct"/>
          </w:tcPr>
          <w:p w14:paraId="6327CB1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 quoi le projet a apporté un plus dans les conditions de vie des femmes et des femmes victimes ?</w:t>
            </w:r>
          </w:p>
        </w:tc>
        <w:tc>
          <w:tcPr>
            <w:tcW w:w="868" w:type="pct"/>
            <w:vAlign w:val="center"/>
          </w:tcPr>
          <w:p w14:paraId="08A76437" w14:textId="42C6C6AE"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Témoignages ou histoire</w:t>
            </w:r>
            <w:r w:rsidR="004E1B0C">
              <w:rPr>
                <w:sz w:val="20"/>
                <w:szCs w:val="20"/>
              </w:rPr>
              <w:t>s</w:t>
            </w:r>
            <w:r w:rsidRPr="00344769">
              <w:rPr>
                <w:sz w:val="20"/>
                <w:szCs w:val="20"/>
              </w:rPr>
              <w:t xml:space="preserve"> de vie de changements qualitatifs dans la vie des personnes handicapées</w:t>
            </w:r>
          </w:p>
        </w:tc>
        <w:tc>
          <w:tcPr>
            <w:tcW w:w="808" w:type="pct"/>
            <w:vAlign w:val="center"/>
          </w:tcPr>
          <w:p w14:paraId="18BC353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0751A73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6289B47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57DD02E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54C4872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128177A0" w14:textId="77777777" w:rsidR="00C816C9" w:rsidRPr="00344769" w:rsidRDefault="00C816C9" w:rsidP="009E2DEE">
            <w:pPr>
              <w:spacing w:before="0" w:after="0" w:line="240" w:lineRule="auto"/>
              <w:ind w:left="229"/>
              <w:contextualSpacing/>
              <w:jc w:val="left"/>
              <w:rPr>
                <w:sz w:val="20"/>
                <w:szCs w:val="20"/>
              </w:rPr>
            </w:pPr>
            <w:r w:rsidRPr="00344769">
              <w:rPr>
                <w:sz w:val="20"/>
                <w:szCs w:val="20"/>
              </w:rPr>
              <w:t>Personnes handicapées</w:t>
            </w:r>
          </w:p>
        </w:tc>
        <w:tc>
          <w:tcPr>
            <w:tcW w:w="842" w:type="pct"/>
            <w:vAlign w:val="center"/>
          </w:tcPr>
          <w:p w14:paraId="0BD6FF2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520766B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00FB60E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bookmarkEnd w:id="999"/>
    </w:tbl>
    <w:p w14:paraId="1B712897" w14:textId="77777777" w:rsidR="00A05B38" w:rsidRDefault="00A05B38" w:rsidP="00A05B38">
      <w:pPr>
        <w:tabs>
          <w:tab w:val="left" w:pos="2388"/>
        </w:tabs>
        <w:rPr>
          <w:sz w:val="20"/>
          <w:szCs w:val="20"/>
        </w:rPr>
      </w:pPr>
    </w:p>
    <w:bookmarkEnd w:id="980"/>
    <w:p w14:paraId="60BA8B83" w14:textId="536792A1" w:rsidR="006E0364" w:rsidRDefault="006E0364">
      <w:pPr>
        <w:spacing w:before="0" w:after="160" w:line="259" w:lineRule="auto"/>
        <w:jc w:val="left"/>
        <w:rPr>
          <w:sz w:val="20"/>
          <w:szCs w:val="20"/>
        </w:rPr>
      </w:pPr>
      <w:r>
        <w:rPr>
          <w:sz w:val="20"/>
          <w:szCs w:val="20"/>
        </w:rPr>
        <w:br w:type="page"/>
      </w:r>
    </w:p>
    <w:p w14:paraId="255D6EDE" w14:textId="77777777" w:rsidR="006E0364" w:rsidRDefault="006E0364" w:rsidP="00F564A4">
      <w:pPr>
        <w:pStyle w:val="Titre1"/>
        <w:sectPr w:rsidR="006E0364" w:rsidSect="00CF454A">
          <w:pgSz w:w="16838" w:h="11906" w:orient="landscape"/>
          <w:pgMar w:top="1418" w:right="1418" w:bottom="1418" w:left="1418" w:header="709" w:footer="709" w:gutter="0"/>
          <w:pgNumType w:fmt="lowerRoman" w:start="1"/>
          <w:cols w:space="708"/>
          <w:titlePg/>
          <w:docGrid w:linePitch="360"/>
        </w:sectPr>
      </w:pPr>
    </w:p>
    <w:p w14:paraId="5840DF59" w14:textId="54496F6B" w:rsidR="006E0364" w:rsidRPr="005D2C17" w:rsidRDefault="006E0364" w:rsidP="003A3323">
      <w:pPr>
        <w:pStyle w:val="Titre2"/>
        <w:numPr>
          <w:ilvl w:val="0"/>
          <w:numId w:val="0"/>
        </w:numPr>
        <w:ind w:left="720" w:hanging="720"/>
      </w:pPr>
      <w:bookmarkStart w:id="1001" w:name="_Toc95451881"/>
      <w:r>
        <w:t>Annexe 2 : Documents et sites consultés</w:t>
      </w:r>
      <w:bookmarkEnd w:id="1001"/>
    </w:p>
    <w:p w14:paraId="4BC53472" w14:textId="77777777" w:rsidR="006E0364" w:rsidRDefault="006E0364" w:rsidP="006E0364">
      <w:pPr>
        <w:spacing w:before="0" w:after="0"/>
        <w:rPr>
          <w:rFonts w:ascii="Times New Roman" w:hAnsi="Times New Roman" w:cs="Times New Roman"/>
          <w:b/>
        </w:rPr>
      </w:pPr>
    </w:p>
    <w:p w14:paraId="23898960" w14:textId="77777777" w:rsidR="00CE3FB7" w:rsidRDefault="00CE3FB7" w:rsidP="006E0364">
      <w:pPr>
        <w:spacing w:line="240" w:lineRule="auto"/>
        <w:jc w:val="left"/>
      </w:pPr>
      <w:r w:rsidRPr="007007C9">
        <w:rPr>
          <w:b/>
          <w:bCs/>
        </w:rPr>
        <w:t>Autorité du Liptako-Gourma</w:t>
      </w:r>
      <w:r>
        <w:rPr>
          <w:b/>
          <w:bCs/>
        </w:rPr>
        <w:t xml:space="preserve"> (ALG), </w:t>
      </w:r>
      <w:r w:rsidRPr="007007C9">
        <w:rPr>
          <w:b/>
          <w:bCs/>
        </w:rPr>
        <w:t>2019</w:t>
      </w:r>
      <w:r>
        <w:rPr>
          <w:b/>
          <w:bCs/>
        </w:rPr>
        <w:t xml:space="preserve"> </w:t>
      </w:r>
      <w:r w:rsidRPr="007007C9">
        <w:rPr>
          <w:b/>
          <w:bCs/>
        </w:rPr>
        <w:t>:</w:t>
      </w:r>
      <w:r w:rsidRPr="007007C9">
        <w:t xml:space="preserve"> Analyse préliminaire des risques, des vulnérabilités et des actifs de résilience dans la région du Liptako-Gourma</w:t>
      </w:r>
      <w:r>
        <w:t xml:space="preserve">, Février 2019 </w:t>
      </w:r>
    </w:p>
    <w:p w14:paraId="6E67E863" w14:textId="77777777" w:rsidR="00CE3FB7" w:rsidRPr="007007C9" w:rsidRDefault="00CE3FB7" w:rsidP="006E0364">
      <w:pPr>
        <w:pStyle w:val="Notedebasdepage"/>
        <w:spacing w:after="120"/>
        <w:jc w:val="left"/>
        <w:rPr>
          <w:sz w:val="22"/>
          <w:szCs w:val="22"/>
        </w:rPr>
      </w:pPr>
      <w:r w:rsidRPr="007007C9">
        <w:rPr>
          <w:b/>
          <w:bCs/>
          <w:sz w:val="22"/>
          <w:szCs w:val="22"/>
        </w:rPr>
        <w:t>Banque africaine de développement</w:t>
      </w:r>
      <w:r>
        <w:rPr>
          <w:b/>
          <w:bCs/>
          <w:sz w:val="22"/>
          <w:szCs w:val="22"/>
        </w:rPr>
        <w:t xml:space="preserve"> (BAD)</w:t>
      </w:r>
      <w:r w:rsidRPr="007007C9">
        <w:rPr>
          <w:b/>
          <w:bCs/>
          <w:sz w:val="22"/>
          <w:szCs w:val="22"/>
        </w:rPr>
        <w:t>, 2020 :</w:t>
      </w:r>
      <w:r w:rsidRPr="007007C9">
        <w:rPr>
          <w:sz w:val="22"/>
          <w:szCs w:val="22"/>
        </w:rPr>
        <w:t xml:space="preserve"> Rapport méthodologique et statistique, </w:t>
      </w:r>
      <w:r>
        <w:rPr>
          <w:sz w:val="22"/>
          <w:szCs w:val="22"/>
        </w:rPr>
        <w:t xml:space="preserve">URL : </w:t>
      </w:r>
      <w:hyperlink r:id="rId26" w:history="1">
        <w:r w:rsidRPr="007007C9">
          <w:rPr>
            <w:rStyle w:val="Lienhypertexte"/>
            <w:sz w:val="22"/>
            <w:szCs w:val="22"/>
          </w:rPr>
          <w:t>https://www.afdb.org/fr/documents/indice-de-legalite-des-genres-en-afrique-2019-rapport-methodologique-et-statistique</w:t>
        </w:r>
      </w:hyperlink>
      <w:r>
        <w:rPr>
          <w:sz w:val="22"/>
          <w:szCs w:val="22"/>
        </w:rPr>
        <w:t xml:space="preserve"> </w:t>
      </w:r>
    </w:p>
    <w:p w14:paraId="234B125E"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Bureau de recherche de l’UNICEF</w:t>
      </w:r>
      <w:r w:rsidRPr="00B10B10">
        <w:rPr>
          <w:rFonts w:ascii="Times New Roman" w:hAnsi="Times New Roman" w:cs="Times New Roman"/>
          <w:b/>
          <w:bCs/>
        </w:rPr>
        <w:t xml:space="preserve">, </w:t>
      </w:r>
      <w:r w:rsidRPr="007007C9">
        <w:rPr>
          <w:rFonts w:eastAsia="Times New Roman" w:cs="Calibri"/>
          <w:b/>
          <w:bCs/>
          <w:color w:val="000000"/>
        </w:rPr>
        <w:t>2013 :</w:t>
      </w:r>
      <w:r>
        <w:rPr>
          <w:rFonts w:eastAsia="Times New Roman" w:cs="Calibri"/>
          <w:color w:val="000000"/>
        </w:rPr>
        <w:t xml:space="preserve"> </w:t>
      </w:r>
      <w:r w:rsidRPr="00C23216">
        <w:rPr>
          <w:rFonts w:eastAsia="Times New Roman" w:cs="Calibri"/>
          <w:color w:val="000000"/>
        </w:rPr>
        <w:t>Recherche éthique impliquant des enfants</w:t>
      </w:r>
    </w:p>
    <w:p w14:paraId="120C6DB4"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 xml:space="preserve">CEDEAO, 2016 : </w:t>
      </w:r>
      <w:r w:rsidRPr="00C23216">
        <w:rPr>
          <w:rFonts w:eastAsia="Times New Roman" w:cs="Calibri"/>
          <w:color w:val="000000"/>
        </w:rPr>
        <w:t xml:space="preserve">Cadre de politique de la CEDEAO pour </w:t>
      </w:r>
      <w:r>
        <w:rPr>
          <w:rFonts w:eastAsia="Times New Roman" w:cs="Calibri"/>
          <w:color w:val="000000"/>
        </w:rPr>
        <w:t xml:space="preserve">la </w:t>
      </w:r>
      <w:r w:rsidRPr="00C23216">
        <w:rPr>
          <w:rFonts w:eastAsia="Times New Roman" w:cs="Calibri"/>
          <w:color w:val="000000"/>
        </w:rPr>
        <w:t>r</w:t>
      </w:r>
      <w:r>
        <w:rPr>
          <w:rFonts w:eastAsia="Times New Roman" w:cs="Calibri"/>
          <w:color w:val="000000"/>
        </w:rPr>
        <w:t>é</w:t>
      </w:r>
      <w:r w:rsidRPr="00C23216">
        <w:rPr>
          <w:rFonts w:eastAsia="Times New Roman" w:cs="Calibri"/>
          <w:color w:val="000000"/>
        </w:rPr>
        <w:t>forme et la gouvernance du secteur de la sécurité</w:t>
      </w:r>
    </w:p>
    <w:p w14:paraId="01D945CC" w14:textId="77777777" w:rsidR="00CE3FB7" w:rsidRPr="00AA41E8" w:rsidRDefault="00CE3FB7" w:rsidP="00AA41E8">
      <w:pPr>
        <w:spacing w:line="240" w:lineRule="auto"/>
        <w:rPr>
          <w:rFonts w:eastAsia="Times New Roman" w:cs="Calibri"/>
          <w:b/>
          <w:bCs/>
          <w:color w:val="000000"/>
        </w:rPr>
      </w:pPr>
      <w:r w:rsidRPr="005E0841">
        <w:rPr>
          <w:rFonts w:eastAsia="Times New Roman" w:cs="Calibri"/>
          <w:b/>
          <w:bCs/>
          <w:color w:val="000000"/>
          <w:lang w:val="en-US"/>
        </w:rPr>
        <w:t>Chen, H. T. (2012). “</w:t>
      </w:r>
      <w:r w:rsidRPr="005E0841">
        <w:rPr>
          <w:rFonts w:eastAsia="Times New Roman" w:cs="Calibri"/>
          <w:color w:val="000000"/>
          <w:lang w:val="en-US"/>
        </w:rPr>
        <w:t xml:space="preserve">Theory-driven evaluation: Conceptual framework, application and advancement”. </w:t>
      </w:r>
      <w:r w:rsidRPr="005E0841">
        <w:rPr>
          <w:rFonts w:eastAsia="Times New Roman" w:cs="Calibri"/>
          <w:color w:val="000000"/>
        </w:rPr>
        <w:t>Evaluation von Programmen und Projekten für eine demokratische Kultur, DOI 10.1007/978-3-531-19009-9_2</w:t>
      </w:r>
    </w:p>
    <w:p w14:paraId="07574774" w14:textId="77777777" w:rsidR="00CE3FB7" w:rsidRPr="007007C9" w:rsidRDefault="00CE3FB7" w:rsidP="006E0364">
      <w:pPr>
        <w:pStyle w:val="Notedebasdepage"/>
        <w:spacing w:after="120"/>
        <w:jc w:val="left"/>
        <w:rPr>
          <w:sz w:val="22"/>
          <w:szCs w:val="22"/>
        </w:rPr>
      </w:pPr>
      <w:r w:rsidRPr="007007C9">
        <w:rPr>
          <w:b/>
          <w:bCs/>
          <w:sz w:val="22"/>
          <w:szCs w:val="22"/>
        </w:rPr>
        <w:t xml:space="preserve">Cluster Protection </w:t>
      </w:r>
      <w:r>
        <w:rPr>
          <w:b/>
          <w:bCs/>
          <w:sz w:val="22"/>
          <w:szCs w:val="22"/>
        </w:rPr>
        <w:t xml:space="preserve">-Niger </w:t>
      </w:r>
      <w:r w:rsidRPr="007007C9">
        <w:rPr>
          <w:b/>
          <w:bCs/>
          <w:sz w:val="22"/>
          <w:szCs w:val="22"/>
        </w:rPr>
        <w:t>(Danish Refugee Council, ANTD, UNHCR), 2018 :</w:t>
      </w:r>
      <w:r w:rsidRPr="007007C9">
        <w:rPr>
          <w:sz w:val="22"/>
          <w:szCs w:val="22"/>
        </w:rPr>
        <w:t xml:space="preserve"> Rapport d’analyse mensuelle des </w:t>
      </w:r>
      <w:r w:rsidRPr="00563B2B">
        <w:rPr>
          <w:sz w:val="22"/>
          <w:szCs w:val="22"/>
        </w:rPr>
        <w:t>données</w:t>
      </w:r>
      <w:r w:rsidRPr="007007C9">
        <w:rPr>
          <w:sz w:val="22"/>
          <w:szCs w:val="22"/>
        </w:rPr>
        <w:t xml:space="preserve"> du monitoring de protection, Tillabéri, Niger, août 2018</w:t>
      </w:r>
    </w:p>
    <w:p w14:paraId="3A5CE44A" w14:textId="77777777" w:rsidR="00CE3FB7" w:rsidRPr="003551E4" w:rsidRDefault="00CE3FB7" w:rsidP="006E0364">
      <w:pPr>
        <w:spacing w:line="240" w:lineRule="auto"/>
        <w:jc w:val="left"/>
      </w:pPr>
      <w:r w:rsidRPr="007007C9">
        <w:rPr>
          <w:b/>
          <w:bCs/>
        </w:rPr>
        <w:t>Cluster Protection Niger,</w:t>
      </w:r>
      <w:r>
        <w:rPr>
          <w:b/>
          <w:bCs/>
        </w:rPr>
        <w:t xml:space="preserve"> </w:t>
      </w:r>
      <w:r w:rsidRPr="007007C9">
        <w:rPr>
          <w:b/>
          <w:bCs/>
        </w:rPr>
        <w:t>2018 :</w:t>
      </w:r>
      <w:r>
        <w:t xml:space="preserve"> </w:t>
      </w:r>
      <w:r w:rsidRPr="007007C9">
        <w:t>Interconnexion entre les incidents majeurs au nord Mali et les répercussions dans la partie nord des</w:t>
      </w:r>
      <w:r>
        <w:t xml:space="preserve"> </w:t>
      </w:r>
      <w:r w:rsidRPr="007007C9">
        <w:t>régions de Tillabéri et Tahoua (janvier à décembre 2018)</w:t>
      </w:r>
      <w:r>
        <w:t xml:space="preserve">, URL : </w:t>
      </w:r>
      <w:hyperlink r:id="rId27" w:history="1">
        <w:r w:rsidRPr="007007C9">
          <w:rPr>
            <w:rStyle w:val="Lienhypertexte"/>
          </w:rPr>
          <w:t>https://reliefweb.int/sites/reliefweb.int/files/resources/interconnexion_mali-niger_31_decembre_2018.pdf</w:t>
        </w:r>
      </w:hyperlink>
    </w:p>
    <w:p w14:paraId="18AECFBB" w14:textId="77777777" w:rsidR="00CE3FB7" w:rsidRDefault="00CE3FB7" w:rsidP="006E0364">
      <w:pPr>
        <w:spacing w:line="240" w:lineRule="auto"/>
        <w:jc w:val="left"/>
      </w:pPr>
      <w:r w:rsidRPr="007007C9">
        <w:rPr>
          <w:b/>
          <w:bCs/>
        </w:rPr>
        <w:t>Comité international de la Croix-Rouge (CICR), 2009 :</w:t>
      </w:r>
      <w:r>
        <w:t xml:space="preserve"> </w:t>
      </w:r>
      <w:r w:rsidRPr="00171A3E">
        <w:t>Communiqué de presse</w:t>
      </w:r>
      <w:r>
        <w:t xml:space="preserve"> du </w:t>
      </w:r>
      <w:r w:rsidRPr="00171A3E">
        <w:t xml:space="preserve">22 </w:t>
      </w:r>
      <w:r>
        <w:t xml:space="preserve">Janvier </w:t>
      </w:r>
      <w:r w:rsidRPr="00171A3E">
        <w:t>2019</w:t>
      </w:r>
      <w:r>
        <w:t xml:space="preserve"> : </w:t>
      </w:r>
      <w:hyperlink r:id="rId28" w:history="1">
        <w:r w:rsidRPr="007007C9">
          <w:rPr>
            <w:rStyle w:val="Lienhypertexte"/>
          </w:rPr>
          <w:t>https://www.icrc.org/fr/document/mali-niger-changement-climatique-et-conflits-forment-un-cocktail-explosif-au-sahel-0</w:t>
        </w:r>
      </w:hyperlink>
    </w:p>
    <w:p w14:paraId="0563EFDC"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Commission de la CEDEAO, 2008 :</w:t>
      </w:r>
      <w:r>
        <w:rPr>
          <w:rFonts w:eastAsia="Times New Roman" w:cs="Calibri"/>
          <w:color w:val="000000"/>
        </w:rPr>
        <w:t xml:space="preserve"> </w:t>
      </w:r>
      <w:r w:rsidRPr="00C23216">
        <w:rPr>
          <w:rFonts w:eastAsia="Times New Roman" w:cs="Calibri"/>
          <w:color w:val="000000"/>
        </w:rPr>
        <w:t>Cadre de prévention des conflits de la CEDEAO (CPCC)</w:t>
      </w:r>
    </w:p>
    <w:p w14:paraId="65F583DE"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Conseil de sécurité Nations Unies, 2013 :</w:t>
      </w:r>
      <w:r>
        <w:rPr>
          <w:rFonts w:eastAsia="Times New Roman" w:cs="Calibri"/>
          <w:color w:val="000000"/>
        </w:rPr>
        <w:t xml:space="preserve"> </w:t>
      </w:r>
      <w:r w:rsidRPr="00C23216">
        <w:rPr>
          <w:rFonts w:eastAsia="Times New Roman" w:cs="Calibri"/>
          <w:color w:val="000000"/>
        </w:rPr>
        <w:t xml:space="preserve">Rapport du Secrétaire général </w:t>
      </w:r>
      <w:r>
        <w:rPr>
          <w:rFonts w:eastAsia="Times New Roman" w:cs="Calibri"/>
          <w:color w:val="000000"/>
        </w:rPr>
        <w:t xml:space="preserve">des Nations Unies </w:t>
      </w:r>
      <w:r w:rsidRPr="00C23216">
        <w:rPr>
          <w:rFonts w:eastAsia="Times New Roman" w:cs="Calibri"/>
          <w:color w:val="000000"/>
        </w:rPr>
        <w:t>sur la situation dans la région du Sahel</w:t>
      </w:r>
      <w:r w:rsidRPr="00563B2B">
        <w:rPr>
          <w:rFonts w:eastAsia="Times New Roman" w:cs="Calibri"/>
          <w:color w:val="000000"/>
        </w:rPr>
        <w:t xml:space="preserve"> </w:t>
      </w:r>
    </w:p>
    <w:p w14:paraId="16D0B74A"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Conseil de sécurité Nations Unies, 2017 :</w:t>
      </w:r>
      <w:r>
        <w:rPr>
          <w:rFonts w:eastAsia="Times New Roman" w:cs="Calibri"/>
          <w:color w:val="000000"/>
        </w:rPr>
        <w:t xml:space="preserve"> </w:t>
      </w:r>
      <w:r w:rsidRPr="007007C9">
        <w:rPr>
          <w:rFonts w:eastAsia="Times New Roman" w:cs="Calibri"/>
          <w:color w:val="000000"/>
        </w:rPr>
        <w:t>Résolution 2359</w:t>
      </w:r>
    </w:p>
    <w:p w14:paraId="60144AFA" w14:textId="77777777" w:rsidR="00CE3FB7" w:rsidRPr="007007C9" w:rsidRDefault="00CE3FB7" w:rsidP="006E0364">
      <w:pPr>
        <w:spacing w:line="240" w:lineRule="auto"/>
        <w:rPr>
          <w:rFonts w:eastAsia="Times New Roman" w:cs="Calibri"/>
          <w:b/>
          <w:bCs/>
          <w:color w:val="000000"/>
        </w:rPr>
      </w:pPr>
      <w:r w:rsidRPr="007007C9">
        <w:rPr>
          <w:rFonts w:eastAsia="Times New Roman" w:cs="Calibri"/>
          <w:b/>
          <w:bCs/>
          <w:color w:val="000000"/>
        </w:rPr>
        <w:t>Groupe d’évaluation des Nations Unies (UNE</w:t>
      </w:r>
      <w:r>
        <w:rPr>
          <w:rFonts w:eastAsia="Times New Roman" w:cs="Calibri"/>
          <w:b/>
          <w:bCs/>
          <w:color w:val="000000"/>
        </w:rPr>
        <w:t>G)</w:t>
      </w:r>
      <w:r w:rsidRPr="007007C9">
        <w:rPr>
          <w:rFonts w:eastAsia="Times New Roman" w:cs="Calibri"/>
          <w:b/>
          <w:bCs/>
          <w:color w:val="000000"/>
        </w:rPr>
        <w:t>, 2020</w:t>
      </w:r>
      <w:r>
        <w:rPr>
          <w:rFonts w:eastAsia="Times New Roman" w:cs="Calibri"/>
          <w:b/>
          <w:bCs/>
          <w:color w:val="000000"/>
        </w:rPr>
        <w:t xml:space="preserve"> </w:t>
      </w:r>
      <w:r w:rsidRPr="007007C9">
        <w:rPr>
          <w:rFonts w:eastAsia="Times New Roman" w:cs="Calibri"/>
          <w:b/>
          <w:bCs/>
          <w:color w:val="000000"/>
        </w:rPr>
        <w:t>:</w:t>
      </w:r>
      <w:r w:rsidRPr="007007C9">
        <w:rPr>
          <w:rFonts w:eastAsia="Times New Roman" w:cs="Calibri"/>
          <w:color w:val="000000"/>
        </w:rPr>
        <w:t xml:space="preserve"> </w:t>
      </w:r>
      <w:r>
        <w:rPr>
          <w:rFonts w:eastAsia="Times New Roman" w:cs="Calibri"/>
          <w:color w:val="000000"/>
        </w:rPr>
        <w:t xml:space="preserve">Guide d’éthique des évaluations </w:t>
      </w:r>
      <w:r w:rsidRPr="007007C9">
        <w:rPr>
          <w:i/>
          <w:iCs/>
          <w:sz w:val="20"/>
          <w:szCs w:val="20"/>
        </w:rPr>
        <w:t>(</w:t>
      </w:r>
      <w:r>
        <w:rPr>
          <w:i/>
          <w:iCs/>
          <w:sz w:val="20"/>
          <w:szCs w:val="20"/>
        </w:rPr>
        <w:t xml:space="preserve">Titre original : </w:t>
      </w:r>
      <w:r w:rsidRPr="007007C9">
        <w:rPr>
          <w:i/>
          <w:iCs/>
          <w:sz w:val="20"/>
          <w:szCs w:val="20"/>
        </w:rPr>
        <w:t>UNEG ethical guidelines for evaluation)</w:t>
      </w:r>
    </w:p>
    <w:p w14:paraId="058D4266" w14:textId="77777777" w:rsidR="00CE3FB7" w:rsidRPr="005E0841" w:rsidRDefault="00CE3FB7" w:rsidP="00AA41E8">
      <w:pPr>
        <w:spacing w:line="240" w:lineRule="auto"/>
        <w:rPr>
          <w:rFonts w:eastAsia="Times New Roman" w:cs="Calibri"/>
          <w:color w:val="000000"/>
          <w:lang w:val="en-US"/>
        </w:rPr>
      </w:pPr>
      <w:r w:rsidRPr="005E0841">
        <w:rPr>
          <w:rFonts w:eastAsia="Times New Roman" w:cs="Calibri"/>
          <w:b/>
          <w:bCs/>
          <w:color w:val="000000"/>
        </w:rPr>
        <w:t xml:space="preserve">Howard White (2009) : </w:t>
      </w:r>
      <w:r w:rsidRPr="005E0841">
        <w:rPr>
          <w:rFonts w:eastAsia="Times New Roman" w:cs="Calibri"/>
          <w:color w:val="000000"/>
        </w:rPr>
        <w:t xml:space="preserve">“L’évaluation d’impact basée sur la théorie : principes et pratique. </w:t>
      </w:r>
      <w:r w:rsidRPr="005E0841">
        <w:rPr>
          <w:rFonts w:eastAsia="Times New Roman" w:cs="Calibri"/>
          <w:color w:val="000000"/>
          <w:lang w:val="en-US"/>
        </w:rPr>
        <w:t>International initiative for impact evaluation (3ie) - WORKING PAPER 3</w:t>
      </w:r>
    </w:p>
    <w:p w14:paraId="1738F3E9" w14:textId="77777777" w:rsidR="00CE3FB7" w:rsidRPr="002252D6" w:rsidRDefault="00CE3FB7" w:rsidP="006E0364">
      <w:pPr>
        <w:pStyle w:val="Notedebasdepage"/>
        <w:spacing w:after="120"/>
        <w:rPr>
          <w:sz w:val="22"/>
          <w:szCs w:val="22"/>
          <w:lang w:val="en-US"/>
        </w:rPr>
      </w:pPr>
      <w:r w:rsidRPr="002252D6">
        <w:rPr>
          <w:b/>
          <w:bCs/>
          <w:sz w:val="22"/>
          <w:szCs w:val="22"/>
          <w:lang w:val="en-US"/>
        </w:rPr>
        <w:t>Igarapé Institute</w:t>
      </w:r>
      <w:r>
        <w:rPr>
          <w:b/>
          <w:bCs/>
          <w:sz w:val="22"/>
          <w:szCs w:val="22"/>
          <w:lang w:val="en-US"/>
        </w:rPr>
        <w:t xml:space="preserve">, </w:t>
      </w:r>
      <w:r w:rsidRPr="002252D6">
        <w:rPr>
          <w:b/>
          <w:bCs/>
          <w:sz w:val="22"/>
          <w:szCs w:val="22"/>
          <w:lang w:val="en-US"/>
        </w:rPr>
        <w:t>2021:</w:t>
      </w:r>
      <w:r w:rsidRPr="002252D6">
        <w:rPr>
          <w:sz w:val="22"/>
          <w:szCs w:val="22"/>
          <w:lang w:val="en-US"/>
        </w:rPr>
        <w:t xml:space="preserve"> Climate change and security in West Africa, February 2021</w:t>
      </w:r>
      <w:r>
        <w:rPr>
          <w:sz w:val="22"/>
          <w:szCs w:val="22"/>
          <w:lang w:val="en-US"/>
        </w:rPr>
        <w:t xml:space="preserve">, </w:t>
      </w:r>
      <w:r w:rsidRPr="003516D0">
        <w:rPr>
          <w:sz w:val="22"/>
          <w:szCs w:val="22"/>
          <w:lang w:val="en-US"/>
        </w:rPr>
        <w:t>Peter Schmidt and Robert Muggah</w:t>
      </w:r>
    </w:p>
    <w:p w14:paraId="7EF1F59A" w14:textId="77777777" w:rsidR="00CE3FB7" w:rsidRPr="002703D0" w:rsidRDefault="00CE3FB7" w:rsidP="006E0364">
      <w:pPr>
        <w:pStyle w:val="Notedebasdepage"/>
        <w:spacing w:after="120"/>
        <w:rPr>
          <w:sz w:val="22"/>
          <w:szCs w:val="22"/>
        </w:rPr>
      </w:pPr>
      <w:r w:rsidRPr="002703D0">
        <w:rPr>
          <w:b/>
          <w:bCs/>
          <w:sz w:val="22"/>
          <w:szCs w:val="22"/>
        </w:rPr>
        <w:t>Institut national de la Statistique</w:t>
      </w:r>
      <w:r>
        <w:rPr>
          <w:b/>
          <w:bCs/>
          <w:sz w:val="22"/>
          <w:szCs w:val="22"/>
        </w:rPr>
        <w:t xml:space="preserve"> (INS-Niger), 2017 :</w:t>
      </w:r>
      <w:r>
        <w:rPr>
          <w:sz w:val="22"/>
          <w:szCs w:val="22"/>
        </w:rPr>
        <w:t xml:space="preserve"> </w:t>
      </w:r>
      <w:r w:rsidRPr="002703D0">
        <w:rPr>
          <w:sz w:val="22"/>
          <w:szCs w:val="22"/>
        </w:rPr>
        <w:t>Enquête nationale sur la vulnérabilité à l’insécurité alimentaire des ménages en milieu rural au Niger, Décembre 2017</w:t>
      </w:r>
    </w:p>
    <w:p w14:paraId="23680B7C" w14:textId="77777777" w:rsidR="00CE3FB7" w:rsidRDefault="00CE3FB7" w:rsidP="006E0364">
      <w:pPr>
        <w:pStyle w:val="Notedebasdepage"/>
        <w:spacing w:after="120"/>
        <w:rPr>
          <w:sz w:val="22"/>
          <w:szCs w:val="22"/>
        </w:rPr>
      </w:pPr>
      <w:r w:rsidRPr="007007C9">
        <w:rPr>
          <w:b/>
          <w:bCs/>
          <w:sz w:val="22"/>
          <w:szCs w:val="22"/>
        </w:rPr>
        <w:t>Institut national de la statistique (INSTAT</w:t>
      </w:r>
      <w:r>
        <w:rPr>
          <w:b/>
          <w:bCs/>
          <w:sz w:val="22"/>
          <w:szCs w:val="22"/>
        </w:rPr>
        <w:t>-Mali</w:t>
      </w:r>
      <w:r w:rsidRPr="007007C9">
        <w:rPr>
          <w:b/>
          <w:bCs/>
          <w:sz w:val="22"/>
          <w:szCs w:val="22"/>
        </w:rPr>
        <w:t>), 201</w:t>
      </w:r>
      <w:r>
        <w:rPr>
          <w:b/>
          <w:bCs/>
          <w:sz w:val="22"/>
          <w:szCs w:val="22"/>
        </w:rPr>
        <w:t>7</w:t>
      </w:r>
      <w:r w:rsidRPr="007007C9">
        <w:rPr>
          <w:b/>
          <w:bCs/>
          <w:sz w:val="22"/>
          <w:szCs w:val="22"/>
        </w:rPr>
        <w:t> :</w:t>
      </w:r>
      <w:r>
        <w:rPr>
          <w:sz w:val="22"/>
          <w:szCs w:val="22"/>
        </w:rPr>
        <w:t xml:space="preserve"> </w:t>
      </w:r>
      <w:r w:rsidRPr="007007C9">
        <w:rPr>
          <w:sz w:val="22"/>
          <w:szCs w:val="22"/>
        </w:rPr>
        <w:t>Enquête Modulaire et Permanente auprès des Ménages (EMOP, 2016-2017)</w:t>
      </w:r>
    </w:p>
    <w:p w14:paraId="698D554F" w14:textId="7B3D7089" w:rsidR="00CE3FB7" w:rsidRPr="005E0841" w:rsidRDefault="00CE3FB7" w:rsidP="00CE3FB7">
      <w:pPr>
        <w:pStyle w:val="Notedebasdepage"/>
        <w:spacing w:after="120"/>
        <w:rPr>
          <w:sz w:val="22"/>
          <w:szCs w:val="22"/>
        </w:rPr>
      </w:pPr>
      <w:r w:rsidRPr="005E0841">
        <w:rPr>
          <w:b/>
          <w:bCs/>
          <w:sz w:val="22"/>
          <w:szCs w:val="22"/>
        </w:rPr>
        <w:t xml:space="preserve">International Alert (2020) : </w:t>
      </w:r>
      <w:r w:rsidRPr="005E0841">
        <w:rPr>
          <w:sz w:val="22"/>
          <w:szCs w:val="22"/>
        </w:rPr>
        <w:t xml:space="preserve">DOGMATISME OU PRAGMATISME ? Extrémisme violent et genre au Sahel central, URL : </w:t>
      </w:r>
      <w:hyperlink r:id="rId29" w:history="1">
        <w:r w:rsidRPr="005E0841">
          <w:rPr>
            <w:sz w:val="22"/>
            <w:szCs w:val="22"/>
          </w:rPr>
          <w:t>https://www.international-alert.org/wp-content/uploads/2021/08/Sahel-Violent-Extremism-Gender-FR-2020.pdf</w:t>
        </w:r>
      </w:hyperlink>
      <w:r w:rsidR="007760A2">
        <w:rPr>
          <w:sz w:val="22"/>
          <w:szCs w:val="22"/>
        </w:rPr>
        <w:t xml:space="preserve"> </w:t>
      </w:r>
    </w:p>
    <w:p w14:paraId="6E0E998E" w14:textId="78925A5D" w:rsidR="00CE3FB7" w:rsidRPr="00803E05" w:rsidRDefault="00CE3FB7" w:rsidP="00AA41E8">
      <w:pPr>
        <w:pStyle w:val="Notedebasdepage"/>
        <w:spacing w:after="120"/>
        <w:rPr>
          <w:b/>
          <w:bCs/>
          <w:sz w:val="22"/>
          <w:szCs w:val="22"/>
        </w:rPr>
      </w:pPr>
      <w:r w:rsidRPr="005E0841">
        <w:rPr>
          <w:b/>
          <w:bCs/>
          <w:sz w:val="22"/>
          <w:szCs w:val="22"/>
          <w:lang w:val="en-US"/>
        </w:rPr>
        <w:t xml:space="preserve">Marshall, B., Cardon, P., Poddar, A., &amp; Fontenot, R. (2013). </w:t>
      </w:r>
      <w:r w:rsidRPr="005E0841">
        <w:rPr>
          <w:sz w:val="22"/>
          <w:szCs w:val="22"/>
          <w:lang w:val="en-US"/>
        </w:rPr>
        <w:t xml:space="preserve">Does Sample Size Matter in Qualitative Research? A Review of Qualitative Interviews in is Research. Journal of Computer Information Systems, 54(1), 11–22. </w:t>
      </w:r>
      <w:r w:rsidRPr="005E0841">
        <w:rPr>
          <w:sz w:val="22"/>
          <w:szCs w:val="22"/>
        </w:rPr>
        <w:t>DOI :</w:t>
      </w:r>
      <w:r w:rsidR="007760A2">
        <w:rPr>
          <w:sz w:val="22"/>
          <w:szCs w:val="22"/>
        </w:rPr>
        <w:t xml:space="preserve"> </w:t>
      </w:r>
      <w:r w:rsidRPr="005E0841">
        <w:rPr>
          <w:sz w:val="22"/>
          <w:szCs w:val="22"/>
        </w:rPr>
        <w:t>https://doi.org/10.1080/08874417.2013.11645667</w:t>
      </w:r>
    </w:p>
    <w:p w14:paraId="4125BEF8"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 xml:space="preserve">Ministère de la promotion de la femme de l’enfant et de la famille </w:t>
      </w:r>
      <w:r>
        <w:rPr>
          <w:rFonts w:eastAsia="Times New Roman" w:cs="Calibri"/>
          <w:b/>
          <w:bCs/>
          <w:color w:val="000000"/>
        </w:rPr>
        <w:t>–</w:t>
      </w:r>
      <w:r w:rsidRPr="007007C9">
        <w:rPr>
          <w:rFonts w:eastAsia="Times New Roman" w:cs="Calibri"/>
          <w:b/>
          <w:bCs/>
          <w:color w:val="000000"/>
        </w:rPr>
        <w:t xml:space="preserve"> Mali</w:t>
      </w:r>
      <w:r w:rsidRPr="00B10B10">
        <w:rPr>
          <w:rFonts w:eastAsia="Times New Roman" w:cs="Calibri"/>
          <w:b/>
          <w:bCs/>
          <w:color w:val="000000"/>
        </w:rPr>
        <w:t>,</w:t>
      </w:r>
      <w:r w:rsidRPr="003551E4">
        <w:rPr>
          <w:rFonts w:eastAsia="Times New Roman" w:cs="Calibri"/>
          <w:b/>
          <w:bCs/>
          <w:color w:val="000000"/>
        </w:rPr>
        <w:t xml:space="preserve"> </w:t>
      </w:r>
      <w:r w:rsidRPr="007007C9">
        <w:rPr>
          <w:rFonts w:eastAsia="Times New Roman" w:cs="Calibri"/>
          <w:b/>
          <w:bCs/>
          <w:color w:val="000000"/>
        </w:rPr>
        <w:t>2015 :</w:t>
      </w:r>
      <w:r>
        <w:rPr>
          <w:rFonts w:eastAsia="Times New Roman" w:cs="Calibri"/>
          <w:color w:val="000000"/>
        </w:rPr>
        <w:t xml:space="preserve"> </w:t>
      </w:r>
      <w:r w:rsidRPr="00C23216">
        <w:rPr>
          <w:rFonts w:eastAsia="Times New Roman" w:cs="Calibri"/>
          <w:color w:val="000000"/>
        </w:rPr>
        <w:t>Plan d’actions national du Mali pour la mise en œuvre de la résolution 1325 (2000) et connexes du conseil de sécurité des nations unies sur femmes, paix et sécurité 2015-2017</w:t>
      </w:r>
      <w:r w:rsidRPr="00ED7B5D">
        <w:rPr>
          <w:rFonts w:eastAsia="Times New Roman" w:cs="Calibri"/>
          <w:color w:val="000000"/>
        </w:rPr>
        <w:t xml:space="preserve"> </w:t>
      </w:r>
    </w:p>
    <w:p w14:paraId="601BF69A"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Ministère de la promotion de la femme et de la protection de l’enfant – Niger, 2016 :</w:t>
      </w:r>
      <w:r>
        <w:rPr>
          <w:rFonts w:eastAsia="Times New Roman" w:cs="Calibri"/>
          <w:color w:val="000000"/>
        </w:rPr>
        <w:t xml:space="preserve"> </w:t>
      </w:r>
      <w:r w:rsidRPr="00C23216">
        <w:rPr>
          <w:rFonts w:eastAsia="Times New Roman" w:cs="Calibri"/>
          <w:color w:val="000000"/>
        </w:rPr>
        <w:t xml:space="preserve">Plan d’action national pour la mise en œuvre de la résolution 1325 du conseil de sécurité des Nations Unies dans l’espace CEDEAO 2017 </w:t>
      </w:r>
      <w:r>
        <w:rPr>
          <w:rFonts w:eastAsia="Times New Roman" w:cs="Calibri"/>
          <w:color w:val="000000"/>
        </w:rPr>
        <w:t>–</w:t>
      </w:r>
      <w:r w:rsidRPr="00C23216">
        <w:rPr>
          <w:rFonts w:eastAsia="Times New Roman" w:cs="Calibri"/>
          <w:color w:val="000000"/>
        </w:rPr>
        <w:t xml:space="preserve"> 2019</w:t>
      </w:r>
    </w:p>
    <w:p w14:paraId="2BD048DD"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Ministère des affaires religieuses et du culte République du Mali, 2017 :</w:t>
      </w:r>
      <w:r>
        <w:rPr>
          <w:rFonts w:eastAsia="Times New Roman" w:cs="Calibri"/>
          <w:color w:val="000000"/>
        </w:rPr>
        <w:t xml:space="preserve"> </w:t>
      </w:r>
      <w:r w:rsidRPr="00C23216">
        <w:rPr>
          <w:rFonts w:eastAsia="Times New Roman" w:cs="Calibri"/>
          <w:color w:val="000000"/>
        </w:rPr>
        <w:t>Politique Nationale de Prévention et de Lutte Contre l’extrémisme Violent et le Terrorisme et son Plan D’Action 2018 - 2020</w:t>
      </w:r>
    </w:p>
    <w:p w14:paraId="708814BC" w14:textId="77777777" w:rsidR="00CE3FB7" w:rsidRPr="007007C9" w:rsidRDefault="00CE3FB7" w:rsidP="006E0364">
      <w:pPr>
        <w:pStyle w:val="Notedebasdepage"/>
        <w:spacing w:after="120"/>
        <w:jc w:val="left"/>
        <w:rPr>
          <w:sz w:val="22"/>
          <w:szCs w:val="22"/>
        </w:rPr>
      </w:pPr>
      <w:r w:rsidRPr="007007C9">
        <w:rPr>
          <w:b/>
          <w:bCs/>
          <w:sz w:val="22"/>
          <w:szCs w:val="22"/>
        </w:rPr>
        <w:t>Mission multidimensionnelle intégrée des nations unies pour la stabilisation au Mali (MINUSMA)</w:t>
      </w:r>
      <w:r>
        <w:rPr>
          <w:sz w:val="22"/>
          <w:szCs w:val="22"/>
        </w:rPr>
        <w:t xml:space="preserve"> : L’impact de la crise </w:t>
      </w:r>
      <w:r w:rsidRPr="004C554A">
        <w:rPr>
          <w:sz w:val="22"/>
          <w:szCs w:val="22"/>
        </w:rPr>
        <w:t>sur les femmes maliennes</w:t>
      </w:r>
      <w:r>
        <w:rPr>
          <w:sz w:val="22"/>
          <w:szCs w:val="22"/>
        </w:rPr>
        <w:t xml:space="preserve">, URL : </w:t>
      </w:r>
      <w:hyperlink r:id="rId30" w:history="1">
        <w:r w:rsidRPr="007007C9">
          <w:rPr>
            <w:rStyle w:val="Lienhypertexte"/>
            <w:sz w:val="22"/>
            <w:szCs w:val="22"/>
          </w:rPr>
          <w:t>https://minusma.unmissions.org/L%E2%80%99impact%20de%20la%20crise%20sur%20les%20Femmes%20Maliennes</w:t>
        </w:r>
      </w:hyperlink>
      <w:r>
        <w:rPr>
          <w:sz w:val="22"/>
          <w:szCs w:val="22"/>
        </w:rPr>
        <w:t xml:space="preserve"> </w:t>
      </w:r>
    </w:p>
    <w:p w14:paraId="2F9050F5"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Nations Unies – Mali, 2014</w:t>
      </w:r>
      <w:r>
        <w:rPr>
          <w:rFonts w:eastAsia="Times New Roman" w:cs="Calibri"/>
          <w:color w:val="000000"/>
        </w:rPr>
        <w:t> :</w:t>
      </w:r>
      <w:r w:rsidRPr="00C23216">
        <w:rPr>
          <w:rFonts w:eastAsia="Times New Roman" w:cs="Calibri"/>
          <w:color w:val="000000"/>
        </w:rPr>
        <w:t xml:space="preserve"> Plan cadre intégré des Nations Unies pour l'aide au développement au Mali 2015-2019</w:t>
      </w:r>
    </w:p>
    <w:p w14:paraId="4E7E86C4"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Nations Unies – Mali, 2020 :</w:t>
      </w:r>
      <w:r w:rsidRPr="00ED7B5D">
        <w:rPr>
          <w:rFonts w:eastAsia="Times New Roman" w:cs="Calibri"/>
          <w:color w:val="000000"/>
        </w:rPr>
        <w:t xml:space="preserve"> </w:t>
      </w:r>
      <w:r w:rsidRPr="00C23216">
        <w:rPr>
          <w:rFonts w:eastAsia="Times New Roman" w:cs="Calibri"/>
          <w:color w:val="000000"/>
        </w:rPr>
        <w:t>Cadre de coopération des Nations Unies pour le développement durable (UNSDCF) 2020-2024 Mali</w:t>
      </w:r>
    </w:p>
    <w:p w14:paraId="6704FD25" w14:textId="77777777" w:rsidR="00CE3FB7" w:rsidRPr="007007C9" w:rsidRDefault="00CE3FB7" w:rsidP="006E0364">
      <w:pPr>
        <w:spacing w:line="240" w:lineRule="auto"/>
        <w:rPr>
          <w:rFonts w:eastAsia="Times New Roman" w:cs="Calibri"/>
          <w:b/>
          <w:bCs/>
          <w:color w:val="000000"/>
        </w:rPr>
      </w:pPr>
      <w:r w:rsidRPr="007007C9">
        <w:rPr>
          <w:rFonts w:eastAsia="Times New Roman" w:cs="Calibri"/>
          <w:b/>
          <w:bCs/>
          <w:color w:val="000000"/>
        </w:rPr>
        <w:t>Nations Unies, 2018 :</w:t>
      </w:r>
      <w:r w:rsidRPr="007007C9">
        <w:rPr>
          <w:rFonts w:eastAsia="Times New Roman" w:cs="Calibri"/>
          <w:color w:val="000000"/>
        </w:rPr>
        <w:t xml:space="preserve"> </w:t>
      </w:r>
      <w:r w:rsidRPr="00C23216">
        <w:rPr>
          <w:rFonts w:eastAsia="Times New Roman" w:cs="Calibri"/>
          <w:color w:val="000000"/>
        </w:rPr>
        <w:t>Plan de soutien de l’ONU au Sahel</w:t>
      </w:r>
    </w:p>
    <w:p w14:paraId="45705C84" w14:textId="77777777" w:rsidR="00CE3FB7" w:rsidRPr="002938E0" w:rsidRDefault="00CE3FB7" w:rsidP="00CE3FB7">
      <w:pPr>
        <w:pStyle w:val="Notedebasdepage"/>
        <w:spacing w:after="120"/>
        <w:rPr>
          <w:b/>
          <w:bCs/>
          <w:sz w:val="22"/>
          <w:szCs w:val="22"/>
          <w:lang w:val="en-US"/>
        </w:rPr>
      </w:pPr>
      <w:r w:rsidRPr="002938E0">
        <w:rPr>
          <w:b/>
          <w:bCs/>
          <w:sz w:val="22"/>
          <w:szCs w:val="22"/>
          <w:lang w:val="en-US"/>
        </w:rPr>
        <w:t xml:space="preserve">Norrag, 2012, </w:t>
      </w:r>
      <w:r w:rsidRPr="002938E0">
        <w:rPr>
          <w:sz w:val="22"/>
          <w:szCs w:val="22"/>
          <w:lang w:val="en-US"/>
        </w:rPr>
        <w:t>Education in Conflict Emergencies in Light of the post-2015 MDGs and EFA Agendas By Christopher Talbot, 20P</w:t>
      </w:r>
    </w:p>
    <w:p w14:paraId="029A1943" w14:textId="77777777" w:rsidR="00CE3FB7" w:rsidRPr="00A40DA2" w:rsidRDefault="00CE3FB7" w:rsidP="006E0364">
      <w:pPr>
        <w:pStyle w:val="pf0"/>
        <w:spacing w:before="0" w:beforeAutospacing="0" w:after="0" w:afterAutospacing="0" w:line="360" w:lineRule="auto"/>
        <w:rPr>
          <w:rFonts w:ascii="Century Gothic" w:hAnsi="Century Gothic" w:cs="Arial"/>
          <w:lang w:val="fr-FR"/>
        </w:rPr>
      </w:pPr>
      <w:r w:rsidRPr="00A40DA2">
        <w:rPr>
          <w:rStyle w:val="cf01"/>
          <w:rFonts w:ascii="Century Gothic" w:hAnsi="Century Gothic"/>
          <w:b/>
          <w:bCs/>
          <w:sz w:val="22"/>
          <w:szCs w:val="22"/>
          <w:lang w:val="fr-FR"/>
        </w:rPr>
        <w:t>ONU Femmes &amp; ONDC, juin 2021</w:t>
      </w:r>
      <w:r w:rsidRPr="00A40DA2">
        <w:rPr>
          <w:rStyle w:val="cf01"/>
          <w:rFonts w:ascii="Century Gothic" w:hAnsi="Century Gothic"/>
          <w:sz w:val="22"/>
          <w:szCs w:val="22"/>
          <w:lang w:val="fr-FR"/>
        </w:rPr>
        <w:t> : Rapport final du projet Mali-Niger </w:t>
      </w:r>
    </w:p>
    <w:p w14:paraId="6CC7C2A1" w14:textId="77777777" w:rsidR="00CE3FB7" w:rsidRPr="00563B2B" w:rsidRDefault="00CE3FB7" w:rsidP="006E0364">
      <w:pPr>
        <w:spacing w:line="240" w:lineRule="auto"/>
        <w:jc w:val="left"/>
        <w:rPr>
          <w:rFonts w:cs="Times New Roman"/>
        </w:rPr>
      </w:pPr>
      <w:r w:rsidRPr="007007C9">
        <w:rPr>
          <w:rFonts w:cs="Times New Roman"/>
          <w:b/>
          <w:bCs/>
        </w:rPr>
        <w:t>ONU Femmes &amp; ONUDC :</w:t>
      </w:r>
      <w:r>
        <w:rPr>
          <w:rFonts w:cs="Times New Roman"/>
        </w:rPr>
        <w:t xml:space="preserve"> Document de projet – Prodoc « </w:t>
      </w:r>
      <w:r w:rsidRPr="00563B2B">
        <w:rPr>
          <w:rFonts w:cs="Times New Roman"/>
        </w:rPr>
        <w:t>Appui aux initiatives transfrontalières de dialogue et de réforme du secteur de la</w:t>
      </w:r>
      <w:r>
        <w:rPr>
          <w:rFonts w:cs="Times New Roman"/>
        </w:rPr>
        <w:t xml:space="preserve"> </w:t>
      </w:r>
      <w:r w:rsidRPr="00563B2B">
        <w:rPr>
          <w:rFonts w:cs="Times New Roman"/>
        </w:rPr>
        <w:t>sécurité pour la consolidation de la paix au Mali et au Niger</w:t>
      </w:r>
      <w:r>
        <w:rPr>
          <w:rFonts w:cs="Times New Roman"/>
        </w:rPr>
        <w:t> »</w:t>
      </w:r>
      <w:r w:rsidRPr="007007C9">
        <w:rPr>
          <w:rFonts w:eastAsia="Times New Roman" w:cs="Calibri"/>
          <w:color w:val="000000"/>
        </w:rPr>
        <w:t xml:space="preserve"> Project Budget_UNW_ONUDC Mali_Niger NER114269</w:t>
      </w:r>
    </w:p>
    <w:p w14:paraId="46828989" w14:textId="77777777" w:rsidR="00CE3FB7" w:rsidRPr="00B10B10" w:rsidRDefault="00CE3FB7" w:rsidP="006E0364">
      <w:pPr>
        <w:spacing w:line="240" w:lineRule="auto"/>
        <w:rPr>
          <w:rFonts w:eastAsia="Times New Roman" w:cs="Calibri"/>
          <w:b/>
          <w:bCs/>
          <w:color w:val="000000"/>
        </w:rPr>
      </w:pPr>
      <w:r w:rsidRPr="007007C9">
        <w:rPr>
          <w:rFonts w:eastAsia="Times New Roman" w:cs="Calibri"/>
          <w:b/>
          <w:bCs/>
          <w:color w:val="000000"/>
        </w:rPr>
        <w:t>ONU Femmes, 2015 : Gestion des évaluations sensibles au genre</w:t>
      </w:r>
    </w:p>
    <w:p w14:paraId="18E31EAB" w14:textId="77777777" w:rsidR="00CE3FB7" w:rsidRPr="003551E4" w:rsidRDefault="00CE3FB7" w:rsidP="006E0364">
      <w:pPr>
        <w:spacing w:line="240" w:lineRule="auto"/>
        <w:rPr>
          <w:rFonts w:eastAsia="Times New Roman" w:cs="Calibri"/>
          <w:b/>
          <w:bCs/>
          <w:color w:val="000000"/>
        </w:rPr>
      </w:pPr>
      <w:r>
        <w:rPr>
          <w:rFonts w:eastAsia="Times New Roman" w:cs="Calibri"/>
          <w:b/>
          <w:bCs/>
          <w:color w:val="000000"/>
        </w:rPr>
        <w:t>ONU Femmes</w:t>
      </w:r>
      <w:r w:rsidRPr="007007C9">
        <w:rPr>
          <w:rFonts w:eastAsia="Times New Roman" w:cs="Calibri"/>
          <w:b/>
          <w:bCs/>
          <w:color w:val="000000"/>
        </w:rPr>
        <w:t>, 2019</w:t>
      </w:r>
      <w:r>
        <w:rPr>
          <w:rFonts w:eastAsia="Times New Roman" w:cs="Calibri"/>
          <w:b/>
          <w:bCs/>
          <w:color w:val="000000"/>
        </w:rPr>
        <w:t xml:space="preserve"> </w:t>
      </w:r>
      <w:r w:rsidRPr="007007C9">
        <w:rPr>
          <w:rFonts w:eastAsia="Times New Roman" w:cs="Calibri"/>
          <w:color w:val="000000"/>
        </w:rPr>
        <w:t>: système d’analyse et d’évaluation des rapports d’évaluation de ONU Femmes (GERAAS), A</w:t>
      </w:r>
      <w:r>
        <w:rPr>
          <w:rFonts w:eastAsia="Times New Roman" w:cs="Calibri"/>
          <w:color w:val="000000"/>
        </w:rPr>
        <w:t>oût</w:t>
      </w:r>
      <w:r w:rsidRPr="007007C9">
        <w:rPr>
          <w:rFonts w:eastAsia="Times New Roman" w:cs="Calibri"/>
          <w:color w:val="000000"/>
        </w:rPr>
        <w:t xml:space="preserve"> 2019</w:t>
      </w:r>
    </w:p>
    <w:p w14:paraId="5C1C4E0D" w14:textId="77777777" w:rsidR="00CE3FB7" w:rsidRPr="00A40DA2" w:rsidRDefault="00CE3FB7" w:rsidP="006E0364">
      <w:pPr>
        <w:pStyle w:val="pf0"/>
        <w:spacing w:before="0" w:beforeAutospacing="0" w:after="0" w:afterAutospacing="0" w:line="360" w:lineRule="auto"/>
        <w:rPr>
          <w:rStyle w:val="cf01"/>
          <w:rFonts w:ascii="Century Gothic" w:hAnsi="Century Gothic"/>
          <w:sz w:val="22"/>
          <w:szCs w:val="22"/>
          <w:lang w:val="fr-FR"/>
        </w:rPr>
      </w:pPr>
      <w:r w:rsidRPr="00A40DA2">
        <w:rPr>
          <w:rStyle w:val="cf01"/>
          <w:rFonts w:ascii="Century Gothic" w:hAnsi="Century Gothic"/>
          <w:b/>
          <w:bCs/>
          <w:sz w:val="22"/>
          <w:szCs w:val="22"/>
          <w:lang w:val="fr-FR"/>
        </w:rPr>
        <w:t>ONU Femmes, 2019 :</w:t>
      </w:r>
      <w:r w:rsidRPr="00A40DA2">
        <w:rPr>
          <w:rStyle w:val="cf01"/>
          <w:rFonts w:ascii="Century Gothic" w:hAnsi="Century Gothic"/>
          <w:sz w:val="22"/>
          <w:szCs w:val="22"/>
          <w:lang w:val="fr-FR"/>
        </w:rPr>
        <w:t xml:space="preserve"> Note Stratégique ONU Femmes Mali 2020-2024 ; </w:t>
      </w:r>
    </w:p>
    <w:p w14:paraId="44EB30F3" w14:textId="77777777" w:rsidR="00CE3FB7" w:rsidRDefault="00CE3FB7" w:rsidP="004F0F71">
      <w:pPr>
        <w:spacing w:line="240" w:lineRule="auto"/>
        <w:rPr>
          <w:rFonts w:eastAsia="Times New Roman" w:cs="Calibri"/>
          <w:b/>
          <w:bCs/>
          <w:i/>
          <w:iCs/>
          <w:color w:val="000000"/>
        </w:rPr>
      </w:pPr>
      <w:r w:rsidRPr="007007C9">
        <w:rPr>
          <w:rFonts w:eastAsia="Times New Roman" w:cs="Calibri"/>
          <w:b/>
          <w:bCs/>
          <w:color w:val="000000"/>
        </w:rPr>
        <w:t>ONU Femmes, 2020</w:t>
      </w:r>
      <w:r>
        <w:rPr>
          <w:rFonts w:eastAsia="Times New Roman" w:cs="Calibri"/>
          <w:b/>
          <w:bCs/>
          <w:color w:val="000000"/>
        </w:rPr>
        <w:t xml:space="preserve"> </w:t>
      </w:r>
      <w:r w:rsidRPr="007007C9">
        <w:rPr>
          <w:rFonts w:eastAsia="Times New Roman" w:cs="Calibri"/>
          <w:b/>
          <w:bCs/>
          <w:color w:val="000000"/>
        </w:rPr>
        <w:t>:</w:t>
      </w:r>
      <w:r w:rsidRPr="003551E4">
        <w:rPr>
          <w:rFonts w:eastAsia="Times New Roman" w:cs="Calibri"/>
          <w:color w:val="000000"/>
        </w:rPr>
        <w:t xml:space="preserve"> </w:t>
      </w:r>
      <w:r w:rsidRPr="007007C9">
        <w:rPr>
          <w:rFonts w:eastAsia="Times New Roman" w:cs="Calibri"/>
          <w:color w:val="000000"/>
        </w:rPr>
        <w:t xml:space="preserve">Outil de poche pour la gestion de l'évaluation pendant la pandémie de </w:t>
      </w:r>
      <w:r>
        <w:rPr>
          <w:rFonts w:eastAsia="Times New Roman" w:cs="Calibri"/>
          <w:color w:val="000000"/>
        </w:rPr>
        <w:t>COVID-19</w:t>
      </w:r>
      <w:r w:rsidRPr="007007C9">
        <w:rPr>
          <w:rFonts w:eastAsia="Times New Roman" w:cs="Calibri"/>
          <w:color w:val="000000"/>
        </w:rPr>
        <w:t xml:space="preserve"> </w:t>
      </w:r>
      <w:r w:rsidRPr="007007C9">
        <w:rPr>
          <w:i/>
          <w:iCs/>
          <w:sz w:val="20"/>
          <w:szCs w:val="20"/>
        </w:rPr>
        <w:t>(</w:t>
      </w:r>
      <w:r>
        <w:rPr>
          <w:i/>
          <w:iCs/>
          <w:sz w:val="20"/>
          <w:szCs w:val="20"/>
        </w:rPr>
        <w:t xml:space="preserve">Titre original : </w:t>
      </w:r>
      <w:r w:rsidRPr="007007C9">
        <w:rPr>
          <w:i/>
          <w:iCs/>
          <w:sz w:val="20"/>
          <w:szCs w:val="20"/>
        </w:rPr>
        <w:t xml:space="preserve">Pocket tool for managing evaluation during the </w:t>
      </w:r>
      <w:r>
        <w:rPr>
          <w:i/>
          <w:iCs/>
          <w:sz w:val="20"/>
          <w:szCs w:val="20"/>
        </w:rPr>
        <w:t>COVID-19</w:t>
      </w:r>
      <w:r w:rsidRPr="007007C9">
        <w:rPr>
          <w:i/>
          <w:iCs/>
          <w:sz w:val="20"/>
          <w:szCs w:val="20"/>
        </w:rPr>
        <w:t xml:space="preserve"> pandemic)</w:t>
      </w:r>
      <w:r w:rsidRPr="007007C9">
        <w:rPr>
          <w:rFonts w:eastAsia="Times New Roman" w:cs="Calibri"/>
          <w:b/>
          <w:bCs/>
          <w:i/>
          <w:iCs/>
          <w:color w:val="000000"/>
        </w:rPr>
        <w:t xml:space="preserve"> </w:t>
      </w:r>
    </w:p>
    <w:p w14:paraId="0DC1A728" w14:textId="77777777" w:rsidR="00CE3FB7" w:rsidRPr="007007C9" w:rsidRDefault="00CE3FB7" w:rsidP="006E0364">
      <w:pPr>
        <w:pStyle w:val="Notedebasdepage"/>
        <w:spacing w:before="0" w:line="360" w:lineRule="auto"/>
        <w:jc w:val="left"/>
        <w:rPr>
          <w:sz w:val="22"/>
          <w:szCs w:val="22"/>
        </w:rPr>
      </w:pPr>
      <w:r w:rsidRPr="007007C9">
        <w:rPr>
          <w:b/>
          <w:bCs/>
          <w:sz w:val="22"/>
          <w:szCs w:val="22"/>
        </w:rPr>
        <w:t>Programme des Nations Unies pour le Développement (PNUD), 2020 :</w:t>
      </w:r>
      <w:r w:rsidRPr="007007C9">
        <w:rPr>
          <w:sz w:val="22"/>
          <w:szCs w:val="22"/>
        </w:rPr>
        <w:t xml:space="preserve"> </w:t>
      </w:r>
      <w:r>
        <w:rPr>
          <w:sz w:val="22"/>
          <w:szCs w:val="22"/>
        </w:rPr>
        <w:t xml:space="preserve">Tableau statistique des indices d’égalité des sexe, URL : </w:t>
      </w:r>
      <w:hyperlink r:id="rId31" w:history="1">
        <w:r w:rsidRPr="007007C9">
          <w:rPr>
            <w:rStyle w:val="Lienhypertexte"/>
            <w:sz w:val="22"/>
            <w:szCs w:val="22"/>
          </w:rPr>
          <w:t>http://hdr.undp.org/sites/default/files/2020_statistical_annex_table_5.xlsx</w:t>
        </w:r>
      </w:hyperlink>
      <w:r w:rsidRPr="007007C9">
        <w:rPr>
          <w:sz w:val="22"/>
          <w:szCs w:val="22"/>
        </w:rPr>
        <w:t xml:space="preserve"> </w:t>
      </w:r>
    </w:p>
    <w:p w14:paraId="59366AF1"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République du Mali</w:t>
      </w:r>
      <w:r>
        <w:rPr>
          <w:rFonts w:eastAsia="Times New Roman" w:cs="Calibri"/>
          <w:b/>
          <w:bCs/>
          <w:color w:val="000000"/>
        </w:rPr>
        <w:t xml:space="preserve"> :</w:t>
      </w:r>
      <w:r>
        <w:rPr>
          <w:rFonts w:eastAsia="Times New Roman" w:cs="Calibri"/>
          <w:color w:val="000000"/>
        </w:rPr>
        <w:t xml:space="preserve"> </w:t>
      </w:r>
      <w:r w:rsidRPr="00C23216">
        <w:rPr>
          <w:rFonts w:eastAsia="Times New Roman" w:cs="Calibri"/>
          <w:color w:val="000000"/>
        </w:rPr>
        <w:t>Stratégie nationale de la réforme du secteur de la sécurité au Mali</w:t>
      </w:r>
      <w:r>
        <w:rPr>
          <w:rFonts w:eastAsia="Times New Roman" w:cs="Calibri"/>
          <w:color w:val="000000"/>
        </w:rPr>
        <w:t>,</w:t>
      </w:r>
      <w:r w:rsidRPr="007007C9">
        <w:rPr>
          <w:rFonts w:eastAsia="Times New Roman" w:cs="Calibri"/>
          <w:color w:val="000000"/>
        </w:rPr>
        <w:t xml:space="preserve"> Primature </w:t>
      </w:r>
    </w:p>
    <w:p w14:paraId="17B18F59" w14:textId="77777777" w:rsidR="00CE3FB7" w:rsidRPr="007007C9" w:rsidRDefault="00CE3FB7" w:rsidP="006E0364">
      <w:pPr>
        <w:pStyle w:val="Notedebasdepage"/>
        <w:spacing w:after="120"/>
        <w:rPr>
          <w:sz w:val="22"/>
          <w:szCs w:val="22"/>
        </w:rPr>
      </w:pPr>
      <w:r>
        <w:rPr>
          <w:b/>
          <w:bCs/>
          <w:sz w:val="22"/>
          <w:szCs w:val="22"/>
        </w:rPr>
        <w:t xml:space="preserve">République du Mali, 2017 : </w:t>
      </w:r>
      <w:r w:rsidRPr="007007C9">
        <w:rPr>
          <w:sz w:val="22"/>
          <w:szCs w:val="22"/>
        </w:rPr>
        <w:t xml:space="preserve">Enquête nationale sur la sécurité alimentaire et nutritionnelle (ENSAN MALI), </w:t>
      </w:r>
      <w:r w:rsidRPr="003551E4">
        <w:rPr>
          <w:sz w:val="22"/>
          <w:szCs w:val="22"/>
        </w:rPr>
        <w:t>Rapport</w:t>
      </w:r>
      <w:r>
        <w:rPr>
          <w:sz w:val="22"/>
          <w:szCs w:val="22"/>
        </w:rPr>
        <w:t xml:space="preserve"> de synthèse, </w:t>
      </w:r>
      <w:r w:rsidRPr="007B454A">
        <w:rPr>
          <w:sz w:val="22"/>
          <w:szCs w:val="22"/>
        </w:rPr>
        <w:t>février 2017</w:t>
      </w:r>
      <w:r>
        <w:rPr>
          <w:sz w:val="22"/>
          <w:szCs w:val="22"/>
        </w:rPr>
        <w:t xml:space="preserve">. Auteurs : Système d’alerte précoce (SAP), Programme alimentaire mondiale (PAM), Organisation des nations unies pour l’alimentation et l’agriculture (FAO), FEWS-NET </w:t>
      </w:r>
    </w:p>
    <w:p w14:paraId="11D4FD1C" w14:textId="77777777" w:rsidR="00CE3FB7" w:rsidRPr="007007C9" w:rsidRDefault="00CE3FB7" w:rsidP="006E0364">
      <w:pPr>
        <w:pStyle w:val="Notedebasdepage"/>
        <w:spacing w:after="120"/>
        <w:rPr>
          <w:sz w:val="22"/>
          <w:szCs w:val="22"/>
        </w:rPr>
      </w:pPr>
      <w:r w:rsidRPr="007007C9">
        <w:rPr>
          <w:b/>
          <w:bCs/>
          <w:sz w:val="22"/>
          <w:szCs w:val="22"/>
        </w:rPr>
        <w:t>République du Niger</w:t>
      </w:r>
      <w:r>
        <w:rPr>
          <w:b/>
          <w:bCs/>
          <w:sz w:val="22"/>
          <w:szCs w:val="22"/>
        </w:rPr>
        <w:t xml:space="preserve">, </w:t>
      </w:r>
      <w:r w:rsidRPr="00563B2B">
        <w:rPr>
          <w:b/>
          <w:bCs/>
          <w:sz w:val="22"/>
          <w:szCs w:val="22"/>
        </w:rPr>
        <w:t>2017 :</w:t>
      </w:r>
      <w:r>
        <w:rPr>
          <w:sz w:val="22"/>
          <w:szCs w:val="22"/>
        </w:rPr>
        <w:t xml:space="preserve"> </w:t>
      </w:r>
      <w:r w:rsidRPr="007007C9">
        <w:rPr>
          <w:sz w:val="22"/>
          <w:szCs w:val="22"/>
        </w:rPr>
        <w:t>Plan de Développement Economique et Social 2017-2021</w:t>
      </w:r>
      <w:r>
        <w:rPr>
          <w:sz w:val="22"/>
          <w:szCs w:val="22"/>
        </w:rPr>
        <w:t>, Ministère du Plan, Septembre 2017</w:t>
      </w:r>
    </w:p>
    <w:p w14:paraId="32FEE25B"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Secrétariat permanent G5 Sahel, 2016 :</w:t>
      </w:r>
      <w:r w:rsidRPr="00C23216">
        <w:rPr>
          <w:rFonts w:eastAsia="Times New Roman" w:cs="Calibri"/>
          <w:color w:val="000000"/>
        </w:rPr>
        <w:t xml:space="preserve"> Stratégie pour le développement et la sécurité des pays du G5 sahel</w:t>
      </w:r>
    </w:p>
    <w:p w14:paraId="773E85F6"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Système des Nations Unies au Mali, 2015 :</w:t>
      </w:r>
      <w:r w:rsidRPr="00C23216">
        <w:rPr>
          <w:rFonts w:eastAsia="Times New Roman" w:cs="Calibri"/>
          <w:color w:val="000000"/>
        </w:rPr>
        <w:t xml:space="preserve"> Stratégie Commune du Système des Nations Unies pour la Promotion de l’Egalite des droits et l’Autonomisation des Femmes au Mali 2016-2019</w:t>
      </w:r>
    </w:p>
    <w:p w14:paraId="34A62475"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Système des Nations Unies au Niger</w:t>
      </w:r>
      <w:r>
        <w:rPr>
          <w:rFonts w:eastAsia="Times New Roman" w:cs="Calibri"/>
          <w:b/>
          <w:bCs/>
          <w:color w:val="000000"/>
        </w:rPr>
        <w:t>, 2014</w:t>
      </w:r>
      <w:r w:rsidRPr="007007C9">
        <w:rPr>
          <w:rFonts w:eastAsia="Times New Roman" w:cs="Calibri"/>
          <w:b/>
          <w:bCs/>
          <w:color w:val="000000"/>
        </w:rPr>
        <w:t> :</w:t>
      </w:r>
      <w:r>
        <w:rPr>
          <w:rFonts w:eastAsia="Times New Roman" w:cs="Calibri"/>
          <w:color w:val="000000"/>
        </w:rPr>
        <w:t xml:space="preserve"> </w:t>
      </w:r>
      <w:r w:rsidRPr="00C23216">
        <w:rPr>
          <w:rFonts w:eastAsia="Times New Roman" w:cs="Calibri"/>
          <w:color w:val="000000"/>
        </w:rPr>
        <w:t>Plan Cadre des Nations Unies pour l’Assistance au Développement (UNDAF) NIGER 2014 – 2018</w:t>
      </w:r>
    </w:p>
    <w:p w14:paraId="64D15A2B" w14:textId="77777777" w:rsidR="00CE3FB7" w:rsidRPr="00AD0DB2" w:rsidRDefault="00CE3FB7" w:rsidP="006E0364">
      <w:pPr>
        <w:pStyle w:val="Notedebasdepage"/>
        <w:spacing w:after="120"/>
        <w:rPr>
          <w:sz w:val="22"/>
          <w:szCs w:val="22"/>
        </w:rPr>
      </w:pPr>
      <w:r w:rsidRPr="00AD0DB2">
        <w:rPr>
          <w:b/>
          <w:bCs/>
          <w:sz w:val="22"/>
          <w:szCs w:val="22"/>
        </w:rPr>
        <w:t>UEMOA, 2020 :</w:t>
      </w:r>
      <w:r w:rsidRPr="00AD0DB2">
        <w:rPr>
          <w:sz w:val="22"/>
          <w:szCs w:val="22"/>
        </w:rPr>
        <w:t xml:space="preserve"> Note de communication des résultats de la première Enquête Harmonisée sur les Conditions de Vie des Ménages (EHCVM-UEMOA, 2018-2019), Juillet 2020</w:t>
      </w:r>
    </w:p>
    <w:p w14:paraId="4E7D1044" w14:textId="77777777" w:rsidR="00CE3FB7" w:rsidRPr="007007C9" w:rsidRDefault="00CE3FB7" w:rsidP="006E0364">
      <w:pPr>
        <w:pStyle w:val="Notedebasdepage"/>
        <w:spacing w:after="120"/>
        <w:jc w:val="left"/>
        <w:rPr>
          <w:sz w:val="22"/>
          <w:szCs w:val="22"/>
        </w:rPr>
      </w:pPr>
      <w:r w:rsidRPr="007007C9">
        <w:rPr>
          <w:b/>
          <w:bCs/>
          <w:sz w:val="22"/>
          <w:szCs w:val="22"/>
        </w:rPr>
        <w:t>Union interparlementaire, 2019 :</w:t>
      </w:r>
      <w:r>
        <w:rPr>
          <w:sz w:val="22"/>
          <w:szCs w:val="22"/>
        </w:rPr>
        <w:t xml:space="preserve"> Données mondiales sur les parlements nationaux, URL : </w:t>
      </w:r>
      <w:hyperlink r:id="rId32" w:history="1">
        <w:r w:rsidRPr="007007C9">
          <w:rPr>
            <w:rStyle w:val="Lienhypertexte"/>
            <w:sz w:val="22"/>
            <w:szCs w:val="22"/>
          </w:rPr>
          <w:t>https://data.ipu.org/fr/womenranking?month=1&amp;year=2019</w:t>
        </w:r>
      </w:hyperlink>
      <w:r w:rsidRPr="007007C9">
        <w:rPr>
          <w:sz w:val="22"/>
          <w:szCs w:val="22"/>
        </w:rPr>
        <w:t xml:space="preserve"> </w:t>
      </w:r>
    </w:p>
    <w:p w14:paraId="2EE5E914" w14:textId="77777777" w:rsidR="00CE3FB7" w:rsidRDefault="00CE3FB7" w:rsidP="006E0364">
      <w:pPr>
        <w:pStyle w:val="Notedebasdepage"/>
        <w:spacing w:after="120"/>
        <w:rPr>
          <w:sz w:val="22"/>
          <w:szCs w:val="22"/>
        </w:rPr>
      </w:pPr>
      <w:r w:rsidRPr="007007C9">
        <w:rPr>
          <w:b/>
          <w:bCs/>
          <w:sz w:val="22"/>
          <w:szCs w:val="22"/>
        </w:rPr>
        <w:t>URSU, A. E., 2018 :</w:t>
      </w:r>
      <w:r w:rsidRPr="007007C9">
        <w:rPr>
          <w:sz w:val="22"/>
          <w:szCs w:val="22"/>
        </w:rPr>
        <w:t xml:space="preserve"> Sous le feu des armes : les con</w:t>
      </w:r>
      <w:r w:rsidRPr="001220C3">
        <w:rPr>
          <w:sz w:val="22"/>
          <w:szCs w:val="22"/>
          <w:lang w:val="en-US"/>
        </w:rPr>
        <w:t>ﬂ</w:t>
      </w:r>
      <w:r w:rsidRPr="007007C9">
        <w:rPr>
          <w:sz w:val="22"/>
          <w:szCs w:val="22"/>
        </w:rPr>
        <w:t>its de ressources et les autorités traditionnelles assiégées au Mali central</w:t>
      </w:r>
      <w:r>
        <w:rPr>
          <w:sz w:val="22"/>
          <w:szCs w:val="22"/>
        </w:rPr>
        <w:t xml:space="preserve"> </w:t>
      </w:r>
      <w:r w:rsidRPr="007007C9">
        <w:rPr>
          <w:i/>
          <w:iCs/>
        </w:rPr>
        <w:t>(Titre original : Under the gun Resource conﬂicts and embattled traditional authorities in Central Mali),</w:t>
      </w:r>
      <w:r w:rsidRPr="007007C9">
        <w:t xml:space="preserve"> </w:t>
      </w:r>
      <w:r w:rsidRPr="007007C9">
        <w:rPr>
          <w:sz w:val="22"/>
          <w:szCs w:val="22"/>
        </w:rPr>
        <w:t>CRU Report, Clingendael Netherlands Institute of International Relations</w:t>
      </w:r>
    </w:p>
    <w:p w14:paraId="76233DE3" w14:textId="77777777" w:rsidR="006E0364" w:rsidRDefault="006E0364" w:rsidP="00A05B38">
      <w:pPr>
        <w:tabs>
          <w:tab w:val="left" w:pos="2214"/>
        </w:tabs>
        <w:rPr>
          <w:sz w:val="20"/>
          <w:szCs w:val="20"/>
        </w:rPr>
      </w:pPr>
    </w:p>
    <w:p w14:paraId="3C7BA268" w14:textId="77777777" w:rsidR="006E0364" w:rsidRDefault="006E0364" w:rsidP="00A05B38">
      <w:pPr>
        <w:tabs>
          <w:tab w:val="left" w:pos="2214"/>
        </w:tabs>
        <w:rPr>
          <w:sz w:val="20"/>
          <w:szCs w:val="20"/>
        </w:rPr>
      </w:pPr>
    </w:p>
    <w:p w14:paraId="3179440A" w14:textId="410A2008" w:rsidR="006E0364" w:rsidRDefault="006E0364" w:rsidP="005E0841">
      <w:pPr>
        <w:pStyle w:val="Notedebasdepage"/>
        <w:spacing w:after="120"/>
        <w:sectPr w:rsidR="006E0364" w:rsidSect="00CE3FB7">
          <w:pgSz w:w="11906" w:h="16838"/>
          <w:pgMar w:top="1418" w:right="1418" w:bottom="1418" w:left="1418" w:header="709" w:footer="709" w:gutter="0"/>
          <w:pgNumType w:fmt="upperRoman" w:start="1"/>
          <w:cols w:space="708"/>
          <w:titlePg/>
          <w:docGrid w:linePitch="360"/>
        </w:sectPr>
      </w:pPr>
    </w:p>
    <w:p w14:paraId="2944D3FF" w14:textId="0440F2E1" w:rsidR="00090E35" w:rsidRDefault="00090E35" w:rsidP="003A3323">
      <w:pPr>
        <w:pStyle w:val="Titre2"/>
        <w:numPr>
          <w:ilvl w:val="0"/>
          <w:numId w:val="0"/>
        </w:numPr>
        <w:ind w:left="720" w:hanging="720"/>
      </w:pPr>
      <w:bookmarkStart w:id="1002" w:name="_Toc95451882"/>
      <w:r>
        <w:t xml:space="preserve">Annexe </w:t>
      </w:r>
      <w:r w:rsidR="006E0364">
        <w:t>3</w:t>
      </w:r>
      <w:r>
        <w:t> : Cadre de résultats du projet</w:t>
      </w:r>
      <w:bookmarkEnd w:id="100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45"/>
        <w:gridCol w:w="5474"/>
        <w:gridCol w:w="1545"/>
        <w:gridCol w:w="2628"/>
      </w:tblGrid>
      <w:tr w:rsidR="00337E79" w:rsidRPr="00090E35" w14:paraId="3CF948B9" w14:textId="77777777" w:rsidTr="0020372B">
        <w:trPr>
          <w:tblHeader/>
        </w:trPr>
        <w:tc>
          <w:tcPr>
            <w:tcW w:w="1553" w:type="pct"/>
            <w:shd w:val="clear" w:color="auto" w:fill="002060"/>
            <w:vAlign w:val="center"/>
          </w:tcPr>
          <w:p w14:paraId="30CD0942" w14:textId="77777777" w:rsidR="00337E79" w:rsidRPr="00090E35" w:rsidRDefault="00337E79" w:rsidP="0020372B">
            <w:pPr>
              <w:spacing w:before="0" w:after="0" w:line="276" w:lineRule="auto"/>
              <w:jc w:val="center"/>
              <w:rPr>
                <w:rFonts w:cs="Tahoma"/>
                <w:b/>
                <w:sz w:val="20"/>
                <w:szCs w:val="20"/>
              </w:rPr>
            </w:pPr>
            <w:r w:rsidRPr="00090E35">
              <w:rPr>
                <w:rFonts w:cs="Tahoma"/>
                <w:b/>
                <w:sz w:val="20"/>
                <w:szCs w:val="20"/>
              </w:rPr>
              <w:t>Résultat</w:t>
            </w:r>
          </w:p>
        </w:tc>
        <w:tc>
          <w:tcPr>
            <w:tcW w:w="1956" w:type="pct"/>
            <w:shd w:val="clear" w:color="auto" w:fill="002060"/>
            <w:vAlign w:val="center"/>
          </w:tcPr>
          <w:p w14:paraId="44E8F3AE"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Indicateurs</w:t>
            </w:r>
          </w:p>
        </w:tc>
        <w:tc>
          <w:tcPr>
            <w:tcW w:w="552" w:type="pct"/>
            <w:shd w:val="clear" w:color="auto" w:fill="002060"/>
            <w:vAlign w:val="center"/>
          </w:tcPr>
          <w:p w14:paraId="37D937B9"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Situation de référence</w:t>
            </w:r>
            <w:r w:rsidRPr="00090E35">
              <w:rPr>
                <w:rFonts w:cs="Tahoma"/>
                <w:b/>
                <w:sz w:val="20"/>
                <w:szCs w:val="20"/>
                <w:vertAlign w:val="superscript"/>
              </w:rPr>
              <w:footnoteReference w:id="46"/>
            </w:r>
          </w:p>
        </w:tc>
        <w:tc>
          <w:tcPr>
            <w:tcW w:w="939" w:type="pct"/>
            <w:shd w:val="clear" w:color="auto" w:fill="002060"/>
            <w:vAlign w:val="center"/>
          </w:tcPr>
          <w:p w14:paraId="233B820F"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Cible finale</w:t>
            </w:r>
          </w:p>
        </w:tc>
      </w:tr>
      <w:tr w:rsidR="00337E79" w:rsidRPr="00090E35" w14:paraId="26DC74B2" w14:textId="77777777" w:rsidTr="0020372B">
        <w:trPr>
          <w:trHeight w:val="548"/>
        </w:trPr>
        <w:tc>
          <w:tcPr>
            <w:tcW w:w="1553" w:type="pct"/>
            <w:vMerge w:val="restart"/>
            <w:shd w:val="clear" w:color="auto" w:fill="E3F2F9"/>
          </w:tcPr>
          <w:p w14:paraId="4267C1CA"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1</w:t>
            </w:r>
          </w:p>
          <w:p w14:paraId="21824165" w14:textId="77777777" w:rsidR="00337E79" w:rsidRPr="00090E35" w:rsidRDefault="00337E79" w:rsidP="0020372B">
            <w:pPr>
              <w:spacing w:before="0" w:after="0" w:line="276" w:lineRule="auto"/>
              <w:rPr>
                <w:rFonts w:cs="Tahoma"/>
                <w:b/>
                <w:sz w:val="20"/>
                <w:szCs w:val="20"/>
              </w:rPr>
            </w:pPr>
            <w:r w:rsidRPr="00090E35">
              <w:rPr>
                <w:sz w:val="20"/>
                <w:szCs w:val="20"/>
              </w:rPr>
              <w:t>D’ici la fin du projet, les mécanismes et structures étatiques et non-étatiques de prévention et de gestion de conflits dans les zones du projet intégrant les femmes et les jeunes, préviennent et résolvent de manière efficiente les conflits au niveau local</w:t>
            </w:r>
          </w:p>
        </w:tc>
        <w:tc>
          <w:tcPr>
            <w:tcW w:w="1956" w:type="pct"/>
            <w:shd w:val="clear" w:color="auto" w:fill="E3F2F9"/>
            <w:vAlign w:val="center"/>
          </w:tcPr>
          <w:p w14:paraId="1D137F75"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1a</w:t>
            </w:r>
            <w:r w:rsidRPr="00090E35">
              <w:rPr>
                <w:rFonts w:cs="Tahoma"/>
                <w:sz w:val="20"/>
                <w:szCs w:val="20"/>
              </w:rPr>
              <w:t xml:space="preserve"> </w:t>
            </w:r>
            <w:r w:rsidRPr="00090E35">
              <w:rPr>
                <w:sz w:val="20"/>
                <w:szCs w:val="20"/>
              </w:rPr>
              <w:t>Nombre de conflits non gérés en diminution au niveau communautaire</w:t>
            </w:r>
          </w:p>
        </w:tc>
        <w:tc>
          <w:tcPr>
            <w:tcW w:w="552" w:type="pct"/>
            <w:shd w:val="clear" w:color="auto" w:fill="E3F2F9"/>
            <w:vAlign w:val="center"/>
          </w:tcPr>
          <w:p w14:paraId="100D7516" w14:textId="77777777" w:rsidR="00337E79" w:rsidRPr="00090E35" w:rsidRDefault="00337E79" w:rsidP="0020372B">
            <w:pPr>
              <w:spacing w:before="0" w:after="0" w:line="276" w:lineRule="auto"/>
              <w:jc w:val="left"/>
              <w:rPr>
                <w:rFonts w:cs="Tahoma"/>
                <w:bCs/>
                <w:sz w:val="20"/>
                <w:szCs w:val="20"/>
              </w:rPr>
            </w:pPr>
            <w:r w:rsidRPr="00090E35">
              <w:rPr>
                <w:bCs/>
                <w:sz w:val="20"/>
                <w:szCs w:val="20"/>
              </w:rPr>
              <w:t>A déterminer</w:t>
            </w:r>
          </w:p>
        </w:tc>
        <w:tc>
          <w:tcPr>
            <w:tcW w:w="939" w:type="pct"/>
            <w:shd w:val="clear" w:color="auto" w:fill="E3F2F9"/>
            <w:vAlign w:val="center"/>
          </w:tcPr>
          <w:p w14:paraId="6F518EB4" w14:textId="77777777" w:rsidR="00337E79" w:rsidRPr="00090E35" w:rsidRDefault="00337E79" w:rsidP="0020372B">
            <w:pPr>
              <w:spacing w:before="0" w:after="0" w:line="276" w:lineRule="auto"/>
              <w:jc w:val="left"/>
              <w:rPr>
                <w:bCs/>
                <w:sz w:val="20"/>
                <w:szCs w:val="20"/>
              </w:rPr>
            </w:pPr>
            <w:r w:rsidRPr="00090E35">
              <w:rPr>
                <w:bCs/>
                <w:sz w:val="20"/>
                <w:szCs w:val="20"/>
              </w:rPr>
              <w:t xml:space="preserve">50% de diminution par rapport à la situation de référence </w:t>
            </w:r>
          </w:p>
        </w:tc>
      </w:tr>
      <w:tr w:rsidR="00337E79" w:rsidRPr="00090E35" w14:paraId="527FB70B" w14:textId="77777777" w:rsidTr="0020372B">
        <w:trPr>
          <w:trHeight w:val="548"/>
        </w:trPr>
        <w:tc>
          <w:tcPr>
            <w:tcW w:w="1553" w:type="pct"/>
            <w:vMerge/>
            <w:shd w:val="clear" w:color="auto" w:fill="E3F2F9"/>
          </w:tcPr>
          <w:p w14:paraId="72759A51" w14:textId="77777777" w:rsidR="00337E79" w:rsidRPr="00090E35" w:rsidRDefault="00337E79" w:rsidP="0020372B">
            <w:pPr>
              <w:spacing w:before="0" w:after="0" w:line="276" w:lineRule="auto"/>
              <w:rPr>
                <w:rFonts w:cs="Tahoma"/>
                <w:b/>
                <w:sz w:val="20"/>
                <w:szCs w:val="20"/>
              </w:rPr>
            </w:pPr>
          </w:p>
        </w:tc>
        <w:tc>
          <w:tcPr>
            <w:tcW w:w="1956" w:type="pct"/>
            <w:shd w:val="clear" w:color="auto" w:fill="E3F2F9"/>
            <w:vAlign w:val="center"/>
          </w:tcPr>
          <w:p w14:paraId="24AE0479"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1b.</w:t>
            </w:r>
            <w:r w:rsidRPr="00090E35">
              <w:rPr>
                <w:rFonts w:cs="Tahoma"/>
                <w:sz w:val="20"/>
                <w:szCs w:val="20"/>
              </w:rPr>
              <w:t xml:space="preserve"> </w:t>
            </w:r>
            <w:r w:rsidRPr="00090E35">
              <w:rPr>
                <w:sz w:val="20"/>
                <w:szCs w:val="20"/>
              </w:rPr>
              <w:t>Niveau de satisfaction des communautés par rapport aux mécanismes de prévention et de gestion des conflits</w:t>
            </w:r>
          </w:p>
        </w:tc>
        <w:tc>
          <w:tcPr>
            <w:tcW w:w="552" w:type="pct"/>
            <w:shd w:val="clear" w:color="auto" w:fill="E3F2F9"/>
            <w:vAlign w:val="center"/>
          </w:tcPr>
          <w:p w14:paraId="42EE50ED"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E3F2F9"/>
            <w:vAlign w:val="center"/>
          </w:tcPr>
          <w:p w14:paraId="4BA36C10" w14:textId="77777777" w:rsidR="00337E79" w:rsidRPr="00090E35" w:rsidRDefault="00337E79" w:rsidP="0020372B">
            <w:pPr>
              <w:spacing w:before="0" w:after="0" w:line="276" w:lineRule="auto"/>
              <w:jc w:val="left"/>
              <w:rPr>
                <w:bCs/>
                <w:sz w:val="20"/>
                <w:szCs w:val="20"/>
              </w:rPr>
            </w:pPr>
            <w:r w:rsidRPr="00090E35">
              <w:rPr>
                <w:bCs/>
                <w:sz w:val="20"/>
                <w:szCs w:val="20"/>
              </w:rPr>
              <w:t xml:space="preserve">+1 par rapport à la situation de référence </w:t>
            </w:r>
          </w:p>
          <w:p w14:paraId="57758517" w14:textId="77777777" w:rsidR="00337E79" w:rsidRPr="00090E35" w:rsidRDefault="00337E79" w:rsidP="0020372B">
            <w:pPr>
              <w:spacing w:before="0" w:after="0" w:line="276" w:lineRule="auto"/>
              <w:jc w:val="left"/>
              <w:rPr>
                <w:bCs/>
                <w:sz w:val="20"/>
                <w:szCs w:val="20"/>
              </w:rPr>
            </w:pPr>
          </w:p>
        </w:tc>
      </w:tr>
      <w:tr w:rsidR="00337E79" w:rsidRPr="00090E35" w14:paraId="4BF2F76A" w14:textId="77777777" w:rsidTr="0020372B">
        <w:trPr>
          <w:trHeight w:val="548"/>
        </w:trPr>
        <w:tc>
          <w:tcPr>
            <w:tcW w:w="1553" w:type="pct"/>
            <w:vMerge/>
            <w:shd w:val="clear" w:color="auto" w:fill="E3F2F9"/>
          </w:tcPr>
          <w:p w14:paraId="089E0C39" w14:textId="77777777" w:rsidR="00337E79" w:rsidRPr="00090E35" w:rsidRDefault="00337E79" w:rsidP="0020372B">
            <w:pPr>
              <w:spacing w:before="0" w:after="0" w:line="276" w:lineRule="auto"/>
              <w:rPr>
                <w:rFonts w:cs="Tahoma"/>
                <w:sz w:val="20"/>
                <w:szCs w:val="20"/>
              </w:rPr>
            </w:pPr>
          </w:p>
        </w:tc>
        <w:tc>
          <w:tcPr>
            <w:tcW w:w="1956" w:type="pct"/>
            <w:shd w:val="clear" w:color="auto" w:fill="E3F2F9"/>
            <w:vAlign w:val="center"/>
          </w:tcPr>
          <w:p w14:paraId="32479769"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1c</w:t>
            </w:r>
            <w:r w:rsidRPr="00090E35">
              <w:rPr>
                <w:rFonts w:cs="Tahoma"/>
                <w:sz w:val="20"/>
                <w:szCs w:val="20"/>
              </w:rPr>
              <w:t xml:space="preserve"> </w:t>
            </w:r>
            <w:r w:rsidRPr="00090E35">
              <w:rPr>
                <w:sz w:val="20"/>
                <w:szCs w:val="20"/>
              </w:rPr>
              <w:t>Appréciation de la participation des femmes et des jeunes dans les mécanismes de prévention et de gestion des conflits</w:t>
            </w:r>
          </w:p>
        </w:tc>
        <w:tc>
          <w:tcPr>
            <w:tcW w:w="552" w:type="pct"/>
            <w:shd w:val="clear" w:color="auto" w:fill="E3F2F9"/>
            <w:vAlign w:val="center"/>
          </w:tcPr>
          <w:p w14:paraId="7F887387"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E3F2F9"/>
            <w:vAlign w:val="center"/>
          </w:tcPr>
          <w:p w14:paraId="30C500D3"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10BD5F05" w14:textId="77777777" w:rsidR="00337E79" w:rsidRPr="00090E35" w:rsidRDefault="00337E79" w:rsidP="0020372B">
            <w:pPr>
              <w:spacing w:before="0" w:after="0" w:line="276" w:lineRule="auto"/>
              <w:jc w:val="left"/>
              <w:rPr>
                <w:bCs/>
                <w:sz w:val="20"/>
                <w:szCs w:val="20"/>
              </w:rPr>
            </w:pPr>
          </w:p>
        </w:tc>
      </w:tr>
      <w:tr w:rsidR="00337E79" w:rsidRPr="00090E35" w14:paraId="6DD847E2" w14:textId="77777777" w:rsidTr="0020372B">
        <w:trPr>
          <w:trHeight w:val="548"/>
        </w:trPr>
        <w:tc>
          <w:tcPr>
            <w:tcW w:w="1553" w:type="pct"/>
            <w:vMerge w:val="restart"/>
            <w:shd w:val="clear" w:color="auto" w:fill="auto"/>
          </w:tcPr>
          <w:p w14:paraId="430A8AFA"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1.1</w:t>
            </w:r>
          </w:p>
          <w:p w14:paraId="06828120" w14:textId="77777777" w:rsidR="00337E79" w:rsidRPr="00090E35" w:rsidRDefault="00337E79" w:rsidP="0020372B">
            <w:pPr>
              <w:spacing w:before="0" w:after="0" w:line="276" w:lineRule="auto"/>
              <w:rPr>
                <w:rFonts w:cs="Times New Roman"/>
                <w:sz w:val="20"/>
                <w:szCs w:val="20"/>
              </w:rPr>
            </w:pPr>
            <w:r w:rsidRPr="00090E35">
              <w:rPr>
                <w:sz w:val="20"/>
                <w:szCs w:val="20"/>
              </w:rPr>
              <w:t>Deux diagnostics détaillés sur les mécanismes et structures étatiques et non-étatiques de prévention et de gestion de conflits sont disponibles sur leur fonctionnalité, efficacité, les degrés d’inclusion des femmes et des jeunes et les opportunités de collaboration entre les différents niveaux</w:t>
            </w:r>
          </w:p>
        </w:tc>
        <w:tc>
          <w:tcPr>
            <w:tcW w:w="1956" w:type="pct"/>
            <w:shd w:val="clear" w:color="auto" w:fill="auto"/>
            <w:vAlign w:val="center"/>
          </w:tcPr>
          <w:p w14:paraId="57A0561B"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Ind1.1.1.</w:t>
            </w:r>
            <w:r w:rsidRPr="00090E35">
              <w:rPr>
                <w:rFonts w:cs="Tahoma"/>
                <w:sz w:val="20"/>
                <w:szCs w:val="20"/>
              </w:rPr>
              <w:t xml:space="preserve"> </w:t>
            </w:r>
            <w:r w:rsidRPr="00090E35">
              <w:rPr>
                <w:sz w:val="20"/>
                <w:szCs w:val="20"/>
              </w:rPr>
              <w:t>Qualité des analyses situationnelles</w:t>
            </w:r>
          </w:p>
        </w:tc>
        <w:tc>
          <w:tcPr>
            <w:tcW w:w="552" w:type="pct"/>
            <w:shd w:val="clear" w:color="auto" w:fill="auto"/>
            <w:vAlign w:val="center"/>
          </w:tcPr>
          <w:p w14:paraId="3D142D77"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4A20F809" w14:textId="77777777" w:rsidR="00337E79" w:rsidRPr="00090E35" w:rsidRDefault="00337E79" w:rsidP="0020372B">
            <w:pPr>
              <w:spacing w:before="0" w:after="0" w:line="276" w:lineRule="auto"/>
              <w:jc w:val="left"/>
              <w:rPr>
                <w:bCs/>
                <w:sz w:val="20"/>
                <w:szCs w:val="20"/>
              </w:rPr>
            </w:pPr>
            <w:r w:rsidRPr="00090E35">
              <w:rPr>
                <w:bCs/>
                <w:sz w:val="20"/>
                <w:szCs w:val="20"/>
              </w:rPr>
              <w:t>2 diagnostics détaillés disponibles et validés par les acteurs clés</w:t>
            </w:r>
          </w:p>
        </w:tc>
      </w:tr>
      <w:tr w:rsidR="00337E79" w:rsidRPr="00090E35" w14:paraId="68E92126" w14:textId="77777777" w:rsidTr="0020372B">
        <w:trPr>
          <w:trHeight w:val="512"/>
        </w:trPr>
        <w:tc>
          <w:tcPr>
            <w:tcW w:w="1553" w:type="pct"/>
            <w:vMerge/>
            <w:shd w:val="clear" w:color="auto" w:fill="auto"/>
          </w:tcPr>
          <w:p w14:paraId="1D4AA868"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542B68A2"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Ind1.1.2.</w:t>
            </w:r>
            <w:r w:rsidRPr="00090E35">
              <w:rPr>
                <w:rFonts w:cs="Tahoma"/>
                <w:sz w:val="20"/>
                <w:szCs w:val="20"/>
              </w:rPr>
              <w:t xml:space="preserve"> </w:t>
            </w:r>
            <w:r w:rsidRPr="00090E35">
              <w:rPr>
                <w:sz w:val="20"/>
                <w:szCs w:val="20"/>
              </w:rPr>
              <w:t>Degré de contribution des femmes et des jeunes aux diagnostics</w:t>
            </w:r>
          </w:p>
        </w:tc>
        <w:tc>
          <w:tcPr>
            <w:tcW w:w="552" w:type="pct"/>
            <w:shd w:val="clear" w:color="auto" w:fill="auto"/>
            <w:vAlign w:val="center"/>
          </w:tcPr>
          <w:p w14:paraId="2059FA4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36E42195" w14:textId="77777777" w:rsidR="00337E79" w:rsidRPr="00090E35" w:rsidRDefault="00337E79" w:rsidP="0020372B">
            <w:pPr>
              <w:spacing w:before="0" w:after="0" w:line="276" w:lineRule="auto"/>
              <w:jc w:val="left"/>
              <w:rPr>
                <w:bCs/>
                <w:sz w:val="20"/>
                <w:szCs w:val="20"/>
              </w:rPr>
            </w:pPr>
            <w:r w:rsidRPr="00090E35">
              <w:rPr>
                <w:bCs/>
                <w:sz w:val="20"/>
                <w:szCs w:val="20"/>
              </w:rPr>
              <w:t>Au moins 30% de leurs contributions sont pris en compte dans les rapports des diagnostics</w:t>
            </w:r>
          </w:p>
        </w:tc>
      </w:tr>
      <w:tr w:rsidR="00337E79" w:rsidRPr="00090E35" w14:paraId="54BB663B" w14:textId="77777777" w:rsidTr="0020372B">
        <w:trPr>
          <w:trHeight w:val="440"/>
        </w:trPr>
        <w:tc>
          <w:tcPr>
            <w:tcW w:w="1553" w:type="pct"/>
            <w:vMerge w:val="restart"/>
            <w:shd w:val="clear" w:color="auto" w:fill="auto"/>
          </w:tcPr>
          <w:p w14:paraId="52A9AEB5"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1.2</w:t>
            </w:r>
          </w:p>
          <w:p w14:paraId="52A031EA" w14:textId="77777777" w:rsidR="00337E79" w:rsidRPr="00090E35" w:rsidRDefault="00337E79" w:rsidP="0020372B">
            <w:pPr>
              <w:spacing w:before="0" w:after="0" w:line="276" w:lineRule="auto"/>
              <w:rPr>
                <w:rFonts w:cs="Tahoma"/>
                <w:sz w:val="20"/>
                <w:szCs w:val="20"/>
              </w:rPr>
            </w:pPr>
            <w:r w:rsidRPr="00090E35">
              <w:rPr>
                <w:sz w:val="20"/>
                <w:szCs w:val="20"/>
              </w:rPr>
              <w:t>Deux plans d’action sont élaborés et mis en œuvre pour renforcer les capacités des mécanismes et structures étatiques et non-étatiques de prévention et de gestion de conflits, et pour une meilleure intégration des femmes et des jeunes</w:t>
            </w:r>
          </w:p>
        </w:tc>
        <w:tc>
          <w:tcPr>
            <w:tcW w:w="1956" w:type="pct"/>
            <w:shd w:val="clear" w:color="auto" w:fill="auto"/>
            <w:vAlign w:val="center"/>
          </w:tcPr>
          <w:p w14:paraId="66A7C7E1"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Ind1.2.1.</w:t>
            </w:r>
            <w:r w:rsidRPr="00090E35">
              <w:rPr>
                <w:rFonts w:cs="Tahoma"/>
                <w:sz w:val="20"/>
                <w:szCs w:val="20"/>
              </w:rPr>
              <w:t xml:space="preserve"> </w:t>
            </w:r>
            <w:r w:rsidRPr="00090E35">
              <w:rPr>
                <w:sz w:val="20"/>
                <w:szCs w:val="20"/>
              </w:rPr>
              <w:t>Taux de mise en œuvre des plans d’action</w:t>
            </w:r>
          </w:p>
        </w:tc>
        <w:tc>
          <w:tcPr>
            <w:tcW w:w="552" w:type="pct"/>
            <w:shd w:val="clear" w:color="auto" w:fill="auto"/>
            <w:vAlign w:val="center"/>
          </w:tcPr>
          <w:p w14:paraId="4DABF5D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59029FDA" w14:textId="77777777" w:rsidR="00337E79" w:rsidRPr="00090E35" w:rsidRDefault="00337E79" w:rsidP="0020372B">
            <w:pPr>
              <w:spacing w:before="0" w:after="0" w:line="276" w:lineRule="auto"/>
              <w:jc w:val="left"/>
              <w:rPr>
                <w:bCs/>
                <w:sz w:val="20"/>
                <w:szCs w:val="20"/>
              </w:rPr>
            </w:pPr>
            <w:r w:rsidRPr="00090E35">
              <w:rPr>
                <w:bCs/>
                <w:sz w:val="20"/>
                <w:szCs w:val="20"/>
              </w:rPr>
              <w:t>75%</w:t>
            </w:r>
          </w:p>
        </w:tc>
      </w:tr>
      <w:tr w:rsidR="00337E79" w:rsidRPr="00090E35" w14:paraId="0FBD94A3" w14:textId="77777777" w:rsidTr="0020372B">
        <w:trPr>
          <w:trHeight w:val="467"/>
        </w:trPr>
        <w:tc>
          <w:tcPr>
            <w:tcW w:w="1553" w:type="pct"/>
            <w:vMerge/>
            <w:shd w:val="clear" w:color="auto" w:fill="auto"/>
          </w:tcPr>
          <w:p w14:paraId="344DBED3"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59E72E1"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Ind1.2.2.</w:t>
            </w:r>
            <w:r w:rsidRPr="00090E35">
              <w:rPr>
                <w:rFonts w:cs="Tahoma"/>
                <w:sz w:val="20"/>
                <w:szCs w:val="20"/>
              </w:rPr>
              <w:t xml:space="preserve"> </w:t>
            </w:r>
            <w:r w:rsidRPr="00090E35">
              <w:rPr>
                <w:sz w:val="20"/>
                <w:szCs w:val="20"/>
              </w:rPr>
              <w:t>Augmentation du nombre d’initiatives entreprises par les femmes et les jeunes avec les connaissances acquises en matière de prévention et gestion des conflits</w:t>
            </w:r>
          </w:p>
        </w:tc>
        <w:tc>
          <w:tcPr>
            <w:tcW w:w="552" w:type="pct"/>
            <w:shd w:val="clear" w:color="auto" w:fill="auto"/>
            <w:vAlign w:val="center"/>
          </w:tcPr>
          <w:p w14:paraId="4AA9ED7E"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408C6BF" w14:textId="77777777" w:rsidR="00337E79" w:rsidRPr="00090E35" w:rsidRDefault="00337E79" w:rsidP="0020372B">
            <w:pPr>
              <w:spacing w:before="0" w:after="0" w:line="276" w:lineRule="auto"/>
              <w:jc w:val="left"/>
              <w:rPr>
                <w:bCs/>
                <w:sz w:val="20"/>
                <w:szCs w:val="20"/>
              </w:rPr>
            </w:pPr>
            <w:r w:rsidRPr="00090E35">
              <w:rPr>
                <w:bCs/>
                <w:sz w:val="20"/>
                <w:szCs w:val="20"/>
              </w:rPr>
              <w:t>50% par rapport à la situation de référence</w:t>
            </w:r>
          </w:p>
        </w:tc>
      </w:tr>
      <w:tr w:rsidR="00337E79" w:rsidRPr="00090E35" w14:paraId="03634650" w14:textId="77777777" w:rsidTr="0020372B">
        <w:trPr>
          <w:trHeight w:val="422"/>
        </w:trPr>
        <w:tc>
          <w:tcPr>
            <w:tcW w:w="1553" w:type="pct"/>
            <w:vMerge w:val="restart"/>
            <w:shd w:val="clear" w:color="auto" w:fill="DEEAF6" w:themeFill="accent1" w:themeFillTint="33"/>
          </w:tcPr>
          <w:p w14:paraId="76FBDF71"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2</w:t>
            </w:r>
          </w:p>
          <w:p w14:paraId="37B7F507" w14:textId="77777777" w:rsidR="00337E79" w:rsidRPr="00090E35" w:rsidRDefault="00337E79" w:rsidP="0020372B">
            <w:pPr>
              <w:spacing w:before="0" w:after="0" w:line="276" w:lineRule="auto"/>
              <w:rPr>
                <w:sz w:val="20"/>
                <w:szCs w:val="20"/>
              </w:rPr>
            </w:pPr>
            <w:r w:rsidRPr="00090E35">
              <w:rPr>
                <w:sz w:val="20"/>
                <w:szCs w:val="20"/>
              </w:rPr>
              <w:t>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w:t>
            </w:r>
            <w:r>
              <w:rPr>
                <w:sz w:val="20"/>
                <w:szCs w:val="20"/>
              </w:rPr>
              <w:t xml:space="preserve"> </w:t>
            </w:r>
          </w:p>
          <w:p w14:paraId="273FD480" w14:textId="77777777" w:rsidR="00337E79" w:rsidRPr="00090E35" w:rsidRDefault="00337E79" w:rsidP="0020372B">
            <w:pPr>
              <w:spacing w:before="0" w:after="0" w:line="276" w:lineRule="auto"/>
              <w:rPr>
                <w:rFonts w:cs="Tahoma"/>
                <w:b/>
                <w:sz w:val="20"/>
                <w:szCs w:val="20"/>
              </w:rPr>
            </w:pPr>
          </w:p>
        </w:tc>
        <w:tc>
          <w:tcPr>
            <w:tcW w:w="1956" w:type="pct"/>
            <w:shd w:val="clear" w:color="auto" w:fill="DEEAF6" w:themeFill="accent1" w:themeFillTint="33"/>
            <w:vAlign w:val="center"/>
          </w:tcPr>
          <w:p w14:paraId="56C80CDD"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Ind2.a.</w:t>
            </w:r>
            <w:r w:rsidRPr="00090E35">
              <w:rPr>
                <w:rFonts w:cs="Tahoma"/>
                <w:sz w:val="20"/>
                <w:szCs w:val="20"/>
              </w:rPr>
              <w:t xml:space="preserve"> </w:t>
            </w:r>
            <w:r w:rsidRPr="00090E35">
              <w:rPr>
                <w:sz w:val="20"/>
                <w:szCs w:val="20"/>
              </w:rPr>
              <w:t>Degré de confiance entre les communautés et les FDS / acteurs de la chaîne pénale</w:t>
            </w:r>
          </w:p>
        </w:tc>
        <w:tc>
          <w:tcPr>
            <w:tcW w:w="552" w:type="pct"/>
            <w:shd w:val="clear" w:color="auto" w:fill="DEEAF6" w:themeFill="accent1" w:themeFillTint="33"/>
            <w:vAlign w:val="center"/>
          </w:tcPr>
          <w:p w14:paraId="53A2565F"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DEEAF6" w:themeFill="accent1" w:themeFillTint="33"/>
            <w:vAlign w:val="center"/>
          </w:tcPr>
          <w:p w14:paraId="15D85D6C" w14:textId="77777777" w:rsidR="00337E79" w:rsidRPr="00090E35" w:rsidRDefault="00337E79" w:rsidP="0020372B">
            <w:pPr>
              <w:spacing w:before="0" w:after="0" w:line="276" w:lineRule="auto"/>
              <w:jc w:val="left"/>
              <w:rPr>
                <w:bCs/>
                <w:sz w:val="20"/>
                <w:szCs w:val="20"/>
              </w:rPr>
            </w:pPr>
            <w:r w:rsidRPr="00090E35">
              <w:rPr>
                <w:bCs/>
                <w:sz w:val="20"/>
                <w:szCs w:val="20"/>
              </w:rPr>
              <w:t xml:space="preserve">+1 niveau par rapport à la situation de référence </w:t>
            </w:r>
          </w:p>
          <w:p w14:paraId="2884A2B8" w14:textId="77777777" w:rsidR="00337E79" w:rsidRPr="00090E35" w:rsidRDefault="00337E79" w:rsidP="0020372B">
            <w:pPr>
              <w:spacing w:before="0" w:after="0" w:line="276" w:lineRule="auto"/>
              <w:jc w:val="left"/>
              <w:rPr>
                <w:bCs/>
                <w:sz w:val="20"/>
                <w:szCs w:val="20"/>
              </w:rPr>
            </w:pPr>
          </w:p>
        </w:tc>
      </w:tr>
      <w:tr w:rsidR="00337E79" w:rsidRPr="00090E35" w14:paraId="6F765E90" w14:textId="77777777" w:rsidTr="0020372B">
        <w:trPr>
          <w:trHeight w:val="422"/>
        </w:trPr>
        <w:tc>
          <w:tcPr>
            <w:tcW w:w="1553" w:type="pct"/>
            <w:vMerge/>
            <w:shd w:val="clear" w:color="auto" w:fill="DEEAF6" w:themeFill="accent1" w:themeFillTint="33"/>
          </w:tcPr>
          <w:p w14:paraId="128D19E5"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4A272DD3"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Ind2.b.</w:t>
            </w:r>
            <w:r w:rsidRPr="00090E35">
              <w:rPr>
                <w:rFonts w:cs="Tahoma"/>
                <w:sz w:val="20"/>
                <w:szCs w:val="20"/>
              </w:rPr>
              <w:t xml:space="preserve"> </w:t>
            </w:r>
            <w:r w:rsidRPr="00090E35">
              <w:rPr>
                <w:sz w:val="20"/>
                <w:szCs w:val="20"/>
              </w:rPr>
              <w:t>Niveau de connaissance des droits et recours par les communautés locales</w:t>
            </w:r>
          </w:p>
        </w:tc>
        <w:tc>
          <w:tcPr>
            <w:tcW w:w="552" w:type="pct"/>
            <w:shd w:val="clear" w:color="auto" w:fill="DEEAF6" w:themeFill="accent1" w:themeFillTint="33"/>
            <w:vAlign w:val="center"/>
          </w:tcPr>
          <w:p w14:paraId="5C15C401"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DEEAF6" w:themeFill="accent1" w:themeFillTint="33"/>
            <w:vAlign w:val="center"/>
          </w:tcPr>
          <w:p w14:paraId="4A0D37B9"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781F9A7B" w14:textId="77777777" w:rsidR="00337E79" w:rsidRPr="00090E35" w:rsidRDefault="00337E79" w:rsidP="0020372B">
            <w:pPr>
              <w:spacing w:before="0" w:after="0" w:line="276" w:lineRule="auto"/>
              <w:jc w:val="left"/>
              <w:rPr>
                <w:bCs/>
                <w:sz w:val="20"/>
                <w:szCs w:val="20"/>
              </w:rPr>
            </w:pPr>
          </w:p>
        </w:tc>
      </w:tr>
      <w:tr w:rsidR="00337E79" w:rsidRPr="00090E35" w14:paraId="162780FF" w14:textId="77777777" w:rsidTr="0020372B">
        <w:trPr>
          <w:trHeight w:val="422"/>
        </w:trPr>
        <w:tc>
          <w:tcPr>
            <w:tcW w:w="1553" w:type="pct"/>
            <w:vMerge/>
            <w:shd w:val="clear" w:color="auto" w:fill="DEEAF6" w:themeFill="accent1" w:themeFillTint="33"/>
          </w:tcPr>
          <w:p w14:paraId="2B169A26"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1D246392"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 xml:space="preserve">Ind2.c. </w:t>
            </w:r>
            <w:r w:rsidRPr="00090E35">
              <w:rPr>
                <w:sz w:val="20"/>
                <w:szCs w:val="20"/>
              </w:rPr>
              <w:t>Niveau d’appréciation de la collaboration entre les FDS et les acteurs de la chaîne pénale dans la zone du projet</w:t>
            </w:r>
          </w:p>
        </w:tc>
        <w:tc>
          <w:tcPr>
            <w:tcW w:w="552" w:type="pct"/>
            <w:shd w:val="clear" w:color="auto" w:fill="DEEAF6" w:themeFill="accent1" w:themeFillTint="33"/>
            <w:vAlign w:val="center"/>
          </w:tcPr>
          <w:p w14:paraId="180CA19F"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r w:rsidRPr="00090E35" w:rsidDel="004E5FC2">
              <w:rPr>
                <w:bCs/>
                <w:sz w:val="20"/>
                <w:szCs w:val="20"/>
              </w:rPr>
              <w:t xml:space="preserve"> </w:t>
            </w:r>
          </w:p>
        </w:tc>
        <w:tc>
          <w:tcPr>
            <w:tcW w:w="939" w:type="pct"/>
            <w:shd w:val="clear" w:color="auto" w:fill="DEEAF6" w:themeFill="accent1" w:themeFillTint="33"/>
            <w:vAlign w:val="center"/>
          </w:tcPr>
          <w:p w14:paraId="37A1127A"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394E9143" w14:textId="77777777" w:rsidR="00337E79" w:rsidRPr="00090E35" w:rsidRDefault="00337E79" w:rsidP="0020372B">
            <w:pPr>
              <w:spacing w:before="0" w:after="0" w:line="276" w:lineRule="auto"/>
              <w:jc w:val="left"/>
              <w:rPr>
                <w:bCs/>
                <w:sz w:val="20"/>
                <w:szCs w:val="20"/>
              </w:rPr>
            </w:pPr>
          </w:p>
        </w:tc>
      </w:tr>
      <w:tr w:rsidR="00337E79" w:rsidRPr="00090E35" w14:paraId="37097460" w14:textId="77777777" w:rsidTr="0020372B">
        <w:trPr>
          <w:trHeight w:val="422"/>
        </w:trPr>
        <w:tc>
          <w:tcPr>
            <w:tcW w:w="1553" w:type="pct"/>
            <w:vMerge w:val="restart"/>
            <w:shd w:val="clear" w:color="auto" w:fill="auto"/>
          </w:tcPr>
          <w:p w14:paraId="048C7F5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2.1</w:t>
            </w:r>
          </w:p>
          <w:p w14:paraId="1CFD279C" w14:textId="77777777" w:rsidR="00337E79" w:rsidRPr="00090E35" w:rsidRDefault="00337E79" w:rsidP="0020372B">
            <w:pPr>
              <w:spacing w:before="0" w:after="0" w:line="276" w:lineRule="auto"/>
              <w:rPr>
                <w:rFonts w:cs="Tahoma"/>
                <w:b/>
                <w:sz w:val="20"/>
                <w:szCs w:val="20"/>
              </w:rPr>
            </w:pPr>
            <w:r w:rsidRPr="00090E35">
              <w:rPr>
                <w:sz w:val="20"/>
                <w:szCs w:val="20"/>
              </w:rPr>
              <w:t>Quatre plans d'action de renforcement des capacités techniques des FDS et acteurs de la chaine pénale sur la question d'intégration des droits humains (y compris les droits des femmes et le genre) sont élaborés et mis en œuvre</w:t>
            </w:r>
          </w:p>
        </w:tc>
        <w:tc>
          <w:tcPr>
            <w:tcW w:w="1956" w:type="pct"/>
            <w:shd w:val="clear" w:color="auto" w:fill="auto"/>
            <w:vAlign w:val="center"/>
          </w:tcPr>
          <w:p w14:paraId="36E555B4"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Ind2.1.1.</w:t>
            </w:r>
            <w:r w:rsidRPr="00090E35">
              <w:rPr>
                <w:rFonts w:cs="Tahoma"/>
                <w:sz w:val="20"/>
                <w:szCs w:val="20"/>
              </w:rPr>
              <w:t xml:space="preserve"> </w:t>
            </w:r>
            <w:r w:rsidRPr="00090E35">
              <w:rPr>
                <w:sz w:val="20"/>
                <w:szCs w:val="20"/>
              </w:rPr>
              <w:t>Qualité des diagnostics</w:t>
            </w:r>
          </w:p>
        </w:tc>
        <w:tc>
          <w:tcPr>
            <w:tcW w:w="552" w:type="pct"/>
            <w:shd w:val="clear" w:color="auto" w:fill="auto"/>
            <w:vAlign w:val="center"/>
          </w:tcPr>
          <w:p w14:paraId="17159F8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3396B0CD" w14:textId="77777777" w:rsidR="00337E79" w:rsidRPr="00090E35" w:rsidRDefault="00337E79" w:rsidP="0020372B">
            <w:pPr>
              <w:spacing w:before="0" w:after="0" w:line="276" w:lineRule="auto"/>
              <w:jc w:val="left"/>
              <w:rPr>
                <w:bCs/>
                <w:sz w:val="20"/>
                <w:szCs w:val="20"/>
              </w:rPr>
            </w:pPr>
            <w:r w:rsidRPr="00090E35">
              <w:rPr>
                <w:bCs/>
                <w:sz w:val="20"/>
                <w:szCs w:val="20"/>
              </w:rPr>
              <w:t>4 diagnostics détaillés disponibles et validés par les FDS et les acteurs de la chaine pénale (2 par pays)</w:t>
            </w:r>
          </w:p>
        </w:tc>
      </w:tr>
      <w:tr w:rsidR="00337E79" w:rsidRPr="00090E35" w14:paraId="16A788AF" w14:textId="77777777" w:rsidTr="0020372B">
        <w:trPr>
          <w:trHeight w:val="458"/>
        </w:trPr>
        <w:tc>
          <w:tcPr>
            <w:tcW w:w="1553" w:type="pct"/>
            <w:vMerge/>
            <w:shd w:val="clear" w:color="auto" w:fill="auto"/>
          </w:tcPr>
          <w:p w14:paraId="00C260CB"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3C07FE06"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Ind2.1.2.</w:t>
            </w:r>
            <w:r w:rsidRPr="00090E35">
              <w:rPr>
                <w:rFonts w:cs="Tahoma"/>
                <w:sz w:val="20"/>
                <w:szCs w:val="20"/>
              </w:rPr>
              <w:t xml:space="preserve"> </w:t>
            </w:r>
            <w:r w:rsidRPr="00090E35">
              <w:rPr>
                <w:sz w:val="20"/>
                <w:szCs w:val="20"/>
              </w:rPr>
              <w:t>Niveau de prise en compte des besoins et droits des femmes dans les plans de renforcement des capacités des FDS</w:t>
            </w:r>
          </w:p>
        </w:tc>
        <w:tc>
          <w:tcPr>
            <w:tcW w:w="552" w:type="pct"/>
            <w:shd w:val="clear" w:color="auto" w:fill="auto"/>
            <w:vAlign w:val="center"/>
          </w:tcPr>
          <w:p w14:paraId="19A9017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3A972D8" w14:textId="77777777" w:rsidR="00337E79" w:rsidRPr="00090E35" w:rsidRDefault="00337E79" w:rsidP="0020372B">
            <w:pPr>
              <w:spacing w:before="0" w:after="0" w:line="276" w:lineRule="auto"/>
              <w:jc w:val="left"/>
              <w:rPr>
                <w:bCs/>
                <w:sz w:val="20"/>
                <w:szCs w:val="20"/>
                <w:highlight w:val="yellow"/>
              </w:rPr>
            </w:pPr>
            <w:r w:rsidRPr="00090E35">
              <w:t>4 actions ciblant les besoins des femmes et droits des femmes (2 par pays)</w:t>
            </w:r>
          </w:p>
        </w:tc>
      </w:tr>
      <w:tr w:rsidR="00337E79" w:rsidRPr="00090E35" w14:paraId="19D3DA24" w14:textId="77777777" w:rsidTr="0020372B">
        <w:trPr>
          <w:trHeight w:val="458"/>
        </w:trPr>
        <w:tc>
          <w:tcPr>
            <w:tcW w:w="1553" w:type="pct"/>
            <w:vMerge/>
            <w:shd w:val="clear" w:color="auto" w:fill="auto"/>
          </w:tcPr>
          <w:p w14:paraId="34336E9A"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3426D94C" w14:textId="77777777" w:rsidR="00337E79" w:rsidRPr="00090E35" w:rsidRDefault="00337E79" w:rsidP="0020372B">
            <w:pPr>
              <w:autoSpaceDE w:val="0"/>
              <w:autoSpaceDN w:val="0"/>
              <w:adjustRightInd w:val="0"/>
              <w:spacing w:before="0" w:after="0" w:line="240" w:lineRule="auto"/>
              <w:jc w:val="left"/>
              <w:rPr>
                <w:rFonts w:ascii="Calibri" w:hAnsi="Calibri" w:cs="Calibri"/>
                <w:color w:val="000000"/>
                <w:sz w:val="24"/>
                <w:szCs w:val="24"/>
              </w:rPr>
            </w:pPr>
            <w:r w:rsidRPr="00090E35">
              <w:rPr>
                <w:b/>
                <w:bCs/>
                <w:sz w:val="20"/>
                <w:szCs w:val="20"/>
              </w:rPr>
              <w:t>Ind 2.1.3.</w:t>
            </w:r>
            <w:r w:rsidRPr="00090E35">
              <w:rPr>
                <w:sz w:val="20"/>
                <w:szCs w:val="20"/>
              </w:rPr>
              <w:t xml:space="preserve"> Niveau de prise en compte des besoins et droits des femmes dans les plans de renforcement des capacités des acteurs de la chaine pénale </w:t>
            </w:r>
          </w:p>
        </w:tc>
        <w:tc>
          <w:tcPr>
            <w:tcW w:w="552" w:type="pct"/>
            <w:shd w:val="clear" w:color="auto" w:fill="auto"/>
            <w:vAlign w:val="center"/>
          </w:tcPr>
          <w:p w14:paraId="516AF9CC"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FFDE200" w14:textId="77777777" w:rsidR="00337E79" w:rsidRPr="00090E35" w:rsidRDefault="00337E79" w:rsidP="0020372B">
            <w:pPr>
              <w:spacing w:before="0" w:after="0" w:line="276" w:lineRule="auto"/>
              <w:jc w:val="left"/>
              <w:rPr>
                <w:bCs/>
                <w:sz w:val="20"/>
                <w:szCs w:val="20"/>
              </w:rPr>
            </w:pPr>
            <w:r w:rsidRPr="00090E35">
              <w:rPr>
                <w:bCs/>
                <w:sz w:val="20"/>
                <w:szCs w:val="20"/>
              </w:rPr>
              <w:t>4 actions ciblant les besoins et droits des femmes (2 par pays)</w:t>
            </w:r>
          </w:p>
        </w:tc>
      </w:tr>
      <w:tr w:rsidR="00337E79" w:rsidRPr="00090E35" w14:paraId="76691D8E" w14:textId="77777777" w:rsidTr="0020372B">
        <w:trPr>
          <w:trHeight w:val="1131"/>
        </w:trPr>
        <w:tc>
          <w:tcPr>
            <w:tcW w:w="1553" w:type="pct"/>
            <w:vMerge w:val="restart"/>
            <w:shd w:val="clear" w:color="auto" w:fill="auto"/>
          </w:tcPr>
          <w:p w14:paraId="6F645D2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2.2</w:t>
            </w:r>
          </w:p>
          <w:p w14:paraId="7855DB2F" w14:textId="77777777" w:rsidR="00337E79" w:rsidRPr="00090E35" w:rsidRDefault="00337E79" w:rsidP="0020372B">
            <w:pPr>
              <w:spacing w:before="0" w:after="0" w:line="276" w:lineRule="auto"/>
              <w:rPr>
                <w:rFonts w:cs="Tahoma"/>
                <w:sz w:val="20"/>
                <w:szCs w:val="20"/>
              </w:rPr>
            </w:pPr>
            <w:r w:rsidRPr="00090E35">
              <w:rPr>
                <w:sz w:val="20"/>
                <w:szCs w:val="20"/>
              </w:rPr>
              <w:t>Deux plans d'action de renforcement des capacités des organisations de la société civile et des organisations de femmes est élaboré et mis en œuvre sur les rôles mandats des FDS et des acteurs de la chaine pénale avec une approche basée sur les droits humains et le genre</w:t>
            </w:r>
          </w:p>
        </w:tc>
        <w:tc>
          <w:tcPr>
            <w:tcW w:w="1956" w:type="pct"/>
            <w:shd w:val="clear" w:color="auto" w:fill="auto"/>
            <w:vAlign w:val="center"/>
          </w:tcPr>
          <w:p w14:paraId="10C68167"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Ind2.2.1.</w:t>
            </w:r>
            <w:r w:rsidRPr="00090E35">
              <w:rPr>
                <w:rFonts w:cs="Tahoma"/>
                <w:sz w:val="20"/>
                <w:szCs w:val="20"/>
              </w:rPr>
              <w:t xml:space="preserve"> </w:t>
            </w:r>
            <w:r w:rsidRPr="00090E35">
              <w:rPr>
                <w:sz w:val="20"/>
                <w:szCs w:val="20"/>
              </w:rPr>
              <w:t>Taux de mise en œuvre des plans d’action de renforcement de capacités des organisations de la société civile et des organisations de femmes</w:t>
            </w:r>
          </w:p>
        </w:tc>
        <w:tc>
          <w:tcPr>
            <w:tcW w:w="552" w:type="pct"/>
            <w:shd w:val="clear" w:color="auto" w:fill="auto"/>
            <w:vAlign w:val="center"/>
          </w:tcPr>
          <w:p w14:paraId="2A5F127A"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1C54A5CB" w14:textId="77777777" w:rsidR="00337E79" w:rsidRPr="00090E35" w:rsidRDefault="00337E79" w:rsidP="0020372B">
            <w:pPr>
              <w:spacing w:before="0" w:after="0" w:line="276" w:lineRule="auto"/>
              <w:jc w:val="left"/>
              <w:rPr>
                <w:bCs/>
                <w:sz w:val="20"/>
                <w:szCs w:val="20"/>
              </w:rPr>
            </w:pPr>
            <w:r w:rsidRPr="00090E35">
              <w:rPr>
                <w:bCs/>
                <w:sz w:val="20"/>
                <w:szCs w:val="20"/>
              </w:rPr>
              <w:t>75%</w:t>
            </w:r>
          </w:p>
        </w:tc>
      </w:tr>
      <w:tr w:rsidR="00337E79" w:rsidRPr="00090E35" w14:paraId="7B625B1E" w14:textId="77777777" w:rsidTr="0020372B">
        <w:trPr>
          <w:trHeight w:val="1131"/>
        </w:trPr>
        <w:tc>
          <w:tcPr>
            <w:tcW w:w="1553" w:type="pct"/>
            <w:vMerge/>
            <w:shd w:val="clear" w:color="auto" w:fill="auto"/>
          </w:tcPr>
          <w:p w14:paraId="399FD55C" w14:textId="77777777" w:rsidR="00337E79" w:rsidRPr="00090E35" w:rsidRDefault="00337E79" w:rsidP="0020372B">
            <w:pPr>
              <w:spacing w:before="0" w:after="0" w:line="276" w:lineRule="auto"/>
              <w:rPr>
                <w:rFonts w:cs="Tahoma"/>
                <w:b/>
                <w:bCs/>
                <w:sz w:val="20"/>
                <w:szCs w:val="20"/>
              </w:rPr>
            </w:pPr>
          </w:p>
        </w:tc>
        <w:tc>
          <w:tcPr>
            <w:tcW w:w="1956" w:type="pct"/>
            <w:shd w:val="clear" w:color="auto" w:fill="auto"/>
            <w:vAlign w:val="center"/>
          </w:tcPr>
          <w:p w14:paraId="43C8FF2A" w14:textId="77777777" w:rsidR="00337E79" w:rsidRPr="00090E35" w:rsidRDefault="00337E79" w:rsidP="0020372B">
            <w:pPr>
              <w:autoSpaceDE w:val="0"/>
              <w:autoSpaceDN w:val="0"/>
              <w:adjustRightInd w:val="0"/>
              <w:spacing w:before="0" w:after="0" w:line="240" w:lineRule="auto"/>
              <w:jc w:val="left"/>
              <w:rPr>
                <w:rFonts w:ascii="Calibri" w:hAnsi="Calibri" w:cs="Tahoma"/>
                <w:b/>
                <w:bCs/>
                <w:color w:val="000000"/>
                <w:sz w:val="20"/>
                <w:szCs w:val="20"/>
              </w:rPr>
            </w:pPr>
            <w:r w:rsidRPr="00090E35">
              <w:rPr>
                <w:rFonts w:cs="Tahoma"/>
                <w:b/>
                <w:bCs/>
                <w:sz w:val="20"/>
                <w:szCs w:val="20"/>
              </w:rPr>
              <w:t xml:space="preserve">Ind 2.2.2. </w:t>
            </w:r>
            <w:r w:rsidRPr="00090E35">
              <w:rPr>
                <w:sz w:val="20"/>
                <w:szCs w:val="20"/>
              </w:rPr>
              <w:t>Existence de mécanisme d’alerte précoce opérationnels intégrant les questions de genre</w:t>
            </w:r>
            <w:r w:rsidRPr="00090E35">
              <w:rPr>
                <w:rFonts w:ascii="Calibri" w:hAnsi="Calibri" w:cs="Calibri"/>
                <w:color w:val="000000"/>
                <w:sz w:val="16"/>
                <w:szCs w:val="16"/>
              </w:rPr>
              <w:t xml:space="preserve"> </w:t>
            </w:r>
          </w:p>
        </w:tc>
        <w:tc>
          <w:tcPr>
            <w:tcW w:w="552" w:type="pct"/>
            <w:shd w:val="clear" w:color="auto" w:fill="auto"/>
            <w:vAlign w:val="center"/>
          </w:tcPr>
          <w:p w14:paraId="10F1D8CF"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29173BEA" w14:textId="77777777" w:rsidR="00337E79" w:rsidRPr="00090E35" w:rsidRDefault="00337E79" w:rsidP="0020372B">
            <w:pPr>
              <w:spacing w:before="0" w:after="0" w:line="276" w:lineRule="auto"/>
              <w:jc w:val="left"/>
              <w:rPr>
                <w:bCs/>
                <w:sz w:val="20"/>
                <w:szCs w:val="20"/>
              </w:rPr>
            </w:pPr>
            <w:r w:rsidRPr="00090E35">
              <w:rPr>
                <w:bCs/>
                <w:sz w:val="20"/>
                <w:szCs w:val="20"/>
              </w:rPr>
              <w:t>2 (1 dans chaque pays)</w:t>
            </w:r>
          </w:p>
        </w:tc>
      </w:tr>
      <w:tr w:rsidR="00337E79" w:rsidRPr="00090E35" w14:paraId="4AB98C36" w14:textId="77777777" w:rsidTr="0020372B">
        <w:trPr>
          <w:trHeight w:val="458"/>
        </w:trPr>
        <w:tc>
          <w:tcPr>
            <w:tcW w:w="1553" w:type="pct"/>
            <w:vMerge w:val="restart"/>
            <w:shd w:val="clear" w:color="auto" w:fill="auto"/>
          </w:tcPr>
          <w:p w14:paraId="074E894F"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2.3</w:t>
            </w:r>
          </w:p>
          <w:p w14:paraId="6AF65577" w14:textId="77777777" w:rsidR="00337E79" w:rsidRPr="00090E35" w:rsidRDefault="00337E79" w:rsidP="0020372B">
            <w:pPr>
              <w:spacing w:before="0" w:after="0" w:line="276" w:lineRule="auto"/>
              <w:rPr>
                <w:rFonts w:cs="Tahoma"/>
                <w:sz w:val="20"/>
                <w:szCs w:val="20"/>
              </w:rPr>
            </w:pPr>
            <w:r w:rsidRPr="00090E35">
              <w:rPr>
                <w:sz w:val="20"/>
                <w:szCs w:val="20"/>
              </w:rPr>
              <w:t>Deux mécanismes de redevabilité sont opérationnels (missions FDS et acteurs de la chaîne pénale y compris l’intégration du genre)</w:t>
            </w:r>
          </w:p>
        </w:tc>
        <w:tc>
          <w:tcPr>
            <w:tcW w:w="1956" w:type="pct"/>
            <w:shd w:val="clear" w:color="auto" w:fill="auto"/>
            <w:vAlign w:val="center"/>
          </w:tcPr>
          <w:p w14:paraId="0739B829" w14:textId="77777777" w:rsidR="00337E79" w:rsidRPr="00090E35" w:rsidRDefault="00337E79" w:rsidP="0020372B">
            <w:pPr>
              <w:spacing w:before="0" w:after="0" w:line="276" w:lineRule="auto"/>
              <w:jc w:val="left"/>
              <w:rPr>
                <w:sz w:val="20"/>
                <w:szCs w:val="20"/>
              </w:rPr>
            </w:pPr>
            <w:r w:rsidRPr="00090E35">
              <w:rPr>
                <w:rFonts w:cs="Tahoma"/>
                <w:b/>
                <w:bCs/>
                <w:sz w:val="20"/>
                <w:szCs w:val="20"/>
              </w:rPr>
              <w:t>Ind2.3.1.</w:t>
            </w:r>
            <w:r w:rsidRPr="00090E35">
              <w:rPr>
                <w:rFonts w:cs="Tahoma"/>
                <w:sz w:val="20"/>
                <w:szCs w:val="20"/>
              </w:rPr>
              <w:t xml:space="preserve"> </w:t>
            </w:r>
            <w:r w:rsidRPr="00090E35">
              <w:rPr>
                <w:sz w:val="20"/>
                <w:szCs w:val="20"/>
              </w:rPr>
              <w:t>Nombre de SOPs et d’outils mis en place et qui intègrent les questions de genre</w:t>
            </w:r>
          </w:p>
        </w:tc>
        <w:tc>
          <w:tcPr>
            <w:tcW w:w="552" w:type="pct"/>
            <w:shd w:val="clear" w:color="auto" w:fill="auto"/>
            <w:vAlign w:val="center"/>
          </w:tcPr>
          <w:p w14:paraId="4C5AAF2C"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4DFF0041"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4F53276E" w14:textId="77777777" w:rsidTr="0020372B">
        <w:trPr>
          <w:trHeight w:val="458"/>
        </w:trPr>
        <w:tc>
          <w:tcPr>
            <w:tcW w:w="1553" w:type="pct"/>
            <w:vMerge/>
            <w:shd w:val="clear" w:color="auto" w:fill="auto"/>
          </w:tcPr>
          <w:p w14:paraId="4B44E236"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CA70F5B"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Ind2.3.2.</w:t>
            </w:r>
            <w:r w:rsidRPr="00090E35">
              <w:rPr>
                <w:rFonts w:cs="Tahoma"/>
                <w:sz w:val="20"/>
                <w:szCs w:val="20"/>
              </w:rPr>
              <w:t xml:space="preserve"> </w:t>
            </w:r>
            <w:r w:rsidRPr="00090E35">
              <w:rPr>
                <w:sz w:val="20"/>
                <w:szCs w:val="20"/>
              </w:rPr>
              <w:t>Nombre des mesures ou actions prises par chaque mécanisme pour protéger les droits des femmes et promouvoir le genre</w:t>
            </w:r>
          </w:p>
        </w:tc>
        <w:tc>
          <w:tcPr>
            <w:tcW w:w="552" w:type="pct"/>
            <w:shd w:val="clear" w:color="auto" w:fill="auto"/>
            <w:vAlign w:val="center"/>
          </w:tcPr>
          <w:p w14:paraId="2004D27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40A6F0C" w14:textId="77777777" w:rsidR="00337E79" w:rsidRPr="00090E35" w:rsidRDefault="00337E79" w:rsidP="0020372B">
            <w:pPr>
              <w:spacing w:before="0" w:after="0" w:line="276" w:lineRule="auto"/>
              <w:jc w:val="left"/>
              <w:rPr>
                <w:bCs/>
                <w:sz w:val="20"/>
                <w:szCs w:val="20"/>
              </w:rPr>
            </w:pPr>
            <w:r w:rsidRPr="00090E35">
              <w:rPr>
                <w:bCs/>
                <w:sz w:val="20"/>
                <w:szCs w:val="20"/>
              </w:rPr>
              <w:t xml:space="preserve">6 </w:t>
            </w:r>
          </w:p>
        </w:tc>
      </w:tr>
      <w:tr w:rsidR="00337E79" w:rsidRPr="00090E35" w14:paraId="15E8ED87" w14:textId="77777777" w:rsidTr="0020372B">
        <w:trPr>
          <w:trHeight w:val="458"/>
        </w:trPr>
        <w:tc>
          <w:tcPr>
            <w:tcW w:w="1553" w:type="pct"/>
            <w:vMerge w:val="restart"/>
            <w:shd w:val="clear" w:color="auto" w:fill="auto"/>
          </w:tcPr>
          <w:p w14:paraId="441C7B68"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2.4</w:t>
            </w:r>
          </w:p>
          <w:p w14:paraId="13B71376" w14:textId="77777777" w:rsidR="00337E79" w:rsidRPr="00090E35" w:rsidRDefault="00337E79" w:rsidP="0020372B">
            <w:pPr>
              <w:spacing w:before="0" w:after="0" w:line="276" w:lineRule="auto"/>
              <w:rPr>
                <w:rFonts w:cs="Tahoma"/>
                <w:sz w:val="20"/>
                <w:szCs w:val="20"/>
              </w:rPr>
            </w:pPr>
            <w:r w:rsidRPr="00090E35">
              <w:rPr>
                <w:rFonts w:cs="Tahoma"/>
                <w:sz w:val="20"/>
                <w:szCs w:val="20"/>
              </w:rPr>
              <w:t>Deux cadres de dialogue entre les FDS, les acteurs de la chaîne pénale, les communautés et les organisations de femmes sont promus</w:t>
            </w:r>
          </w:p>
        </w:tc>
        <w:tc>
          <w:tcPr>
            <w:tcW w:w="1956" w:type="pct"/>
            <w:shd w:val="clear" w:color="auto" w:fill="auto"/>
            <w:vAlign w:val="center"/>
          </w:tcPr>
          <w:p w14:paraId="71723EB3" w14:textId="77777777" w:rsidR="00337E79" w:rsidRPr="00090E35" w:rsidRDefault="00337E79" w:rsidP="0020372B">
            <w:pPr>
              <w:spacing w:before="0" w:after="0" w:line="276" w:lineRule="auto"/>
              <w:jc w:val="left"/>
              <w:rPr>
                <w:rFonts w:cs="Tahoma"/>
                <w:b/>
                <w:bCs/>
                <w:sz w:val="20"/>
                <w:szCs w:val="20"/>
              </w:rPr>
            </w:pPr>
            <w:r w:rsidRPr="00090E35">
              <w:rPr>
                <w:rFonts w:cs="Tahoma"/>
                <w:b/>
                <w:bCs/>
                <w:sz w:val="20"/>
                <w:szCs w:val="20"/>
              </w:rPr>
              <w:t xml:space="preserve">Ind 2.4.1. </w:t>
            </w:r>
            <w:r w:rsidRPr="00090E35">
              <w:rPr>
                <w:rFonts w:cs="Tahoma"/>
                <w:sz w:val="20"/>
                <w:szCs w:val="20"/>
              </w:rPr>
              <w:t>Nombre d’initiatives communes réalisées en faveur des droits des femmes</w:t>
            </w:r>
          </w:p>
        </w:tc>
        <w:tc>
          <w:tcPr>
            <w:tcW w:w="552" w:type="pct"/>
            <w:shd w:val="clear" w:color="auto" w:fill="auto"/>
            <w:vAlign w:val="center"/>
          </w:tcPr>
          <w:p w14:paraId="46DC5901"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E4F5E7F"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58DDAD7A" w14:textId="77777777" w:rsidTr="0020372B">
        <w:trPr>
          <w:trHeight w:val="458"/>
        </w:trPr>
        <w:tc>
          <w:tcPr>
            <w:tcW w:w="1553" w:type="pct"/>
            <w:vMerge/>
            <w:shd w:val="clear" w:color="auto" w:fill="auto"/>
          </w:tcPr>
          <w:p w14:paraId="23ED2125" w14:textId="77777777" w:rsidR="00337E79" w:rsidRPr="00090E35" w:rsidRDefault="00337E79" w:rsidP="0020372B">
            <w:pPr>
              <w:spacing w:before="0" w:after="0" w:line="276" w:lineRule="auto"/>
              <w:rPr>
                <w:rFonts w:cs="Tahoma"/>
                <w:b/>
                <w:bCs/>
                <w:sz w:val="20"/>
                <w:szCs w:val="20"/>
              </w:rPr>
            </w:pPr>
          </w:p>
        </w:tc>
        <w:tc>
          <w:tcPr>
            <w:tcW w:w="1956" w:type="pct"/>
            <w:shd w:val="clear" w:color="auto" w:fill="auto"/>
            <w:vAlign w:val="center"/>
          </w:tcPr>
          <w:p w14:paraId="5B1D5EC2" w14:textId="77777777" w:rsidR="00337E79" w:rsidRPr="00090E35" w:rsidRDefault="00337E79" w:rsidP="0020372B">
            <w:pPr>
              <w:spacing w:before="0" w:after="0" w:line="276" w:lineRule="auto"/>
              <w:jc w:val="left"/>
              <w:rPr>
                <w:rFonts w:cs="Tahoma"/>
                <w:b/>
                <w:bCs/>
                <w:sz w:val="20"/>
                <w:szCs w:val="20"/>
              </w:rPr>
            </w:pPr>
            <w:r w:rsidRPr="00090E35">
              <w:rPr>
                <w:rFonts w:cs="Tahoma"/>
                <w:b/>
                <w:bCs/>
                <w:sz w:val="20"/>
                <w:szCs w:val="20"/>
              </w:rPr>
              <w:t xml:space="preserve">Ind 2.4.2. </w:t>
            </w:r>
            <w:r w:rsidRPr="00090E35">
              <w:rPr>
                <w:rFonts w:cs="Tahoma"/>
                <w:sz w:val="20"/>
                <w:szCs w:val="20"/>
              </w:rPr>
              <w:t>Nombre de documents engageant la collaboration entre les 3 parties et transfrontalière</w:t>
            </w:r>
          </w:p>
        </w:tc>
        <w:tc>
          <w:tcPr>
            <w:tcW w:w="552" w:type="pct"/>
            <w:shd w:val="clear" w:color="auto" w:fill="auto"/>
            <w:vAlign w:val="center"/>
          </w:tcPr>
          <w:p w14:paraId="10C91BE9"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E406E8C"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7F8F877C" w14:textId="77777777" w:rsidTr="0020372B">
        <w:trPr>
          <w:trHeight w:val="458"/>
        </w:trPr>
        <w:tc>
          <w:tcPr>
            <w:tcW w:w="1553" w:type="pct"/>
            <w:vMerge w:val="restart"/>
            <w:shd w:val="clear" w:color="auto" w:fill="DEEAF6" w:themeFill="accent1" w:themeFillTint="33"/>
          </w:tcPr>
          <w:p w14:paraId="4B54F923"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3</w:t>
            </w:r>
          </w:p>
          <w:p w14:paraId="15E68910" w14:textId="77777777" w:rsidR="00337E79" w:rsidRPr="00090E35" w:rsidRDefault="00337E79" w:rsidP="0020372B">
            <w:pPr>
              <w:spacing w:before="0" w:after="0" w:line="276" w:lineRule="auto"/>
              <w:rPr>
                <w:rFonts w:cs="Tahoma"/>
                <w:b/>
                <w:sz w:val="20"/>
                <w:szCs w:val="20"/>
              </w:rPr>
            </w:pPr>
            <w:r w:rsidRPr="00090E35">
              <w:rPr>
                <w:sz w:val="20"/>
                <w:szCs w:val="20"/>
              </w:rPr>
              <w:t>Le partage d’expériences et de bonnes pratiques ainsi que le plaidoyer sur les thématiques du projet sont promus par une approche transfrontalière et sous régionale</w:t>
            </w:r>
          </w:p>
        </w:tc>
        <w:tc>
          <w:tcPr>
            <w:tcW w:w="1956" w:type="pct"/>
            <w:shd w:val="clear" w:color="auto" w:fill="DEEAF6" w:themeFill="accent1" w:themeFillTint="33"/>
            <w:vAlign w:val="center"/>
          </w:tcPr>
          <w:p w14:paraId="4824DA04" w14:textId="77777777" w:rsidR="00337E79" w:rsidRPr="00090E35" w:rsidRDefault="00337E79" w:rsidP="0020372B">
            <w:pPr>
              <w:spacing w:before="0" w:after="0" w:line="276" w:lineRule="auto"/>
              <w:rPr>
                <w:rFonts w:cs="Tahoma"/>
                <w:sz w:val="20"/>
                <w:szCs w:val="20"/>
              </w:rPr>
            </w:pPr>
            <w:r w:rsidRPr="00090E35">
              <w:rPr>
                <w:rFonts w:cs="Tahoma"/>
                <w:b/>
                <w:bCs/>
                <w:sz w:val="20"/>
                <w:szCs w:val="20"/>
              </w:rPr>
              <w:t>Ind3.a.</w:t>
            </w:r>
            <w:r w:rsidRPr="00090E35">
              <w:rPr>
                <w:rFonts w:cs="Tahoma"/>
                <w:sz w:val="20"/>
                <w:szCs w:val="20"/>
              </w:rPr>
              <w:t xml:space="preserve"> </w:t>
            </w:r>
            <w:r w:rsidRPr="00090E35">
              <w:rPr>
                <w:sz w:val="20"/>
                <w:szCs w:val="20"/>
              </w:rPr>
              <w:t>Construction d’un agenda commun sur les thématiques transfrontalières par les réseaux de femmes</w:t>
            </w:r>
          </w:p>
        </w:tc>
        <w:tc>
          <w:tcPr>
            <w:tcW w:w="552" w:type="pct"/>
            <w:shd w:val="clear" w:color="auto" w:fill="DEEAF6" w:themeFill="accent1" w:themeFillTint="33"/>
            <w:vAlign w:val="center"/>
          </w:tcPr>
          <w:p w14:paraId="48CCB5E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DEEAF6" w:themeFill="accent1" w:themeFillTint="33"/>
            <w:vAlign w:val="center"/>
          </w:tcPr>
          <w:p w14:paraId="706C2334" w14:textId="77777777" w:rsidR="00337E79" w:rsidRPr="00090E35" w:rsidRDefault="00337E79" w:rsidP="0020372B">
            <w:pPr>
              <w:spacing w:before="0" w:after="0" w:line="276" w:lineRule="auto"/>
              <w:jc w:val="left"/>
              <w:rPr>
                <w:bCs/>
                <w:sz w:val="20"/>
                <w:szCs w:val="20"/>
              </w:rPr>
            </w:pPr>
            <w:r w:rsidRPr="00090E35">
              <w:rPr>
                <w:bCs/>
                <w:sz w:val="20"/>
                <w:szCs w:val="20"/>
              </w:rPr>
              <w:t>1</w:t>
            </w:r>
          </w:p>
        </w:tc>
      </w:tr>
      <w:tr w:rsidR="00337E79" w:rsidRPr="00090E35" w14:paraId="43C6BDCD" w14:textId="77777777" w:rsidTr="0020372B">
        <w:trPr>
          <w:trHeight w:val="458"/>
        </w:trPr>
        <w:tc>
          <w:tcPr>
            <w:tcW w:w="1553" w:type="pct"/>
            <w:vMerge/>
            <w:shd w:val="clear" w:color="auto" w:fill="DEEAF6" w:themeFill="accent1" w:themeFillTint="33"/>
          </w:tcPr>
          <w:p w14:paraId="404D9B28"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7C4611CA" w14:textId="77777777" w:rsidR="00337E79" w:rsidRPr="00090E35" w:rsidRDefault="00337E79" w:rsidP="0020372B">
            <w:pPr>
              <w:spacing w:before="0" w:after="0" w:line="276" w:lineRule="auto"/>
              <w:rPr>
                <w:rFonts w:cs="Tahoma"/>
                <w:sz w:val="20"/>
                <w:szCs w:val="20"/>
              </w:rPr>
            </w:pPr>
            <w:r w:rsidRPr="00090E35">
              <w:rPr>
                <w:rFonts w:cs="Tahoma"/>
                <w:b/>
                <w:bCs/>
                <w:sz w:val="20"/>
                <w:szCs w:val="20"/>
              </w:rPr>
              <w:t>Ind3.b.</w:t>
            </w:r>
            <w:r w:rsidRPr="00090E35">
              <w:rPr>
                <w:rFonts w:cs="Tahoma"/>
                <w:sz w:val="20"/>
                <w:szCs w:val="20"/>
              </w:rPr>
              <w:t xml:space="preserve"> </w:t>
            </w:r>
            <w:r w:rsidRPr="00090E35">
              <w:rPr>
                <w:sz w:val="20"/>
                <w:szCs w:val="20"/>
              </w:rPr>
              <w:t>Appréciation de la pertinence des bonnes pratiques documentées par rapport aux besoins d’apprentissage</w:t>
            </w:r>
          </w:p>
        </w:tc>
        <w:tc>
          <w:tcPr>
            <w:tcW w:w="552" w:type="pct"/>
            <w:shd w:val="clear" w:color="auto" w:fill="DEEAF6" w:themeFill="accent1" w:themeFillTint="33"/>
            <w:vAlign w:val="center"/>
          </w:tcPr>
          <w:p w14:paraId="27255E6E" w14:textId="77777777" w:rsidR="00337E79" w:rsidRPr="00090E35" w:rsidRDefault="00337E79" w:rsidP="0020372B">
            <w:pPr>
              <w:spacing w:before="0" w:after="0" w:line="276" w:lineRule="auto"/>
              <w:jc w:val="left"/>
              <w:rPr>
                <w:bCs/>
                <w:sz w:val="20"/>
                <w:szCs w:val="20"/>
              </w:rPr>
            </w:pPr>
            <w:r w:rsidRPr="00090E35">
              <w:rPr>
                <w:bCs/>
                <w:sz w:val="20"/>
                <w:szCs w:val="20"/>
              </w:rPr>
              <w:t>A déterminer (diagnostics)</w:t>
            </w:r>
          </w:p>
        </w:tc>
        <w:tc>
          <w:tcPr>
            <w:tcW w:w="939" w:type="pct"/>
            <w:shd w:val="clear" w:color="auto" w:fill="DEEAF6" w:themeFill="accent1" w:themeFillTint="33"/>
            <w:vAlign w:val="center"/>
          </w:tcPr>
          <w:p w14:paraId="5FA4791A" w14:textId="77777777" w:rsidR="00337E79" w:rsidRPr="00090E35" w:rsidRDefault="00337E79" w:rsidP="0020372B">
            <w:pPr>
              <w:spacing w:before="0" w:after="0" w:line="276" w:lineRule="auto"/>
              <w:jc w:val="left"/>
              <w:rPr>
                <w:bCs/>
                <w:sz w:val="20"/>
                <w:szCs w:val="20"/>
              </w:rPr>
            </w:pPr>
            <w:r w:rsidRPr="00090E35">
              <w:rPr>
                <w:bCs/>
                <w:sz w:val="20"/>
                <w:szCs w:val="20"/>
              </w:rPr>
              <w:t xml:space="preserve">+ 2 par rapport à la situation de référence </w:t>
            </w:r>
          </w:p>
        </w:tc>
      </w:tr>
      <w:tr w:rsidR="00337E79" w:rsidRPr="00090E35" w14:paraId="21EE46FE" w14:textId="77777777" w:rsidTr="0020372B">
        <w:trPr>
          <w:trHeight w:val="458"/>
        </w:trPr>
        <w:tc>
          <w:tcPr>
            <w:tcW w:w="1553" w:type="pct"/>
            <w:vMerge w:val="restart"/>
            <w:shd w:val="clear" w:color="auto" w:fill="auto"/>
          </w:tcPr>
          <w:p w14:paraId="3A6C35C5"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3.1</w:t>
            </w:r>
          </w:p>
          <w:p w14:paraId="6457874D" w14:textId="77777777" w:rsidR="00337E79" w:rsidRPr="00090E35" w:rsidRDefault="00337E79" w:rsidP="0020372B">
            <w:pPr>
              <w:spacing w:before="0" w:after="0" w:line="276" w:lineRule="auto"/>
              <w:rPr>
                <w:rFonts w:cs="Tahoma"/>
                <w:sz w:val="20"/>
                <w:szCs w:val="20"/>
              </w:rPr>
            </w:pPr>
            <w:r w:rsidRPr="00090E35">
              <w:rPr>
                <w:sz w:val="20"/>
                <w:szCs w:val="20"/>
              </w:rPr>
              <w:t>Deux mécanismes de redevabilité sont opérationnels (missions FDS et acteurs de la chaîne pénale y compris l’intégration du genre)</w:t>
            </w:r>
          </w:p>
        </w:tc>
        <w:tc>
          <w:tcPr>
            <w:tcW w:w="1956" w:type="pct"/>
            <w:shd w:val="clear" w:color="auto" w:fill="auto"/>
            <w:vAlign w:val="center"/>
          </w:tcPr>
          <w:p w14:paraId="0CEE92C8"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Ind3.1.1.</w:t>
            </w:r>
            <w:r w:rsidRPr="00090E35">
              <w:rPr>
                <w:rFonts w:cs="Tahoma"/>
                <w:sz w:val="20"/>
                <w:szCs w:val="20"/>
              </w:rPr>
              <w:t xml:space="preserve"> </w:t>
            </w:r>
            <w:r w:rsidRPr="00090E35">
              <w:rPr>
                <w:sz w:val="20"/>
                <w:szCs w:val="20"/>
              </w:rPr>
              <w:t>Nombre de réseaux fonctionnels</w:t>
            </w:r>
          </w:p>
        </w:tc>
        <w:tc>
          <w:tcPr>
            <w:tcW w:w="552" w:type="pct"/>
            <w:shd w:val="clear" w:color="auto" w:fill="auto"/>
            <w:vAlign w:val="center"/>
          </w:tcPr>
          <w:p w14:paraId="3781B529"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60FA9B5" w14:textId="77777777" w:rsidR="00337E79" w:rsidRPr="00090E35" w:rsidRDefault="00337E79" w:rsidP="0020372B">
            <w:pPr>
              <w:spacing w:before="0" w:after="0" w:line="276" w:lineRule="auto"/>
              <w:jc w:val="left"/>
              <w:rPr>
                <w:bCs/>
                <w:sz w:val="20"/>
                <w:szCs w:val="20"/>
              </w:rPr>
            </w:pPr>
            <w:r w:rsidRPr="00090E35">
              <w:rPr>
                <w:bCs/>
                <w:sz w:val="20"/>
                <w:szCs w:val="20"/>
              </w:rPr>
              <w:t>3 (un dans chaque pays et un au niveau transfrontalier)</w:t>
            </w:r>
          </w:p>
        </w:tc>
      </w:tr>
      <w:tr w:rsidR="00337E79" w:rsidRPr="00090E35" w14:paraId="21FCD432" w14:textId="77777777" w:rsidTr="0020372B">
        <w:trPr>
          <w:trHeight w:val="458"/>
        </w:trPr>
        <w:tc>
          <w:tcPr>
            <w:tcW w:w="1553" w:type="pct"/>
            <w:vMerge/>
            <w:shd w:val="clear" w:color="auto" w:fill="auto"/>
          </w:tcPr>
          <w:p w14:paraId="4D2647A1" w14:textId="77777777" w:rsidR="00337E79" w:rsidRPr="00090E35" w:rsidRDefault="00337E79" w:rsidP="0020372B">
            <w:pPr>
              <w:spacing w:before="0" w:after="0" w:line="276" w:lineRule="auto"/>
              <w:rPr>
                <w:rFonts w:cs="Tahoma"/>
                <w:sz w:val="20"/>
                <w:szCs w:val="20"/>
              </w:rPr>
            </w:pPr>
          </w:p>
        </w:tc>
        <w:tc>
          <w:tcPr>
            <w:tcW w:w="1956" w:type="pct"/>
            <w:shd w:val="clear" w:color="auto" w:fill="auto"/>
            <w:vAlign w:val="center"/>
          </w:tcPr>
          <w:p w14:paraId="5096BEA8"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Ind3.1.2.</w:t>
            </w:r>
            <w:r w:rsidRPr="00090E35">
              <w:rPr>
                <w:rFonts w:cs="Tahoma"/>
                <w:sz w:val="20"/>
                <w:szCs w:val="20"/>
              </w:rPr>
              <w:t xml:space="preserve"> </w:t>
            </w:r>
            <w:r w:rsidRPr="00090E35">
              <w:rPr>
                <w:sz w:val="20"/>
                <w:szCs w:val="20"/>
              </w:rPr>
              <w:t>Nombre d’initiatives communes de plaidoyer initiées par les réseaux d’organisations de femmes aux niveaux transfrontalier et sous régional</w:t>
            </w:r>
          </w:p>
        </w:tc>
        <w:tc>
          <w:tcPr>
            <w:tcW w:w="552" w:type="pct"/>
            <w:shd w:val="clear" w:color="auto" w:fill="auto"/>
            <w:vAlign w:val="center"/>
          </w:tcPr>
          <w:p w14:paraId="421D24B3"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315AF8E" w14:textId="77777777" w:rsidR="00337E79" w:rsidRPr="00090E35" w:rsidRDefault="00337E79" w:rsidP="0020372B">
            <w:pPr>
              <w:spacing w:before="0" w:after="0" w:line="276" w:lineRule="auto"/>
              <w:jc w:val="left"/>
              <w:rPr>
                <w:bCs/>
                <w:sz w:val="20"/>
                <w:szCs w:val="20"/>
              </w:rPr>
            </w:pPr>
            <w:r w:rsidRPr="00090E35">
              <w:rPr>
                <w:bCs/>
                <w:sz w:val="20"/>
                <w:szCs w:val="20"/>
              </w:rPr>
              <w:t>3</w:t>
            </w:r>
          </w:p>
        </w:tc>
      </w:tr>
      <w:tr w:rsidR="00337E79" w:rsidRPr="00090E35" w14:paraId="005DC596" w14:textId="77777777" w:rsidTr="0020372B">
        <w:trPr>
          <w:trHeight w:val="458"/>
        </w:trPr>
        <w:tc>
          <w:tcPr>
            <w:tcW w:w="1553" w:type="pct"/>
            <w:vMerge w:val="restart"/>
            <w:shd w:val="clear" w:color="auto" w:fill="auto"/>
          </w:tcPr>
          <w:p w14:paraId="7B65548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3.2</w:t>
            </w:r>
          </w:p>
          <w:p w14:paraId="7967F0F7" w14:textId="77777777" w:rsidR="00337E79" w:rsidRPr="00090E35" w:rsidRDefault="00337E79" w:rsidP="0020372B">
            <w:pPr>
              <w:spacing w:before="0" w:after="0" w:line="276" w:lineRule="auto"/>
              <w:rPr>
                <w:rFonts w:cs="Tahoma"/>
                <w:sz w:val="20"/>
                <w:szCs w:val="20"/>
              </w:rPr>
            </w:pPr>
            <w:r w:rsidRPr="00090E35">
              <w:rPr>
                <w:sz w:val="20"/>
                <w:szCs w:val="20"/>
              </w:rPr>
              <w:t>De bonnes pratiques relatives à l’amélioration du climat de confiance entre les FDS, les acteurs de la chaîne pénale et les communautés sont documentées et partagées</w:t>
            </w:r>
          </w:p>
        </w:tc>
        <w:tc>
          <w:tcPr>
            <w:tcW w:w="1956" w:type="pct"/>
            <w:shd w:val="clear" w:color="auto" w:fill="auto"/>
            <w:vAlign w:val="center"/>
          </w:tcPr>
          <w:p w14:paraId="239429BF" w14:textId="77777777" w:rsidR="00337E79" w:rsidRPr="00090E35" w:rsidRDefault="00337E79" w:rsidP="0020372B">
            <w:pPr>
              <w:spacing w:before="0" w:after="0" w:line="276" w:lineRule="auto"/>
              <w:jc w:val="left"/>
              <w:rPr>
                <w:sz w:val="20"/>
                <w:szCs w:val="20"/>
              </w:rPr>
            </w:pPr>
            <w:r w:rsidRPr="00090E35">
              <w:rPr>
                <w:rFonts w:cs="Tahoma"/>
                <w:b/>
                <w:bCs/>
                <w:sz w:val="20"/>
                <w:szCs w:val="20"/>
              </w:rPr>
              <w:t>Ind3.2.1.</w:t>
            </w:r>
            <w:r w:rsidRPr="00090E35">
              <w:rPr>
                <w:rFonts w:cs="Tahoma"/>
                <w:sz w:val="20"/>
                <w:szCs w:val="20"/>
              </w:rPr>
              <w:t xml:space="preserve"> </w:t>
            </w:r>
            <w:r w:rsidRPr="00090E35">
              <w:rPr>
                <w:sz w:val="20"/>
                <w:szCs w:val="20"/>
              </w:rPr>
              <w:t>Nombre d’exercices de capitalisation conduits</w:t>
            </w:r>
          </w:p>
        </w:tc>
        <w:tc>
          <w:tcPr>
            <w:tcW w:w="552" w:type="pct"/>
            <w:shd w:val="clear" w:color="auto" w:fill="auto"/>
            <w:vAlign w:val="center"/>
          </w:tcPr>
          <w:p w14:paraId="06123B2A"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4746545" w14:textId="77777777" w:rsidR="00337E79" w:rsidRPr="00090E35" w:rsidRDefault="00337E79" w:rsidP="0020372B">
            <w:pPr>
              <w:spacing w:before="0" w:after="0" w:line="276" w:lineRule="auto"/>
              <w:jc w:val="left"/>
              <w:rPr>
                <w:bCs/>
                <w:sz w:val="20"/>
                <w:szCs w:val="20"/>
              </w:rPr>
            </w:pPr>
            <w:r w:rsidRPr="00090E35">
              <w:rPr>
                <w:bCs/>
                <w:sz w:val="20"/>
                <w:szCs w:val="20"/>
              </w:rPr>
              <w:t>3 (1 exercice de capitalisation de bonnes pratiques par pays et 1 au niveau transfrontalier)</w:t>
            </w:r>
          </w:p>
        </w:tc>
      </w:tr>
      <w:tr w:rsidR="00337E79" w:rsidRPr="00090E35" w14:paraId="67AD1928" w14:textId="77777777" w:rsidTr="0020372B">
        <w:trPr>
          <w:trHeight w:val="458"/>
        </w:trPr>
        <w:tc>
          <w:tcPr>
            <w:tcW w:w="1553" w:type="pct"/>
            <w:vMerge/>
            <w:shd w:val="clear" w:color="auto" w:fill="auto"/>
          </w:tcPr>
          <w:p w14:paraId="2871C3D7"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F72D95D" w14:textId="77777777" w:rsidR="00337E79" w:rsidRPr="00090E35" w:rsidRDefault="00337E79" w:rsidP="0020372B">
            <w:pPr>
              <w:spacing w:before="0" w:after="0" w:line="276" w:lineRule="auto"/>
              <w:jc w:val="left"/>
              <w:rPr>
                <w:sz w:val="20"/>
                <w:szCs w:val="20"/>
              </w:rPr>
            </w:pPr>
            <w:r w:rsidRPr="00090E35">
              <w:rPr>
                <w:rFonts w:cs="Tahoma"/>
                <w:b/>
                <w:bCs/>
                <w:sz w:val="20"/>
                <w:szCs w:val="20"/>
              </w:rPr>
              <w:t>Ind3.2.2.</w:t>
            </w:r>
            <w:r w:rsidRPr="00090E35">
              <w:rPr>
                <w:rFonts w:cs="Tahoma"/>
                <w:sz w:val="20"/>
                <w:szCs w:val="20"/>
              </w:rPr>
              <w:t xml:space="preserve"> </w:t>
            </w:r>
            <w:r w:rsidRPr="00090E35">
              <w:rPr>
                <w:sz w:val="20"/>
                <w:szCs w:val="20"/>
              </w:rPr>
              <w:t>Nombre de rapport de capitalisation diffusé</w:t>
            </w:r>
          </w:p>
        </w:tc>
        <w:tc>
          <w:tcPr>
            <w:tcW w:w="552" w:type="pct"/>
            <w:shd w:val="clear" w:color="auto" w:fill="auto"/>
            <w:vAlign w:val="center"/>
          </w:tcPr>
          <w:p w14:paraId="640986DF"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5C87FACB" w14:textId="77777777" w:rsidR="00337E79" w:rsidRPr="00090E35" w:rsidRDefault="00337E79" w:rsidP="0020372B">
            <w:pPr>
              <w:spacing w:before="0" w:after="0" w:line="276" w:lineRule="auto"/>
              <w:jc w:val="left"/>
              <w:rPr>
                <w:bCs/>
                <w:sz w:val="20"/>
                <w:szCs w:val="20"/>
              </w:rPr>
            </w:pPr>
            <w:r w:rsidRPr="00090E35">
              <w:rPr>
                <w:bCs/>
                <w:sz w:val="20"/>
                <w:szCs w:val="20"/>
              </w:rPr>
              <w:t>1</w:t>
            </w:r>
          </w:p>
        </w:tc>
      </w:tr>
    </w:tbl>
    <w:p w14:paraId="7D1A8F58" w14:textId="70C224C8" w:rsidR="00090E35" w:rsidRDefault="00090E35" w:rsidP="00A05B38">
      <w:pPr>
        <w:tabs>
          <w:tab w:val="left" w:pos="2214"/>
        </w:tabs>
        <w:rPr>
          <w:sz w:val="20"/>
          <w:szCs w:val="20"/>
        </w:rPr>
      </w:pPr>
    </w:p>
    <w:p w14:paraId="630A085C" w14:textId="26189E52" w:rsidR="000466ED" w:rsidRDefault="000466ED" w:rsidP="003A3323">
      <w:pPr>
        <w:pStyle w:val="Titre2"/>
        <w:numPr>
          <w:ilvl w:val="0"/>
          <w:numId w:val="0"/>
        </w:numPr>
        <w:ind w:left="720" w:hanging="720"/>
        <w:rPr>
          <w:sz w:val="20"/>
          <w:szCs w:val="20"/>
        </w:rPr>
      </w:pPr>
      <w:bookmarkStart w:id="1003" w:name="_Toc95451883"/>
      <w:r>
        <w:t xml:space="preserve">Annexe </w:t>
      </w:r>
      <w:r w:rsidR="006E0364">
        <w:t>4</w:t>
      </w:r>
      <w:r>
        <w:t xml:space="preserve"> : </w:t>
      </w:r>
      <w:r w:rsidRPr="00017021">
        <w:t>Analyse des parties prenantes de l'évaluation</w:t>
      </w:r>
      <w:bookmarkEnd w:id="1003"/>
    </w:p>
    <w:tbl>
      <w:tblPr>
        <w:tblW w:w="14060" w:type="dxa"/>
        <w:tblInd w:w="-5" w:type="dxa"/>
        <w:tblCellMar>
          <w:left w:w="70" w:type="dxa"/>
          <w:right w:w="70" w:type="dxa"/>
        </w:tblCellMar>
        <w:tblLook w:val="04A0" w:firstRow="1" w:lastRow="0" w:firstColumn="1" w:lastColumn="0" w:noHBand="0" w:noVBand="1"/>
      </w:tblPr>
      <w:tblGrid>
        <w:gridCol w:w="2155"/>
        <w:gridCol w:w="2835"/>
        <w:gridCol w:w="2617"/>
        <w:gridCol w:w="3402"/>
        <w:gridCol w:w="1984"/>
        <w:gridCol w:w="1016"/>
        <w:gridCol w:w="51"/>
      </w:tblGrid>
      <w:tr w:rsidR="00C62F7E" w:rsidRPr="00A45C41" w14:paraId="6D9EDD51" w14:textId="77777777" w:rsidTr="00A40F72">
        <w:trPr>
          <w:gridAfter w:val="1"/>
          <w:wAfter w:w="75" w:type="dxa"/>
          <w:trHeight w:val="570"/>
          <w:tblHeader/>
        </w:trPr>
        <w:tc>
          <w:tcPr>
            <w:tcW w:w="2203" w:type="dxa"/>
            <w:tcBorders>
              <w:top w:val="single" w:sz="4" w:space="0" w:color="0070C0"/>
              <w:left w:val="single" w:sz="4" w:space="0" w:color="0070C0"/>
              <w:bottom w:val="single" w:sz="4" w:space="0" w:color="0070C0"/>
              <w:right w:val="single" w:sz="4" w:space="0" w:color="0070C0"/>
            </w:tcBorders>
            <w:shd w:val="clear" w:color="auto" w:fill="BFBFBF"/>
            <w:vAlign w:val="center"/>
            <w:hideMark/>
          </w:tcPr>
          <w:p w14:paraId="174C95A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Qui (Acteurs) </w:t>
            </w:r>
          </w:p>
        </w:tc>
        <w:tc>
          <w:tcPr>
            <w:tcW w:w="2835" w:type="dxa"/>
            <w:tcBorders>
              <w:top w:val="single" w:sz="4" w:space="0" w:color="0070C0"/>
              <w:left w:val="nil"/>
              <w:bottom w:val="single" w:sz="4" w:space="0" w:color="0070C0"/>
              <w:right w:val="single" w:sz="4" w:space="0" w:color="0070C0"/>
            </w:tcBorders>
            <w:shd w:val="clear" w:color="auto" w:fill="BFBFBF"/>
            <w:vAlign w:val="center"/>
            <w:hideMark/>
          </w:tcPr>
          <w:p w14:paraId="7016435E"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Rôle dans l'intervention</w:t>
            </w:r>
          </w:p>
        </w:tc>
        <w:tc>
          <w:tcPr>
            <w:tcW w:w="2617" w:type="dxa"/>
            <w:tcBorders>
              <w:top w:val="single" w:sz="4" w:space="0" w:color="0070C0"/>
              <w:left w:val="nil"/>
              <w:bottom w:val="single" w:sz="4" w:space="0" w:color="0070C0"/>
              <w:right w:val="single" w:sz="4" w:space="0" w:color="0070C0"/>
            </w:tcBorders>
            <w:shd w:val="clear" w:color="auto" w:fill="BFBFBF"/>
            <w:vAlign w:val="center"/>
            <w:hideMark/>
          </w:tcPr>
          <w:p w14:paraId="2123583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Pourquoi </w:t>
            </w:r>
          </w:p>
        </w:tc>
        <w:tc>
          <w:tcPr>
            <w:tcW w:w="3402" w:type="dxa"/>
            <w:tcBorders>
              <w:top w:val="single" w:sz="4" w:space="0" w:color="0070C0"/>
              <w:left w:val="nil"/>
              <w:bottom w:val="single" w:sz="4" w:space="0" w:color="0070C0"/>
              <w:right w:val="single" w:sz="4" w:space="0" w:color="0070C0"/>
            </w:tcBorders>
            <w:shd w:val="clear" w:color="auto" w:fill="BFBFBF"/>
            <w:vAlign w:val="center"/>
            <w:hideMark/>
          </w:tcPr>
          <w:p w14:paraId="63FC4BE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Comment </w:t>
            </w:r>
          </w:p>
        </w:tc>
        <w:tc>
          <w:tcPr>
            <w:tcW w:w="1984" w:type="dxa"/>
            <w:tcBorders>
              <w:top w:val="single" w:sz="4" w:space="0" w:color="0070C0"/>
              <w:left w:val="nil"/>
              <w:bottom w:val="single" w:sz="4" w:space="0" w:color="0070C0"/>
              <w:right w:val="single" w:sz="4" w:space="0" w:color="0070C0"/>
            </w:tcBorders>
            <w:shd w:val="clear" w:color="auto" w:fill="BFBFBF"/>
            <w:vAlign w:val="center"/>
            <w:hideMark/>
          </w:tcPr>
          <w:p w14:paraId="60F9153D"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Quand </w:t>
            </w:r>
          </w:p>
        </w:tc>
        <w:tc>
          <w:tcPr>
            <w:tcW w:w="1019" w:type="dxa"/>
            <w:tcBorders>
              <w:top w:val="single" w:sz="4" w:space="0" w:color="0070C0"/>
              <w:left w:val="nil"/>
              <w:bottom w:val="single" w:sz="4" w:space="0" w:color="0070C0"/>
              <w:right w:val="single" w:sz="4" w:space="0" w:color="0070C0"/>
            </w:tcBorders>
            <w:shd w:val="clear" w:color="auto" w:fill="BFBFBF"/>
            <w:vAlign w:val="center"/>
            <w:hideMark/>
          </w:tcPr>
          <w:p w14:paraId="4EB0BF11"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Priorité </w:t>
            </w:r>
          </w:p>
        </w:tc>
      </w:tr>
      <w:tr w:rsidR="00F01CB8" w:rsidRPr="00A45C41" w14:paraId="7D9CC25C" w14:textId="77777777" w:rsidTr="009E2DEE">
        <w:trPr>
          <w:trHeight w:val="1123"/>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029D6D15"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Bailleur (PBF)</w:t>
            </w:r>
          </w:p>
        </w:tc>
        <w:tc>
          <w:tcPr>
            <w:tcW w:w="2835" w:type="dxa"/>
            <w:tcBorders>
              <w:top w:val="nil"/>
              <w:left w:val="nil"/>
              <w:bottom w:val="single" w:sz="4" w:space="0" w:color="0070C0"/>
              <w:right w:val="single" w:sz="4" w:space="0" w:color="0070C0"/>
            </w:tcBorders>
            <w:shd w:val="clear" w:color="auto" w:fill="auto"/>
            <w:noWrap/>
            <w:vAlign w:val="center"/>
            <w:hideMark/>
          </w:tcPr>
          <w:p w14:paraId="6C6E6D7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Responsable du financement du projet</w:t>
            </w:r>
          </w:p>
          <w:p w14:paraId="636A0F80"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Appui technique et financier</w:t>
            </w:r>
          </w:p>
        </w:tc>
        <w:tc>
          <w:tcPr>
            <w:tcW w:w="2617" w:type="dxa"/>
            <w:tcBorders>
              <w:top w:val="nil"/>
              <w:left w:val="nil"/>
              <w:bottom w:val="single" w:sz="4" w:space="0" w:color="0070C0"/>
              <w:right w:val="single" w:sz="4" w:space="0" w:color="0070C0"/>
            </w:tcBorders>
            <w:shd w:val="clear" w:color="auto" w:fill="auto"/>
            <w:noWrap/>
            <w:vAlign w:val="center"/>
            <w:hideMark/>
          </w:tcPr>
          <w:p w14:paraId="76E184ED"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techniques et financières (appréciation sur l’efficience du projet)</w:t>
            </w:r>
          </w:p>
        </w:tc>
        <w:tc>
          <w:tcPr>
            <w:tcW w:w="3402" w:type="dxa"/>
            <w:tcBorders>
              <w:top w:val="nil"/>
              <w:left w:val="nil"/>
              <w:bottom w:val="single" w:sz="4" w:space="0" w:color="0070C0"/>
              <w:right w:val="single" w:sz="4" w:space="0" w:color="0070C0"/>
            </w:tcBorders>
            <w:shd w:val="clear" w:color="auto" w:fill="auto"/>
            <w:noWrap/>
            <w:vAlign w:val="center"/>
            <w:hideMark/>
          </w:tcPr>
          <w:p w14:paraId="44B579B9"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Collecte des données</w:t>
            </w:r>
          </w:p>
          <w:p w14:paraId="010B915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Validation des résultats</w:t>
            </w:r>
          </w:p>
          <w:p w14:paraId="33D375FF"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w:t>
            </w:r>
          </w:p>
        </w:tc>
        <w:tc>
          <w:tcPr>
            <w:tcW w:w="1984" w:type="dxa"/>
            <w:tcBorders>
              <w:top w:val="nil"/>
              <w:left w:val="nil"/>
              <w:bottom w:val="single" w:sz="4" w:space="0" w:color="0070C0"/>
              <w:right w:val="single" w:sz="4" w:space="0" w:color="0070C0"/>
            </w:tcBorders>
            <w:shd w:val="clear" w:color="auto" w:fill="auto"/>
            <w:noWrap/>
            <w:vAlign w:val="center"/>
            <w:hideMark/>
          </w:tcPr>
          <w:p w14:paraId="526284BD"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 : (Phases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288B287B"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26813E5F" w14:textId="77777777" w:rsidTr="009E2DEE">
        <w:trPr>
          <w:trHeight w:val="1124"/>
        </w:trPr>
        <w:tc>
          <w:tcPr>
            <w:tcW w:w="2203" w:type="dxa"/>
            <w:tcBorders>
              <w:top w:val="nil"/>
              <w:left w:val="single" w:sz="4" w:space="0" w:color="0070C0"/>
              <w:bottom w:val="single" w:sz="4" w:space="0" w:color="0070C0"/>
              <w:right w:val="single" w:sz="4" w:space="0" w:color="0070C0"/>
            </w:tcBorders>
            <w:shd w:val="clear" w:color="auto" w:fill="auto"/>
            <w:vAlign w:val="center"/>
          </w:tcPr>
          <w:p w14:paraId="01D92EC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Acteurs de mise en œuvre (ONU Femmes, ONUDC)</w:t>
            </w:r>
          </w:p>
        </w:tc>
        <w:tc>
          <w:tcPr>
            <w:tcW w:w="2835" w:type="dxa"/>
            <w:tcBorders>
              <w:top w:val="nil"/>
              <w:left w:val="nil"/>
              <w:bottom w:val="single" w:sz="4" w:space="0" w:color="0070C0"/>
              <w:right w:val="single" w:sz="4" w:space="0" w:color="0070C0"/>
            </w:tcBorders>
            <w:shd w:val="clear" w:color="auto" w:fill="auto"/>
            <w:noWrap/>
            <w:vAlign w:val="center"/>
            <w:hideMark/>
          </w:tcPr>
          <w:p w14:paraId="03E506D4"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Gestion financière et coordination technique du projet</w:t>
            </w:r>
          </w:p>
        </w:tc>
        <w:tc>
          <w:tcPr>
            <w:tcW w:w="2617" w:type="dxa"/>
            <w:tcBorders>
              <w:top w:val="nil"/>
              <w:left w:val="nil"/>
              <w:bottom w:val="single" w:sz="4" w:space="0" w:color="0070C0"/>
              <w:right w:val="single" w:sz="4" w:space="0" w:color="0070C0"/>
            </w:tcBorders>
            <w:shd w:val="clear" w:color="auto" w:fill="auto"/>
            <w:noWrap/>
            <w:vAlign w:val="center"/>
          </w:tcPr>
          <w:p w14:paraId="0443A7C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et pilotage de l’évaluation </w:t>
            </w:r>
          </w:p>
          <w:p w14:paraId="3287F63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techniques et financières (appréciation sur les critères d’évaluation et les leçons apprises) </w:t>
            </w:r>
          </w:p>
        </w:tc>
        <w:tc>
          <w:tcPr>
            <w:tcW w:w="3402" w:type="dxa"/>
            <w:tcBorders>
              <w:top w:val="nil"/>
              <w:left w:val="nil"/>
              <w:bottom w:val="single" w:sz="4" w:space="0" w:color="0070C0"/>
              <w:right w:val="single" w:sz="4" w:space="0" w:color="0070C0"/>
            </w:tcBorders>
            <w:shd w:val="clear" w:color="auto" w:fill="auto"/>
            <w:noWrap/>
            <w:vAlign w:val="center"/>
            <w:hideMark/>
          </w:tcPr>
          <w:p w14:paraId="24FE704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et facilitation de l’évaluation, </w:t>
            </w:r>
          </w:p>
          <w:p w14:paraId="50256EB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Collecte d’informations amendement, validation, réunions virtuelles</w:t>
            </w:r>
            <w:r w:rsidRPr="00EA0321">
              <w:rPr>
                <w:rFonts w:eastAsia="Times New Roman" w:cs="Calibri"/>
                <w:color w:val="000000"/>
                <w:lang w:eastAsia="fr-FR"/>
              </w:rPr>
              <w:t>)</w:t>
            </w:r>
          </w:p>
          <w:p w14:paraId="47153B0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 et au Groupe de gestion</w:t>
            </w:r>
          </w:p>
        </w:tc>
        <w:tc>
          <w:tcPr>
            <w:tcW w:w="1984" w:type="dxa"/>
            <w:tcBorders>
              <w:top w:val="nil"/>
              <w:left w:val="nil"/>
              <w:bottom w:val="single" w:sz="4" w:space="0" w:color="0070C0"/>
              <w:right w:val="single" w:sz="4" w:space="0" w:color="0070C0"/>
            </w:tcBorders>
            <w:shd w:val="clear" w:color="auto" w:fill="auto"/>
            <w:noWrap/>
            <w:vAlign w:val="center"/>
            <w:hideMark/>
          </w:tcPr>
          <w:p w14:paraId="148709AA"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1B8A6B1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283C25C2"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417F8657" w14:textId="77777777" w:rsidTr="009E2DEE">
        <w:trPr>
          <w:trHeight w:val="538"/>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47429382" w14:textId="77777777" w:rsidR="000466ED" w:rsidRPr="00510223"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ONG locales partenaires de mise en œuvre </w:t>
            </w:r>
          </w:p>
        </w:tc>
        <w:tc>
          <w:tcPr>
            <w:tcW w:w="2835" w:type="dxa"/>
            <w:tcBorders>
              <w:top w:val="nil"/>
              <w:left w:val="nil"/>
              <w:bottom w:val="single" w:sz="4" w:space="0" w:color="0070C0"/>
              <w:right w:val="single" w:sz="4" w:space="0" w:color="0070C0"/>
            </w:tcBorders>
            <w:shd w:val="clear" w:color="auto" w:fill="auto"/>
            <w:noWrap/>
            <w:vAlign w:val="center"/>
            <w:hideMark/>
          </w:tcPr>
          <w:p w14:paraId="6021C9A0"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Mise en œuvre opérationnelle des activités</w:t>
            </w:r>
          </w:p>
        </w:tc>
        <w:tc>
          <w:tcPr>
            <w:tcW w:w="2617" w:type="dxa"/>
            <w:tcBorders>
              <w:top w:val="nil"/>
              <w:left w:val="nil"/>
              <w:bottom w:val="single" w:sz="4" w:space="0" w:color="0070C0"/>
              <w:right w:val="single" w:sz="4" w:space="0" w:color="0070C0"/>
            </w:tcBorders>
            <w:shd w:val="clear" w:color="auto" w:fill="auto"/>
            <w:noWrap/>
            <w:vAlign w:val="center"/>
            <w:hideMark/>
          </w:tcPr>
          <w:p w14:paraId="0B40F271"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techniques (appréciation sur les critères d’évaluation et les leçons apprises)</w:t>
            </w:r>
          </w:p>
        </w:tc>
        <w:tc>
          <w:tcPr>
            <w:tcW w:w="3402" w:type="dxa"/>
            <w:tcBorders>
              <w:top w:val="nil"/>
              <w:left w:val="nil"/>
              <w:bottom w:val="single" w:sz="4" w:space="0" w:color="0070C0"/>
              <w:right w:val="single" w:sz="4" w:space="0" w:color="0070C0"/>
            </w:tcBorders>
            <w:shd w:val="clear" w:color="auto" w:fill="auto"/>
            <w:noWrap/>
            <w:vAlign w:val="center"/>
            <w:hideMark/>
          </w:tcPr>
          <w:p w14:paraId="55A1A16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Partage de la documentation et des informations pertinentes (base de données des bénéficiaires) ; </w:t>
            </w:r>
          </w:p>
          <w:p w14:paraId="34BAE4A2" w14:textId="75647355"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Cibles de collecte à toucher (Entretiens virtuels)</w:t>
            </w:r>
            <w:r w:rsidR="007068E8">
              <w:rPr>
                <w:rFonts w:eastAsia="Times New Roman" w:cs="Calibri"/>
                <w:color w:val="000000"/>
                <w:lang w:eastAsia="fr-FR"/>
              </w:rPr>
              <w:t xml:space="preserve"> </w:t>
            </w:r>
          </w:p>
          <w:p w14:paraId="00E1F55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Validation des résultats </w:t>
            </w:r>
          </w:p>
          <w:p w14:paraId="778EDAC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w:t>
            </w:r>
          </w:p>
        </w:tc>
        <w:tc>
          <w:tcPr>
            <w:tcW w:w="1984" w:type="dxa"/>
            <w:tcBorders>
              <w:top w:val="nil"/>
              <w:left w:val="nil"/>
              <w:bottom w:val="single" w:sz="4" w:space="0" w:color="0070C0"/>
              <w:right w:val="single" w:sz="4" w:space="0" w:color="0070C0"/>
            </w:tcBorders>
            <w:shd w:val="clear" w:color="auto" w:fill="auto"/>
            <w:noWrap/>
            <w:vAlign w:val="center"/>
            <w:hideMark/>
          </w:tcPr>
          <w:p w14:paraId="3E6D11DD"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7953286B"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0642889C"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4B0F2774" w14:textId="77777777" w:rsidTr="009E2DEE">
        <w:trPr>
          <w:trHeight w:val="60"/>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54517DE3"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Partie gouvernementale (ministères et services déconcentrés, collectivités territoriales, institutions)</w:t>
            </w:r>
          </w:p>
        </w:tc>
        <w:tc>
          <w:tcPr>
            <w:tcW w:w="2835" w:type="dxa"/>
            <w:tcBorders>
              <w:top w:val="nil"/>
              <w:left w:val="nil"/>
              <w:bottom w:val="single" w:sz="4" w:space="0" w:color="0070C0"/>
              <w:right w:val="single" w:sz="4" w:space="0" w:color="0070C0"/>
            </w:tcBorders>
            <w:shd w:val="clear" w:color="auto" w:fill="auto"/>
            <w:noWrap/>
            <w:vAlign w:val="center"/>
            <w:hideMark/>
          </w:tcPr>
          <w:p w14:paraId="555755D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sur les priorités nationales et soutien au plaidoyer </w:t>
            </w:r>
          </w:p>
          <w:p w14:paraId="1284F3E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hideMark/>
          </w:tcPr>
          <w:p w14:paraId="118E5DE8"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(connaissance du contexte, appréciation sur les critères de pertinence, d’impacts/effets et de durabilité)</w:t>
            </w:r>
          </w:p>
          <w:p w14:paraId="1DB55776" w14:textId="67C9C4F6"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Pouvoir de </w:t>
            </w:r>
            <w:r w:rsidRPr="00A45C41">
              <w:rPr>
                <w:rFonts w:eastAsia="Times New Roman" w:cs="Calibri"/>
                <w:color w:val="000000"/>
                <w:lang w:eastAsia="fr-FR"/>
              </w:rPr>
              <w:t>décis</w:t>
            </w:r>
            <w:r>
              <w:rPr>
                <w:rFonts w:eastAsia="Times New Roman" w:cs="Calibri"/>
                <w:color w:val="000000"/>
                <w:lang w:eastAsia="fr-FR"/>
              </w:rPr>
              <w:t>ion sur les recommandations</w:t>
            </w:r>
            <w:r w:rsidR="007068E8">
              <w:rPr>
                <w:rFonts w:eastAsia="Times New Roman" w:cs="Calibri"/>
                <w:color w:val="000000"/>
                <w:lang w:eastAsia="fr-FR"/>
              </w:rPr>
              <w:t xml:space="preserve"> </w:t>
            </w:r>
          </w:p>
        </w:tc>
        <w:tc>
          <w:tcPr>
            <w:tcW w:w="3402" w:type="dxa"/>
            <w:tcBorders>
              <w:top w:val="nil"/>
              <w:left w:val="nil"/>
              <w:bottom w:val="single" w:sz="4" w:space="0" w:color="0070C0"/>
              <w:right w:val="single" w:sz="4" w:space="0" w:color="0070C0"/>
            </w:tcBorders>
            <w:shd w:val="clear" w:color="auto" w:fill="auto"/>
            <w:noWrap/>
            <w:vAlign w:val="center"/>
            <w:hideMark/>
          </w:tcPr>
          <w:p w14:paraId="50E91CF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Partage de documents et informations ;</w:t>
            </w:r>
          </w:p>
          <w:p w14:paraId="1A08F411" w14:textId="109791F3"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Cibles de collecte à toucher (Entretiens virtuels)</w:t>
            </w:r>
            <w:r w:rsidR="007068E8">
              <w:rPr>
                <w:rFonts w:eastAsia="Times New Roman" w:cs="Calibri"/>
                <w:color w:val="000000"/>
                <w:lang w:eastAsia="fr-FR"/>
              </w:rPr>
              <w:t xml:space="preserve"> </w:t>
            </w:r>
          </w:p>
          <w:p w14:paraId="6487FCD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Validation des résultats</w:t>
            </w:r>
          </w:p>
          <w:p w14:paraId="4FFB23E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Contribution au Groupe de Référence </w:t>
            </w:r>
          </w:p>
          <w:p w14:paraId="709C9141" w14:textId="77777777" w:rsidR="000466ED" w:rsidRPr="00A45C41" w:rsidRDefault="000466ED" w:rsidP="009E2DEE">
            <w:pPr>
              <w:spacing w:before="0" w:after="0" w:line="240" w:lineRule="auto"/>
              <w:jc w:val="left"/>
              <w:rPr>
                <w:rFonts w:eastAsia="Times New Roman" w:cs="Calibri"/>
                <w:color w:val="000000"/>
                <w:lang w:eastAsia="fr-FR"/>
              </w:rPr>
            </w:pPr>
          </w:p>
        </w:tc>
        <w:tc>
          <w:tcPr>
            <w:tcW w:w="1984" w:type="dxa"/>
            <w:tcBorders>
              <w:top w:val="nil"/>
              <w:left w:val="nil"/>
              <w:bottom w:val="single" w:sz="4" w:space="0" w:color="0070C0"/>
              <w:right w:val="single" w:sz="4" w:space="0" w:color="0070C0"/>
            </w:tcBorders>
            <w:shd w:val="clear" w:color="auto" w:fill="auto"/>
            <w:noWrap/>
            <w:vAlign w:val="center"/>
            <w:hideMark/>
          </w:tcPr>
          <w:p w14:paraId="417D69F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03580706"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Phases de Conception initiale, Collecte des données et de validation des résultats </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63122B2C"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 xml:space="preserve">Haute </w:t>
            </w:r>
          </w:p>
        </w:tc>
      </w:tr>
      <w:tr w:rsidR="00F01CB8" w:rsidRPr="00A45C41" w14:paraId="7CA87810" w14:textId="77777777" w:rsidTr="009E2DEE">
        <w:trPr>
          <w:trHeight w:val="60"/>
        </w:trPr>
        <w:tc>
          <w:tcPr>
            <w:tcW w:w="2203" w:type="dxa"/>
            <w:tcBorders>
              <w:top w:val="nil"/>
              <w:left w:val="single" w:sz="4" w:space="0" w:color="0070C0"/>
              <w:bottom w:val="single" w:sz="4" w:space="0" w:color="0070C0"/>
              <w:right w:val="single" w:sz="4" w:space="0" w:color="0070C0"/>
            </w:tcBorders>
            <w:shd w:val="clear" w:color="auto" w:fill="auto"/>
            <w:vAlign w:val="center"/>
          </w:tcPr>
          <w:p w14:paraId="1F69594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Organisations de la société civile </w:t>
            </w:r>
            <w:r w:rsidRPr="004E4D44">
              <w:t xml:space="preserve">œuvrant en matière de paix, </w:t>
            </w:r>
            <w:r>
              <w:t xml:space="preserve">de </w:t>
            </w:r>
            <w:r w:rsidRPr="004E4D44">
              <w:t xml:space="preserve">sécurité et </w:t>
            </w:r>
            <w:r>
              <w:t xml:space="preserve">de </w:t>
            </w:r>
            <w:r w:rsidRPr="004E4D44">
              <w:t>participation des femmes</w:t>
            </w:r>
          </w:p>
        </w:tc>
        <w:tc>
          <w:tcPr>
            <w:tcW w:w="2835" w:type="dxa"/>
            <w:tcBorders>
              <w:top w:val="nil"/>
              <w:left w:val="nil"/>
              <w:bottom w:val="single" w:sz="4" w:space="0" w:color="0070C0"/>
              <w:right w:val="single" w:sz="4" w:space="0" w:color="0070C0"/>
            </w:tcBorders>
            <w:shd w:val="clear" w:color="auto" w:fill="auto"/>
            <w:noWrap/>
            <w:vAlign w:val="center"/>
          </w:tcPr>
          <w:p w14:paraId="2792748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Rôle de mobilisation sociale &amp; sensibilisation 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tcPr>
          <w:p w14:paraId="388D04F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w:t>
            </w:r>
          </w:p>
        </w:tc>
        <w:tc>
          <w:tcPr>
            <w:tcW w:w="3402" w:type="dxa"/>
            <w:tcBorders>
              <w:top w:val="nil"/>
              <w:left w:val="nil"/>
              <w:bottom w:val="single" w:sz="4" w:space="0" w:color="0070C0"/>
              <w:right w:val="single" w:sz="4" w:space="0" w:color="0070C0"/>
            </w:tcBorders>
            <w:shd w:val="clear" w:color="auto" w:fill="auto"/>
            <w:noWrap/>
            <w:vAlign w:val="center"/>
          </w:tcPr>
          <w:p w14:paraId="1504016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55B66A17" w14:textId="632376DC"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(Enquête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tcPr>
          <w:p w14:paraId="5210CB7F"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tcPr>
          <w:p w14:paraId="695BAA7D"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2FFE0F42" w14:textId="77777777" w:rsidTr="009E2DEE">
        <w:trPr>
          <w:trHeight w:val="1650"/>
        </w:trPr>
        <w:tc>
          <w:tcPr>
            <w:tcW w:w="2203" w:type="dxa"/>
            <w:tcBorders>
              <w:top w:val="nil"/>
              <w:left w:val="single" w:sz="4" w:space="0" w:color="0070C0"/>
              <w:bottom w:val="single" w:sz="4" w:space="0" w:color="0070C0"/>
              <w:right w:val="single" w:sz="4" w:space="0" w:color="0070C0"/>
            </w:tcBorders>
            <w:shd w:val="clear" w:color="auto" w:fill="auto"/>
            <w:vAlign w:val="center"/>
          </w:tcPr>
          <w:p w14:paraId="66130B4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Acteurs communautaires</w:t>
            </w:r>
            <w:r w:rsidRPr="00202233">
              <w:rPr>
                <w:rFonts w:eastAsia="Times New Roman" w:cs="Calibri"/>
                <w:color w:val="000000"/>
                <w:sz w:val="20"/>
                <w:szCs w:val="20"/>
                <w:lang w:eastAsia="fr-FR"/>
              </w:rPr>
              <w:t xml:space="preserve"> </w:t>
            </w:r>
            <w:r>
              <w:rPr>
                <w:rFonts w:eastAsia="Times New Roman" w:cs="Calibri"/>
                <w:color w:val="000000"/>
                <w:sz w:val="20"/>
                <w:szCs w:val="20"/>
                <w:lang w:eastAsia="fr-FR"/>
              </w:rPr>
              <w:t>(</w:t>
            </w:r>
            <w:r w:rsidRPr="00202233">
              <w:rPr>
                <w:rFonts w:eastAsia="Times New Roman" w:cs="Calibri"/>
                <w:color w:val="000000"/>
                <w:sz w:val="20"/>
                <w:szCs w:val="20"/>
                <w:lang w:eastAsia="fr-FR"/>
              </w:rPr>
              <w:t>Chefs religieux et coutumiers, communicateurs traditionnels</w:t>
            </w:r>
            <w:r>
              <w:rPr>
                <w:rFonts w:eastAsia="Times New Roman" w:cs="Calibri"/>
                <w:color w:val="000000"/>
                <w:sz w:val="20"/>
                <w:szCs w:val="20"/>
                <w:lang w:eastAsia="fr-FR"/>
              </w:rPr>
              <w:t xml:space="preserve">, </w:t>
            </w:r>
            <w:r w:rsidRPr="00202233">
              <w:rPr>
                <w:rFonts w:eastAsia="Times New Roman" w:cs="Calibri"/>
                <w:color w:val="000000"/>
                <w:sz w:val="20"/>
                <w:szCs w:val="20"/>
                <w:lang w:eastAsia="fr-FR"/>
              </w:rPr>
              <w:t>; radios communautaires</w:t>
            </w:r>
            <w:r>
              <w:rPr>
                <w:rFonts w:eastAsia="Times New Roman" w:cs="Calibri"/>
                <w:color w:val="000000"/>
                <w:sz w:val="20"/>
                <w:szCs w:val="20"/>
                <w:lang w:eastAsia="fr-FR"/>
              </w:rPr>
              <w:t>)</w:t>
            </w:r>
            <w:r w:rsidRPr="00202233">
              <w:rPr>
                <w:rFonts w:eastAsia="Times New Roman" w:cs="Calibri"/>
                <w:color w:val="000000"/>
                <w:sz w:val="20"/>
                <w:szCs w:val="20"/>
                <w:lang w:eastAsia="fr-FR"/>
              </w:rPr>
              <w:t xml:space="preserve"> ; </w:t>
            </w:r>
          </w:p>
        </w:tc>
        <w:tc>
          <w:tcPr>
            <w:tcW w:w="2835" w:type="dxa"/>
            <w:tcBorders>
              <w:top w:val="nil"/>
              <w:left w:val="nil"/>
              <w:bottom w:val="single" w:sz="4" w:space="0" w:color="0070C0"/>
              <w:right w:val="single" w:sz="4" w:space="0" w:color="0070C0"/>
            </w:tcBorders>
            <w:shd w:val="clear" w:color="auto" w:fill="auto"/>
            <w:noWrap/>
            <w:vAlign w:val="center"/>
          </w:tcPr>
          <w:p w14:paraId="03A47A3D" w14:textId="77777777" w:rsidR="000466ED" w:rsidRDefault="000466ED" w:rsidP="009E2DEE">
            <w:pPr>
              <w:spacing w:before="0" w:after="0" w:line="240" w:lineRule="auto"/>
              <w:jc w:val="left"/>
              <w:rPr>
                <w:rFonts w:eastAsia="Times New Roman" w:cs="Calibri"/>
                <w:color w:val="000000"/>
                <w:lang w:eastAsia="fr-FR"/>
              </w:rPr>
            </w:pPr>
            <w:r w:rsidRPr="008B0D30">
              <w:rPr>
                <w:rFonts w:eastAsia="Times New Roman" w:cs="Calibri"/>
                <w:color w:val="000000"/>
                <w:lang w:eastAsia="fr-FR"/>
              </w:rPr>
              <w:t>Rôle d’influence et de diffusion de</w:t>
            </w:r>
            <w:r>
              <w:rPr>
                <w:rFonts w:eastAsia="Times New Roman" w:cs="Calibri"/>
                <w:color w:val="000000"/>
                <w:lang w:eastAsia="fr-FR"/>
              </w:rPr>
              <w:t>s m</w:t>
            </w:r>
            <w:r w:rsidRPr="008B0D30">
              <w:rPr>
                <w:rFonts w:eastAsia="Times New Roman" w:cs="Calibri"/>
                <w:color w:val="000000"/>
                <w:lang w:eastAsia="fr-FR"/>
              </w:rPr>
              <w:t>essages de paix</w:t>
            </w:r>
            <w:r>
              <w:rPr>
                <w:rFonts w:eastAsia="Times New Roman" w:cs="Calibri"/>
                <w:color w:val="000000"/>
                <w:lang w:eastAsia="fr-FR"/>
              </w:rPr>
              <w:t xml:space="preserve"> et de cohésion sociale </w:t>
            </w:r>
          </w:p>
          <w:p w14:paraId="57F228A9"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tcPr>
          <w:p w14:paraId="000EC592"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w:t>
            </w:r>
          </w:p>
        </w:tc>
        <w:tc>
          <w:tcPr>
            <w:tcW w:w="3402" w:type="dxa"/>
            <w:tcBorders>
              <w:top w:val="nil"/>
              <w:left w:val="nil"/>
              <w:bottom w:val="single" w:sz="4" w:space="0" w:color="0070C0"/>
              <w:right w:val="single" w:sz="4" w:space="0" w:color="0070C0"/>
            </w:tcBorders>
            <w:shd w:val="clear" w:color="auto" w:fill="auto"/>
            <w:noWrap/>
            <w:vAlign w:val="center"/>
          </w:tcPr>
          <w:p w14:paraId="51BE344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08E85127" w14:textId="5A1A975C"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(Entretiens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tcPr>
          <w:p w14:paraId="537DFF9C"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tcPr>
          <w:p w14:paraId="23C3F797"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67D18B17" w14:textId="77777777" w:rsidTr="009E2DEE">
        <w:trPr>
          <w:trHeight w:val="1612"/>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409C21AE" w14:textId="73096E39"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Populations cibles</w:t>
            </w:r>
            <w:r w:rsidR="007068E8">
              <w:rPr>
                <w:rFonts w:eastAsia="Times New Roman" w:cs="Calibri"/>
                <w:color w:val="000000"/>
                <w:lang w:eastAsia="fr-FR"/>
              </w:rPr>
              <w:t xml:space="preserve"> </w:t>
            </w:r>
          </w:p>
          <w:p w14:paraId="40C4EDB9"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(Communautés en général, femmes et jeunes en particulier)</w:t>
            </w:r>
          </w:p>
        </w:tc>
        <w:tc>
          <w:tcPr>
            <w:tcW w:w="2835" w:type="dxa"/>
            <w:tcBorders>
              <w:top w:val="nil"/>
              <w:left w:val="nil"/>
              <w:bottom w:val="single" w:sz="4" w:space="0" w:color="0070C0"/>
              <w:right w:val="single" w:sz="4" w:space="0" w:color="0070C0"/>
            </w:tcBorders>
            <w:shd w:val="clear" w:color="auto" w:fill="auto"/>
            <w:noWrap/>
            <w:vAlign w:val="center"/>
            <w:hideMark/>
          </w:tcPr>
          <w:p w14:paraId="5DE0A00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directs et indirects du projet </w:t>
            </w:r>
          </w:p>
        </w:tc>
        <w:tc>
          <w:tcPr>
            <w:tcW w:w="2617" w:type="dxa"/>
            <w:tcBorders>
              <w:top w:val="nil"/>
              <w:left w:val="nil"/>
              <w:bottom w:val="single" w:sz="4" w:space="0" w:color="0070C0"/>
              <w:right w:val="single" w:sz="4" w:space="0" w:color="0070C0"/>
            </w:tcBorders>
            <w:shd w:val="clear" w:color="auto" w:fill="auto"/>
            <w:noWrap/>
            <w:vAlign w:val="center"/>
            <w:hideMark/>
          </w:tcPr>
          <w:p w14:paraId="0D692EBA"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Appréciation sur l’impact/effets et la durabilité)</w:t>
            </w:r>
          </w:p>
        </w:tc>
        <w:tc>
          <w:tcPr>
            <w:tcW w:w="3402" w:type="dxa"/>
            <w:tcBorders>
              <w:top w:val="nil"/>
              <w:left w:val="nil"/>
              <w:bottom w:val="single" w:sz="4" w:space="0" w:color="0070C0"/>
              <w:right w:val="single" w:sz="4" w:space="0" w:color="0070C0"/>
            </w:tcBorders>
            <w:shd w:val="clear" w:color="auto" w:fill="auto"/>
            <w:noWrap/>
            <w:vAlign w:val="center"/>
            <w:hideMark/>
          </w:tcPr>
          <w:p w14:paraId="17324FCB"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002BD765" w14:textId="7C89FA14"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(Enquête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hideMark/>
          </w:tcPr>
          <w:p w14:paraId="2CF2FD75"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00F23B17"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bl>
    <w:p w14:paraId="25CF285F" w14:textId="77777777" w:rsidR="000466ED" w:rsidRDefault="000466ED" w:rsidP="00A05B38">
      <w:pPr>
        <w:tabs>
          <w:tab w:val="left" w:pos="2214"/>
        </w:tabs>
        <w:rPr>
          <w:sz w:val="20"/>
          <w:szCs w:val="20"/>
        </w:rPr>
      </w:pPr>
    </w:p>
    <w:p w14:paraId="30F44200" w14:textId="77777777" w:rsidR="00090E35" w:rsidRDefault="00090E35" w:rsidP="00A05B38">
      <w:pPr>
        <w:tabs>
          <w:tab w:val="left" w:pos="2214"/>
        </w:tabs>
        <w:rPr>
          <w:sz w:val="20"/>
          <w:szCs w:val="20"/>
        </w:rPr>
      </w:pPr>
    </w:p>
    <w:p w14:paraId="5C8B557A" w14:textId="50859D66" w:rsidR="00090E35" w:rsidRPr="00A05B38" w:rsidRDefault="00090E35" w:rsidP="00A05B38">
      <w:pPr>
        <w:tabs>
          <w:tab w:val="left" w:pos="2214"/>
        </w:tabs>
        <w:rPr>
          <w:sz w:val="20"/>
          <w:szCs w:val="20"/>
        </w:rPr>
        <w:sectPr w:rsidR="00090E35" w:rsidRPr="00A05B38" w:rsidSect="00952D95">
          <w:pgSz w:w="16838" w:h="11906" w:orient="landscape"/>
          <w:pgMar w:top="1418" w:right="1418" w:bottom="1418" w:left="1418" w:header="709" w:footer="709" w:gutter="0"/>
          <w:pgNumType w:fmt="upperRoman" w:start="1"/>
          <w:cols w:space="708"/>
          <w:titlePg/>
          <w:docGrid w:linePitch="360"/>
        </w:sectPr>
      </w:pPr>
    </w:p>
    <w:p w14:paraId="49BF0B30" w14:textId="58D20E5E" w:rsidR="003C242D" w:rsidRDefault="003C242D" w:rsidP="003A3323">
      <w:pPr>
        <w:pStyle w:val="Titre2"/>
        <w:numPr>
          <w:ilvl w:val="0"/>
          <w:numId w:val="0"/>
        </w:numPr>
        <w:ind w:left="720" w:hanging="720"/>
      </w:pPr>
      <w:bookmarkStart w:id="1004" w:name="_Toc73701398"/>
      <w:bookmarkStart w:id="1005" w:name="_Toc95451884"/>
      <w:r w:rsidRPr="00D80452">
        <w:t xml:space="preserve">Annexe </w:t>
      </w:r>
      <w:r w:rsidR="006E0364">
        <w:t>5</w:t>
      </w:r>
      <w:r w:rsidRPr="00D80452">
        <w:t> : Outils de collecte</w:t>
      </w:r>
      <w:bookmarkEnd w:id="1004"/>
      <w:r w:rsidRPr="00D80452">
        <w:t xml:space="preserve"> </w:t>
      </w:r>
      <w:r w:rsidR="00547BCA">
        <w:t>des données</w:t>
      </w:r>
      <w:bookmarkEnd w:id="1005"/>
      <w:r w:rsidR="00547BCA">
        <w:t xml:space="preserve"> </w:t>
      </w:r>
    </w:p>
    <w:p w14:paraId="6BD4B9BC" w14:textId="11712ECD" w:rsidR="00A769F5" w:rsidRPr="0060123A" w:rsidRDefault="00A769F5" w:rsidP="00A769F5">
      <w:pPr>
        <w:keepNext/>
        <w:keepLines/>
        <w:spacing w:before="0" w:after="0" w:line="276" w:lineRule="auto"/>
        <w:outlineLvl w:val="3"/>
        <w:rPr>
          <w:b/>
          <w:i/>
          <w:smallCaps/>
          <w:color w:val="2E74B5"/>
        </w:rPr>
      </w:pPr>
      <w:r w:rsidRPr="0060123A">
        <w:rPr>
          <w:b/>
          <w:i/>
          <w:smallCaps/>
          <w:color w:val="2E74B5"/>
        </w:rPr>
        <w:t xml:space="preserve">Annexe </w:t>
      </w:r>
      <w:r w:rsidR="006E0364" w:rsidRPr="0060123A">
        <w:rPr>
          <w:b/>
          <w:i/>
          <w:smallCaps/>
          <w:color w:val="2E74B5"/>
        </w:rPr>
        <w:t>5</w:t>
      </w:r>
      <w:r w:rsidRPr="0060123A">
        <w:rPr>
          <w:b/>
          <w:i/>
          <w:smallCaps/>
          <w:color w:val="2E74B5"/>
        </w:rPr>
        <w:t>.1. Guide d’entretien avec le Bailleur (PBF)</w:t>
      </w:r>
    </w:p>
    <w:p w14:paraId="5AE65283" w14:textId="77777777" w:rsidR="00A769F5" w:rsidRPr="0060123A" w:rsidRDefault="00A769F5" w:rsidP="00A732C6">
      <w:pPr>
        <w:spacing w:before="0" w:after="0" w:line="276" w:lineRule="auto"/>
        <w:rPr>
          <w:b/>
          <w:color w:val="000000"/>
        </w:rPr>
      </w:pPr>
      <w:r w:rsidRPr="0060123A">
        <w:rPr>
          <w:b/>
          <w:color w:val="000000"/>
        </w:rPr>
        <w:t>Pertinence</w:t>
      </w:r>
    </w:p>
    <w:p w14:paraId="50F8571C"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Après 18 mois de mise en œuvre, veuillez apprécier à nouveau :</w:t>
      </w:r>
    </w:p>
    <w:p w14:paraId="6232C01C" w14:textId="77777777" w:rsidR="00A769F5" w:rsidRPr="0060123A" w:rsidRDefault="00A769F5" w:rsidP="00FB2B45">
      <w:pPr>
        <w:numPr>
          <w:ilvl w:val="0"/>
          <w:numId w:val="66"/>
        </w:numPr>
        <w:spacing w:before="0" w:after="0" w:line="276" w:lineRule="auto"/>
        <w:contextualSpacing/>
        <w:rPr>
          <w:color w:val="000000"/>
        </w:rPr>
      </w:pPr>
      <w:r w:rsidRPr="0060123A">
        <w:rPr>
          <w:color w:val="000000"/>
        </w:rPr>
        <w:t>La théorie de changement du projet ?</w:t>
      </w:r>
    </w:p>
    <w:p w14:paraId="5000E470" w14:textId="77777777" w:rsidR="00A769F5" w:rsidRPr="0060123A" w:rsidRDefault="00A769F5" w:rsidP="00FB2B45">
      <w:pPr>
        <w:numPr>
          <w:ilvl w:val="0"/>
          <w:numId w:val="66"/>
        </w:numPr>
        <w:spacing w:before="0" w:after="0" w:line="276" w:lineRule="auto"/>
        <w:contextualSpacing/>
        <w:rPr>
          <w:color w:val="000000"/>
        </w:rPr>
      </w:pPr>
      <w:r w:rsidRPr="0060123A">
        <w:rPr>
          <w:color w:val="000000"/>
        </w:rPr>
        <w:t>La prise en compte de l’inclusion des personnes handicapées ?</w:t>
      </w:r>
    </w:p>
    <w:p w14:paraId="4D48769A" w14:textId="0F4FAA50" w:rsidR="00A769F5" w:rsidRPr="0060123A" w:rsidRDefault="00A769F5" w:rsidP="00FB2B45">
      <w:pPr>
        <w:numPr>
          <w:ilvl w:val="0"/>
          <w:numId w:val="66"/>
        </w:numPr>
        <w:spacing w:before="0" w:after="0" w:line="276" w:lineRule="auto"/>
        <w:contextualSpacing/>
        <w:rPr>
          <w:color w:val="000000"/>
        </w:rPr>
      </w:pPr>
      <w:r w:rsidRPr="0060123A">
        <w:rPr>
          <w:color w:val="000000"/>
        </w:rPr>
        <w:t>L’égalité des sexes et des droits humains ?</w:t>
      </w:r>
    </w:p>
    <w:p w14:paraId="7E456ABE" w14:textId="6E9F4543" w:rsidR="00A83DBC" w:rsidRPr="00D147D4" w:rsidRDefault="00A83DBC" w:rsidP="00A83DBC">
      <w:pPr>
        <w:spacing w:before="0" w:after="0" w:line="276" w:lineRule="auto"/>
        <w:ind w:left="993"/>
        <w:contextualSpacing/>
        <w:rPr>
          <w:rFonts w:eastAsia="Times New Roman" w:cs="Tahoma"/>
          <w:b/>
          <w:bCs/>
          <w:sz w:val="18"/>
          <w:szCs w:val="18"/>
        </w:rPr>
      </w:pPr>
      <w:r w:rsidRPr="00D147D4">
        <w:rPr>
          <w:rFonts w:eastAsia="Times New Roman" w:cs="Tahoma"/>
          <w:b/>
          <w:bCs/>
          <w:sz w:val="18"/>
          <w:szCs w:val="18"/>
        </w:rPr>
        <w:t>NB : L’évaluateur souhaite avoir les documents de projets, les rapports d’activités et les contacts des autres projets (financés par PBF) intervenant au Mali et au Niger</w:t>
      </w:r>
    </w:p>
    <w:p w14:paraId="6FFACA95" w14:textId="77777777" w:rsidR="00A769F5" w:rsidRPr="0060123A" w:rsidRDefault="00A769F5" w:rsidP="00A769F5">
      <w:pPr>
        <w:spacing w:before="0" w:line="276" w:lineRule="auto"/>
        <w:rPr>
          <w:b/>
          <w:color w:val="000000"/>
        </w:rPr>
      </w:pPr>
      <w:r w:rsidRPr="0060123A">
        <w:rPr>
          <w:b/>
          <w:color w:val="000000"/>
        </w:rPr>
        <w:t>Efficacité</w:t>
      </w:r>
    </w:p>
    <w:p w14:paraId="2C561F10" w14:textId="79F80E50" w:rsidR="002265E7" w:rsidRPr="0060123A" w:rsidRDefault="002265E7" w:rsidP="00FB2B45">
      <w:pPr>
        <w:numPr>
          <w:ilvl w:val="0"/>
          <w:numId w:val="13"/>
        </w:numPr>
        <w:spacing w:before="0" w:after="0" w:line="276" w:lineRule="auto"/>
        <w:ind w:left="993" w:hanging="633"/>
        <w:rPr>
          <w:color w:val="000000"/>
        </w:rPr>
      </w:pPr>
      <w:r w:rsidRPr="0060123A">
        <w:rPr>
          <w:color w:val="000000"/>
        </w:rPr>
        <w:t>L’évaluateur a fait deux constats (i. l’absence de plan de Suivi et l’absence d’une base de données) lors de la phase de cadrage, PBF (la bailleur) était-il informé et qu’est-ce qu’il a fait pour corriger cela ?</w:t>
      </w:r>
    </w:p>
    <w:p w14:paraId="033AB1C4" w14:textId="7EF2760F"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la synergie a-t-elle fonctionné entre ONU Femmes et ONUDC ?</w:t>
      </w:r>
    </w:p>
    <w:p w14:paraId="7DC25496"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 dispositif de coordination et de pilotage du projet a fonctionné normalement ?</w:t>
      </w:r>
    </w:p>
    <w:p w14:paraId="2333FB07" w14:textId="71B92BEB"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vous faites de la gestion des risques de la mise en œuvre des activités ?</w:t>
      </w:r>
    </w:p>
    <w:p w14:paraId="457A0428"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faites-vous de la stratégie de participation et d’implication des femmes et des jeunes dans les mécanismes de prévention et de gestion des conflits ?</w:t>
      </w:r>
    </w:p>
    <w:p w14:paraId="5B882163"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faites-vous du partage des documents et informations entre les principales parties prenantes du projet (PBF, ONU Femmes, ONU-DC, autorités politiques) ?</w:t>
      </w:r>
    </w:p>
    <w:p w14:paraId="1075C72F"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 niveau de défiance entre les communautés, les FDS et les acteurs de la chaine pénale a-t-il été réduit ?</w:t>
      </w:r>
    </w:p>
    <w:p w14:paraId="1166FEFD" w14:textId="77777777" w:rsidR="00A769F5" w:rsidRPr="0060123A" w:rsidRDefault="00A769F5" w:rsidP="00A769F5">
      <w:pPr>
        <w:spacing w:before="0" w:after="0" w:line="276" w:lineRule="auto"/>
        <w:ind w:left="993"/>
        <w:rPr>
          <w:color w:val="000000"/>
          <w:sz w:val="10"/>
        </w:rPr>
      </w:pPr>
    </w:p>
    <w:p w14:paraId="3750EA21" w14:textId="77777777" w:rsidR="00A769F5" w:rsidRPr="0060123A" w:rsidRDefault="00A769F5" w:rsidP="00A769F5">
      <w:pPr>
        <w:spacing w:before="0" w:line="276" w:lineRule="auto"/>
        <w:rPr>
          <w:b/>
          <w:color w:val="000000"/>
        </w:rPr>
      </w:pPr>
      <w:r w:rsidRPr="0060123A">
        <w:rPr>
          <w:b/>
          <w:color w:val="000000"/>
        </w:rPr>
        <w:t xml:space="preserve">Efficience </w:t>
      </w:r>
    </w:p>
    <w:p w14:paraId="3632D300"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les ressources planifiées ont été réalistes par rapport aux activités mise en œuvre ?</w:t>
      </w:r>
    </w:p>
    <w:p w14:paraId="56D566C3"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les instances de coordination du projet (comité technique de coordination, comité d'orientation stratégique et comités de pilotage) ont contribué à une utilisation efficace des ressources financières et humaines et à l’atteinte des résultats attendus ?</w:t>
      </w:r>
    </w:p>
    <w:p w14:paraId="53D436C8" w14:textId="77777777" w:rsidR="00A769F5" w:rsidRPr="0060123A" w:rsidRDefault="00A769F5" w:rsidP="00A769F5">
      <w:pPr>
        <w:spacing w:before="0" w:line="276" w:lineRule="auto"/>
        <w:rPr>
          <w:b/>
          <w:color w:val="000000"/>
        </w:rPr>
      </w:pPr>
      <w:r w:rsidRPr="0060123A">
        <w:rPr>
          <w:b/>
          <w:color w:val="000000"/>
        </w:rPr>
        <w:t>Leçons apprises et suite du projet</w:t>
      </w:r>
    </w:p>
    <w:p w14:paraId="0F467EBC"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Quelles sont les leçons apprises du projet en matière de coordination ?</w:t>
      </w:r>
    </w:p>
    <w:p w14:paraId="1E78B13D"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Quelles sont les leçons apprises du projet en matière de gestion des risques ?</w:t>
      </w:r>
    </w:p>
    <w:p w14:paraId="17343AD1"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Pour la conception et la mise en œuvre d’interventions futures du projet, quelles sont selon vous, les points essentiels à améliorer dans :</w:t>
      </w:r>
    </w:p>
    <w:p w14:paraId="49C12C9B" w14:textId="79257073" w:rsidR="00A769F5" w:rsidRPr="0060123A" w:rsidRDefault="00A769F5" w:rsidP="00FB2B45">
      <w:pPr>
        <w:numPr>
          <w:ilvl w:val="1"/>
          <w:numId w:val="13"/>
        </w:numPr>
        <w:spacing w:before="0" w:after="0" w:line="240" w:lineRule="auto"/>
        <w:rPr>
          <w:color w:val="000000"/>
        </w:rPr>
      </w:pPr>
      <w:r w:rsidRPr="0060123A">
        <w:rPr>
          <w:color w:val="000000"/>
        </w:rPr>
        <w:t>L</w:t>
      </w:r>
      <w:r w:rsidR="002265E7" w:rsidRPr="0060123A">
        <w:rPr>
          <w:color w:val="000000"/>
        </w:rPr>
        <w:t>e suivi et la</w:t>
      </w:r>
      <w:r w:rsidRPr="0060123A">
        <w:rPr>
          <w:color w:val="000000"/>
        </w:rPr>
        <w:t xml:space="preserve"> coordination du projet ;</w:t>
      </w:r>
    </w:p>
    <w:p w14:paraId="12D9177E" w14:textId="77777777" w:rsidR="00A769F5" w:rsidRPr="0060123A" w:rsidRDefault="00A769F5" w:rsidP="00FB2B45">
      <w:pPr>
        <w:numPr>
          <w:ilvl w:val="1"/>
          <w:numId w:val="13"/>
        </w:numPr>
        <w:spacing w:before="0" w:after="0" w:line="240" w:lineRule="auto"/>
        <w:rPr>
          <w:color w:val="000000"/>
        </w:rPr>
      </w:pPr>
      <w:r w:rsidRPr="0060123A">
        <w:rPr>
          <w:color w:val="000000"/>
        </w:rPr>
        <w:t>La gestion des risques ;</w:t>
      </w:r>
    </w:p>
    <w:p w14:paraId="2D6706CE" w14:textId="77777777" w:rsidR="00A769F5" w:rsidRPr="0060123A" w:rsidRDefault="00A769F5" w:rsidP="00FB2B45">
      <w:pPr>
        <w:numPr>
          <w:ilvl w:val="1"/>
          <w:numId w:val="13"/>
        </w:numPr>
        <w:spacing w:before="0" w:after="0" w:line="276" w:lineRule="auto"/>
        <w:rPr>
          <w:color w:val="000000"/>
        </w:rPr>
      </w:pPr>
      <w:r w:rsidRPr="0060123A">
        <w:rPr>
          <w:color w:val="000000"/>
        </w:rPr>
        <w:t xml:space="preserve">Les stratégies de mise en œuvre des activités ; </w:t>
      </w:r>
    </w:p>
    <w:p w14:paraId="647CD1FE" w14:textId="1BCA3389" w:rsidR="00A769F5" w:rsidRPr="0060123A" w:rsidRDefault="00A769F5" w:rsidP="00FB2B45">
      <w:pPr>
        <w:numPr>
          <w:ilvl w:val="1"/>
          <w:numId w:val="13"/>
        </w:numPr>
        <w:spacing w:before="0" w:after="0" w:line="276" w:lineRule="auto"/>
        <w:rPr>
          <w:color w:val="000000"/>
        </w:rPr>
      </w:pPr>
      <w:r w:rsidRPr="0060123A">
        <w:rPr>
          <w:color w:val="000000"/>
        </w:rPr>
        <w:t>La communication et la visibilité du projet</w:t>
      </w:r>
      <w:r w:rsidR="000A6211" w:rsidRPr="0060123A">
        <w:rPr>
          <w:color w:val="000000"/>
        </w:rPr>
        <w:t>.</w:t>
      </w:r>
    </w:p>
    <w:p w14:paraId="0A5C39E3" w14:textId="3E1D386D"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.2. Guide d’entretien avec les Agences de mise en œuvre (ONU Femmes &amp; ONUDC)</w:t>
      </w:r>
    </w:p>
    <w:p w14:paraId="0F256D05" w14:textId="77777777" w:rsidR="00A769F5" w:rsidRPr="00B65C1B" w:rsidRDefault="00A769F5" w:rsidP="00A769F5">
      <w:pPr>
        <w:spacing w:line="276" w:lineRule="auto"/>
        <w:rPr>
          <w:color w:val="000000"/>
        </w:rPr>
      </w:pPr>
      <w:r w:rsidRPr="00B65C1B">
        <w:rPr>
          <w:b/>
          <w:color w:val="000000"/>
        </w:rPr>
        <w:t>Pertinence</w:t>
      </w:r>
    </w:p>
    <w:p w14:paraId="29D40B18"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Le projet a identifié en 2019 les problèmes suivants : les conflits intra et intercommunautaires au Mali et au Niger, les conflits liées aux attaques des groupes rebelles séparatistes au Mali, les attaques des groupes extrémistes /terroristes au Mali et au Niger, comment ces conflits ont-ils évolué sur la durée de la mise en œuvre du projet (2019-2020-2021) ?</w:t>
      </w:r>
    </w:p>
    <w:p w14:paraId="46BA6CFD"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Quels ont été les nouveaux problèmes qui ont apparu pendant la mise en œuvre du projet ?</w:t>
      </w:r>
    </w:p>
    <w:p w14:paraId="41F80DD2"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Les ressources (humaines, financières et matérielles) mobilisées ont-elles été suffisantes pour la mise en œuvre des activités prévues ?</w:t>
      </w:r>
    </w:p>
    <w:p w14:paraId="64370F06"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Quelle appréciation faites-vous de la durée du projet par rapport aux résultats attendus ?</w:t>
      </w:r>
    </w:p>
    <w:p w14:paraId="2F483BF0" w14:textId="3C09048B" w:rsidR="00A769F5" w:rsidRPr="00B65C1B" w:rsidRDefault="00A769F5" w:rsidP="00FB2B45">
      <w:pPr>
        <w:numPr>
          <w:ilvl w:val="0"/>
          <w:numId w:val="14"/>
        </w:numPr>
        <w:spacing w:before="0" w:after="0" w:line="276" w:lineRule="auto"/>
        <w:ind w:left="709" w:hanging="502"/>
        <w:rPr>
          <w:color w:val="000000"/>
        </w:rPr>
      </w:pPr>
      <w:r w:rsidRPr="00B65C1B">
        <w:rPr>
          <w:color w:val="000000"/>
        </w:rPr>
        <w:t>Des personnes handicapées ont-elles été impliqué</w:t>
      </w:r>
      <w:r w:rsidR="000A6211" w:rsidRPr="00B65C1B">
        <w:rPr>
          <w:color w:val="000000"/>
        </w:rPr>
        <w:t>es</w:t>
      </w:r>
      <w:r w:rsidRPr="00B65C1B">
        <w:rPr>
          <w:color w:val="000000"/>
        </w:rPr>
        <w:t xml:space="preserve"> dans la conception du projet ?</w:t>
      </w:r>
    </w:p>
    <w:p w14:paraId="0130291A" w14:textId="77777777" w:rsidR="00A769F5" w:rsidRPr="00C62F7E" w:rsidRDefault="00A769F5" w:rsidP="00FB2B45">
      <w:pPr>
        <w:numPr>
          <w:ilvl w:val="0"/>
          <w:numId w:val="14"/>
        </w:numPr>
        <w:spacing w:before="0" w:after="0" w:line="276" w:lineRule="auto"/>
        <w:ind w:left="709" w:hanging="502"/>
        <w:rPr>
          <w:color w:val="000000" w:themeColor="text1"/>
        </w:rPr>
      </w:pPr>
      <w:r w:rsidRPr="00B65C1B">
        <w:rPr>
          <w:color w:val="000000"/>
        </w:rPr>
        <w:t>Quelles sont les initiatives entreprises par les autorités du Mali et du Niger pour accompagner les initiatives communautaires inclusives de paix et de cohésion sociale ?</w:t>
      </w:r>
    </w:p>
    <w:p w14:paraId="2FA585CA" w14:textId="77777777" w:rsidR="00A769F5" w:rsidRPr="00B65C1B" w:rsidRDefault="00A769F5" w:rsidP="00A769F5">
      <w:pPr>
        <w:spacing w:line="276" w:lineRule="auto"/>
        <w:rPr>
          <w:b/>
          <w:color w:val="000000"/>
        </w:rPr>
      </w:pPr>
      <w:r w:rsidRPr="00B65C1B">
        <w:rPr>
          <w:b/>
          <w:color w:val="000000"/>
        </w:rPr>
        <w:t>Efficacité</w:t>
      </w:r>
    </w:p>
    <w:p w14:paraId="0E02BDA7" w14:textId="3BC08EE4" w:rsidR="000A6211" w:rsidRPr="00B65C1B" w:rsidRDefault="000A6211" w:rsidP="00FB2B45">
      <w:pPr>
        <w:numPr>
          <w:ilvl w:val="0"/>
          <w:numId w:val="14"/>
        </w:numPr>
        <w:spacing w:before="0" w:after="0" w:line="276" w:lineRule="auto"/>
        <w:ind w:left="851" w:hanging="644"/>
        <w:rPr>
          <w:color w:val="000000"/>
        </w:rPr>
      </w:pPr>
      <w:r w:rsidRPr="00B65C1B">
        <w:rPr>
          <w:color w:val="000000"/>
        </w:rPr>
        <w:t>En quoi le caractère transfrontalier du projet a-t-il fonctionné ?</w:t>
      </w:r>
    </w:p>
    <w:p w14:paraId="7C0A6AD3" w14:textId="3727D427" w:rsidR="00A769F5" w:rsidRPr="00B65C1B" w:rsidRDefault="00A769F5" w:rsidP="00FB2B45">
      <w:pPr>
        <w:numPr>
          <w:ilvl w:val="0"/>
          <w:numId w:val="14"/>
        </w:numPr>
        <w:spacing w:before="0" w:after="0" w:line="276" w:lineRule="auto"/>
        <w:ind w:left="851" w:hanging="644"/>
        <w:rPr>
          <w:color w:val="000000"/>
        </w:rPr>
      </w:pPr>
      <w:r w:rsidRPr="00B65C1B">
        <w:rPr>
          <w:color w:val="000000"/>
        </w:rPr>
        <w:t xml:space="preserve">Quelle a été la stratégie de prise en compte du handicap dans la mise œuvre du projet ? quelles ont été les difficultés </w:t>
      </w:r>
      <w:r w:rsidR="0061776F" w:rsidRPr="00B65C1B">
        <w:rPr>
          <w:color w:val="000000"/>
        </w:rPr>
        <w:t xml:space="preserve">spécifiques </w:t>
      </w:r>
      <w:r w:rsidRPr="00B65C1B">
        <w:rPr>
          <w:color w:val="000000"/>
        </w:rPr>
        <w:t>de leur implication dans la mise en œuvre ?</w:t>
      </w:r>
    </w:p>
    <w:p w14:paraId="36B12131" w14:textId="421CE509" w:rsidR="00A769F5" w:rsidRPr="00B65C1B" w:rsidRDefault="00A769F5" w:rsidP="00FB2B45">
      <w:pPr>
        <w:numPr>
          <w:ilvl w:val="0"/>
          <w:numId w:val="14"/>
        </w:numPr>
        <w:spacing w:before="0" w:after="0" w:line="276" w:lineRule="auto"/>
        <w:ind w:left="851" w:hanging="644"/>
        <w:rPr>
          <w:color w:val="000000"/>
        </w:rPr>
      </w:pPr>
      <w:r w:rsidRPr="00B65C1B">
        <w:rPr>
          <w:color w:val="000000"/>
        </w:rPr>
        <w:t xml:space="preserve">Quelles ont été les difficultés </w:t>
      </w:r>
      <w:r w:rsidR="0061776F" w:rsidRPr="00B65C1B">
        <w:rPr>
          <w:color w:val="000000"/>
        </w:rPr>
        <w:t xml:space="preserve">spécifiques </w:t>
      </w:r>
      <w:r w:rsidRPr="00B65C1B">
        <w:rPr>
          <w:color w:val="000000"/>
        </w:rPr>
        <w:t>dans la prise en compte de l’inclusion des personnes handicapées dans le rapportage et le suivi du projet ?</w:t>
      </w:r>
    </w:p>
    <w:p w14:paraId="445332B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Quels ont été les facteurs de succès (facteurs favorables) qui ont favorisé la mise en œuvre des activités du projet ?</w:t>
      </w:r>
    </w:p>
    <w:p w14:paraId="46CC5444"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plus de l’insécurité et de la Covid 19, quelles ont été les autres contraintes (facteurs défavorables) qui ont limité la réalisation des activités ?</w:t>
      </w:r>
    </w:p>
    <w:p w14:paraId="27C995BD"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Quels sont les effets que vous avez observés en matière d’implication des femmes et des jeunes dans les mécanismes étatiques de prévention et de gestion des conflits ?</w:t>
      </w:r>
    </w:p>
    <w:p w14:paraId="7B822FC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ont été les principales réalisations des comités locaux de prévention et gestion de conflits ?</w:t>
      </w:r>
    </w:p>
    <w:p w14:paraId="4C6ECC84" w14:textId="698B575E"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personnes sensibilisées par les comités locaux mis en place ou redynamisés par le projet ?</w:t>
      </w:r>
    </w:p>
    <w:p w14:paraId="51A8AFDB"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conflits gérés par les comités locaux ?</w:t>
      </w:r>
    </w:p>
    <w:p w14:paraId="4F6F3E79" w14:textId="77777777" w:rsidR="00A769F5" w:rsidRPr="00B65C1B" w:rsidRDefault="00A769F5" w:rsidP="00FB2B45">
      <w:pPr>
        <w:numPr>
          <w:ilvl w:val="0"/>
          <w:numId w:val="14"/>
        </w:numPr>
        <w:spacing w:before="0" w:after="0" w:line="276" w:lineRule="auto"/>
        <w:ind w:left="851" w:hanging="644"/>
        <w:rPr>
          <w:color w:val="000000"/>
        </w:rPr>
      </w:pPr>
      <w:r w:rsidRPr="00C62F7E">
        <w:rPr>
          <w:color w:val="000000" w:themeColor="text1"/>
        </w:rPr>
        <w:t>Quelles sont les activités du projet qui ont été ajustées, supprimées ou ajoutées pour donner suite à l’évolution des besoins des bénéficiaires</w:t>
      </w:r>
      <w:r w:rsidRPr="00B65C1B">
        <w:rPr>
          <w:color w:val="000000"/>
        </w:rPr>
        <w:t> ?</w:t>
      </w:r>
    </w:p>
    <w:p w14:paraId="79BC8098"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activités non réalisées ?</w:t>
      </w:r>
    </w:p>
    <w:p w14:paraId="4F9E42DA"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été les progrès réalisés dans la représentativité des femmes et des jeunes dans les mécanismes communautaires de gestion des conflits ?</w:t>
      </w:r>
    </w:p>
    <w:p w14:paraId="057773F3"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femmes ayant bénéficié de formation sur le leadership ?</w:t>
      </w:r>
    </w:p>
    <w:p w14:paraId="52A7E11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séances où les points de vue des femmes ont été pris en compte dans les décisions des comités de gestion des conflits ?</w:t>
      </w:r>
    </w:p>
    <w:p w14:paraId="0D72B820"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jours et de mois de retard accusé dans la mise en œuvre des activités ?</w:t>
      </w:r>
    </w:p>
    <w:p w14:paraId="050E60C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sont les activités réalisées conjointement entre ONU Femmes et ONU DC ?</w:t>
      </w:r>
    </w:p>
    <w:p w14:paraId="13A32170"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les effets synergiques du partenariat ?</w:t>
      </w:r>
    </w:p>
    <w:p w14:paraId="74467E2E" w14:textId="21A3ADD5"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alternatives d’utilisation des ressources ?</w:t>
      </w:r>
    </w:p>
    <w:p w14:paraId="1F508173" w14:textId="476FFD3F" w:rsidR="0061776F" w:rsidRPr="00C62F7E" w:rsidRDefault="0061776F" w:rsidP="00FB2B45">
      <w:pPr>
        <w:numPr>
          <w:ilvl w:val="0"/>
          <w:numId w:val="14"/>
        </w:numPr>
        <w:spacing w:before="0" w:after="0" w:line="276" w:lineRule="auto"/>
        <w:ind w:left="851" w:hanging="644"/>
        <w:rPr>
          <w:color w:val="000000" w:themeColor="text1"/>
        </w:rPr>
      </w:pPr>
      <w:r w:rsidRPr="00B65C1B">
        <w:rPr>
          <w:color w:val="000000"/>
        </w:rPr>
        <w:t xml:space="preserve">Quelles sont les activités à caractère transfrontalier qui ont été mis en œuvre ? </w:t>
      </w:r>
    </w:p>
    <w:p w14:paraId="4F63A944" w14:textId="77777777" w:rsidR="00A769F5" w:rsidRPr="00B65C1B" w:rsidRDefault="00A769F5" w:rsidP="00A769F5">
      <w:pPr>
        <w:spacing w:before="0" w:after="0" w:line="276" w:lineRule="auto"/>
        <w:ind w:left="851"/>
        <w:rPr>
          <w:color w:val="000000"/>
          <w:sz w:val="10"/>
        </w:rPr>
      </w:pPr>
    </w:p>
    <w:p w14:paraId="3D61679A" w14:textId="77777777" w:rsidR="00A769F5" w:rsidRPr="00B65C1B" w:rsidRDefault="00A769F5" w:rsidP="00A769F5">
      <w:pPr>
        <w:spacing w:before="240" w:line="276" w:lineRule="auto"/>
        <w:rPr>
          <w:b/>
          <w:color w:val="000000"/>
        </w:rPr>
      </w:pPr>
      <w:r w:rsidRPr="00B65C1B">
        <w:rPr>
          <w:b/>
          <w:color w:val="000000"/>
        </w:rPr>
        <w:t>Efficience</w:t>
      </w:r>
    </w:p>
    <w:p w14:paraId="5CD046E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La mise à disposition des ressources a-t-il accusé un retard ? si oui, Qu’est ce qui explique ce retard et combien de jours de retard ?</w:t>
      </w:r>
    </w:p>
    <w:p w14:paraId="3D3BE79A"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quoi chaque ressource humaine mobilisée au niveau des agences de mise en œuvre a été utile et a contribué à la mise en œuvre des activités ?</w:t>
      </w:r>
    </w:p>
    <w:p w14:paraId="3E30CBD2" w14:textId="77777777" w:rsidR="00A769F5" w:rsidRPr="00B65C1B" w:rsidRDefault="00A769F5" w:rsidP="00A769F5">
      <w:pPr>
        <w:spacing w:before="240" w:line="276" w:lineRule="auto"/>
        <w:rPr>
          <w:b/>
          <w:color w:val="000000"/>
        </w:rPr>
      </w:pPr>
      <w:r w:rsidRPr="00B65C1B">
        <w:rPr>
          <w:b/>
          <w:color w:val="000000"/>
        </w:rPr>
        <w:t>Durabilité</w:t>
      </w:r>
    </w:p>
    <w:p w14:paraId="71081F1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quoi les mécanismes de prévention ou de gestion de conflits mis en place sont-t-ils pérennes ?</w:t>
      </w:r>
    </w:p>
    <w:p w14:paraId="5F9C989B" w14:textId="77777777" w:rsidR="00A769F5" w:rsidRPr="00B65C1B" w:rsidRDefault="00A769F5" w:rsidP="00A769F5">
      <w:pPr>
        <w:spacing w:line="276" w:lineRule="auto"/>
        <w:rPr>
          <w:b/>
          <w:color w:val="000000"/>
        </w:rPr>
      </w:pPr>
      <w:r w:rsidRPr="00B65C1B">
        <w:rPr>
          <w:b/>
          <w:color w:val="000000"/>
        </w:rPr>
        <w:t>Impact</w:t>
      </w:r>
    </w:p>
    <w:p w14:paraId="15974C73" w14:textId="295FD01F"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les progrès liés à l’intégration des femmes et des jeunes dans les mécanismes communautaires</w:t>
      </w:r>
      <w:r w:rsidR="000A6211" w:rsidRPr="00B65C1B">
        <w:rPr>
          <w:color w:val="000000"/>
        </w:rPr>
        <w:t> ?</w:t>
      </w:r>
    </w:p>
    <w:p w14:paraId="685C9EF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approches (description</w:t>
      </w:r>
      <w:r w:rsidRPr="00B65C1B">
        <w:rPr>
          <w:color w:val="000000"/>
        </w:rPr>
        <w:footnoteReference w:id="47"/>
      </w:r>
      <w:r w:rsidRPr="00B65C1B">
        <w:rPr>
          <w:color w:val="000000"/>
        </w:rPr>
        <w:t>) du projet de prise en compte des priorités des femmes et des jeunes ?</w:t>
      </w:r>
    </w:p>
    <w:p w14:paraId="444B0C46" w14:textId="64CBEA80"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initiatives entreprises par les autorités du Mali et du Niger pour accompagner les initiatives communautaires</w:t>
      </w:r>
      <w:r w:rsidR="000A6211" w:rsidRPr="00B65C1B">
        <w:rPr>
          <w:color w:val="000000"/>
        </w:rPr>
        <w:t> ?</w:t>
      </w:r>
    </w:p>
    <w:p w14:paraId="0E22A928" w14:textId="082D9A2E"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 ou méthodes développées pour le changement de perception sur la participation des femmes dans la prévention et la gestion des conflits</w:t>
      </w:r>
      <w:r w:rsidR="000A6211" w:rsidRPr="00B65C1B">
        <w:rPr>
          <w:color w:val="000000"/>
        </w:rPr>
        <w:t> ?</w:t>
      </w:r>
    </w:p>
    <w:p w14:paraId="62C02132" w14:textId="2AC90228"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 ou méthodes (description) de prise en compte des priorités des personnes handicapées</w:t>
      </w:r>
      <w:r w:rsidR="000A6211" w:rsidRPr="00B65C1B">
        <w:rPr>
          <w:color w:val="000000"/>
        </w:rPr>
        <w:t> ?</w:t>
      </w:r>
    </w:p>
    <w:p w14:paraId="7FC667CE" w14:textId="77777777" w:rsidR="00A769F5" w:rsidRPr="00B65C1B" w:rsidRDefault="00A769F5" w:rsidP="00A769F5">
      <w:pPr>
        <w:spacing w:line="276" w:lineRule="auto"/>
        <w:rPr>
          <w:b/>
          <w:color w:val="000000"/>
        </w:rPr>
      </w:pPr>
      <w:r w:rsidRPr="00B65C1B">
        <w:rPr>
          <w:b/>
          <w:color w:val="000000"/>
        </w:rPr>
        <w:t>Égalité des sexes et droits humains</w:t>
      </w:r>
    </w:p>
    <w:p w14:paraId="79895892"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De quelle manière les autorités du Mali et du Niger ont intégré les besoins et intérêts des femmes dans les plans locaux de sécurité et de protection ? (NB : mise à disposition des documents de plans locaux de sécurité et de protection)</w:t>
      </w:r>
    </w:p>
    <w:p w14:paraId="2517DA4B" w14:textId="77777777" w:rsidR="00A769F5" w:rsidRPr="00B65C1B" w:rsidRDefault="00A769F5" w:rsidP="00A769F5">
      <w:pPr>
        <w:spacing w:line="276" w:lineRule="auto"/>
        <w:rPr>
          <w:b/>
          <w:color w:val="000000"/>
        </w:rPr>
      </w:pPr>
      <w:r w:rsidRPr="00B65C1B">
        <w:rPr>
          <w:b/>
          <w:color w:val="000000"/>
        </w:rPr>
        <w:t>Leçons apprises et suite du projet</w:t>
      </w:r>
    </w:p>
    <w:p w14:paraId="1F1E2F76"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leçons apprises du projet en matière de :</w:t>
      </w:r>
    </w:p>
    <w:p w14:paraId="640F8EE4"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Gestion des risques de projet ;</w:t>
      </w:r>
    </w:p>
    <w:p w14:paraId="43E9B68A"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Stratégie d’implication des femmes et des jeunes dans les mécanismes de prévention et de gestion des conflits ;</w:t>
      </w:r>
    </w:p>
    <w:p w14:paraId="780CB3AE"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Renforcement des capacités des femmes et des jeunes sur les mécanismes de prévention et de gestion des conflits ;</w:t>
      </w:r>
    </w:p>
    <w:p w14:paraId="1A561B77"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Renforcement des capacités des FDS et des acteurs de la chaine pénale sur les mécanismes de prévention et de gestion des conflits ;</w:t>
      </w:r>
    </w:p>
    <w:p w14:paraId="74686471"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Contribution des femmes et jeunes dans les mécanismes de prévention et de gestion des conflits ?</w:t>
      </w:r>
    </w:p>
    <w:p w14:paraId="63E2367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Pour la conception et la mise en œuvre d’interventions futures du projet, quelles sont selon vous les points essentiels à améliorer dans :</w:t>
      </w:r>
    </w:p>
    <w:p w14:paraId="784F5C66" w14:textId="77777777" w:rsidR="00A769F5" w:rsidRPr="00B65C1B" w:rsidRDefault="00A769F5" w:rsidP="00FB2B45">
      <w:pPr>
        <w:numPr>
          <w:ilvl w:val="1"/>
          <w:numId w:val="14"/>
        </w:numPr>
        <w:spacing w:before="0" w:after="0" w:line="276" w:lineRule="auto"/>
        <w:rPr>
          <w:color w:val="000000"/>
        </w:rPr>
      </w:pPr>
      <w:r w:rsidRPr="00B65C1B">
        <w:rPr>
          <w:color w:val="000000"/>
        </w:rPr>
        <w:t>Le suivi des indicateurs ;</w:t>
      </w:r>
    </w:p>
    <w:p w14:paraId="17989C9C" w14:textId="77777777" w:rsidR="00A769F5" w:rsidRPr="00B65C1B" w:rsidRDefault="00A769F5" w:rsidP="00FB2B45">
      <w:pPr>
        <w:numPr>
          <w:ilvl w:val="1"/>
          <w:numId w:val="14"/>
        </w:numPr>
        <w:spacing w:before="0" w:after="0" w:line="276" w:lineRule="auto"/>
        <w:rPr>
          <w:color w:val="000000"/>
        </w:rPr>
      </w:pPr>
      <w:r w:rsidRPr="00B65C1B">
        <w:rPr>
          <w:color w:val="000000"/>
        </w:rPr>
        <w:t>La coordination du projet ;</w:t>
      </w:r>
    </w:p>
    <w:p w14:paraId="54BCC158" w14:textId="77777777" w:rsidR="00A769F5" w:rsidRPr="00B65C1B" w:rsidRDefault="00A769F5" w:rsidP="00FB2B45">
      <w:pPr>
        <w:numPr>
          <w:ilvl w:val="1"/>
          <w:numId w:val="14"/>
        </w:numPr>
        <w:spacing w:before="0" w:after="0" w:line="276" w:lineRule="auto"/>
        <w:rPr>
          <w:color w:val="000000"/>
        </w:rPr>
      </w:pPr>
      <w:r w:rsidRPr="00B65C1B">
        <w:rPr>
          <w:color w:val="000000"/>
        </w:rPr>
        <w:t>La gestion des risques ;</w:t>
      </w:r>
    </w:p>
    <w:p w14:paraId="68524168" w14:textId="77777777" w:rsidR="00A769F5" w:rsidRPr="00B65C1B" w:rsidRDefault="00A769F5" w:rsidP="00FB2B45">
      <w:pPr>
        <w:numPr>
          <w:ilvl w:val="1"/>
          <w:numId w:val="14"/>
        </w:numPr>
        <w:spacing w:before="0" w:after="0" w:line="276" w:lineRule="auto"/>
        <w:rPr>
          <w:color w:val="000000"/>
        </w:rPr>
      </w:pPr>
      <w:r w:rsidRPr="00B65C1B">
        <w:rPr>
          <w:color w:val="000000"/>
        </w:rPr>
        <w:t xml:space="preserve">Les stratégies de mise en œuvre des activités ; </w:t>
      </w:r>
    </w:p>
    <w:p w14:paraId="36A416F6" w14:textId="77777777" w:rsidR="00A769F5" w:rsidRPr="00B65C1B" w:rsidRDefault="00A769F5" w:rsidP="00A769F5">
      <w:pPr>
        <w:spacing w:line="276" w:lineRule="auto"/>
        <w:rPr>
          <w:b/>
          <w:color w:val="000000"/>
        </w:rPr>
      </w:pPr>
      <w:r w:rsidRPr="00B65C1B">
        <w:rPr>
          <w:b/>
          <w:color w:val="000000"/>
        </w:rPr>
        <w:t>Covid 19</w:t>
      </w:r>
    </w:p>
    <w:p w14:paraId="5011AF96"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Est-ce que selon le matériel Covid-19 (kit de lavage des mains, savon, gel hydro alcoolique, masques) mis à disposition des populations est-t-il utilisé ? Sinon, pourquoi ?</w:t>
      </w:r>
    </w:p>
    <w:p w14:paraId="5189EDA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Est-ce que selon les mesures barrières (port des maques / cache-nez, lavage de main, distanciation physique) sont-elles respectées par les populations ? Sinon, pourquoi ?</w:t>
      </w:r>
    </w:p>
    <w:p w14:paraId="336DEEB0"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1B6AAE6E"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Qu’est-ce que vous recommandez/proposez à l’endroit :</w:t>
      </w:r>
    </w:p>
    <w:p w14:paraId="66B2794A"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ONG locales (CRADE, CAR.D, ADL RESFECO)</w:t>
      </w:r>
    </w:p>
    <w:p w14:paraId="67E40916"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323D7ED7"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 xml:space="preserve">Du Gouvernement </w:t>
      </w:r>
    </w:p>
    <w:p w14:paraId="7C37BC84" w14:textId="5BC00DC0" w:rsidR="00A769F5" w:rsidRDefault="00A769F5">
      <w:pPr>
        <w:spacing w:before="0" w:after="160" w:line="259" w:lineRule="auto"/>
        <w:jc w:val="left"/>
      </w:pPr>
      <w:r>
        <w:br w:type="page"/>
      </w:r>
    </w:p>
    <w:p w14:paraId="112908DA" w14:textId="020A9228"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.3. Guide d’entretien avec les ONG locales (CRADE, CAR.D, ADL &amp; REPSFECO)</w:t>
      </w:r>
    </w:p>
    <w:p w14:paraId="6E454386" w14:textId="77777777" w:rsidR="00A769F5" w:rsidRPr="00B65C1B" w:rsidRDefault="00A769F5" w:rsidP="00A769F5">
      <w:pPr>
        <w:spacing w:line="276" w:lineRule="auto"/>
        <w:rPr>
          <w:b/>
          <w:color w:val="000000"/>
        </w:rPr>
      </w:pPr>
      <w:r w:rsidRPr="00B65C1B">
        <w:rPr>
          <w:b/>
          <w:color w:val="000000"/>
        </w:rPr>
        <w:t>Pertinence</w:t>
      </w:r>
    </w:p>
    <w:p w14:paraId="723C4B96" w14:textId="77777777" w:rsidR="00A769F5" w:rsidRPr="00B65C1B" w:rsidRDefault="00A769F5" w:rsidP="00FB2B45">
      <w:pPr>
        <w:numPr>
          <w:ilvl w:val="0"/>
          <w:numId w:val="75"/>
        </w:numPr>
        <w:spacing w:before="0" w:after="0" w:line="276" w:lineRule="auto"/>
        <w:rPr>
          <w:color w:val="000000"/>
        </w:rPr>
      </w:pPr>
      <w:r w:rsidRPr="00B65C1B">
        <w:rPr>
          <w:color w:val="000000"/>
        </w:rPr>
        <w:t>De quelle manière les autorités locales (Maires, préfets et sous-préfets) ont intégré les besoins et intérêts des femmes dans les plans locaux de sécurité et de protection ? (</w:t>
      </w:r>
      <w:r w:rsidRPr="00C62F7E">
        <w:rPr>
          <w:b/>
          <w:color w:val="000000" w:themeColor="text1"/>
        </w:rPr>
        <w:t xml:space="preserve">NB : </w:t>
      </w:r>
      <w:r w:rsidRPr="00B65C1B">
        <w:rPr>
          <w:b/>
          <w:color w:val="000000"/>
        </w:rPr>
        <w:t>l’équipe d’évaluation sollicite</w:t>
      </w:r>
      <w:r w:rsidRPr="00C62F7E">
        <w:rPr>
          <w:b/>
          <w:color w:val="000000" w:themeColor="text1"/>
        </w:rPr>
        <w:t xml:space="preserve"> </w:t>
      </w:r>
      <w:r w:rsidRPr="00B65C1B">
        <w:rPr>
          <w:b/>
          <w:color w:val="000000"/>
        </w:rPr>
        <w:t>l</w:t>
      </w:r>
      <w:r w:rsidRPr="00C62F7E">
        <w:rPr>
          <w:b/>
          <w:color w:val="000000" w:themeColor="text1"/>
        </w:rPr>
        <w:t>es documents de plans locaux de sécurité et de protection</w:t>
      </w:r>
      <w:r w:rsidRPr="00B65C1B">
        <w:rPr>
          <w:b/>
          <w:color w:val="000000"/>
        </w:rPr>
        <w:t xml:space="preserve"> des communes</w:t>
      </w:r>
      <w:r w:rsidRPr="00B65C1B">
        <w:rPr>
          <w:color w:val="000000"/>
        </w:rPr>
        <w:t>)</w:t>
      </w:r>
    </w:p>
    <w:p w14:paraId="0E2CA684" w14:textId="77777777" w:rsidR="00A769F5" w:rsidRPr="00B65C1B" w:rsidRDefault="00A769F5" w:rsidP="00FB2B45">
      <w:pPr>
        <w:numPr>
          <w:ilvl w:val="0"/>
          <w:numId w:val="75"/>
        </w:numPr>
        <w:spacing w:before="0" w:after="0" w:line="276" w:lineRule="auto"/>
        <w:rPr>
          <w:color w:val="000000"/>
        </w:rPr>
      </w:pPr>
      <w:r w:rsidRPr="00B65C1B">
        <w:rPr>
          <w:color w:val="000000"/>
        </w:rPr>
        <w:t>De quelle manière les autorités locales (Maires, préfets et sous-préfets) ont intégré les besoins et intérêts des personnes handicapées dans les plans locaux de sécurité et de protection ?</w:t>
      </w:r>
    </w:p>
    <w:p w14:paraId="61FCD484" w14:textId="77777777" w:rsidR="00A769F5" w:rsidRPr="00B65C1B" w:rsidRDefault="00A769F5" w:rsidP="00A769F5">
      <w:pPr>
        <w:spacing w:line="276" w:lineRule="auto"/>
        <w:rPr>
          <w:b/>
          <w:color w:val="000000"/>
        </w:rPr>
      </w:pPr>
      <w:r w:rsidRPr="00B65C1B">
        <w:rPr>
          <w:b/>
          <w:color w:val="000000"/>
        </w:rPr>
        <w:t>Efficacité</w:t>
      </w:r>
    </w:p>
    <w:p w14:paraId="3B71BF7E" w14:textId="77777777" w:rsidR="00A769F5" w:rsidRPr="00B65C1B" w:rsidRDefault="00A769F5" w:rsidP="00FB2B45">
      <w:pPr>
        <w:numPr>
          <w:ilvl w:val="0"/>
          <w:numId w:val="75"/>
        </w:numPr>
        <w:spacing w:before="0" w:after="0" w:line="276" w:lineRule="auto"/>
        <w:rPr>
          <w:color w:val="000000"/>
        </w:rPr>
      </w:pPr>
      <w:r w:rsidRPr="00B65C1B">
        <w:rPr>
          <w:color w:val="000000"/>
        </w:rPr>
        <w:t>Parmi les bénéficiaires de vos activités, quelle est la proportion des personnes handicapées ?</w:t>
      </w:r>
    </w:p>
    <w:p w14:paraId="15CC2210" w14:textId="77777777" w:rsidR="00A769F5" w:rsidRPr="00B65C1B" w:rsidRDefault="00A769F5" w:rsidP="00FB2B45">
      <w:pPr>
        <w:numPr>
          <w:ilvl w:val="0"/>
          <w:numId w:val="75"/>
        </w:numPr>
        <w:spacing w:before="0" w:after="0" w:line="276" w:lineRule="auto"/>
        <w:rPr>
          <w:color w:val="000000"/>
        </w:rPr>
      </w:pPr>
      <w:r w:rsidRPr="00B65C1B">
        <w:rPr>
          <w:color w:val="000000"/>
        </w:rPr>
        <w:t>Quelles ont été les difficultés dans la prise en compte de l’inclusion des personnes handicapées dans le rapportage et le suivi du projet ?</w:t>
      </w:r>
    </w:p>
    <w:p w14:paraId="534378C2" w14:textId="77777777" w:rsidR="00A769F5" w:rsidRPr="00B65C1B" w:rsidRDefault="00A769F5" w:rsidP="00FB2B45">
      <w:pPr>
        <w:numPr>
          <w:ilvl w:val="0"/>
          <w:numId w:val="75"/>
        </w:numPr>
        <w:spacing w:before="0" w:after="0" w:line="276" w:lineRule="auto"/>
        <w:rPr>
          <w:color w:val="000000"/>
        </w:rPr>
      </w:pPr>
      <w:r w:rsidRPr="00B65C1B">
        <w:rPr>
          <w:color w:val="000000"/>
        </w:rPr>
        <w:t>En plus de l’insécurité et de la Covid 19, quelles ont été les autres contraintes (facteurs défavorables) qui ont limité la réalisation des activités ?</w:t>
      </w:r>
    </w:p>
    <w:p w14:paraId="5E7C861D" w14:textId="77777777" w:rsidR="00A769F5" w:rsidRPr="00B65C1B" w:rsidRDefault="00A769F5" w:rsidP="00FB2B45">
      <w:pPr>
        <w:numPr>
          <w:ilvl w:val="0"/>
          <w:numId w:val="75"/>
        </w:numPr>
        <w:spacing w:before="0" w:after="0" w:line="276" w:lineRule="auto"/>
        <w:rPr>
          <w:color w:val="000000"/>
        </w:rPr>
      </w:pPr>
      <w:r w:rsidRPr="00B65C1B">
        <w:rPr>
          <w:color w:val="000000"/>
        </w:rPr>
        <w:t>Quels sont les acteurs partenaires au développement qui interviennent sur la question de défiance au niveau local ?</w:t>
      </w:r>
    </w:p>
    <w:p w14:paraId="6A31E5FE" w14:textId="77777777" w:rsidR="00A769F5" w:rsidRPr="00B65C1B" w:rsidRDefault="00A769F5" w:rsidP="00FB2B45">
      <w:pPr>
        <w:numPr>
          <w:ilvl w:val="0"/>
          <w:numId w:val="75"/>
        </w:numPr>
        <w:spacing w:before="0" w:after="0" w:line="276" w:lineRule="auto"/>
        <w:rPr>
          <w:color w:val="000000"/>
        </w:rPr>
      </w:pPr>
      <w:r w:rsidRPr="00B65C1B">
        <w:rPr>
          <w:color w:val="000000"/>
        </w:rPr>
        <w:t>Quelles ont-été vos stratégies pour mobiliser les femmes à s’intéresser aux mécanismes communautaires de prévention et de gestion des conflits ?</w:t>
      </w:r>
    </w:p>
    <w:p w14:paraId="17512ADA" w14:textId="77777777" w:rsidR="00A769F5" w:rsidRPr="00B65C1B" w:rsidRDefault="00A769F5" w:rsidP="00FB2B45">
      <w:pPr>
        <w:numPr>
          <w:ilvl w:val="0"/>
          <w:numId w:val="75"/>
        </w:numPr>
        <w:spacing w:before="0" w:after="0" w:line="276" w:lineRule="auto"/>
        <w:rPr>
          <w:color w:val="000000"/>
        </w:rPr>
      </w:pPr>
      <w:r w:rsidRPr="00B65C1B">
        <w:rPr>
          <w:color w:val="000000"/>
        </w:rPr>
        <w:t>Quelles ont-été vos stratégies pour mobiliser les jeunes à s’intéresser aux mécanismes communautaires de prévention et de gestion des conflits ?</w:t>
      </w:r>
    </w:p>
    <w:p w14:paraId="1FE59E0D" w14:textId="77777777" w:rsidR="00A769F5" w:rsidRPr="00B65C1B" w:rsidRDefault="00A769F5" w:rsidP="00FB2B45">
      <w:pPr>
        <w:numPr>
          <w:ilvl w:val="0"/>
          <w:numId w:val="75"/>
        </w:numPr>
        <w:spacing w:before="0" w:after="0" w:line="276" w:lineRule="auto"/>
        <w:rPr>
          <w:color w:val="000000"/>
        </w:rPr>
      </w:pPr>
      <w:r w:rsidRPr="00B65C1B">
        <w:rPr>
          <w:color w:val="000000"/>
        </w:rPr>
        <w:t>Combien de femmes et de jeunes avez-vous pu impliquer dans les mécanismes communautaires de prévention et de gestion des conflits ?</w:t>
      </w:r>
    </w:p>
    <w:p w14:paraId="46ED1CAF" w14:textId="77777777" w:rsidR="00A769F5" w:rsidRPr="00B65C1B" w:rsidRDefault="00A769F5" w:rsidP="00FB2B45">
      <w:pPr>
        <w:numPr>
          <w:ilvl w:val="0"/>
          <w:numId w:val="75"/>
        </w:numPr>
        <w:spacing w:before="0" w:after="0" w:line="276" w:lineRule="auto"/>
        <w:rPr>
          <w:color w:val="000000"/>
        </w:rPr>
      </w:pPr>
      <w:r w:rsidRPr="00B65C1B">
        <w:rPr>
          <w:color w:val="000000"/>
        </w:rPr>
        <w:t>Quelles ont été les principales réalisations des comités locaux de prévention et gestion de conflits ?</w:t>
      </w:r>
    </w:p>
    <w:p w14:paraId="117235C0" w14:textId="77777777" w:rsidR="00A769F5" w:rsidRPr="00B65C1B" w:rsidRDefault="00A769F5" w:rsidP="00FB2B45">
      <w:pPr>
        <w:numPr>
          <w:ilvl w:val="0"/>
          <w:numId w:val="75"/>
        </w:numPr>
        <w:spacing w:before="0" w:after="0" w:line="276" w:lineRule="auto"/>
        <w:rPr>
          <w:color w:val="000000"/>
        </w:rPr>
      </w:pPr>
      <w:r w:rsidRPr="00B65C1B">
        <w:rPr>
          <w:color w:val="000000"/>
        </w:rPr>
        <w:t>Combien de personnes ont été sensibilisées par les comités locaux de gestion des conflits ?</w:t>
      </w:r>
    </w:p>
    <w:p w14:paraId="6584C7DC"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conflits gérés par les comités locaux mis en place ou redynamisés par les comités locaux ?</w:t>
      </w:r>
    </w:p>
    <w:p w14:paraId="31F43D35" w14:textId="77777777" w:rsidR="00A769F5" w:rsidRPr="00C62F7E" w:rsidRDefault="00A769F5" w:rsidP="00FB2B45">
      <w:pPr>
        <w:numPr>
          <w:ilvl w:val="0"/>
          <w:numId w:val="75"/>
        </w:numPr>
        <w:spacing w:before="0" w:after="0" w:line="276" w:lineRule="auto"/>
        <w:rPr>
          <w:color w:val="000000" w:themeColor="text1"/>
        </w:rPr>
      </w:pPr>
      <w:r w:rsidRPr="00C62F7E">
        <w:rPr>
          <w:color w:val="000000" w:themeColor="text1"/>
        </w:rPr>
        <w:t>Quelles ont été les s</w:t>
      </w:r>
      <w:r w:rsidRPr="00B65C1B">
        <w:rPr>
          <w:color w:val="000000"/>
        </w:rPr>
        <w:t>tratégies ou méthodes développées pour faire accepter la participation des femmes dans la prévention et la gestion des conflits </w:t>
      </w:r>
      <w:r w:rsidRPr="00C62F7E">
        <w:rPr>
          <w:color w:val="000000" w:themeColor="text1"/>
        </w:rPr>
        <w:t>?</w:t>
      </w:r>
    </w:p>
    <w:p w14:paraId="01DCDE85"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femmes ayant bénéficié de formation sur le leadership ?</w:t>
      </w:r>
    </w:p>
    <w:p w14:paraId="115133A4"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séances où les points de vue des femmes ont été pris en compte dans les décisions des comités de gestion des conflits ?</w:t>
      </w:r>
    </w:p>
    <w:p w14:paraId="7336CB35"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jours et de mois de retard accusé dans la mise en œuvre des activités ?</w:t>
      </w:r>
    </w:p>
    <w:p w14:paraId="181E9CAE" w14:textId="77777777" w:rsidR="00A769F5" w:rsidRPr="00B65C1B" w:rsidRDefault="00A769F5" w:rsidP="00A769F5">
      <w:pPr>
        <w:spacing w:before="0" w:after="0" w:line="276" w:lineRule="auto"/>
        <w:ind w:left="720"/>
        <w:rPr>
          <w:color w:val="000000"/>
        </w:rPr>
      </w:pPr>
    </w:p>
    <w:p w14:paraId="696D6C64" w14:textId="77777777" w:rsidR="00A769F5" w:rsidRPr="00B65C1B" w:rsidRDefault="00A769F5" w:rsidP="00A769F5">
      <w:pPr>
        <w:spacing w:line="276" w:lineRule="auto"/>
        <w:rPr>
          <w:b/>
          <w:color w:val="000000"/>
        </w:rPr>
      </w:pPr>
      <w:r w:rsidRPr="00B65C1B">
        <w:rPr>
          <w:b/>
          <w:color w:val="000000"/>
        </w:rPr>
        <w:t>Efficience</w:t>
      </w:r>
    </w:p>
    <w:p w14:paraId="25E4267A" w14:textId="77777777" w:rsidR="00A769F5" w:rsidRPr="00B65C1B" w:rsidRDefault="00A769F5" w:rsidP="00FB2B45">
      <w:pPr>
        <w:numPr>
          <w:ilvl w:val="0"/>
          <w:numId w:val="75"/>
        </w:numPr>
        <w:spacing w:before="0" w:after="0" w:line="276" w:lineRule="auto"/>
        <w:rPr>
          <w:color w:val="000000"/>
        </w:rPr>
      </w:pPr>
      <w:r w:rsidRPr="00B65C1B">
        <w:rPr>
          <w:color w:val="000000"/>
        </w:rPr>
        <w:t>La mise à disposition des ressources a-t-il accusé un retard ? si oui, Qu’est ce qui explique ce retard et combien de jours de retard ?</w:t>
      </w:r>
    </w:p>
    <w:p w14:paraId="3CA4CA3F" w14:textId="77777777" w:rsidR="00A769F5" w:rsidRPr="00B65C1B" w:rsidRDefault="00A769F5" w:rsidP="00FB2B45">
      <w:pPr>
        <w:numPr>
          <w:ilvl w:val="0"/>
          <w:numId w:val="75"/>
        </w:numPr>
        <w:spacing w:before="0" w:after="0" w:line="276" w:lineRule="auto"/>
        <w:rPr>
          <w:color w:val="000000"/>
        </w:rPr>
      </w:pPr>
      <w:r w:rsidRPr="00B65C1B">
        <w:rPr>
          <w:color w:val="000000"/>
        </w:rPr>
        <w:t xml:space="preserve">Y avait-il d'autres alternatives plus optimales de mise en œuvre du projet ? (stratégies qui permettaient d'atteindre les mêmes résultats avec les mêmes quantités de ressources ?) Si oui lesquelles ? </w:t>
      </w:r>
    </w:p>
    <w:p w14:paraId="18EFA802" w14:textId="77777777" w:rsidR="00A769F5" w:rsidRPr="00B65C1B" w:rsidRDefault="00A769F5" w:rsidP="00A769F5">
      <w:pPr>
        <w:spacing w:line="276" w:lineRule="auto"/>
        <w:rPr>
          <w:b/>
          <w:color w:val="000000"/>
        </w:rPr>
      </w:pPr>
      <w:r w:rsidRPr="00B65C1B">
        <w:rPr>
          <w:b/>
          <w:color w:val="000000"/>
        </w:rPr>
        <w:t>Durabilité</w:t>
      </w:r>
    </w:p>
    <w:p w14:paraId="3D0D1564" w14:textId="77777777" w:rsidR="00A769F5" w:rsidRPr="00B65C1B" w:rsidRDefault="00A769F5" w:rsidP="00FB2B45">
      <w:pPr>
        <w:numPr>
          <w:ilvl w:val="0"/>
          <w:numId w:val="75"/>
        </w:numPr>
        <w:spacing w:before="0" w:after="0" w:line="276" w:lineRule="auto"/>
        <w:rPr>
          <w:color w:val="000000"/>
        </w:rPr>
      </w:pPr>
      <w:r w:rsidRPr="00B65C1B">
        <w:rPr>
          <w:color w:val="000000"/>
        </w:rPr>
        <w:t>En quoi les mécanismes communautaires de prévention ou de gestion de conflits mis en place sont-t-ils pérennes ?</w:t>
      </w:r>
    </w:p>
    <w:p w14:paraId="4F7EB291" w14:textId="2089FC6B" w:rsidR="00E80642" w:rsidRPr="00B65C1B" w:rsidRDefault="00E80642" w:rsidP="00FB2B45">
      <w:pPr>
        <w:numPr>
          <w:ilvl w:val="0"/>
          <w:numId w:val="75"/>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57532E75" w14:textId="77777777" w:rsidR="00A769F5" w:rsidRPr="00B65C1B" w:rsidRDefault="00A769F5" w:rsidP="00A769F5">
      <w:pPr>
        <w:spacing w:before="0" w:after="160" w:line="276" w:lineRule="auto"/>
        <w:rPr>
          <w:b/>
          <w:color w:val="000000"/>
        </w:rPr>
      </w:pPr>
      <w:r w:rsidRPr="00B65C1B">
        <w:rPr>
          <w:b/>
          <w:color w:val="000000"/>
        </w:rPr>
        <w:t>Impact</w:t>
      </w:r>
    </w:p>
    <w:p w14:paraId="2D2A284E" w14:textId="77777777" w:rsidR="00A769F5" w:rsidRPr="00B65C1B" w:rsidRDefault="00A769F5" w:rsidP="00FB2B45">
      <w:pPr>
        <w:numPr>
          <w:ilvl w:val="0"/>
          <w:numId w:val="75"/>
        </w:numPr>
        <w:spacing w:before="0" w:after="0" w:line="276" w:lineRule="auto"/>
        <w:rPr>
          <w:color w:val="000000"/>
        </w:rPr>
      </w:pPr>
      <w:r w:rsidRPr="00B65C1B">
        <w:rPr>
          <w:color w:val="000000"/>
        </w:rPr>
        <w:t xml:space="preserve">Veuillez nous citer toutes les initiatives communautaires de paix qui ont été développées dans votre localité ? </w:t>
      </w:r>
    </w:p>
    <w:p w14:paraId="4558FE18"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femmes ?</w:t>
      </w:r>
    </w:p>
    <w:p w14:paraId="0218BCAF"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femmes victimes ?</w:t>
      </w:r>
    </w:p>
    <w:p w14:paraId="0A0B3083"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jeunes ?</w:t>
      </w:r>
    </w:p>
    <w:p w14:paraId="6A50C823" w14:textId="77777777" w:rsidR="00A769F5" w:rsidRPr="00B65C1B" w:rsidRDefault="00A769F5" w:rsidP="00FB2B45">
      <w:pPr>
        <w:numPr>
          <w:ilvl w:val="0"/>
          <w:numId w:val="75"/>
        </w:numPr>
        <w:spacing w:before="0" w:after="0" w:line="276" w:lineRule="auto"/>
        <w:rPr>
          <w:color w:val="000000"/>
        </w:rPr>
      </w:pPr>
      <w:r w:rsidRPr="00B65C1B">
        <w:rPr>
          <w:color w:val="000000"/>
        </w:rPr>
        <w:t>Le projet a-t-il eu des effets négatifs sur les communautés ? Si oui, lesquels ?</w:t>
      </w:r>
    </w:p>
    <w:p w14:paraId="381AE08A" w14:textId="77777777" w:rsidR="00A769F5" w:rsidRPr="00B65C1B" w:rsidRDefault="00A769F5" w:rsidP="00A769F5">
      <w:pPr>
        <w:spacing w:after="0" w:line="276" w:lineRule="auto"/>
        <w:ind w:left="426"/>
        <w:rPr>
          <w:color w:val="000000"/>
        </w:rPr>
      </w:pPr>
    </w:p>
    <w:p w14:paraId="7A24E605" w14:textId="77777777" w:rsidR="00A769F5" w:rsidRPr="00B65C1B" w:rsidRDefault="00A769F5" w:rsidP="00A769F5">
      <w:pPr>
        <w:spacing w:before="0" w:after="160" w:line="276" w:lineRule="auto"/>
        <w:rPr>
          <w:b/>
          <w:color w:val="000000"/>
        </w:rPr>
      </w:pPr>
      <w:r w:rsidRPr="00B65C1B">
        <w:rPr>
          <w:b/>
          <w:color w:val="000000"/>
        </w:rPr>
        <w:t>Leçons apprises</w:t>
      </w:r>
    </w:p>
    <w:p w14:paraId="7499507D" w14:textId="77777777" w:rsidR="00A769F5" w:rsidRPr="00B65C1B" w:rsidRDefault="00A769F5" w:rsidP="00FB2B45">
      <w:pPr>
        <w:numPr>
          <w:ilvl w:val="0"/>
          <w:numId w:val="75"/>
        </w:numPr>
        <w:spacing w:before="0" w:after="0" w:line="276" w:lineRule="auto"/>
        <w:rPr>
          <w:color w:val="000000"/>
        </w:rPr>
      </w:pPr>
      <w:r w:rsidRPr="00B65C1B">
        <w:rPr>
          <w:color w:val="000000"/>
        </w:rPr>
        <w:t>Quelles sont les leçons apprises du projet en matière de :</w:t>
      </w:r>
    </w:p>
    <w:p w14:paraId="38B1C339"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Gestion des risques de projet ;</w:t>
      </w:r>
    </w:p>
    <w:p w14:paraId="169B2645"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Stratégie d’implication des femmes et des jeunes dans les mécanismes de prévention et de gestion des conflits ;</w:t>
      </w:r>
    </w:p>
    <w:p w14:paraId="5917E042"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Renforcement des capacités des femmes et des jeunes sur les mécanismes de prévention et de gestion des conflits ;</w:t>
      </w:r>
    </w:p>
    <w:p w14:paraId="040330DA"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Renforcement des capacités des FDS et des acteurs de la chaine pénale sur les mécanismes de prévention et de gestion des conflits ;</w:t>
      </w:r>
    </w:p>
    <w:p w14:paraId="0975CBC1"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Contribution des femmes et jeunes dans les mécanismes de prévention et de gestion des conflits ?</w:t>
      </w:r>
    </w:p>
    <w:p w14:paraId="07165334" w14:textId="77777777" w:rsidR="00A769F5" w:rsidRPr="00B65C1B" w:rsidRDefault="00A769F5" w:rsidP="00FB2B45">
      <w:pPr>
        <w:numPr>
          <w:ilvl w:val="0"/>
          <w:numId w:val="75"/>
        </w:numPr>
        <w:spacing w:before="0" w:after="0" w:line="276" w:lineRule="auto"/>
        <w:rPr>
          <w:color w:val="000000"/>
        </w:rPr>
      </w:pPr>
      <w:r w:rsidRPr="00B65C1B">
        <w:rPr>
          <w:color w:val="000000"/>
        </w:rPr>
        <w:t>Pour la conception et la mise en œuvre d’interventions futures du projet, quelles sont selon les points essentiels à améliorer dans :</w:t>
      </w:r>
    </w:p>
    <w:p w14:paraId="7E82AC2E" w14:textId="77777777" w:rsidR="00A769F5" w:rsidRPr="00B65C1B" w:rsidRDefault="00A769F5" w:rsidP="00FB2B45">
      <w:pPr>
        <w:numPr>
          <w:ilvl w:val="1"/>
          <w:numId w:val="16"/>
        </w:numPr>
        <w:spacing w:before="0" w:after="0" w:line="276" w:lineRule="auto"/>
        <w:rPr>
          <w:color w:val="000000"/>
        </w:rPr>
      </w:pPr>
      <w:r w:rsidRPr="00B65C1B">
        <w:rPr>
          <w:color w:val="000000"/>
        </w:rPr>
        <w:t>La gestion des risques ;</w:t>
      </w:r>
    </w:p>
    <w:p w14:paraId="76146D0C" w14:textId="77777777" w:rsidR="00A769F5" w:rsidRPr="00B65C1B" w:rsidRDefault="00A769F5" w:rsidP="00FB2B45">
      <w:pPr>
        <w:numPr>
          <w:ilvl w:val="1"/>
          <w:numId w:val="16"/>
        </w:numPr>
        <w:spacing w:before="0" w:after="0" w:line="276" w:lineRule="auto"/>
        <w:rPr>
          <w:color w:val="000000"/>
        </w:rPr>
      </w:pPr>
      <w:r w:rsidRPr="00B65C1B">
        <w:rPr>
          <w:color w:val="000000"/>
        </w:rPr>
        <w:t xml:space="preserve">Les stratégies de mise en œuvre des activités ; </w:t>
      </w:r>
    </w:p>
    <w:p w14:paraId="08A86DCF" w14:textId="77777777" w:rsidR="00A769F5" w:rsidRPr="00B65C1B" w:rsidRDefault="00A769F5" w:rsidP="00A769F5">
      <w:pPr>
        <w:spacing w:line="276" w:lineRule="auto"/>
        <w:rPr>
          <w:b/>
          <w:color w:val="000000"/>
        </w:rPr>
      </w:pPr>
      <w:r w:rsidRPr="00B65C1B">
        <w:rPr>
          <w:b/>
          <w:color w:val="000000"/>
        </w:rPr>
        <w:t>Covid 19</w:t>
      </w:r>
    </w:p>
    <w:p w14:paraId="408948D5" w14:textId="551F6E39" w:rsidR="00A769F5" w:rsidRPr="00B65C1B" w:rsidRDefault="00A769F5" w:rsidP="00FB2B45">
      <w:pPr>
        <w:numPr>
          <w:ilvl w:val="0"/>
          <w:numId w:val="75"/>
        </w:numPr>
        <w:spacing w:before="0" w:after="0" w:line="276" w:lineRule="auto"/>
        <w:rPr>
          <w:color w:val="000000"/>
        </w:rPr>
      </w:pPr>
      <w:r w:rsidRPr="00B65C1B">
        <w:rPr>
          <w:color w:val="000000"/>
        </w:rPr>
        <w:t xml:space="preserve">Est-ce que selon </w:t>
      </w:r>
      <w:r w:rsidR="004B65B7" w:rsidRPr="00B65C1B">
        <w:rPr>
          <w:color w:val="000000"/>
        </w:rPr>
        <w:t xml:space="preserve">vous </w:t>
      </w:r>
      <w:r w:rsidRPr="00B65C1B">
        <w:rPr>
          <w:color w:val="000000"/>
        </w:rPr>
        <w:t>le matériel Covid-19 (kit de lavage des mains, savon, gel hydro alcoolique, masques) mis à disposition des populations est-t-il utilisé ? Sinon, pourquoi ?</w:t>
      </w:r>
    </w:p>
    <w:p w14:paraId="6DBBFAC7" w14:textId="77777777" w:rsidR="00A769F5" w:rsidRPr="00B65C1B" w:rsidRDefault="00A769F5" w:rsidP="00FB2B45">
      <w:pPr>
        <w:numPr>
          <w:ilvl w:val="0"/>
          <w:numId w:val="75"/>
        </w:numPr>
        <w:spacing w:before="0" w:after="0" w:line="276" w:lineRule="auto"/>
        <w:rPr>
          <w:color w:val="000000"/>
        </w:rPr>
      </w:pPr>
      <w:r w:rsidRPr="00B65C1B">
        <w:rPr>
          <w:color w:val="000000"/>
        </w:rPr>
        <w:t>Est-ce que selon les mesures barrières (port des maques / cache-nez, lavage de main, distanciation physique) sont-elles respectées par les populations ? Sinon, pourquoi ?</w:t>
      </w:r>
    </w:p>
    <w:p w14:paraId="5F90979B" w14:textId="77777777" w:rsidR="00A769F5" w:rsidRPr="00B65C1B" w:rsidRDefault="00A769F5" w:rsidP="00FB2B45">
      <w:pPr>
        <w:numPr>
          <w:ilvl w:val="0"/>
          <w:numId w:val="75"/>
        </w:numPr>
        <w:spacing w:before="0" w:after="0" w:line="276" w:lineRule="auto"/>
        <w:rPr>
          <w:color w:val="000000"/>
        </w:rPr>
      </w:pPr>
      <w:r w:rsidRPr="00B65C1B">
        <w:rPr>
          <w:color w:val="000000"/>
        </w:rPr>
        <w:t>Quelle est votre appréciation de l’apport du projet (don de matériel, sensibilisation) dans votre localité ?</w:t>
      </w:r>
    </w:p>
    <w:p w14:paraId="49150421" w14:textId="77777777" w:rsidR="00A769F5" w:rsidRPr="00B65C1B" w:rsidRDefault="00A769F5" w:rsidP="00A769F5">
      <w:pPr>
        <w:spacing w:before="0" w:after="0" w:line="276" w:lineRule="auto"/>
        <w:ind w:left="720"/>
        <w:rPr>
          <w:color w:val="000000"/>
        </w:rPr>
      </w:pPr>
    </w:p>
    <w:p w14:paraId="464C3244"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74313118" w14:textId="77777777" w:rsidR="00A769F5" w:rsidRPr="00B65C1B" w:rsidRDefault="00A769F5" w:rsidP="00FB2B45">
      <w:pPr>
        <w:numPr>
          <w:ilvl w:val="0"/>
          <w:numId w:val="75"/>
        </w:numPr>
        <w:spacing w:before="0" w:after="0" w:line="276" w:lineRule="auto"/>
        <w:rPr>
          <w:color w:val="000000"/>
        </w:rPr>
      </w:pPr>
      <w:r w:rsidRPr="00B65C1B">
        <w:rPr>
          <w:color w:val="000000"/>
        </w:rPr>
        <w:t>Qu’est-ce que vous recommandez/proposez à l’endroit :</w:t>
      </w:r>
    </w:p>
    <w:p w14:paraId="1E35501F"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agences de mise en œuvre (ONU Femmes et ONUDC)</w:t>
      </w:r>
    </w:p>
    <w:p w14:paraId="7E4F6609"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470A70FD"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Du Gouvernement</w:t>
      </w:r>
    </w:p>
    <w:p w14:paraId="769D6E5A" w14:textId="77777777" w:rsidR="00A769F5" w:rsidRDefault="00A769F5" w:rsidP="00A769F5">
      <w:pPr>
        <w:spacing w:before="0" w:after="160" w:line="259" w:lineRule="auto"/>
        <w:jc w:val="left"/>
      </w:pPr>
      <w:r>
        <w:br w:type="page"/>
      </w:r>
    </w:p>
    <w:p w14:paraId="01481FEC" w14:textId="6A95B2DD" w:rsidR="00A769F5" w:rsidRPr="0060123A" w:rsidRDefault="00A769F5" w:rsidP="00A769F5">
      <w:pPr>
        <w:keepNext/>
        <w:keepLines/>
        <w:spacing w:before="0" w:after="0" w:line="276" w:lineRule="auto"/>
        <w:outlineLvl w:val="3"/>
        <w:rPr>
          <w:b/>
          <w:i/>
          <w:smallCaps/>
          <w:color w:val="2E74B5"/>
        </w:rPr>
      </w:pPr>
      <w:bookmarkStart w:id="1006" w:name="_Hlk79674855"/>
      <w:r w:rsidRPr="0060123A">
        <w:rPr>
          <w:b/>
          <w:i/>
          <w:smallCaps/>
          <w:color w:val="2E74B5"/>
        </w:rPr>
        <w:t xml:space="preserve">Annexe </w:t>
      </w:r>
      <w:r w:rsidR="006E0364" w:rsidRPr="0060123A">
        <w:rPr>
          <w:b/>
          <w:i/>
          <w:smallCaps/>
          <w:color w:val="2E74B5"/>
        </w:rPr>
        <w:t>5</w:t>
      </w:r>
      <w:r w:rsidRPr="0060123A">
        <w:rPr>
          <w:b/>
          <w:i/>
          <w:smallCaps/>
          <w:color w:val="2E74B5"/>
        </w:rPr>
        <w:t>.4. Guide d’entretien avec les Directeurs, les élus locaux, les préfets et sous-préfets</w:t>
      </w:r>
    </w:p>
    <w:p w14:paraId="46FD5FE6" w14:textId="77777777" w:rsidR="00A769F5" w:rsidRPr="00571542" w:rsidRDefault="00A769F5" w:rsidP="00A769F5">
      <w:pPr>
        <w:spacing w:line="276" w:lineRule="auto"/>
        <w:rPr>
          <w:rFonts w:cs="Tahoma"/>
          <w:sz w:val="12"/>
          <w:szCs w:val="12"/>
        </w:rPr>
      </w:pPr>
    </w:p>
    <w:p w14:paraId="0154D91F" w14:textId="77777777" w:rsidR="00A769F5" w:rsidRPr="0060123A" w:rsidRDefault="00A769F5" w:rsidP="00A769F5">
      <w:pPr>
        <w:spacing w:line="276" w:lineRule="auto"/>
        <w:rPr>
          <w:b/>
          <w:color w:val="000000"/>
        </w:rPr>
      </w:pPr>
      <w:r w:rsidRPr="0060123A">
        <w:rPr>
          <w:b/>
          <w:color w:val="000000"/>
        </w:rPr>
        <w:t>Pertinence</w:t>
      </w:r>
    </w:p>
    <w:p w14:paraId="2F1A1BAE" w14:textId="77777777" w:rsidR="00A769F5" w:rsidRPr="0060123A" w:rsidRDefault="00A769F5" w:rsidP="00FB2B45">
      <w:pPr>
        <w:numPr>
          <w:ilvl w:val="0"/>
          <w:numId w:val="17"/>
        </w:numPr>
        <w:spacing w:before="0" w:after="0" w:line="276" w:lineRule="auto"/>
        <w:rPr>
          <w:color w:val="000000"/>
        </w:rPr>
      </w:pPr>
      <w:r w:rsidRPr="0060123A">
        <w:rPr>
          <w:color w:val="000000"/>
        </w:rPr>
        <w:t>Comment avez-vous apprécié les activités d’implication des femmes et des jeunes dans les mécanismes étatiques et communautaires de prévention et de gestion des conflits ?</w:t>
      </w:r>
    </w:p>
    <w:p w14:paraId="17A4BC81" w14:textId="77777777" w:rsidR="00A769F5" w:rsidRPr="0060123A" w:rsidRDefault="00A769F5" w:rsidP="00FB2B45">
      <w:pPr>
        <w:numPr>
          <w:ilvl w:val="0"/>
          <w:numId w:val="17"/>
        </w:numPr>
        <w:spacing w:before="0" w:after="0" w:line="276" w:lineRule="auto"/>
        <w:rPr>
          <w:color w:val="000000"/>
        </w:rPr>
      </w:pPr>
      <w:r w:rsidRPr="0060123A">
        <w:rPr>
          <w:color w:val="000000"/>
        </w:rPr>
        <w:t>Comment avez-vous apprécié les activités transfrontalières mise en œuvre de prévention et de gestion des conflits ?</w:t>
      </w:r>
    </w:p>
    <w:p w14:paraId="25E05B1F" w14:textId="04B7BE2F" w:rsidR="00A769F5" w:rsidRPr="0060123A" w:rsidRDefault="00A769F5" w:rsidP="00FB2B45">
      <w:pPr>
        <w:numPr>
          <w:ilvl w:val="0"/>
          <w:numId w:val="17"/>
        </w:numPr>
        <w:spacing w:before="0" w:after="0" w:line="276" w:lineRule="auto"/>
        <w:rPr>
          <w:color w:val="000000"/>
        </w:rPr>
      </w:pPr>
      <w:r w:rsidRPr="0060123A">
        <w:rPr>
          <w:color w:val="000000"/>
        </w:rPr>
        <w:t>De quelle manière les autorités locales (maires, préfet et sous-préfets) ont intégré les besoins et intérêts des femmes dans les plans locaux de sécurité et de protection ? (</w:t>
      </w:r>
      <w:r w:rsidRPr="0060123A">
        <w:rPr>
          <w:i/>
          <w:color w:val="000000"/>
          <w:sz w:val="20"/>
        </w:rPr>
        <w:t>NB : L’équipe d’évaluation sollicite les plans locaux de sécurité et de protection des communes</w:t>
      </w:r>
      <w:r w:rsidRPr="0060123A">
        <w:rPr>
          <w:color w:val="000000"/>
        </w:rPr>
        <w:t>)</w:t>
      </w:r>
      <w:r w:rsidR="000A6211" w:rsidRPr="0060123A">
        <w:rPr>
          <w:color w:val="000000"/>
        </w:rPr>
        <w:t> ?</w:t>
      </w:r>
    </w:p>
    <w:p w14:paraId="2B148393" w14:textId="77777777" w:rsidR="00A769F5" w:rsidRPr="0060123A" w:rsidRDefault="00A769F5" w:rsidP="00FB2B45">
      <w:pPr>
        <w:numPr>
          <w:ilvl w:val="0"/>
          <w:numId w:val="17"/>
        </w:numPr>
        <w:spacing w:before="0" w:after="0" w:line="276" w:lineRule="auto"/>
        <w:rPr>
          <w:color w:val="000000"/>
        </w:rPr>
      </w:pPr>
      <w:r w:rsidRPr="0060123A">
        <w:rPr>
          <w:color w:val="000000"/>
        </w:rPr>
        <w:t>De quelle manière les priorités des personnes handicapées sont-elles prises en compte dans les plans locaux de sécurité et de protection ?</w:t>
      </w:r>
    </w:p>
    <w:p w14:paraId="4D086F49" w14:textId="77777777" w:rsidR="00A769F5" w:rsidRPr="0060123A" w:rsidRDefault="00A769F5" w:rsidP="00FB2B45">
      <w:pPr>
        <w:numPr>
          <w:ilvl w:val="0"/>
          <w:numId w:val="17"/>
        </w:numPr>
        <w:spacing w:before="0" w:after="0" w:line="276" w:lineRule="auto"/>
        <w:rPr>
          <w:color w:val="000000"/>
        </w:rPr>
      </w:pPr>
      <w:r w:rsidRPr="0060123A">
        <w:rPr>
          <w:color w:val="000000"/>
        </w:rPr>
        <w:t>Est-ce que d’autres problèmes ont apparu sur la période de mise en œuvre du projet ? Si oui lesquels ?</w:t>
      </w:r>
    </w:p>
    <w:p w14:paraId="57A233A6" w14:textId="77777777" w:rsidR="00A769F5" w:rsidRPr="0060123A" w:rsidRDefault="00A769F5" w:rsidP="00A769F5">
      <w:pPr>
        <w:spacing w:line="276" w:lineRule="auto"/>
        <w:rPr>
          <w:b/>
          <w:color w:val="000000"/>
        </w:rPr>
      </w:pPr>
      <w:r w:rsidRPr="0060123A">
        <w:rPr>
          <w:b/>
          <w:color w:val="000000"/>
        </w:rPr>
        <w:t>Efficacité</w:t>
      </w:r>
    </w:p>
    <w:p w14:paraId="04A44DA9"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acteurs partenaires de développement qui interviennent sur la question de défiance entre les communautés locales, les acteurs de la chaine pénale et les FDS ?</w:t>
      </w:r>
    </w:p>
    <w:p w14:paraId="2E440484" w14:textId="1807BE55" w:rsidR="00A769F5" w:rsidRPr="0060123A" w:rsidRDefault="00A769F5" w:rsidP="00FB2B45">
      <w:pPr>
        <w:numPr>
          <w:ilvl w:val="0"/>
          <w:numId w:val="17"/>
        </w:numPr>
        <w:spacing w:before="0" w:after="0" w:line="276" w:lineRule="auto"/>
        <w:rPr>
          <w:color w:val="000000"/>
        </w:rPr>
      </w:pPr>
      <w:r w:rsidRPr="0060123A">
        <w:rPr>
          <w:color w:val="000000"/>
        </w:rPr>
        <w:t>Quelle appréciation faites-vous aujourd’hui du niveau de représentativité des femmes et des jeunes dans les mécanismes de prévention et de gestion des conflits ?</w:t>
      </w:r>
    </w:p>
    <w:p w14:paraId="7C1D91A0" w14:textId="1640499E" w:rsidR="000A6211" w:rsidRPr="0060123A" w:rsidRDefault="00A349C8" w:rsidP="00FB2B45">
      <w:pPr>
        <w:numPr>
          <w:ilvl w:val="0"/>
          <w:numId w:val="17"/>
        </w:numPr>
        <w:spacing w:before="0" w:after="0" w:line="276" w:lineRule="auto"/>
        <w:rPr>
          <w:color w:val="000000"/>
        </w:rPr>
      </w:pPr>
      <w:r w:rsidRPr="0060123A">
        <w:rPr>
          <w:color w:val="000000"/>
        </w:rPr>
        <w:t>Quelle sont les activités mise en œuvre avec les autres partenaires (ONG Locales : ADL, RESFECO) du côté du Mali ?</w:t>
      </w:r>
    </w:p>
    <w:p w14:paraId="026E17AB" w14:textId="77777777" w:rsidR="00A769F5" w:rsidRPr="0060123A" w:rsidRDefault="00A769F5" w:rsidP="00A769F5">
      <w:pPr>
        <w:spacing w:line="276" w:lineRule="auto"/>
        <w:ind w:left="426"/>
        <w:rPr>
          <w:color w:val="000000"/>
          <w:sz w:val="8"/>
        </w:rPr>
      </w:pPr>
    </w:p>
    <w:p w14:paraId="548EBB2F" w14:textId="77777777" w:rsidR="00A769F5" w:rsidRPr="0060123A" w:rsidRDefault="00A769F5" w:rsidP="00A769F5">
      <w:pPr>
        <w:spacing w:line="276" w:lineRule="auto"/>
        <w:rPr>
          <w:b/>
          <w:color w:val="000000"/>
        </w:rPr>
      </w:pPr>
      <w:r w:rsidRPr="0060123A">
        <w:rPr>
          <w:b/>
          <w:color w:val="000000"/>
        </w:rPr>
        <w:t>Durabilité</w:t>
      </w:r>
    </w:p>
    <w:p w14:paraId="02AFDF89" w14:textId="77777777" w:rsidR="00A769F5" w:rsidRPr="0060123A" w:rsidRDefault="00A769F5" w:rsidP="00FB2B45">
      <w:pPr>
        <w:numPr>
          <w:ilvl w:val="0"/>
          <w:numId w:val="17"/>
        </w:numPr>
        <w:spacing w:before="0" w:after="0" w:line="276" w:lineRule="auto"/>
        <w:rPr>
          <w:color w:val="000000"/>
        </w:rPr>
      </w:pPr>
      <w:r w:rsidRPr="0060123A">
        <w:rPr>
          <w:color w:val="000000"/>
        </w:rPr>
        <w:t>Selon vous, est ce que les leaders communautaires sont-ils engagés à maintenir les femmes et les jeunes dans les mécanismes communautaires de prévention et de gestion des conflits</w:t>
      </w:r>
    </w:p>
    <w:p w14:paraId="26F06D19" w14:textId="02D7B9FA" w:rsidR="00E80642" w:rsidRPr="0060123A" w:rsidRDefault="00E80642" w:rsidP="00FB2B45">
      <w:pPr>
        <w:numPr>
          <w:ilvl w:val="0"/>
          <w:numId w:val="17"/>
        </w:numPr>
        <w:spacing w:before="0" w:after="0" w:line="276" w:lineRule="auto"/>
        <w:rPr>
          <w:color w:val="000000"/>
        </w:rPr>
      </w:pPr>
      <w:r w:rsidRPr="0060123A">
        <w:rPr>
          <w:color w:val="000000"/>
        </w:rPr>
        <w:t>Quels est le degré de risque que les femmes ne fassent partie des comités locaux et les facteurs de risques y relatifs ?</w:t>
      </w:r>
    </w:p>
    <w:p w14:paraId="370046F4" w14:textId="77777777" w:rsidR="00A769F5" w:rsidRPr="0060123A" w:rsidRDefault="00A769F5" w:rsidP="00FB2B45">
      <w:pPr>
        <w:numPr>
          <w:ilvl w:val="0"/>
          <w:numId w:val="17"/>
        </w:numPr>
        <w:spacing w:before="0" w:after="0" w:line="276" w:lineRule="auto"/>
        <w:rPr>
          <w:color w:val="000000"/>
        </w:rPr>
      </w:pPr>
      <w:r w:rsidRPr="0060123A">
        <w:rPr>
          <w:color w:val="000000"/>
        </w:rPr>
        <w:t>En quoi la perception du rôle des femmes et des jeunes dans les comités d’alerte précoce a été changée au niveau de la communauté ?</w:t>
      </w:r>
    </w:p>
    <w:p w14:paraId="20AED20A" w14:textId="77777777" w:rsidR="00A769F5" w:rsidRPr="0060123A" w:rsidRDefault="00A769F5" w:rsidP="00A769F5">
      <w:pPr>
        <w:spacing w:after="0" w:line="276" w:lineRule="auto"/>
        <w:ind w:left="426"/>
        <w:rPr>
          <w:color w:val="000000"/>
          <w:sz w:val="8"/>
        </w:rPr>
      </w:pPr>
    </w:p>
    <w:p w14:paraId="6DBC837A" w14:textId="77777777" w:rsidR="00A769F5" w:rsidRPr="0060123A" w:rsidRDefault="00A769F5" w:rsidP="00A769F5">
      <w:pPr>
        <w:spacing w:line="276" w:lineRule="auto"/>
        <w:rPr>
          <w:b/>
          <w:color w:val="000000"/>
        </w:rPr>
      </w:pPr>
      <w:r w:rsidRPr="0060123A">
        <w:rPr>
          <w:b/>
          <w:color w:val="000000"/>
        </w:rPr>
        <w:t>Impact</w:t>
      </w:r>
    </w:p>
    <w:p w14:paraId="740CC1D9"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changements que vous avez observé dans l’administration de la justice dans votre localité ?</w:t>
      </w:r>
    </w:p>
    <w:p w14:paraId="28759CA4"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changements que vous avez observé dans le renforcement des capacités des FDS ?</w:t>
      </w:r>
    </w:p>
    <w:p w14:paraId="43070E54" w14:textId="77777777" w:rsidR="00A769F5" w:rsidRPr="0060123A" w:rsidRDefault="00A769F5" w:rsidP="00FB2B45">
      <w:pPr>
        <w:numPr>
          <w:ilvl w:val="0"/>
          <w:numId w:val="17"/>
        </w:numPr>
        <w:spacing w:before="0" w:after="0" w:line="276" w:lineRule="auto"/>
        <w:rPr>
          <w:color w:val="000000"/>
        </w:rPr>
      </w:pPr>
      <w:r w:rsidRPr="0060123A">
        <w:rPr>
          <w:color w:val="000000"/>
        </w:rPr>
        <w:t>Le projet a-t-il eu des effets négatifs du projet sur les communautés ? Si oui lesquels ?</w:t>
      </w:r>
    </w:p>
    <w:p w14:paraId="00BD82B0" w14:textId="77777777" w:rsidR="00A769F5" w:rsidRPr="0060123A" w:rsidRDefault="00A769F5" w:rsidP="00FB2B45">
      <w:pPr>
        <w:numPr>
          <w:ilvl w:val="0"/>
          <w:numId w:val="17"/>
        </w:numPr>
        <w:spacing w:before="0" w:after="0" w:line="276" w:lineRule="auto"/>
        <w:rPr>
          <w:color w:val="000000"/>
        </w:rPr>
      </w:pPr>
      <w:r w:rsidRPr="0060123A">
        <w:rPr>
          <w:color w:val="000000"/>
        </w:rPr>
        <w:t xml:space="preserve">Veuillez nous citer toutes les initiatives communautaires de paix ont été développées dans votre localité ? </w:t>
      </w:r>
    </w:p>
    <w:p w14:paraId="014B4912"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femmes ?</w:t>
      </w:r>
    </w:p>
    <w:p w14:paraId="403EF4AF"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femmes victimes ?</w:t>
      </w:r>
    </w:p>
    <w:p w14:paraId="4A3DA4F1"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jeunes ?</w:t>
      </w:r>
    </w:p>
    <w:p w14:paraId="39ED8818" w14:textId="77777777" w:rsidR="00A769F5" w:rsidRPr="0060123A" w:rsidRDefault="00A769F5" w:rsidP="00A769F5">
      <w:pPr>
        <w:spacing w:line="276" w:lineRule="auto"/>
        <w:rPr>
          <w:b/>
          <w:color w:val="000000"/>
        </w:rPr>
      </w:pPr>
      <w:r w:rsidRPr="0060123A">
        <w:rPr>
          <w:b/>
          <w:color w:val="000000"/>
        </w:rPr>
        <w:t>Leçons apprises et suite du projet</w:t>
      </w:r>
    </w:p>
    <w:p w14:paraId="688AD2B0" w14:textId="77777777" w:rsidR="00A769F5" w:rsidRPr="0060123A" w:rsidRDefault="00A769F5" w:rsidP="00FB2B45">
      <w:pPr>
        <w:numPr>
          <w:ilvl w:val="0"/>
          <w:numId w:val="17"/>
        </w:numPr>
        <w:spacing w:before="0" w:after="0" w:line="276" w:lineRule="auto"/>
        <w:rPr>
          <w:color w:val="000000"/>
        </w:rPr>
      </w:pPr>
      <w:r w:rsidRPr="0060123A">
        <w:rPr>
          <w:color w:val="000000"/>
        </w:rPr>
        <w:t>Quelles sont les leçons apprises du projet en matière de :</w:t>
      </w:r>
    </w:p>
    <w:p w14:paraId="30C19F34" w14:textId="77777777" w:rsidR="00A769F5" w:rsidRPr="0060123A" w:rsidRDefault="00A769F5" w:rsidP="00FB2B45">
      <w:pPr>
        <w:numPr>
          <w:ilvl w:val="0"/>
          <w:numId w:val="18"/>
        </w:numPr>
        <w:spacing w:before="0" w:after="0" w:line="276" w:lineRule="auto"/>
        <w:rPr>
          <w:color w:val="000000"/>
        </w:rPr>
      </w:pPr>
      <w:r w:rsidRPr="0060123A">
        <w:rPr>
          <w:color w:val="000000"/>
        </w:rPr>
        <w:t>Stratégie d’implication des femmes et des jeunes dans les mécanismes de prévention et de gestion des conflits ;</w:t>
      </w:r>
    </w:p>
    <w:p w14:paraId="0F054BA3" w14:textId="77777777" w:rsidR="00A769F5" w:rsidRPr="0060123A" w:rsidRDefault="00A769F5" w:rsidP="00FB2B45">
      <w:pPr>
        <w:numPr>
          <w:ilvl w:val="0"/>
          <w:numId w:val="18"/>
        </w:numPr>
        <w:spacing w:before="0" w:after="0" w:line="276" w:lineRule="auto"/>
        <w:rPr>
          <w:color w:val="000000"/>
        </w:rPr>
      </w:pPr>
      <w:r w:rsidRPr="0060123A">
        <w:rPr>
          <w:color w:val="000000"/>
        </w:rPr>
        <w:t>Renforcement des capacités des femmes et des jeunes sur les mécanismes de prévention et de gestion des conflits ;</w:t>
      </w:r>
    </w:p>
    <w:p w14:paraId="5933531A" w14:textId="77777777" w:rsidR="00A769F5" w:rsidRPr="0060123A" w:rsidRDefault="00A769F5" w:rsidP="00FB2B45">
      <w:pPr>
        <w:numPr>
          <w:ilvl w:val="0"/>
          <w:numId w:val="18"/>
        </w:numPr>
        <w:spacing w:before="0" w:after="0" w:line="276" w:lineRule="auto"/>
        <w:rPr>
          <w:color w:val="000000"/>
        </w:rPr>
      </w:pPr>
      <w:r w:rsidRPr="0060123A">
        <w:rPr>
          <w:color w:val="000000"/>
        </w:rPr>
        <w:t>Renforcement des capacités des FDS et des acteurs de la chaine pénale sur les mécanismes de prévention et de gestion des conflits ;</w:t>
      </w:r>
    </w:p>
    <w:p w14:paraId="2107F0B4" w14:textId="77777777" w:rsidR="00A769F5" w:rsidRPr="0060123A" w:rsidRDefault="00A769F5" w:rsidP="00FB2B45">
      <w:pPr>
        <w:numPr>
          <w:ilvl w:val="0"/>
          <w:numId w:val="18"/>
        </w:numPr>
        <w:spacing w:before="0" w:after="0" w:line="276" w:lineRule="auto"/>
        <w:rPr>
          <w:color w:val="000000"/>
        </w:rPr>
      </w:pPr>
      <w:r w:rsidRPr="0060123A">
        <w:rPr>
          <w:color w:val="000000"/>
        </w:rPr>
        <w:t>Contribution des femmes et jeunes dans les mécanismes de prévention et de gestion des conflits ?</w:t>
      </w:r>
    </w:p>
    <w:p w14:paraId="48A9DE37" w14:textId="77777777" w:rsidR="00A769F5" w:rsidRPr="0060123A" w:rsidRDefault="00A769F5" w:rsidP="00FB2B45">
      <w:pPr>
        <w:numPr>
          <w:ilvl w:val="0"/>
          <w:numId w:val="17"/>
        </w:numPr>
        <w:spacing w:before="0" w:after="0" w:line="276" w:lineRule="auto"/>
        <w:rPr>
          <w:color w:val="000000"/>
        </w:rPr>
      </w:pPr>
      <w:r w:rsidRPr="0060123A">
        <w:rPr>
          <w:color w:val="000000"/>
        </w:rPr>
        <w:t>Pour la conception et la mise en œuvre d’interventions futures du projet, quelles sont selon les points essentiels à améliorer dans :</w:t>
      </w:r>
    </w:p>
    <w:p w14:paraId="37BEBFFE" w14:textId="77777777" w:rsidR="00A769F5" w:rsidRPr="0060123A" w:rsidRDefault="00A769F5" w:rsidP="00FB2B45">
      <w:pPr>
        <w:numPr>
          <w:ilvl w:val="0"/>
          <w:numId w:val="18"/>
        </w:numPr>
        <w:spacing w:before="0" w:after="0" w:line="276" w:lineRule="auto"/>
        <w:rPr>
          <w:color w:val="000000"/>
        </w:rPr>
      </w:pPr>
      <w:r w:rsidRPr="0060123A">
        <w:rPr>
          <w:color w:val="000000"/>
        </w:rPr>
        <w:t>La gestion des risques ;</w:t>
      </w:r>
    </w:p>
    <w:p w14:paraId="2BD84F36" w14:textId="77777777" w:rsidR="00A769F5" w:rsidRPr="0060123A" w:rsidRDefault="00A769F5" w:rsidP="00FB2B45">
      <w:pPr>
        <w:numPr>
          <w:ilvl w:val="0"/>
          <w:numId w:val="18"/>
        </w:numPr>
        <w:spacing w:before="0" w:after="0" w:line="276" w:lineRule="auto"/>
        <w:rPr>
          <w:color w:val="000000"/>
        </w:rPr>
      </w:pPr>
      <w:r w:rsidRPr="0060123A">
        <w:rPr>
          <w:color w:val="000000"/>
        </w:rPr>
        <w:t>Les stratégies de mise en œuvre des activités ?</w:t>
      </w:r>
    </w:p>
    <w:bookmarkEnd w:id="1006"/>
    <w:p w14:paraId="24639F96" w14:textId="77777777" w:rsidR="00A769F5" w:rsidRPr="0060123A" w:rsidRDefault="00A769F5" w:rsidP="00A769F5">
      <w:pPr>
        <w:spacing w:before="0" w:after="0" w:line="276" w:lineRule="auto"/>
        <w:rPr>
          <w:color w:val="000000"/>
        </w:rPr>
      </w:pPr>
    </w:p>
    <w:p w14:paraId="1CEE1696" w14:textId="77777777" w:rsidR="00A769F5" w:rsidRPr="0060123A" w:rsidRDefault="00A769F5" w:rsidP="00A769F5">
      <w:pPr>
        <w:spacing w:before="0" w:after="160" w:line="259" w:lineRule="auto"/>
        <w:jc w:val="left"/>
        <w:rPr>
          <w:color w:val="000000"/>
        </w:rPr>
      </w:pPr>
      <w:r w:rsidRPr="0060123A">
        <w:rPr>
          <w:color w:val="000000"/>
        </w:rPr>
        <w:br w:type="page"/>
      </w:r>
    </w:p>
    <w:p w14:paraId="74E52AD7" w14:textId="1940A01A"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.5. Guide d’entretien avec les Responsables de la sécurité et les acteurs de la chaine pénale</w:t>
      </w:r>
    </w:p>
    <w:p w14:paraId="16A97CB5" w14:textId="77777777" w:rsidR="00A769F5" w:rsidRPr="00B65C1B" w:rsidRDefault="00A769F5" w:rsidP="00A769F5">
      <w:pPr>
        <w:spacing w:line="276" w:lineRule="auto"/>
        <w:rPr>
          <w:b/>
          <w:color w:val="000000"/>
        </w:rPr>
      </w:pPr>
      <w:r w:rsidRPr="00B65C1B">
        <w:rPr>
          <w:b/>
          <w:color w:val="000000"/>
        </w:rPr>
        <w:t>Pertinence</w:t>
      </w:r>
    </w:p>
    <w:p w14:paraId="7F21F64E"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le Projet adresse des réponses à la défiance entre vous (acteurs de la chaine pénale et FDS) et les communautés ?</w:t>
      </w:r>
    </w:p>
    <w:p w14:paraId="54F30446"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stratégies de renforcement des capacités des FDS et des acteurs de la chaine pénale sur la gestion des conflits ?</w:t>
      </w:r>
    </w:p>
    <w:p w14:paraId="09F7C7AD"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activités d’implication des femmes et des jeunes dans les mécanismes étatiques de prévention et de gestion des conflits ?</w:t>
      </w:r>
    </w:p>
    <w:p w14:paraId="01B3EDF3"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activités transfrontalières mise en œuvre de prévention et de gestion des conflits ?</w:t>
      </w:r>
    </w:p>
    <w:p w14:paraId="6EBC3C4C" w14:textId="77777777" w:rsidR="00A769F5" w:rsidRPr="00B65C1B" w:rsidRDefault="00A769F5" w:rsidP="00A769F5">
      <w:pPr>
        <w:spacing w:line="276" w:lineRule="auto"/>
        <w:rPr>
          <w:b/>
          <w:color w:val="000000"/>
        </w:rPr>
      </w:pPr>
      <w:r w:rsidRPr="00B65C1B">
        <w:rPr>
          <w:b/>
          <w:color w:val="000000"/>
        </w:rPr>
        <w:t>Efficacité</w:t>
      </w:r>
    </w:p>
    <w:p w14:paraId="46621238"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Pouvez-vous donner les raisons de la faible représentativité des femmes au sein des FDS dans les zones frontalières ?</w:t>
      </w:r>
    </w:p>
    <w:p w14:paraId="3B61BA66"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Qu’est ce qui doit être fait pour améliorer cette représentativité ?</w:t>
      </w:r>
    </w:p>
    <w:p w14:paraId="2F389C8B" w14:textId="77777777" w:rsidR="00A769F5" w:rsidRPr="00B65C1B" w:rsidRDefault="00A769F5" w:rsidP="00A769F5">
      <w:pPr>
        <w:spacing w:line="276" w:lineRule="auto"/>
        <w:rPr>
          <w:b/>
          <w:color w:val="000000"/>
        </w:rPr>
      </w:pPr>
      <w:r w:rsidRPr="00B65C1B">
        <w:rPr>
          <w:b/>
          <w:color w:val="000000"/>
        </w:rPr>
        <w:t>Durabilité</w:t>
      </w:r>
    </w:p>
    <w:p w14:paraId="29DA50E5"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les mécanismes communautaires de prévention ou de gestion de conflits mis en place par le projet sont-t-ils pérennes ?</w:t>
      </w:r>
    </w:p>
    <w:p w14:paraId="3478DA2D"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la perception du rôle des femmes et des jeunes dans les mécanismes a été changée au niveau de la communauté ?</w:t>
      </w:r>
    </w:p>
    <w:p w14:paraId="1B56B5BC"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votre perception du rôle des femmes et des jeunes dans les mécanismes de prévention et de gestion des conflits a été changée ?</w:t>
      </w:r>
    </w:p>
    <w:p w14:paraId="6886A86A" w14:textId="77777777" w:rsidR="00A769F5" w:rsidRPr="00B65C1B" w:rsidRDefault="00A769F5" w:rsidP="00A769F5">
      <w:pPr>
        <w:spacing w:line="276" w:lineRule="auto"/>
        <w:rPr>
          <w:b/>
          <w:color w:val="000000"/>
        </w:rPr>
      </w:pPr>
      <w:r w:rsidRPr="00B65C1B">
        <w:rPr>
          <w:b/>
          <w:color w:val="000000"/>
        </w:rPr>
        <w:t>Impact</w:t>
      </w:r>
    </w:p>
    <w:p w14:paraId="10F7D06A"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Quels sont les changements observables au niveau des FDS en matière de prévention et de gestion des conflits ?</w:t>
      </w:r>
    </w:p>
    <w:p w14:paraId="0E032730"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Quels sont les changements observables au niveau des acteurs de la chaine pénale en matière de prévention et de gestion des conflits ?</w:t>
      </w:r>
    </w:p>
    <w:p w14:paraId="2A030427"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Le projet a-t-il eu des effets négatifs du projet sur les communautés ? Si oui lesquels ?</w:t>
      </w:r>
    </w:p>
    <w:p w14:paraId="50C309FC" w14:textId="77777777" w:rsidR="00A769F5" w:rsidRPr="00B65C1B" w:rsidRDefault="00A769F5" w:rsidP="00A769F5">
      <w:pPr>
        <w:spacing w:before="0" w:after="160" w:line="276" w:lineRule="auto"/>
        <w:rPr>
          <w:b/>
          <w:color w:val="000000"/>
        </w:rPr>
      </w:pPr>
      <w:r w:rsidRPr="00B65C1B">
        <w:rPr>
          <w:b/>
          <w:color w:val="000000"/>
        </w:rPr>
        <w:t>Leçons apprises</w:t>
      </w:r>
    </w:p>
    <w:p w14:paraId="6562DCC4"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Quelles sont les leçons apprises du projet en matière de :</w:t>
      </w:r>
    </w:p>
    <w:p w14:paraId="1CBC2B57" w14:textId="77777777" w:rsidR="00A769F5" w:rsidRPr="00B65C1B" w:rsidRDefault="00A769F5" w:rsidP="00FB2B45">
      <w:pPr>
        <w:numPr>
          <w:ilvl w:val="0"/>
          <w:numId w:val="20"/>
        </w:numPr>
        <w:spacing w:before="0" w:after="0" w:line="276" w:lineRule="auto"/>
        <w:rPr>
          <w:color w:val="000000"/>
        </w:rPr>
      </w:pPr>
      <w:r w:rsidRPr="00B65C1B">
        <w:rPr>
          <w:color w:val="000000"/>
        </w:rPr>
        <w:t>Stratégie d’implication des femmes et des jeunes dans les mécanismes de prévention et de gestion des conflits ;</w:t>
      </w:r>
    </w:p>
    <w:p w14:paraId="79D75DCD" w14:textId="77777777" w:rsidR="00A769F5" w:rsidRPr="00B65C1B" w:rsidRDefault="00A769F5" w:rsidP="00FB2B45">
      <w:pPr>
        <w:numPr>
          <w:ilvl w:val="0"/>
          <w:numId w:val="20"/>
        </w:numPr>
        <w:spacing w:before="0" w:after="0" w:line="276" w:lineRule="auto"/>
        <w:rPr>
          <w:color w:val="000000"/>
        </w:rPr>
      </w:pPr>
      <w:r w:rsidRPr="00B65C1B">
        <w:rPr>
          <w:color w:val="000000"/>
        </w:rPr>
        <w:t>Renforcement des capacités des femmes et des jeunes sur les mécanismes de prévention et de gestion des conflits ;</w:t>
      </w:r>
    </w:p>
    <w:p w14:paraId="56368053" w14:textId="77777777" w:rsidR="00A769F5" w:rsidRPr="00B65C1B" w:rsidRDefault="00A769F5" w:rsidP="00FB2B45">
      <w:pPr>
        <w:numPr>
          <w:ilvl w:val="0"/>
          <w:numId w:val="20"/>
        </w:numPr>
        <w:spacing w:before="0" w:after="0" w:line="276" w:lineRule="auto"/>
        <w:rPr>
          <w:color w:val="000000"/>
        </w:rPr>
      </w:pPr>
      <w:r w:rsidRPr="00B65C1B">
        <w:rPr>
          <w:color w:val="000000"/>
        </w:rPr>
        <w:t>Renforcement des capacités des FDS et des acteurs de la chaine pénale sur les mécanismes de prévention et de gestion des conflits ;</w:t>
      </w:r>
    </w:p>
    <w:p w14:paraId="03E5DDED" w14:textId="77777777" w:rsidR="00A769F5" w:rsidRPr="00B65C1B" w:rsidRDefault="00A769F5" w:rsidP="00FB2B45">
      <w:pPr>
        <w:numPr>
          <w:ilvl w:val="0"/>
          <w:numId w:val="20"/>
        </w:numPr>
        <w:spacing w:before="0" w:after="0" w:line="276" w:lineRule="auto"/>
        <w:rPr>
          <w:color w:val="000000"/>
        </w:rPr>
      </w:pPr>
      <w:r w:rsidRPr="00B65C1B">
        <w:rPr>
          <w:color w:val="000000"/>
        </w:rPr>
        <w:t>Contribution des femmes et jeunes dans les mécanismes de prévention et de gestion des conflits ?</w:t>
      </w:r>
    </w:p>
    <w:p w14:paraId="247F848C"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Pour la conception et la mise en œuvre d’interventions futures du projet, quelles sont selon vous les points essentiels à améliorer dans :</w:t>
      </w:r>
    </w:p>
    <w:p w14:paraId="4B0CB238" w14:textId="77777777" w:rsidR="00A769F5" w:rsidRPr="00B65C1B" w:rsidRDefault="00A769F5" w:rsidP="00FB2B45">
      <w:pPr>
        <w:numPr>
          <w:ilvl w:val="0"/>
          <w:numId w:val="20"/>
        </w:numPr>
        <w:spacing w:before="0" w:after="0" w:line="276" w:lineRule="auto"/>
        <w:rPr>
          <w:color w:val="000000"/>
        </w:rPr>
      </w:pPr>
      <w:r w:rsidRPr="00B65C1B">
        <w:rPr>
          <w:color w:val="000000"/>
        </w:rPr>
        <w:t>La durée du projet ;</w:t>
      </w:r>
    </w:p>
    <w:p w14:paraId="411DF37F" w14:textId="77777777" w:rsidR="00A769F5" w:rsidRPr="00B65C1B" w:rsidRDefault="00A769F5" w:rsidP="00FB2B45">
      <w:pPr>
        <w:numPr>
          <w:ilvl w:val="0"/>
          <w:numId w:val="20"/>
        </w:numPr>
        <w:spacing w:before="0" w:after="0" w:line="276" w:lineRule="auto"/>
        <w:rPr>
          <w:color w:val="000000"/>
        </w:rPr>
      </w:pPr>
      <w:r w:rsidRPr="00B65C1B">
        <w:rPr>
          <w:color w:val="000000"/>
        </w:rPr>
        <w:t>La gestion des risques ;</w:t>
      </w:r>
    </w:p>
    <w:p w14:paraId="35133138" w14:textId="77777777" w:rsidR="00A769F5" w:rsidRPr="00B65C1B" w:rsidRDefault="00A769F5" w:rsidP="00FB2B45">
      <w:pPr>
        <w:numPr>
          <w:ilvl w:val="0"/>
          <w:numId w:val="20"/>
        </w:numPr>
        <w:spacing w:before="0" w:after="0" w:line="276" w:lineRule="auto"/>
        <w:rPr>
          <w:color w:val="000000"/>
        </w:rPr>
      </w:pPr>
      <w:r w:rsidRPr="00B65C1B">
        <w:rPr>
          <w:color w:val="000000"/>
        </w:rPr>
        <w:t>Les stratégies de mise en œuvre des activités ?</w:t>
      </w:r>
    </w:p>
    <w:p w14:paraId="3C540244" w14:textId="77777777" w:rsidR="00A769F5" w:rsidRPr="00B65C1B" w:rsidRDefault="00A769F5" w:rsidP="00A769F5">
      <w:pPr>
        <w:spacing w:line="276" w:lineRule="auto"/>
        <w:rPr>
          <w:color w:val="000000"/>
        </w:rPr>
      </w:pPr>
      <w:r w:rsidRPr="00B65C1B">
        <w:rPr>
          <w:color w:val="000000"/>
        </w:rPr>
        <w:t>NB : L’équipe d’évaluation souhaite avoir l’évolution des statistiques sur la période de mise en œuvre du projet. Il s’agit des statistiques suivantes :</w:t>
      </w:r>
    </w:p>
    <w:p w14:paraId="7DE7CB22" w14:textId="77777777" w:rsidR="00A769F5" w:rsidRPr="00B65C1B" w:rsidRDefault="00A769F5" w:rsidP="00FB2B45">
      <w:pPr>
        <w:numPr>
          <w:ilvl w:val="0"/>
          <w:numId w:val="22"/>
        </w:numPr>
        <w:spacing w:line="276" w:lineRule="auto"/>
        <w:ind w:left="426" w:hanging="198"/>
        <w:contextualSpacing/>
        <w:rPr>
          <w:color w:val="000000"/>
        </w:rPr>
      </w:pPr>
      <w:r w:rsidRPr="00B65C1B">
        <w:rPr>
          <w:color w:val="000000"/>
        </w:rPr>
        <w:t>Le nombre de conflits enregistrés en 2018, 2019 et 2020</w:t>
      </w:r>
    </w:p>
    <w:p w14:paraId="4068CECA" w14:textId="77777777" w:rsidR="00A769F5" w:rsidRPr="00B65C1B" w:rsidRDefault="00A769F5" w:rsidP="00FB2B45">
      <w:pPr>
        <w:numPr>
          <w:ilvl w:val="0"/>
          <w:numId w:val="22"/>
        </w:numPr>
        <w:spacing w:line="276" w:lineRule="auto"/>
        <w:ind w:left="426" w:hanging="198"/>
        <w:contextualSpacing/>
        <w:rPr>
          <w:color w:val="000000"/>
        </w:rPr>
      </w:pPr>
      <w:r w:rsidRPr="00B65C1B">
        <w:rPr>
          <w:color w:val="000000"/>
        </w:rPr>
        <w:t>Le nombre d’attaques en 2018, 2019 et 2020</w:t>
      </w:r>
    </w:p>
    <w:p w14:paraId="0FD1E38B" w14:textId="77777777" w:rsidR="00A769F5" w:rsidRPr="00B65C1B" w:rsidRDefault="00A769F5" w:rsidP="00A769F5">
      <w:pPr>
        <w:spacing w:line="276" w:lineRule="auto"/>
        <w:ind w:left="426"/>
        <w:contextualSpacing/>
        <w:rPr>
          <w:color w:val="000000"/>
        </w:rPr>
      </w:pPr>
    </w:p>
    <w:p w14:paraId="0212FBE7" w14:textId="77777777" w:rsidR="00A769F5" w:rsidRPr="00B65C1B" w:rsidRDefault="00A769F5" w:rsidP="00A769F5">
      <w:pPr>
        <w:spacing w:line="276" w:lineRule="auto"/>
        <w:rPr>
          <w:b/>
          <w:color w:val="000000"/>
        </w:rPr>
      </w:pPr>
      <w:r w:rsidRPr="00B65C1B">
        <w:rPr>
          <w:b/>
          <w:color w:val="000000"/>
        </w:rPr>
        <w:t>Covid-19</w:t>
      </w:r>
    </w:p>
    <w:p w14:paraId="2D568D6F" w14:textId="125259A9" w:rsidR="00A769F5" w:rsidRPr="00B65C1B" w:rsidRDefault="00A769F5" w:rsidP="00FB2B45">
      <w:pPr>
        <w:numPr>
          <w:ilvl w:val="0"/>
          <w:numId w:val="19"/>
        </w:numPr>
        <w:spacing w:before="0" w:after="0" w:line="276" w:lineRule="auto"/>
        <w:ind w:hanging="578"/>
        <w:rPr>
          <w:color w:val="000000"/>
        </w:rPr>
      </w:pPr>
      <w:r w:rsidRPr="00B65C1B">
        <w:rPr>
          <w:color w:val="000000"/>
        </w:rPr>
        <w:t xml:space="preserve">Est-ce que selon </w:t>
      </w:r>
      <w:r w:rsidR="004B65B7" w:rsidRPr="00B65C1B">
        <w:rPr>
          <w:color w:val="000000"/>
        </w:rPr>
        <w:t xml:space="preserve">vous </w:t>
      </w:r>
      <w:r w:rsidRPr="00B65C1B">
        <w:rPr>
          <w:color w:val="000000"/>
        </w:rPr>
        <w:t>le matériel Covid-19 (kit de lavage des mains, savon, gel hydro alcoolique, masques) mis à disposition des populations est-t-il utilisé ? Sinon, pourquoi ?</w:t>
      </w:r>
    </w:p>
    <w:p w14:paraId="6C7C9DDC" w14:textId="14A8DC8A" w:rsidR="00A769F5" w:rsidRPr="00B65C1B" w:rsidRDefault="00A769F5" w:rsidP="00FB2B45">
      <w:pPr>
        <w:numPr>
          <w:ilvl w:val="0"/>
          <w:numId w:val="19"/>
        </w:numPr>
        <w:spacing w:before="0" w:after="0" w:line="276" w:lineRule="auto"/>
        <w:ind w:hanging="578"/>
        <w:rPr>
          <w:color w:val="000000"/>
        </w:rPr>
      </w:pPr>
      <w:r w:rsidRPr="00B65C1B">
        <w:rPr>
          <w:color w:val="000000"/>
        </w:rPr>
        <w:t xml:space="preserve">Est-ce que selon </w:t>
      </w:r>
      <w:r w:rsidR="004B65B7" w:rsidRPr="00B65C1B">
        <w:rPr>
          <w:color w:val="000000"/>
        </w:rPr>
        <w:t xml:space="preserve">vous </w:t>
      </w:r>
      <w:r w:rsidRPr="00B65C1B">
        <w:rPr>
          <w:color w:val="000000"/>
        </w:rPr>
        <w:t>les mesures barrières (port des maques / cache-nez, lavage de main, distanciation physique) sont-elles respectées par les populations ? Sinon, pourquoi ?</w:t>
      </w:r>
    </w:p>
    <w:p w14:paraId="03C0FD28" w14:textId="77777777" w:rsidR="00A769F5" w:rsidRPr="00B65C1B" w:rsidRDefault="00A769F5" w:rsidP="00FB2B45">
      <w:pPr>
        <w:numPr>
          <w:ilvl w:val="0"/>
          <w:numId w:val="21"/>
        </w:numPr>
        <w:spacing w:before="0" w:after="0" w:line="276" w:lineRule="auto"/>
        <w:rPr>
          <w:color w:val="000000"/>
        </w:rPr>
      </w:pPr>
      <w:r w:rsidRPr="00B65C1B">
        <w:rPr>
          <w:color w:val="000000"/>
        </w:rPr>
        <w:t>Quelle est votre appréciation de l’apport du projet (don de matériel, sensibilisation sur la Covid)?</w:t>
      </w:r>
    </w:p>
    <w:p w14:paraId="1DBCA14E"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6884E288"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Qu’est-ce que vous recommandez/proposez à l’endroit :</w:t>
      </w:r>
    </w:p>
    <w:p w14:paraId="4CF37A42"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agences de mise en œuvre (ONU Femmes et ONUDC)</w:t>
      </w:r>
    </w:p>
    <w:p w14:paraId="33A623AC"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ONG locales (CRADE, CAR.D, ADL RESFECO)</w:t>
      </w:r>
    </w:p>
    <w:p w14:paraId="07B35454"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05B6E200"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 xml:space="preserve">Au Gouvernement </w:t>
      </w:r>
    </w:p>
    <w:p w14:paraId="5408D86A" w14:textId="77777777" w:rsidR="00A769F5" w:rsidRPr="00B65C1B" w:rsidRDefault="00A769F5" w:rsidP="00A769F5">
      <w:pPr>
        <w:spacing w:before="0" w:after="0" w:line="276" w:lineRule="auto"/>
        <w:rPr>
          <w:color w:val="000000"/>
        </w:rPr>
      </w:pPr>
    </w:p>
    <w:p w14:paraId="7263401C" w14:textId="3B2EF5EE" w:rsidR="00A769F5" w:rsidRDefault="00A769F5">
      <w:pPr>
        <w:spacing w:before="0" w:after="160" w:line="259" w:lineRule="auto"/>
        <w:jc w:val="left"/>
        <w:rPr>
          <w:rFonts w:eastAsia="Times New Roman" w:cs="Tahoma"/>
          <w:color w:val="000000"/>
        </w:rPr>
      </w:pPr>
      <w:r w:rsidRPr="00571542">
        <w:rPr>
          <w:rFonts w:eastAsia="Times New Roman" w:cs="Tahoma"/>
          <w:color w:val="000000"/>
        </w:rPr>
        <w:br w:type="page"/>
      </w:r>
    </w:p>
    <w:p w14:paraId="50C3F97C" w14:textId="5F4AB579" w:rsidR="00A769F5" w:rsidRPr="00B65C1B" w:rsidRDefault="00A769F5" w:rsidP="00A769F5">
      <w:pPr>
        <w:keepNext/>
        <w:keepLines/>
        <w:spacing w:before="40" w:after="0" w:line="276" w:lineRule="auto"/>
        <w:outlineLvl w:val="3"/>
        <w:rPr>
          <w:b/>
          <w:i/>
          <w:smallCaps/>
          <w:color w:val="2E74B5"/>
        </w:rPr>
      </w:pPr>
      <w:bookmarkStart w:id="1007" w:name="_Hlk79731230"/>
      <w:r w:rsidRPr="00B65C1B">
        <w:rPr>
          <w:b/>
          <w:i/>
          <w:smallCaps/>
          <w:color w:val="2E74B5"/>
        </w:rPr>
        <w:t xml:space="preserve">Annexe </w:t>
      </w:r>
      <w:r w:rsidR="006E0364" w:rsidRPr="00B65C1B">
        <w:rPr>
          <w:b/>
          <w:i/>
          <w:smallCaps/>
          <w:color w:val="2E74B5"/>
        </w:rPr>
        <w:t>5</w:t>
      </w:r>
      <w:r w:rsidRPr="00B65C1B">
        <w:rPr>
          <w:b/>
          <w:i/>
          <w:smallCaps/>
          <w:color w:val="2E74B5"/>
        </w:rPr>
        <w:t>.6. Focus groupe avec les Femmes et jeunes (filles – garçons) membres des comites</w:t>
      </w:r>
    </w:p>
    <w:p w14:paraId="0946DEA5"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En quoi le projet a-t-il permis d’améliorer la collaboration entre les FDS, ACP et les communautés ?</w:t>
      </w:r>
    </w:p>
    <w:p w14:paraId="7ED81630" w14:textId="77777777" w:rsidR="00A769F5" w:rsidRPr="00E82DD7" w:rsidRDefault="00A769F5" w:rsidP="00FB2B45">
      <w:pPr>
        <w:numPr>
          <w:ilvl w:val="0"/>
          <w:numId w:val="74"/>
        </w:numPr>
        <w:spacing w:before="200" w:line="276" w:lineRule="auto"/>
        <w:rPr>
          <w:rFonts w:eastAsia="Times New Roman" w:cs="Tahoma"/>
          <w:color w:val="000000"/>
        </w:rPr>
      </w:pPr>
      <w:r w:rsidRPr="00E82DD7">
        <w:t>Quel était le nombre de conflit non gérés en 2018, 2019 et 2020 dans votre localité ?</w:t>
      </w:r>
    </w:p>
    <w:p w14:paraId="42D81CC2"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Parmi les stratégies pour mobiliser les femmes et les jeunes dans les mécanismes de prévention et de gestion des conflits, lesquelles ont été plus porteuses ? Explication</w:t>
      </w:r>
    </w:p>
    <w:p w14:paraId="77D418E9"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Quelles ont été les barrières à impliquer les femmes et les jeunes dans les comités locaux de gestion des conflits ?</w:t>
      </w:r>
    </w:p>
    <w:p w14:paraId="1ECCAC11"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Quelles ont été les barrières à impliquer les personnes handicapées dans la conception et la mise en œuvre du projet ?</w:t>
      </w:r>
    </w:p>
    <w:p w14:paraId="2CF1C0C0" w14:textId="77777777" w:rsidR="00A769F5" w:rsidRPr="00E82DD7" w:rsidRDefault="00A769F5" w:rsidP="00FB2B45">
      <w:pPr>
        <w:numPr>
          <w:ilvl w:val="0"/>
          <w:numId w:val="74"/>
        </w:numPr>
        <w:spacing w:line="276" w:lineRule="auto"/>
        <w:rPr>
          <w:rFonts w:eastAsia="Times New Roman" w:cs="Tahoma"/>
          <w:color w:val="000000"/>
        </w:rPr>
      </w:pPr>
      <w:r w:rsidRPr="00E82DD7">
        <w:t>Combien d’initiatives communautaires de paix ont été initiées et mise œuvre par les femmes ? quel a été le rôle des femmes victimes ?</w:t>
      </w:r>
    </w:p>
    <w:p w14:paraId="517C3E8B" w14:textId="77777777" w:rsidR="00A769F5" w:rsidRPr="00E82DD7" w:rsidRDefault="00A769F5" w:rsidP="00FB2B45">
      <w:pPr>
        <w:numPr>
          <w:ilvl w:val="0"/>
          <w:numId w:val="74"/>
        </w:numPr>
        <w:spacing w:line="276" w:lineRule="auto"/>
        <w:rPr>
          <w:rFonts w:eastAsia="Times New Roman" w:cs="Tahoma"/>
          <w:color w:val="000000"/>
        </w:rPr>
      </w:pPr>
      <w:r w:rsidRPr="00E82DD7">
        <w:rPr>
          <w:rFonts w:eastAsia="Times New Roman" w:cs="Tahoma"/>
          <w:color w:val="000000"/>
        </w:rPr>
        <w:t>Comment convaincre les hommes, les leaders communautaires à accepter plus de femmes et de jeunes (50%) comme membres des comités locaux de gestion des conflits ?</w:t>
      </w:r>
    </w:p>
    <w:p w14:paraId="26784E90" w14:textId="77777777" w:rsidR="00A769F5" w:rsidRPr="00E82DD7" w:rsidRDefault="00A769F5" w:rsidP="00FB2B45">
      <w:pPr>
        <w:numPr>
          <w:ilvl w:val="0"/>
          <w:numId w:val="74"/>
        </w:numPr>
        <w:spacing w:before="200" w:line="276" w:lineRule="auto"/>
        <w:rPr>
          <w:rFonts w:eastAsia="Times New Roman" w:cs="Tahoma"/>
        </w:rPr>
      </w:pPr>
      <w:r w:rsidRPr="00E82DD7">
        <w:rPr>
          <w:rFonts w:eastAsia="Times New Roman" w:cs="Tahoma"/>
        </w:rPr>
        <w:t>S'il y a une seconde phase du projet, qu'est ce qui doit être fait ou renforcé de dérouler convenablement les activités dans un contexte d'insécurité ?</w:t>
      </w:r>
    </w:p>
    <w:p w14:paraId="706AABA6" w14:textId="316AED19"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Est-ce que selon</w:t>
      </w:r>
      <w:r w:rsidR="004B65B7">
        <w:rPr>
          <w:rFonts w:eastAsia="Times New Roman" w:cs="Tahoma"/>
          <w:color w:val="000000"/>
        </w:rPr>
        <w:t xml:space="preserve"> vous</w:t>
      </w:r>
      <w:r w:rsidRPr="00E82DD7">
        <w:rPr>
          <w:rFonts w:eastAsia="Times New Roman" w:cs="Tahoma"/>
          <w:color w:val="000000"/>
        </w:rPr>
        <w:t xml:space="preserve"> le matériel Covid</w:t>
      </w:r>
      <w:r>
        <w:rPr>
          <w:rFonts w:eastAsia="Times New Roman" w:cs="Tahoma"/>
          <w:color w:val="000000"/>
        </w:rPr>
        <w:t>-</w:t>
      </w:r>
      <w:r w:rsidRPr="00E82DD7">
        <w:rPr>
          <w:rFonts w:eastAsia="Times New Roman" w:cs="Tahoma"/>
          <w:color w:val="000000"/>
        </w:rPr>
        <w:t>19 (kit de lavage des mains, savon, gel hydro alcoolique, masques) mis à disposition des populations est-t-il utilisé ? Sinon, pourquoi ?</w:t>
      </w:r>
    </w:p>
    <w:p w14:paraId="4747E821" w14:textId="406658D6" w:rsidR="00A769F5"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 xml:space="preserve">Est-ce que selon </w:t>
      </w:r>
      <w:r w:rsidR="004B65B7">
        <w:rPr>
          <w:rFonts w:eastAsia="Times New Roman" w:cs="Tahoma"/>
          <w:color w:val="000000"/>
        </w:rPr>
        <w:t xml:space="preserve">vous </w:t>
      </w:r>
      <w:r w:rsidRPr="00E82DD7">
        <w:rPr>
          <w:rFonts w:eastAsia="Times New Roman" w:cs="Tahoma"/>
          <w:color w:val="000000"/>
        </w:rPr>
        <w:t>les mesures barrières (port des maques / cache-nez, lavage de main, distanciation physique) sont-elles respectées par les populations ? Sinon, pourquoi ?</w:t>
      </w:r>
    </w:p>
    <w:bookmarkEnd w:id="1007"/>
    <w:p w14:paraId="7EDA4837" w14:textId="77777777" w:rsidR="00A769F5" w:rsidRPr="00B65C1B" w:rsidRDefault="00A769F5" w:rsidP="00A769F5">
      <w:pPr>
        <w:spacing w:before="0" w:after="160" w:line="259" w:lineRule="auto"/>
        <w:jc w:val="left"/>
        <w:rPr>
          <w:b/>
          <w:i/>
          <w:smallCaps/>
          <w:color w:val="2E74B5"/>
        </w:rPr>
      </w:pPr>
    </w:p>
    <w:p w14:paraId="0F3405B9" w14:textId="77777777" w:rsidR="00A769F5" w:rsidRPr="00B65C1B" w:rsidRDefault="00A769F5" w:rsidP="00A769F5">
      <w:pPr>
        <w:spacing w:before="0" w:after="160" w:line="259" w:lineRule="auto"/>
        <w:jc w:val="left"/>
        <w:rPr>
          <w:b/>
          <w:i/>
          <w:smallCaps/>
          <w:color w:val="2E74B5"/>
        </w:rPr>
      </w:pPr>
    </w:p>
    <w:p w14:paraId="0E5B323D" w14:textId="539FC071" w:rsidR="00A769F5" w:rsidRPr="00B65C1B" w:rsidRDefault="00A769F5" w:rsidP="00A769F5">
      <w:pPr>
        <w:spacing w:before="0" w:after="160" w:line="259" w:lineRule="auto"/>
        <w:jc w:val="left"/>
        <w:rPr>
          <w:b/>
          <w:i/>
          <w:smallCaps/>
          <w:color w:val="2E74B5"/>
        </w:rPr>
      </w:pPr>
    </w:p>
    <w:p w14:paraId="32A695A1" w14:textId="3BC70E84" w:rsidR="00A769F5" w:rsidRPr="00B65C1B" w:rsidRDefault="00A769F5" w:rsidP="00A769F5">
      <w:pPr>
        <w:spacing w:before="0" w:after="160" w:line="259" w:lineRule="auto"/>
        <w:jc w:val="left"/>
        <w:rPr>
          <w:b/>
          <w:i/>
          <w:smallCaps/>
          <w:color w:val="2E74B5"/>
        </w:rPr>
      </w:pPr>
    </w:p>
    <w:p w14:paraId="5E84AD4D" w14:textId="22F94A87" w:rsidR="00A769F5" w:rsidRPr="00B65C1B" w:rsidRDefault="00A769F5" w:rsidP="00A769F5">
      <w:pPr>
        <w:spacing w:before="0" w:after="160" w:line="259" w:lineRule="auto"/>
        <w:jc w:val="left"/>
        <w:rPr>
          <w:b/>
          <w:i/>
          <w:smallCaps/>
          <w:color w:val="2E74B5"/>
        </w:rPr>
      </w:pPr>
    </w:p>
    <w:p w14:paraId="50ACD191" w14:textId="10F08E2E" w:rsidR="00A769F5" w:rsidRPr="00B65C1B" w:rsidRDefault="00A769F5" w:rsidP="00A769F5">
      <w:pPr>
        <w:spacing w:before="0" w:after="160" w:line="259" w:lineRule="auto"/>
        <w:jc w:val="left"/>
        <w:rPr>
          <w:b/>
          <w:i/>
          <w:smallCaps/>
          <w:color w:val="2E74B5"/>
        </w:rPr>
      </w:pPr>
    </w:p>
    <w:p w14:paraId="778B40C4" w14:textId="3440990A" w:rsidR="00A769F5" w:rsidRPr="00B65C1B" w:rsidRDefault="00A769F5" w:rsidP="00A769F5">
      <w:pPr>
        <w:spacing w:before="0" w:after="160" w:line="259" w:lineRule="auto"/>
        <w:jc w:val="left"/>
        <w:rPr>
          <w:b/>
          <w:i/>
          <w:smallCaps/>
          <w:color w:val="2E74B5"/>
        </w:rPr>
      </w:pPr>
    </w:p>
    <w:p w14:paraId="2D3BD599" w14:textId="6B7E1490" w:rsidR="00A769F5" w:rsidRPr="00B65C1B" w:rsidRDefault="00A769F5" w:rsidP="00A769F5">
      <w:pPr>
        <w:spacing w:before="0" w:after="160" w:line="259" w:lineRule="auto"/>
        <w:jc w:val="left"/>
        <w:rPr>
          <w:b/>
          <w:i/>
          <w:smallCaps/>
          <w:color w:val="2E74B5"/>
        </w:rPr>
      </w:pPr>
    </w:p>
    <w:p w14:paraId="19DE3BFB" w14:textId="18F978A0" w:rsidR="00A769F5" w:rsidRPr="00B65C1B" w:rsidRDefault="00A769F5" w:rsidP="00A769F5">
      <w:pPr>
        <w:keepNext/>
        <w:keepLines/>
        <w:spacing w:before="4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.7. Guide d’entretien avec les Responsables des OSC féminines et de jeunes</w:t>
      </w:r>
    </w:p>
    <w:p w14:paraId="7DAFBF0E" w14:textId="77777777" w:rsidR="00A769F5" w:rsidRPr="00E82DD7" w:rsidRDefault="00A769F5" w:rsidP="00A769F5">
      <w:pPr>
        <w:spacing w:after="0" w:line="276" w:lineRule="auto"/>
        <w:rPr>
          <w:sz w:val="10"/>
          <w:szCs w:val="10"/>
        </w:rPr>
      </w:pPr>
    </w:p>
    <w:p w14:paraId="5A41891A" w14:textId="77777777" w:rsidR="00A769F5" w:rsidRPr="00C62F7E" w:rsidRDefault="00A769F5" w:rsidP="00A769F5">
      <w:pPr>
        <w:spacing w:before="60" w:after="40" w:line="276" w:lineRule="auto"/>
        <w:rPr>
          <w:b/>
          <w:color w:val="000000" w:themeColor="text1"/>
        </w:rPr>
      </w:pPr>
      <w:r w:rsidRPr="00C62F7E">
        <w:rPr>
          <w:b/>
          <w:color w:val="000000" w:themeColor="text1"/>
        </w:rPr>
        <w:t>Pertinence</w:t>
      </w:r>
    </w:p>
    <w:p w14:paraId="1F357E98"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En quoi le projet a-t-il répond à vos préoccupations en matière de consolidation de la paix et de cohésion sociale ?</w:t>
      </w:r>
    </w:p>
    <w:p w14:paraId="62464005"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En quoi le projet adresse des réponses à la méfiance entre les communautés, les acteurs de la chaine pénale et les FDS ?</w:t>
      </w:r>
    </w:p>
    <w:p w14:paraId="3C12DF80"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Comment avez-vous apprécié les activités d’implication des femmes et des jeunes dans les mécanismes étatiques et communautaires de prévention et de gestion des conflits ?</w:t>
      </w:r>
    </w:p>
    <w:p w14:paraId="3B15099E"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Comment avez-vous apprécié les activités transfrontalières mise en œuvre en matière de prévention et de gestion des conflits ?</w:t>
      </w:r>
    </w:p>
    <w:p w14:paraId="311EBD41" w14:textId="77777777" w:rsidR="00A769F5" w:rsidRPr="00C62F7E" w:rsidRDefault="00A769F5" w:rsidP="00FB2B45">
      <w:pPr>
        <w:numPr>
          <w:ilvl w:val="0"/>
          <w:numId w:val="72"/>
        </w:numPr>
        <w:spacing w:before="60" w:after="40" w:line="276" w:lineRule="auto"/>
        <w:rPr>
          <w:color w:val="000000" w:themeColor="text1"/>
        </w:rPr>
      </w:pPr>
      <w:r w:rsidRPr="00E82DD7">
        <w:t>Quelles sont les initiatives ou actions prises par les autorités du Mali et du Niger pour accompagner les initiatives communautaires inclusives de paix et de cohésion sociale</w:t>
      </w:r>
    </w:p>
    <w:p w14:paraId="034F2BB4" w14:textId="77777777" w:rsidR="00A769F5" w:rsidRPr="00C62F7E" w:rsidRDefault="00A769F5" w:rsidP="00A769F5">
      <w:pPr>
        <w:spacing w:before="60" w:after="40" w:line="276" w:lineRule="auto"/>
        <w:rPr>
          <w:b/>
          <w:color w:val="000000" w:themeColor="text1"/>
        </w:rPr>
      </w:pPr>
      <w:r w:rsidRPr="00C62F7E">
        <w:rPr>
          <w:b/>
          <w:color w:val="000000" w:themeColor="text1"/>
        </w:rPr>
        <w:t>Efficacité</w:t>
      </w:r>
    </w:p>
    <w:p w14:paraId="0F4C37A4"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Votre organisation comprend combien de membres ? et combien de localités recouvre votre organisation ? Parmi vos membres, quelle est la proportion des personnes handicapées ?</w:t>
      </w:r>
    </w:p>
    <w:p w14:paraId="79FF383D"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Y a-t-il autres organisations locales similaires dans la commune qui travaillent sur la question de la consolidation de la paix ? si oui lesquelles ?</w:t>
      </w:r>
    </w:p>
    <w:p w14:paraId="4F1D6CB4"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Dans le cadre de ce projet, quelles ont été vos principales réalisations ?</w:t>
      </w:r>
    </w:p>
    <w:p w14:paraId="36E008A3"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Quelles ont été les difficultés rencontrées dans la mise en œuvre de vos activités ?</w:t>
      </w:r>
    </w:p>
    <w:p w14:paraId="4BB8277C"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Quelle appréciation faites-vous aujourd’hui du niveau de représentativité des femmes et des jeunes dans les mécanismes de prévention et de gestion des conflits ?</w:t>
      </w:r>
    </w:p>
    <w:p w14:paraId="72CFAAD1"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Quelle appréciation faites-vous aujourd’hui de l’efficacité des mécanismes de prévention et de gestion des conflits qui intègrent les femmes et les jeunes ?</w:t>
      </w:r>
    </w:p>
    <w:p w14:paraId="23D90DE9"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 xml:space="preserve">Le projet a identifié en 2019 les problèmes suivants : les conflits intra et intercommunautaires au Mali et au Niger, les conflits liées aux attaques des groupes rebelles séparatistes au Mali, les attaques des groupes extrémistes /terroristes au Mali et au Niger, </w:t>
      </w:r>
    </w:p>
    <w:p w14:paraId="58F77265" w14:textId="77777777" w:rsidR="00A769F5" w:rsidRPr="00C62F7E" w:rsidRDefault="00A769F5" w:rsidP="00FB2B45">
      <w:pPr>
        <w:numPr>
          <w:ilvl w:val="0"/>
          <w:numId w:val="67"/>
        </w:numPr>
        <w:spacing w:before="60" w:after="40" w:line="276" w:lineRule="auto"/>
        <w:contextualSpacing/>
        <w:rPr>
          <w:color w:val="000000" w:themeColor="text1"/>
        </w:rPr>
      </w:pPr>
      <w:r w:rsidRPr="00C62F7E">
        <w:rPr>
          <w:color w:val="000000" w:themeColor="text1"/>
        </w:rPr>
        <w:t>Comment définissez-vous le conflit ?</w:t>
      </w:r>
    </w:p>
    <w:p w14:paraId="27EC62DC" w14:textId="77777777" w:rsidR="00A769F5" w:rsidRPr="00C62F7E" w:rsidRDefault="00A769F5" w:rsidP="00FB2B45">
      <w:pPr>
        <w:numPr>
          <w:ilvl w:val="0"/>
          <w:numId w:val="67"/>
        </w:numPr>
        <w:spacing w:before="60" w:after="40" w:line="276" w:lineRule="auto"/>
        <w:contextualSpacing/>
        <w:rPr>
          <w:color w:val="000000" w:themeColor="text1"/>
        </w:rPr>
      </w:pPr>
      <w:r w:rsidRPr="00C62F7E">
        <w:rPr>
          <w:color w:val="000000" w:themeColor="text1"/>
        </w:rPr>
        <w:t>Comment ces conflits ont-ils évolué sur la durée de la mise en œuvre du projet (2019-2020-2021) ?</w:t>
      </w:r>
    </w:p>
    <w:p w14:paraId="3299676B"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 xml:space="preserve">Veuillez nous citer toutes les initiatives communautaires de paix ont été développées dans votre localité ? </w:t>
      </w:r>
    </w:p>
    <w:p w14:paraId="42213103"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femmes ?</w:t>
      </w:r>
    </w:p>
    <w:p w14:paraId="0E622253"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femmes victimes ?</w:t>
      </w:r>
    </w:p>
    <w:p w14:paraId="65CB82A5"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jeunes ?</w:t>
      </w:r>
    </w:p>
    <w:p w14:paraId="4B5FF27F" w14:textId="77777777" w:rsidR="00A769F5" w:rsidRPr="00C62F7E" w:rsidRDefault="00A769F5" w:rsidP="00A769F5">
      <w:pPr>
        <w:spacing w:after="40" w:line="276" w:lineRule="auto"/>
        <w:rPr>
          <w:b/>
          <w:color w:val="000000" w:themeColor="text1"/>
        </w:rPr>
      </w:pPr>
      <w:r w:rsidRPr="00C62F7E">
        <w:rPr>
          <w:b/>
          <w:color w:val="000000" w:themeColor="text1"/>
        </w:rPr>
        <w:t>Durabilité</w:t>
      </w:r>
    </w:p>
    <w:p w14:paraId="3AE6C3F6"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En quoi les mécanismes communautaires de prévention ou de gestion de conflits mis en place par le projet sont-t-ils pérennes ?</w:t>
      </w:r>
    </w:p>
    <w:p w14:paraId="6F8781AE" w14:textId="77777777" w:rsidR="00E80642" w:rsidRPr="00B65C1B" w:rsidRDefault="00E80642" w:rsidP="00FB2B45">
      <w:pPr>
        <w:numPr>
          <w:ilvl w:val="0"/>
          <w:numId w:val="71"/>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73BA03DC"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Selon vous est-ce que la perception du rôle des femmes et des jeunes dans les mécanismes est acceptée par les leaders communautés et les communautés ?</w:t>
      </w:r>
    </w:p>
    <w:p w14:paraId="423301CA" w14:textId="77777777" w:rsidR="00A769F5" w:rsidRPr="00C62F7E" w:rsidRDefault="00A769F5" w:rsidP="00A769F5">
      <w:pPr>
        <w:spacing w:after="40" w:line="276" w:lineRule="auto"/>
        <w:rPr>
          <w:color w:val="000000" w:themeColor="text1"/>
          <w:sz w:val="4"/>
        </w:rPr>
      </w:pPr>
    </w:p>
    <w:p w14:paraId="39D86764" w14:textId="77777777" w:rsidR="00A769F5" w:rsidRPr="00C62F7E" w:rsidRDefault="00A769F5" w:rsidP="00A769F5">
      <w:pPr>
        <w:spacing w:after="40" w:line="276" w:lineRule="auto"/>
        <w:rPr>
          <w:b/>
          <w:color w:val="000000" w:themeColor="text1"/>
        </w:rPr>
      </w:pPr>
      <w:r w:rsidRPr="00C62F7E">
        <w:rPr>
          <w:b/>
          <w:color w:val="000000" w:themeColor="text1"/>
        </w:rPr>
        <w:t>Leçons apprises et la suite du projet</w:t>
      </w:r>
    </w:p>
    <w:p w14:paraId="3E034C55"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Qu’est-ce que vous avez retenu d’importants du projet ?</w:t>
      </w:r>
    </w:p>
    <w:p w14:paraId="1F942D07" w14:textId="77777777" w:rsidR="00A769F5" w:rsidRPr="00C62F7E" w:rsidRDefault="00A769F5" w:rsidP="00FB2B45">
      <w:pPr>
        <w:numPr>
          <w:ilvl w:val="0"/>
          <w:numId w:val="71"/>
        </w:numPr>
        <w:spacing w:before="0" w:after="40" w:line="276" w:lineRule="auto"/>
        <w:rPr>
          <w:color w:val="000000" w:themeColor="text1"/>
        </w:rPr>
      </w:pPr>
      <w:r w:rsidRPr="00C62F7E">
        <w:rPr>
          <w:color w:val="000000" w:themeColor="text1"/>
        </w:rPr>
        <w:t>Pour des interventions futures, quelles sont selon vous les points importants à améliorer dans :</w:t>
      </w:r>
    </w:p>
    <w:p w14:paraId="12901859" w14:textId="77777777" w:rsidR="00A769F5" w:rsidRPr="00C62F7E" w:rsidRDefault="00A769F5" w:rsidP="00FB2B45">
      <w:pPr>
        <w:numPr>
          <w:ilvl w:val="1"/>
          <w:numId w:val="71"/>
        </w:numPr>
        <w:spacing w:before="0" w:after="40" w:line="276" w:lineRule="auto"/>
        <w:rPr>
          <w:color w:val="000000" w:themeColor="text1"/>
        </w:rPr>
      </w:pPr>
      <w:r w:rsidRPr="00C62F7E">
        <w:rPr>
          <w:color w:val="000000" w:themeColor="text1"/>
        </w:rPr>
        <w:t>La gestion des risques ;</w:t>
      </w:r>
    </w:p>
    <w:p w14:paraId="3D02C7A7" w14:textId="77777777" w:rsidR="00A769F5" w:rsidRPr="00C62F7E" w:rsidRDefault="00A769F5" w:rsidP="00FB2B45">
      <w:pPr>
        <w:numPr>
          <w:ilvl w:val="1"/>
          <w:numId w:val="71"/>
        </w:numPr>
        <w:spacing w:before="0" w:after="40" w:line="276" w:lineRule="auto"/>
        <w:rPr>
          <w:color w:val="000000" w:themeColor="text1"/>
        </w:rPr>
      </w:pPr>
      <w:r w:rsidRPr="00C62F7E">
        <w:rPr>
          <w:color w:val="000000" w:themeColor="text1"/>
        </w:rPr>
        <w:t>Les stratégies de mise en œuvre des activités</w:t>
      </w:r>
    </w:p>
    <w:p w14:paraId="2EB229C9" w14:textId="77777777" w:rsidR="00A769F5" w:rsidRPr="00C62F7E" w:rsidRDefault="00A769F5" w:rsidP="00A769F5">
      <w:pPr>
        <w:spacing w:after="40" w:line="276" w:lineRule="auto"/>
        <w:rPr>
          <w:b/>
          <w:color w:val="000000" w:themeColor="text1"/>
        </w:rPr>
      </w:pPr>
      <w:r w:rsidRPr="00C62F7E">
        <w:rPr>
          <w:b/>
          <w:color w:val="000000" w:themeColor="text1"/>
        </w:rPr>
        <w:t>Covid</w:t>
      </w:r>
      <w:r w:rsidRPr="00B65C1B">
        <w:rPr>
          <w:b/>
          <w:color w:val="000000"/>
        </w:rPr>
        <w:t>-</w:t>
      </w:r>
      <w:r w:rsidRPr="00C62F7E">
        <w:rPr>
          <w:b/>
          <w:color w:val="000000" w:themeColor="text1"/>
        </w:rPr>
        <w:t>19</w:t>
      </w:r>
    </w:p>
    <w:p w14:paraId="03F9CEE0" w14:textId="0B7622F1" w:rsidR="00A769F5" w:rsidRPr="00C62F7E" w:rsidRDefault="00A769F5" w:rsidP="00FB2B45">
      <w:pPr>
        <w:numPr>
          <w:ilvl w:val="0"/>
          <w:numId w:val="21"/>
        </w:numPr>
        <w:spacing w:after="40" w:line="276" w:lineRule="auto"/>
        <w:rPr>
          <w:color w:val="000000" w:themeColor="text1"/>
        </w:rPr>
      </w:pPr>
      <w:r w:rsidRPr="00C62F7E">
        <w:rPr>
          <w:color w:val="000000" w:themeColor="text1"/>
        </w:rPr>
        <w:t xml:space="preserve">Est-ce que selon </w:t>
      </w:r>
      <w:r w:rsidR="004B65B7" w:rsidRPr="00B65C1B">
        <w:rPr>
          <w:color w:val="000000" w:themeColor="text1"/>
        </w:rPr>
        <w:t xml:space="preserve">vous </w:t>
      </w:r>
      <w:r w:rsidRPr="00C62F7E">
        <w:rPr>
          <w:color w:val="000000" w:themeColor="text1"/>
        </w:rPr>
        <w:t>le matériel Covid</w:t>
      </w:r>
      <w:r w:rsidRPr="00B65C1B">
        <w:rPr>
          <w:color w:val="000000"/>
        </w:rPr>
        <w:t>-</w:t>
      </w:r>
      <w:r w:rsidRPr="00C62F7E">
        <w:rPr>
          <w:color w:val="000000" w:themeColor="text1"/>
        </w:rPr>
        <w:t>19 (kit de lavage des mains, savon, gel hydro alcoolique, masques) mis à disposition des populations est-t-il utilisé ? Sinon, pourquoi ?</w:t>
      </w:r>
    </w:p>
    <w:p w14:paraId="21822C76" w14:textId="220A1789" w:rsidR="00A769F5" w:rsidRPr="00C62F7E" w:rsidRDefault="00A769F5" w:rsidP="00FB2B45">
      <w:pPr>
        <w:numPr>
          <w:ilvl w:val="0"/>
          <w:numId w:val="21"/>
        </w:numPr>
        <w:spacing w:after="4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les mesures barrières (port des maques / cache-nez, lavage de main, distanciation physique) sont-elles respectées par les populations ? Sinon, pourquoi ?</w:t>
      </w:r>
    </w:p>
    <w:p w14:paraId="19F0707A" w14:textId="77777777" w:rsidR="00A769F5" w:rsidRPr="00C62F7E" w:rsidRDefault="00A769F5" w:rsidP="00FB2B45">
      <w:pPr>
        <w:numPr>
          <w:ilvl w:val="0"/>
          <w:numId w:val="21"/>
        </w:numPr>
        <w:spacing w:after="40" w:line="276" w:lineRule="auto"/>
        <w:rPr>
          <w:color w:val="000000" w:themeColor="text1"/>
        </w:rPr>
      </w:pPr>
      <w:r w:rsidRPr="00C62F7E">
        <w:rPr>
          <w:color w:val="000000" w:themeColor="text1"/>
        </w:rPr>
        <w:t>Quelle est votre appréciation de l’apport du projet (don de matériel, sensibilisation) dans votre localité ?</w:t>
      </w:r>
    </w:p>
    <w:p w14:paraId="3817C858" w14:textId="77777777" w:rsidR="00A769F5" w:rsidRPr="00C62F7E" w:rsidRDefault="00A769F5" w:rsidP="00A769F5">
      <w:pPr>
        <w:spacing w:before="240" w:after="40" w:line="276" w:lineRule="auto"/>
        <w:rPr>
          <w:b/>
          <w:color w:val="000000" w:themeColor="text1"/>
        </w:rPr>
      </w:pPr>
      <w:r w:rsidRPr="00C62F7E">
        <w:rPr>
          <w:b/>
          <w:color w:val="000000" w:themeColor="text1"/>
        </w:rPr>
        <w:t>Propositions / Recommandations</w:t>
      </w:r>
    </w:p>
    <w:p w14:paraId="036DB183" w14:textId="77777777" w:rsidR="00A769F5" w:rsidRPr="00C62F7E" w:rsidRDefault="00A769F5" w:rsidP="00FB2B45">
      <w:pPr>
        <w:numPr>
          <w:ilvl w:val="0"/>
          <w:numId w:val="21"/>
        </w:numPr>
        <w:spacing w:after="40" w:line="276" w:lineRule="auto"/>
        <w:rPr>
          <w:color w:val="000000" w:themeColor="text1"/>
        </w:rPr>
      </w:pPr>
      <w:r w:rsidRPr="00C62F7E">
        <w:rPr>
          <w:color w:val="000000" w:themeColor="text1"/>
        </w:rPr>
        <w:t>Qu’est-ce que vous recommandez/proposez à l’endroit :</w:t>
      </w:r>
    </w:p>
    <w:p w14:paraId="223FA464"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Des agences de mise en œuvre (ONU Femmes et ONUDC)</w:t>
      </w:r>
    </w:p>
    <w:p w14:paraId="7E9253D6"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ONG locales (CRADE, CAR.D, ADL RESFECO)</w:t>
      </w:r>
    </w:p>
    <w:p w14:paraId="4EA72BD5"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Des autorités locales</w:t>
      </w:r>
    </w:p>
    <w:p w14:paraId="7E496437"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 xml:space="preserve">Au Gouvernement </w:t>
      </w:r>
    </w:p>
    <w:p w14:paraId="60968A04" w14:textId="77777777" w:rsidR="00A769F5" w:rsidRPr="00C62F7E" w:rsidRDefault="00A769F5" w:rsidP="00A769F5">
      <w:pPr>
        <w:rPr>
          <w:color w:val="000000" w:themeColor="text1"/>
        </w:rPr>
      </w:pPr>
      <w:r w:rsidRPr="00C62F7E">
        <w:rPr>
          <w:color w:val="000000" w:themeColor="text1"/>
        </w:rPr>
        <w:br w:type="page"/>
      </w:r>
    </w:p>
    <w:p w14:paraId="7EC0D6DD" w14:textId="359545E7" w:rsidR="00A769F5" w:rsidRPr="00B65C1B" w:rsidRDefault="00A769F5" w:rsidP="00A769F5">
      <w:pPr>
        <w:keepNext/>
        <w:keepLines/>
        <w:spacing w:before="40" w:after="0" w:line="276" w:lineRule="auto"/>
        <w:outlineLvl w:val="3"/>
        <w:rPr>
          <w:b/>
          <w:i/>
          <w:smallCaps/>
          <w:color w:val="2E74B5"/>
        </w:rPr>
      </w:pPr>
      <w:bookmarkStart w:id="1008" w:name="_Hlk79731039"/>
      <w:r w:rsidRPr="00B65C1B">
        <w:rPr>
          <w:b/>
          <w:i/>
          <w:smallCaps/>
          <w:color w:val="2E74B5"/>
        </w:rPr>
        <w:t xml:space="preserve">Annexe </w:t>
      </w:r>
      <w:r w:rsidR="006E0364" w:rsidRPr="00B65C1B">
        <w:rPr>
          <w:b/>
          <w:i/>
          <w:smallCaps/>
          <w:color w:val="2E74B5"/>
        </w:rPr>
        <w:t>5</w:t>
      </w:r>
      <w:r w:rsidRPr="00B65C1B">
        <w:rPr>
          <w:b/>
          <w:i/>
          <w:smallCaps/>
          <w:color w:val="2E74B5"/>
        </w:rPr>
        <w:t>.8. Guide d’entretien avec les Acteurs communautaires (Imam, Chef de village, communicateurs traditionnels)</w:t>
      </w:r>
    </w:p>
    <w:p w14:paraId="46FFCF60" w14:textId="77777777" w:rsidR="00A769F5" w:rsidRPr="00E82DD7" w:rsidRDefault="00A769F5" w:rsidP="00A769F5">
      <w:pPr>
        <w:spacing w:line="276" w:lineRule="auto"/>
        <w:rPr>
          <w:sz w:val="14"/>
          <w:szCs w:val="14"/>
        </w:rPr>
      </w:pPr>
    </w:p>
    <w:p w14:paraId="5EC36FB6" w14:textId="77777777" w:rsidR="00A769F5" w:rsidRPr="00C62F7E" w:rsidRDefault="00A769F5" w:rsidP="00A769F5">
      <w:pPr>
        <w:spacing w:line="276" w:lineRule="auto"/>
        <w:rPr>
          <w:b/>
          <w:color w:val="000000" w:themeColor="text1"/>
        </w:rPr>
      </w:pPr>
      <w:r w:rsidRPr="00C62F7E">
        <w:rPr>
          <w:b/>
          <w:color w:val="000000" w:themeColor="text1"/>
        </w:rPr>
        <w:t>Pertinence</w:t>
      </w:r>
    </w:p>
    <w:p w14:paraId="0AA1912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En quoi le projet a-t-il répond à vos préoccupations en matière de consolidation de la paix et la cohésion sociale ?</w:t>
      </w:r>
    </w:p>
    <w:p w14:paraId="734A5E8E"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En quoi le Projet répond à la question de méfiance entre les communautés, les acteurs de la chaine pénale et les FDS ?</w:t>
      </w:r>
    </w:p>
    <w:p w14:paraId="071A622E"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Comment avez-vous apprécié les activités d’implication des femmes et des jeunes dans les mécanismes étatiques et communautaires de prévention et de gestion des conflits ?</w:t>
      </w:r>
    </w:p>
    <w:p w14:paraId="1A35241A"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Comment avez-vous apprécié les activités transfrontalières mise en œuvre de prévention et de gestion des conflits ?</w:t>
      </w:r>
    </w:p>
    <w:p w14:paraId="03B6C56D" w14:textId="77777777" w:rsidR="00A769F5" w:rsidRPr="00C62F7E" w:rsidRDefault="00A769F5" w:rsidP="00A769F5">
      <w:pPr>
        <w:spacing w:line="276" w:lineRule="auto"/>
        <w:rPr>
          <w:color w:val="000000" w:themeColor="text1"/>
          <w:sz w:val="10"/>
        </w:rPr>
      </w:pPr>
    </w:p>
    <w:p w14:paraId="15C0A11F" w14:textId="77777777" w:rsidR="00A769F5" w:rsidRPr="00C62F7E" w:rsidRDefault="00A769F5" w:rsidP="00A769F5">
      <w:pPr>
        <w:spacing w:line="276" w:lineRule="auto"/>
        <w:rPr>
          <w:b/>
          <w:color w:val="000000" w:themeColor="text1"/>
        </w:rPr>
      </w:pPr>
      <w:r w:rsidRPr="00C62F7E">
        <w:rPr>
          <w:b/>
          <w:color w:val="000000" w:themeColor="text1"/>
        </w:rPr>
        <w:t>Efficacité</w:t>
      </w:r>
    </w:p>
    <w:p w14:paraId="19F1D06C"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appréciation faites-vous aujourd’hui des résultats de l’implication des femmes et des jeunes dans les mécanismes de prévention et de gestion des conflits ?</w:t>
      </w:r>
    </w:p>
    <w:p w14:paraId="6CD56E83"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appréciation faites-vous aujourd’hui de l’efficacité des mécanismes communautaires de prévention et de gestion des conflits qui intègrent les femmes et les jeunes ?</w:t>
      </w:r>
    </w:p>
    <w:p w14:paraId="52FD890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 xml:space="preserve">Le projet a identifié en 2019 les problèmes suivants : les conflits intra et intercommunautaires au Mali et au Niger, les conflits liées aux attaques des groupes rebelles séparatistes au Mali, les attaques des groupes extrémistes /terroristes au Mali et au Niger, </w:t>
      </w:r>
    </w:p>
    <w:p w14:paraId="637ED20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Comment définissez-vous le conflit ?</w:t>
      </w:r>
    </w:p>
    <w:p w14:paraId="134CDD8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Comment ces conflits ont-ils évolué sur la durée de la mise en œuvre du projet (2019-2020-2021) ?</w:t>
      </w:r>
    </w:p>
    <w:p w14:paraId="06DBE66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 xml:space="preserve">Veuillez nous citer toutes les initiatives communautaires de paix ont été développées dans votre localité ? </w:t>
      </w:r>
    </w:p>
    <w:p w14:paraId="3D22CD24"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femmes ?</w:t>
      </w:r>
    </w:p>
    <w:p w14:paraId="7B24C21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femmes victimes ?</w:t>
      </w:r>
    </w:p>
    <w:p w14:paraId="4C377274"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jeunes ?</w:t>
      </w:r>
    </w:p>
    <w:p w14:paraId="062EB4AB" w14:textId="77777777" w:rsidR="00A769F5" w:rsidRPr="00C62F7E" w:rsidRDefault="00A769F5" w:rsidP="00A769F5">
      <w:pPr>
        <w:spacing w:before="0" w:after="0" w:line="276" w:lineRule="auto"/>
        <w:contextualSpacing/>
        <w:rPr>
          <w:color w:val="000000" w:themeColor="text1"/>
        </w:rPr>
      </w:pPr>
    </w:p>
    <w:p w14:paraId="48D5C682" w14:textId="77777777" w:rsidR="00A769F5" w:rsidRPr="00C62F7E" w:rsidRDefault="00A769F5" w:rsidP="00A769F5">
      <w:pPr>
        <w:spacing w:before="0" w:after="0" w:line="276" w:lineRule="auto"/>
        <w:contextualSpacing/>
        <w:rPr>
          <w:color w:val="000000" w:themeColor="text1"/>
        </w:rPr>
      </w:pPr>
    </w:p>
    <w:p w14:paraId="4C2D4085" w14:textId="77777777" w:rsidR="00A769F5" w:rsidRPr="00C62F7E" w:rsidRDefault="00A769F5" w:rsidP="00A769F5">
      <w:pPr>
        <w:spacing w:before="0" w:after="0" w:line="276" w:lineRule="auto"/>
        <w:contextualSpacing/>
        <w:rPr>
          <w:color w:val="000000" w:themeColor="text1"/>
        </w:rPr>
      </w:pPr>
    </w:p>
    <w:p w14:paraId="7F10F93E" w14:textId="77777777" w:rsidR="00A769F5" w:rsidRPr="00C62F7E" w:rsidRDefault="00A769F5" w:rsidP="00A769F5">
      <w:pPr>
        <w:spacing w:line="276" w:lineRule="auto"/>
        <w:rPr>
          <w:b/>
          <w:color w:val="000000" w:themeColor="text1"/>
        </w:rPr>
      </w:pPr>
      <w:r w:rsidRPr="00C62F7E">
        <w:rPr>
          <w:b/>
          <w:color w:val="000000" w:themeColor="text1"/>
        </w:rPr>
        <w:t>Durabilité</w:t>
      </w:r>
    </w:p>
    <w:p w14:paraId="4936B1F0"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En quoi les mécanismes communautaires de prévention ou de gestion de conflits mis en place par le projet sont-t-ils pérennes ?</w:t>
      </w:r>
    </w:p>
    <w:p w14:paraId="3C86D48A" w14:textId="77777777" w:rsidR="00E80642" w:rsidRPr="00B65C1B" w:rsidRDefault="00E80642" w:rsidP="00FB2B45">
      <w:pPr>
        <w:numPr>
          <w:ilvl w:val="0"/>
          <w:numId w:val="72"/>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288A2BE7"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En quoi la perception du rôle des femmes et des jeunes dans les mécanismes a été changée au niveau de la communauté ?</w:t>
      </w:r>
    </w:p>
    <w:p w14:paraId="57C30ED0" w14:textId="77777777" w:rsidR="00A769F5" w:rsidRPr="00C62F7E" w:rsidRDefault="00A769F5" w:rsidP="00FB2B45">
      <w:pPr>
        <w:numPr>
          <w:ilvl w:val="0"/>
          <w:numId w:val="72"/>
        </w:numPr>
        <w:spacing w:after="0" w:line="276" w:lineRule="auto"/>
        <w:rPr>
          <w:color w:val="000000" w:themeColor="text1"/>
        </w:rPr>
      </w:pPr>
      <w:r w:rsidRPr="00E82DD7">
        <w:t>Etes-vous (imam et chef coutumiers) engagés à maintenir la participation des femmes dans les mécanismes communautaires</w:t>
      </w:r>
    </w:p>
    <w:p w14:paraId="711C2FDB" w14:textId="77777777" w:rsidR="00A769F5" w:rsidRPr="00C62F7E" w:rsidRDefault="00A769F5" w:rsidP="00A769F5">
      <w:pPr>
        <w:spacing w:after="0" w:line="276" w:lineRule="auto"/>
        <w:rPr>
          <w:color w:val="000000" w:themeColor="text1"/>
          <w:sz w:val="10"/>
        </w:rPr>
      </w:pPr>
    </w:p>
    <w:p w14:paraId="6164CCC8" w14:textId="77777777" w:rsidR="00A769F5" w:rsidRPr="00C62F7E" w:rsidRDefault="00A769F5" w:rsidP="00A769F5">
      <w:pPr>
        <w:spacing w:line="276" w:lineRule="auto"/>
        <w:rPr>
          <w:b/>
          <w:color w:val="000000" w:themeColor="text1"/>
        </w:rPr>
      </w:pPr>
      <w:r w:rsidRPr="00C62F7E">
        <w:rPr>
          <w:b/>
          <w:color w:val="000000" w:themeColor="text1"/>
        </w:rPr>
        <w:t>Covid 19</w:t>
      </w:r>
    </w:p>
    <w:p w14:paraId="731107F8" w14:textId="6F6AA6E0" w:rsidR="00A769F5" w:rsidRPr="00C62F7E" w:rsidRDefault="00A769F5" w:rsidP="00FB2B45">
      <w:pPr>
        <w:numPr>
          <w:ilvl w:val="0"/>
          <w:numId w:val="72"/>
        </w:numPr>
        <w:spacing w:after="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 matériel Covid</w:t>
      </w:r>
      <w:r w:rsidRPr="00B65C1B">
        <w:rPr>
          <w:color w:val="000000"/>
        </w:rPr>
        <w:t>-</w:t>
      </w:r>
      <w:r w:rsidRPr="00C62F7E">
        <w:rPr>
          <w:color w:val="000000" w:themeColor="text1"/>
        </w:rPr>
        <w:t>19 (kit de lavage des mains, savon, gel hydro alcoolique, masques) mis à disposition des populations est-t-il utilisé ? Sinon, pourquoi ?</w:t>
      </w:r>
    </w:p>
    <w:p w14:paraId="6F6BA3D6" w14:textId="4D36198C" w:rsidR="00A769F5" w:rsidRPr="00C62F7E" w:rsidRDefault="00A769F5" w:rsidP="00FB2B45">
      <w:pPr>
        <w:numPr>
          <w:ilvl w:val="0"/>
          <w:numId w:val="72"/>
        </w:numPr>
        <w:spacing w:after="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les mesures barrières (port des maques / cache-nez, lavage de main, distanciation physique) sont-elles respectées par les populations ? Sinon, pourquoi ?</w:t>
      </w:r>
    </w:p>
    <w:p w14:paraId="0F793491"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est votre appréciation de l’apport du projet (don de matériel, sensibilisation) dans votre localité ?</w:t>
      </w:r>
    </w:p>
    <w:p w14:paraId="37E260D7" w14:textId="77777777" w:rsidR="00A769F5" w:rsidRPr="00C62F7E" w:rsidRDefault="00A769F5" w:rsidP="00A769F5">
      <w:pPr>
        <w:spacing w:after="0" w:line="276" w:lineRule="auto"/>
        <w:ind w:left="720"/>
        <w:rPr>
          <w:color w:val="000000" w:themeColor="text1"/>
        </w:rPr>
      </w:pPr>
    </w:p>
    <w:p w14:paraId="02A9DA7F" w14:textId="77777777" w:rsidR="00A769F5" w:rsidRPr="00C62F7E" w:rsidRDefault="00A769F5" w:rsidP="00A769F5">
      <w:pPr>
        <w:spacing w:after="0" w:line="276" w:lineRule="auto"/>
        <w:rPr>
          <w:b/>
          <w:color w:val="000000" w:themeColor="text1"/>
        </w:rPr>
      </w:pPr>
      <w:r w:rsidRPr="00C62F7E">
        <w:rPr>
          <w:b/>
          <w:color w:val="000000" w:themeColor="text1"/>
        </w:rPr>
        <w:t>Propositions / Recommandations</w:t>
      </w:r>
    </w:p>
    <w:p w14:paraId="492FEB11"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Qu’est-ce que vous recommandez/proposez à l’endroit :</w:t>
      </w:r>
    </w:p>
    <w:p w14:paraId="4E59B61B"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Des agences de mise en œuvre (ONU Femmes et ONUDC)</w:t>
      </w:r>
    </w:p>
    <w:p w14:paraId="62AC0CDD"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ONG locales (CRADE, CAR.D, ADL RESFECO)</w:t>
      </w:r>
    </w:p>
    <w:p w14:paraId="7D765911"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Des autorités locales</w:t>
      </w:r>
    </w:p>
    <w:p w14:paraId="4043D8C3"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 xml:space="preserve">Au Gouvernement </w:t>
      </w:r>
    </w:p>
    <w:p w14:paraId="05DF86C9" w14:textId="77777777" w:rsidR="00A769F5" w:rsidRPr="00C62F7E" w:rsidRDefault="00A769F5" w:rsidP="00A769F5">
      <w:pPr>
        <w:spacing w:before="0" w:after="0" w:line="276" w:lineRule="auto"/>
        <w:ind w:left="720"/>
        <w:rPr>
          <w:color w:val="000000" w:themeColor="text1"/>
        </w:rPr>
      </w:pPr>
    </w:p>
    <w:bookmarkEnd w:id="1008"/>
    <w:p w14:paraId="2CA11853" w14:textId="0E9E253C" w:rsidR="00A769F5" w:rsidRPr="00B65C1B" w:rsidRDefault="00A769F5" w:rsidP="00A769F5">
      <w:pPr>
        <w:spacing w:before="0" w:after="160" w:line="259" w:lineRule="auto"/>
        <w:jc w:val="left"/>
        <w:rPr>
          <w:b/>
          <w:i/>
          <w:smallCaps/>
          <w:color w:val="2E74B5"/>
        </w:rPr>
      </w:pPr>
      <w:r w:rsidRPr="00B65C1B">
        <w:rPr>
          <w:b/>
          <w:i/>
          <w:smallCaps/>
          <w:color w:val="2E74B5"/>
        </w:rPr>
        <w:br w:type="page"/>
      </w:r>
    </w:p>
    <w:p w14:paraId="51AB232B" w14:textId="23E0A753" w:rsidR="00906232" w:rsidRPr="00B65C1B" w:rsidRDefault="003C242D" w:rsidP="00B4750A">
      <w:pPr>
        <w:keepNext/>
        <w:keepLines/>
        <w:spacing w:before="4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w:t>
      </w:r>
      <w:r w:rsidR="00A769F5" w:rsidRPr="00B65C1B">
        <w:rPr>
          <w:b/>
          <w:i/>
          <w:smallCaps/>
          <w:color w:val="2E74B5"/>
        </w:rPr>
        <w:t>9</w:t>
      </w:r>
      <w:r w:rsidRPr="00B65C1B">
        <w:rPr>
          <w:b/>
          <w:i/>
          <w:smallCaps/>
          <w:color w:val="2E74B5"/>
        </w:rPr>
        <w:t xml:space="preserve">. </w:t>
      </w:r>
      <w:r w:rsidR="00B4750A" w:rsidRPr="00B65C1B">
        <w:rPr>
          <w:b/>
          <w:i/>
          <w:smallCaps/>
          <w:color w:val="2E74B5"/>
        </w:rPr>
        <w:t>Questionnaire</w:t>
      </w:r>
      <w:r w:rsidR="008D48D8" w:rsidRPr="00B65C1B">
        <w:rPr>
          <w:b/>
          <w:i/>
          <w:smallCaps/>
          <w:color w:val="2E74B5"/>
        </w:rPr>
        <w:t xml:space="preserve"> adressé aux</w:t>
      </w:r>
      <w:r w:rsidR="00B4750A" w:rsidRPr="00B65C1B">
        <w:rPr>
          <w:b/>
          <w:i/>
          <w:smallCaps/>
          <w:color w:val="2E74B5"/>
        </w:rPr>
        <w:t xml:space="preserve"> Bénéficiaires directs (</w:t>
      </w:r>
      <w:r w:rsidR="00081FBF" w:rsidRPr="00B65C1B">
        <w:rPr>
          <w:b/>
          <w:i/>
          <w:smallCaps/>
          <w:color w:val="2E74B5"/>
        </w:rPr>
        <w:t xml:space="preserve">Hommes et </w:t>
      </w:r>
      <w:r w:rsidR="00B4750A" w:rsidRPr="00B65C1B">
        <w:rPr>
          <w:b/>
          <w:i/>
          <w:smallCaps/>
          <w:color w:val="2E74B5"/>
        </w:rPr>
        <w:t>femmes)</w:t>
      </w:r>
    </w:p>
    <w:p w14:paraId="2D7110EC" w14:textId="77777777" w:rsidR="00906232" w:rsidRPr="00E82DD7" w:rsidRDefault="00906232" w:rsidP="00906232">
      <w:pPr>
        <w:spacing w:before="0"/>
        <w:rPr>
          <w:sz w:val="2"/>
          <w:szCs w:val="2"/>
        </w:rPr>
      </w:pPr>
    </w:p>
    <w:tbl>
      <w:tblPr>
        <w:tblW w:w="5000" w:type="pct"/>
        <w:tblLook w:val="04A0" w:firstRow="1" w:lastRow="0" w:firstColumn="1" w:lastColumn="0" w:noHBand="0" w:noVBand="1"/>
      </w:tblPr>
      <w:tblGrid>
        <w:gridCol w:w="239"/>
        <w:gridCol w:w="526"/>
        <w:gridCol w:w="7487"/>
        <w:gridCol w:w="332"/>
        <w:gridCol w:w="478"/>
      </w:tblGrid>
      <w:tr w:rsidR="00906232" w:rsidRPr="00E82DD7" w14:paraId="0F18EF0B" w14:textId="77777777" w:rsidTr="00D61A10">
        <w:trPr>
          <w:trHeight w:val="57"/>
          <w:tblHeader/>
        </w:trPr>
        <w:tc>
          <w:tcPr>
            <w:tcW w:w="5000" w:type="pct"/>
            <w:gridSpan w:val="5"/>
            <w:tcBorders>
              <w:top w:val="single" w:sz="4" w:space="0" w:color="0070C0"/>
              <w:left w:val="single" w:sz="4" w:space="0" w:color="0070C0"/>
              <w:bottom w:val="single" w:sz="4" w:space="0" w:color="0070C0"/>
              <w:right w:val="single" w:sz="4" w:space="0" w:color="0070C0"/>
            </w:tcBorders>
            <w:shd w:val="clear" w:color="auto" w:fill="BDD6EE"/>
            <w:vAlign w:val="center"/>
          </w:tcPr>
          <w:p w14:paraId="39806E6C" w14:textId="4D5D0AE6"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sz w:val="20"/>
                <w:szCs w:val="20"/>
              </w:rPr>
              <w:t xml:space="preserve">Questionnaire adressé aux </w:t>
            </w:r>
            <w:r>
              <w:rPr>
                <w:rFonts w:eastAsia="Times New Roman" w:cs="Tahoma"/>
                <w:b/>
                <w:bCs/>
                <w:sz w:val="20"/>
                <w:szCs w:val="20"/>
              </w:rPr>
              <w:t xml:space="preserve">Bénéficiaires directs </w:t>
            </w:r>
            <w:r w:rsidRPr="003B328C">
              <w:rPr>
                <w:rFonts w:eastAsia="Times New Roman" w:cs="Tahoma"/>
                <w:sz w:val="20"/>
                <w:szCs w:val="20"/>
              </w:rPr>
              <w:t>(</w:t>
            </w:r>
            <w:r w:rsidR="00081FBF">
              <w:rPr>
                <w:rFonts w:eastAsia="Times New Roman" w:cs="Tahoma"/>
                <w:sz w:val="20"/>
                <w:szCs w:val="20"/>
              </w:rPr>
              <w:t xml:space="preserve">hommes et </w:t>
            </w:r>
            <w:r w:rsidRPr="003B328C">
              <w:rPr>
                <w:rFonts w:eastAsia="Times New Roman" w:cs="Tahoma"/>
                <w:sz w:val="20"/>
                <w:szCs w:val="20"/>
              </w:rPr>
              <w:t>femmes)</w:t>
            </w:r>
          </w:p>
        </w:tc>
      </w:tr>
      <w:tr w:rsidR="00906232" w:rsidRPr="00E82DD7" w14:paraId="24165531" w14:textId="77777777" w:rsidTr="00D61A10">
        <w:trPr>
          <w:trHeight w:val="57"/>
        </w:trPr>
        <w:tc>
          <w:tcPr>
            <w:tcW w:w="5000" w:type="pct"/>
            <w:gridSpan w:val="5"/>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A972940" w14:textId="77777777" w:rsidR="00906232" w:rsidRPr="00E82DD7" w:rsidRDefault="00906232" w:rsidP="009E2DEE">
            <w:pPr>
              <w:spacing w:before="60" w:after="20" w:line="276" w:lineRule="auto"/>
              <w:jc w:val="left"/>
              <w:rPr>
                <w:rFonts w:eastAsia="Times New Roman" w:cs="Tahoma"/>
                <w:b/>
                <w:bCs/>
                <w:color w:val="000000"/>
                <w:sz w:val="20"/>
                <w:szCs w:val="20"/>
              </w:rPr>
            </w:pPr>
            <w:r w:rsidRPr="00E82DD7">
              <w:rPr>
                <w:rFonts w:eastAsia="Times New Roman" w:cs="Tahoma"/>
                <w:b/>
                <w:bCs/>
                <w:color w:val="FF0000"/>
                <w:sz w:val="20"/>
                <w:szCs w:val="20"/>
              </w:rPr>
              <w:t>CONSENTEMENT ECLAIRE</w:t>
            </w:r>
            <w:r w:rsidRPr="00E82DD7">
              <w:rPr>
                <w:rFonts w:eastAsia="Times New Roman" w:cs="Tahoma"/>
                <w:sz w:val="20"/>
                <w:szCs w:val="20"/>
              </w:rPr>
              <w:br/>
              <w:t xml:space="preserve">Je m'appelle </w:t>
            </w:r>
            <w:r w:rsidRPr="00E82DD7">
              <w:rPr>
                <w:rFonts w:eastAsia="Times New Roman" w:cs="Tahoma"/>
                <w:b/>
                <w:bCs/>
                <w:sz w:val="20"/>
                <w:szCs w:val="20"/>
              </w:rPr>
              <w:t>Nom &amp; Prénom,</w:t>
            </w:r>
            <w:r w:rsidRPr="00E82DD7">
              <w:rPr>
                <w:rFonts w:eastAsia="Times New Roman" w:cs="Tahoma"/>
                <w:sz w:val="20"/>
                <w:szCs w:val="20"/>
              </w:rPr>
              <w:t xml:space="preserve"> je suis là dans le cadre de </w:t>
            </w:r>
            <w:r w:rsidRPr="00352272">
              <w:rPr>
                <w:rFonts w:eastAsia="Times New Roman" w:cs="Tahoma"/>
                <w:sz w:val="20"/>
                <w:szCs w:val="20"/>
              </w:rPr>
              <w:t>l'Evaluation finale du projet transfrontalier Mali-Niger Mis en œuvre par ONU Femmes et ONUDC. L'enquête est réalisée par le Cabinet d'Etudes "Associés en Management public et Développement" (AMD International), que je représente. Je voudrais m'entretenir avec vous sur ce sujet. Nos échanges dureront environ 1 h.</w:t>
            </w:r>
            <w:r w:rsidRPr="00352272">
              <w:rPr>
                <w:rFonts w:eastAsia="Times New Roman" w:cs="Tahoma"/>
                <w:sz w:val="20"/>
                <w:szCs w:val="20"/>
              </w:rPr>
              <w:br/>
              <w:t>Les données recueillies resteront confidentielles et ne serviront uniquement qu'à l'objet de la présente évaluation. Votre participation à l'étude est libre et non rémunérée. Elle permettrait de de mesurer les niveaux d’atteinte des résultats planifiés ainsi que les impacts. L'enquête nous permettra aussi de savoir les aspects qu'il faut corriger ou améliorer lors des prochaines interventions. Nous n’attendons pas de vous une réponse particulière ; nous aimerions que vous nous répondiez sincèrement de ce que vous saviez. Sentez-vous libre de répondre aux questions à votre rythme.</w:t>
            </w:r>
            <w:r w:rsidRPr="00352272">
              <w:rPr>
                <w:rFonts w:eastAsia="Times New Roman" w:cs="Tahoma"/>
                <w:sz w:val="20"/>
                <w:szCs w:val="20"/>
              </w:rPr>
              <w:br/>
              <w:t xml:space="preserve">Je sollicite votre accord </w:t>
            </w:r>
            <w:r w:rsidRPr="00E82DD7">
              <w:rPr>
                <w:rFonts w:eastAsia="Times New Roman" w:cs="Tahoma"/>
                <w:sz w:val="20"/>
                <w:szCs w:val="20"/>
              </w:rPr>
              <w:t xml:space="preserve">pour commencer l'interview si vous acceptez de participer à cette enquête. </w:t>
            </w:r>
          </w:p>
        </w:tc>
      </w:tr>
      <w:tr w:rsidR="00E77F04" w:rsidRPr="00E82DD7" w14:paraId="2319696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vAlign w:val="center"/>
            <w:hideMark/>
          </w:tcPr>
          <w:p w14:paraId="07CF0395"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Section 01</w:t>
            </w:r>
          </w:p>
        </w:tc>
        <w:tc>
          <w:tcPr>
            <w:tcW w:w="4016" w:type="pct"/>
            <w:tcBorders>
              <w:top w:val="nil"/>
              <w:left w:val="nil"/>
              <w:bottom w:val="single" w:sz="4" w:space="0" w:color="0070C0"/>
              <w:right w:val="single" w:sz="4" w:space="0" w:color="0070C0"/>
            </w:tcBorders>
            <w:shd w:val="clear" w:color="000000" w:fill="D9D9D9"/>
            <w:vAlign w:val="center"/>
            <w:hideMark/>
          </w:tcPr>
          <w:p w14:paraId="2BC9293F"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Information sur la Collecte</w:t>
            </w:r>
          </w:p>
        </w:tc>
        <w:tc>
          <w:tcPr>
            <w:tcW w:w="182" w:type="pct"/>
            <w:tcBorders>
              <w:top w:val="nil"/>
              <w:left w:val="nil"/>
              <w:bottom w:val="single" w:sz="4" w:space="0" w:color="0070C0"/>
              <w:right w:val="single" w:sz="4" w:space="0" w:color="0070C0"/>
            </w:tcBorders>
            <w:shd w:val="clear" w:color="000000" w:fill="D9D9D9"/>
            <w:vAlign w:val="center"/>
            <w:hideMark/>
          </w:tcPr>
          <w:p w14:paraId="5F401F9D"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IC</w:t>
            </w:r>
          </w:p>
        </w:tc>
        <w:tc>
          <w:tcPr>
            <w:tcW w:w="259" w:type="pct"/>
            <w:tcBorders>
              <w:top w:val="nil"/>
              <w:left w:val="nil"/>
              <w:bottom w:val="single" w:sz="4" w:space="0" w:color="0070C0"/>
              <w:right w:val="single" w:sz="4" w:space="0" w:color="0070C0"/>
            </w:tcBorders>
            <w:shd w:val="clear" w:color="000000" w:fill="D9D9D9"/>
            <w:vAlign w:val="center"/>
            <w:hideMark/>
          </w:tcPr>
          <w:p w14:paraId="3A09C00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5C4433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0EE1EA4"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IC.01</w:t>
            </w:r>
          </w:p>
        </w:tc>
        <w:tc>
          <w:tcPr>
            <w:tcW w:w="4016" w:type="pct"/>
            <w:tcBorders>
              <w:top w:val="nil"/>
              <w:left w:val="nil"/>
              <w:bottom w:val="single" w:sz="4" w:space="0" w:color="0070C0"/>
              <w:right w:val="single" w:sz="4" w:space="0" w:color="0070C0"/>
            </w:tcBorders>
            <w:shd w:val="clear" w:color="auto" w:fill="auto"/>
            <w:hideMark/>
          </w:tcPr>
          <w:p w14:paraId="6A1A3B37"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 xml:space="preserve">Date de l’interview </w:t>
            </w:r>
          </w:p>
        </w:tc>
        <w:tc>
          <w:tcPr>
            <w:tcW w:w="182" w:type="pct"/>
            <w:tcBorders>
              <w:top w:val="nil"/>
              <w:left w:val="nil"/>
              <w:bottom w:val="single" w:sz="4" w:space="0" w:color="0070C0"/>
              <w:right w:val="single" w:sz="4" w:space="0" w:color="0070C0"/>
            </w:tcBorders>
            <w:shd w:val="clear" w:color="auto" w:fill="auto"/>
            <w:vAlign w:val="center"/>
            <w:hideMark/>
          </w:tcPr>
          <w:p w14:paraId="0B5E8B52"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513703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6FE51C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552B9DF"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B15848"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B94ABC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18FDC2B"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3DC91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5936E26"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IC.02</w:t>
            </w:r>
          </w:p>
        </w:tc>
        <w:tc>
          <w:tcPr>
            <w:tcW w:w="4016" w:type="pct"/>
            <w:tcBorders>
              <w:top w:val="nil"/>
              <w:left w:val="nil"/>
              <w:bottom w:val="single" w:sz="4" w:space="0" w:color="0070C0"/>
              <w:right w:val="single" w:sz="4" w:space="0" w:color="0070C0"/>
            </w:tcBorders>
            <w:shd w:val="clear" w:color="auto" w:fill="auto"/>
            <w:hideMark/>
          </w:tcPr>
          <w:p w14:paraId="73F56624"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Heure de début de l’interview</w:t>
            </w:r>
          </w:p>
        </w:tc>
        <w:tc>
          <w:tcPr>
            <w:tcW w:w="182" w:type="pct"/>
            <w:tcBorders>
              <w:top w:val="nil"/>
              <w:left w:val="nil"/>
              <w:bottom w:val="single" w:sz="4" w:space="0" w:color="0070C0"/>
              <w:right w:val="single" w:sz="4" w:space="0" w:color="0070C0"/>
            </w:tcBorders>
            <w:shd w:val="clear" w:color="auto" w:fill="auto"/>
            <w:vAlign w:val="center"/>
            <w:hideMark/>
          </w:tcPr>
          <w:p w14:paraId="285C781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775A9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5E758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FBE330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EB84C0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F49F3F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321773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E0824D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72A4AE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IC.04</w:t>
            </w:r>
          </w:p>
        </w:tc>
        <w:tc>
          <w:tcPr>
            <w:tcW w:w="4016" w:type="pct"/>
            <w:tcBorders>
              <w:top w:val="nil"/>
              <w:left w:val="nil"/>
              <w:bottom w:val="single" w:sz="4" w:space="0" w:color="0070C0"/>
              <w:right w:val="single" w:sz="4" w:space="0" w:color="0070C0"/>
            </w:tcBorders>
            <w:shd w:val="clear" w:color="auto" w:fill="auto"/>
            <w:hideMark/>
          </w:tcPr>
          <w:p w14:paraId="4C88921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Code de l'enquêteur</w:t>
            </w:r>
          </w:p>
        </w:tc>
        <w:tc>
          <w:tcPr>
            <w:tcW w:w="182" w:type="pct"/>
            <w:tcBorders>
              <w:top w:val="nil"/>
              <w:left w:val="nil"/>
              <w:bottom w:val="single" w:sz="4" w:space="0" w:color="0070C0"/>
              <w:right w:val="single" w:sz="4" w:space="0" w:color="0070C0"/>
            </w:tcBorders>
            <w:shd w:val="clear" w:color="auto" w:fill="auto"/>
            <w:vAlign w:val="center"/>
            <w:hideMark/>
          </w:tcPr>
          <w:p w14:paraId="2E59D7E6"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7BC4DF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EDBEF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97B499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49C20F40"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4CFE058"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5DE5E7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7D1362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67BFDE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IC.05</w:t>
            </w:r>
          </w:p>
        </w:tc>
        <w:tc>
          <w:tcPr>
            <w:tcW w:w="4016" w:type="pct"/>
            <w:tcBorders>
              <w:top w:val="nil"/>
              <w:left w:val="nil"/>
              <w:bottom w:val="single" w:sz="4" w:space="0" w:color="0070C0"/>
              <w:right w:val="single" w:sz="4" w:space="0" w:color="0070C0"/>
            </w:tcBorders>
            <w:shd w:val="clear" w:color="auto" w:fill="auto"/>
            <w:hideMark/>
          </w:tcPr>
          <w:p w14:paraId="4DC8B60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Insérer la prise des points GPS</w:t>
            </w:r>
          </w:p>
        </w:tc>
        <w:tc>
          <w:tcPr>
            <w:tcW w:w="182" w:type="pct"/>
            <w:tcBorders>
              <w:top w:val="nil"/>
              <w:left w:val="nil"/>
              <w:bottom w:val="single" w:sz="4" w:space="0" w:color="0070C0"/>
              <w:right w:val="single" w:sz="4" w:space="0" w:color="0070C0"/>
            </w:tcBorders>
            <w:shd w:val="clear" w:color="auto" w:fill="auto"/>
            <w:vAlign w:val="center"/>
            <w:hideMark/>
          </w:tcPr>
          <w:p w14:paraId="27FBF0FA"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5876C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91AD45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016BCF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635D6C22"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20A4AF7"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FEAADD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050E2E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551B86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5B1CC965"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7A671083"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EF1763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758084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vAlign w:val="center"/>
            <w:hideMark/>
          </w:tcPr>
          <w:p w14:paraId="6A1EEB8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02</w:t>
            </w:r>
          </w:p>
        </w:tc>
        <w:tc>
          <w:tcPr>
            <w:tcW w:w="4016" w:type="pct"/>
            <w:tcBorders>
              <w:top w:val="nil"/>
              <w:left w:val="nil"/>
              <w:bottom w:val="single" w:sz="4" w:space="0" w:color="0070C0"/>
              <w:right w:val="single" w:sz="4" w:space="0" w:color="0070C0"/>
            </w:tcBorders>
            <w:shd w:val="clear" w:color="000000" w:fill="D9D9D9"/>
            <w:vAlign w:val="center"/>
            <w:hideMark/>
          </w:tcPr>
          <w:p w14:paraId="3F3F5C7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Caractéristiques du Bénéficiaire</w:t>
            </w:r>
          </w:p>
        </w:tc>
        <w:tc>
          <w:tcPr>
            <w:tcW w:w="182" w:type="pct"/>
            <w:tcBorders>
              <w:top w:val="nil"/>
              <w:left w:val="nil"/>
              <w:bottom w:val="single" w:sz="4" w:space="0" w:color="0070C0"/>
              <w:right w:val="single" w:sz="4" w:space="0" w:color="0070C0"/>
            </w:tcBorders>
            <w:shd w:val="clear" w:color="000000" w:fill="D9D9D9"/>
            <w:vAlign w:val="center"/>
            <w:hideMark/>
          </w:tcPr>
          <w:p w14:paraId="7CCAE558"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CB</w:t>
            </w:r>
          </w:p>
        </w:tc>
        <w:tc>
          <w:tcPr>
            <w:tcW w:w="259" w:type="pct"/>
            <w:tcBorders>
              <w:top w:val="nil"/>
              <w:left w:val="nil"/>
              <w:bottom w:val="single" w:sz="4" w:space="0" w:color="0070C0"/>
              <w:right w:val="single" w:sz="4" w:space="0" w:color="0070C0"/>
            </w:tcBorders>
            <w:shd w:val="clear" w:color="000000" w:fill="D9D9D9"/>
            <w:vAlign w:val="center"/>
            <w:hideMark/>
          </w:tcPr>
          <w:p w14:paraId="0ECD4FF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C72E4E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E67117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CB.01</w:t>
            </w:r>
          </w:p>
        </w:tc>
        <w:tc>
          <w:tcPr>
            <w:tcW w:w="4016" w:type="pct"/>
            <w:tcBorders>
              <w:top w:val="nil"/>
              <w:left w:val="nil"/>
              <w:bottom w:val="single" w:sz="4" w:space="0" w:color="0070C0"/>
              <w:right w:val="single" w:sz="4" w:space="0" w:color="0070C0"/>
            </w:tcBorders>
            <w:shd w:val="clear" w:color="auto" w:fill="auto"/>
            <w:hideMark/>
          </w:tcPr>
          <w:p w14:paraId="3314DCB7"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Cercle/Département dont dépend le 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426428F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783F5A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C082CB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EC51DD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B17388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4E0179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3F6BEF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FE4FE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0A9655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CB.02</w:t>
            </w:r>
          </w:p>
        </w:tc>
        <w:tc>
          <w:tcPr>
            <w:tcW w:w="4016" w:type="pct"/>
            <w:tcBorders>
              <w:top w:val="nil"/>
              <w:left w:val="nil"/>
              <w:bottom w:val="single" w:sz="4" w:space="0" w:color="0070C0"/>
              <w:right w:val="single" w:sz="4" w:space="0" w:color="0070C0"/>
            </w:tcBorders>
            <w:shd w:val="clear" w:color="auto" w:fill="auto"/>
            <w:hideMark/>
          </w:tcPr>
          <w:p w14:paraId="3DA19F29"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Commune dont dépend le 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7C63B897"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8AD6AC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6FAD3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F10AB8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D917A2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1087D78"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DC220C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61713E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654B85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CB.03</w:t>
            </w:r>
          </w:p>
        </w:tc>
        <w:tc>
          <w:tcPr>
            <w:tcW w:w="4016" w:type="pct"/>
            <w:tcBorders>
              <w:top w:val="nil"/>
              <w:left w:val="nil"/>
              <w:bottom w:val="single" w:sz="4" w:space="0" w:color="0070C0"/>
              <w:right w:val="single" w:sz="4" w:space="0" w:color="0070C0"/>
            </w:tcBorders>
            <w:shd w:val="clear" w:color="auto" w:fill="auto"/>
            <w:hideMark/>
          </w:tcPr>
          <w:p w14:paraId="0B301B7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4F9ACA32"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04BC6D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3CED9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E640FF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C546A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E3553D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DEDFCE"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A9A75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731778"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CB.04</w:t>
            </w:r>
          </w:p>
        </w:tc>
        <w:tc>
          <w:tcPr>
            <w:tcW w:w="4016" w:type="pct"/>
            <w:tcBorders>
              <w:top w:val="nil"/>
              <w:left w:val="nil"/>
              <w:bottom w:val="single" w:sz="4" w:space="0" w:color="0070C0"/>
              <w:right w:val="single" w:sz="4" w:space="0" w:color="0070C0"/>
            </w:tcBorders>
            <w:shd w:val="clear" w:color="auto" w:fill="auto"/>
            <w:hideMark/>
          </w:tcPr>
          <w:p w14:paraId="6557FBC2"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Nom &amp; Prénom (s) du répondant</w:t>
            </w:r>
          </w:p>
        </w:tc>
        <w:tc>
          <w:tcPr>
            <w:tcW w:w="182" w:type="pct"/>
            <w:tcBorders>
              <w:top w:val="nil"/>
              <w:left w:val="nil"/>
              <w:bottom w:val="single" w:sz="4" w:space="0" w:color="0070C0"/>
              <w:right w:val="single" w:sz="4" w:space="0" w:color="0070C0"/>
            </w:tcBorders>
            <w:shd w:val="clear" w:color="auto" w:fill="auto"/>
            <w:vAlign w:val="center"/>
            <w:hideMark/>
          </w:tcPr>
          <w:p w14:paraId="7B621EE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48BDE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48338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286D5B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9C24831"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D5850C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020898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0E5D8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BEE23E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CB.05</w:t>
            </w:r>
          </w:p>
        </w:tc>
        <w:tc>
          <w:tcPr>
            <w:tcW w:w="4016" w:type="pct"/>
            <w:tcBorders>
              <w:top w:val="nil"/>
              <w:left w:val="nil"/>
              <w:bottom w:val="single" w:sz="4" w:space="0" w:color="0070C0"/>
              <w:right w:val="single" w:sz="4" w:space="0" w:color="0070C0"/>
            </w:tcBorders>
            <w:shd w:val="clear" w:color="auto" w:fill="auto"/>
            <w:hideMark/>
          </w:tcPr>
          <w:p w14:paraId="29E3340C"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Sexe du répondant</w:t>
            </w:r>
          </w:p>
        </w:tc>
        <w:tc>
          <w:tcPr>
            <w:tcW w:w="182" w:type="pct"/>
            <w:tcBorders>
              <w:top w:val="nil"/>
              <w:left w:val="nil"/>
              <w:bottom w:val="single" w:sz="4" w:space="0" w:color="0070C0"/>
              <w:right w:val="single" w:sz="4" w:space="0" w:color="0070C0"/>
            </w:tcBorders>
            <w:shd w:val="clear" w:color="auto" w:fill="auto"/>
            <w:vAlign w:val="center"/>
            <w:hideMark/>
          </w:tcPr>
          <w:p w14:paraId="0C508AF3"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8EF56E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8974B9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CBBE89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FD8110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Masculin</w:t>
            </w:r>
          </w:p>
        </w:tc>
        <w:tc>
          <w:tcPr>
            <w:tcW w:w="182" w:type="pct"/>
            <w:tcBorders>
              <w:top w:val="nil"/>
              <w:left w:val="nil"/>
              <w:bottom w:val="single" w:sz="4" w:space="0" w:color="0070C0"/>
              <w:right w:val="single" w:sz="4" w:space="0" w:color="0070C0"/>
            </w:tcBorders>
            <w:shd w:val="clear" w:color="auto" w:fill="auto"/>
            <w:vAlign w:val="center"/>
            <w:hideMark/>
          </w:tcPr>
          <w:p w14:paraId="1F11F75C"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F4B58B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F95215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3B6A9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5743BE7"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Féminin</w:t>
            </w:r>
          </w:p>
        </w:tc>
        <w:tc>
          <w:tcPr>
            <w:tcW w:w="182" w:type="pct"/>
            <w:tcBorders>
              <w:top w:val="nil"/>
              <w:left w:val="nil"/>
              <w:bottom w:val="single" w:sz="4" w:space="0" w:color="0070C0"/>
              <w:right w:val="single" w:sz="4" w:space="0" w:color="0070C0"/>
            </w:tcBorders>
            <w:shd w:val="clear" w:color="auto" w:fill="auto"/>
            <w:vAlign w:val="center"/>
            <w:hideMark/>
          </w:tcPr>
          <w:p w14:paraId="372AF718"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65615F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C043A8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2D999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B6A2785"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27B0836"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4F6D2DD"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29097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947445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CB.06</w:t>
            </w:r>
          </w:p>
        </w:tc>
        <w:tc>
          <w:tcPr>
            <w:tcW w:w="4016" w:type="pct"/>
            <w:tcBorders>
              <w:top w:val="nil"/>
              <w:left w:val="nil"/>
              <w:bottom w:val="single" w:sz="4" w:space="0" w:color="0070C0"/>
              <w:right w:val="single" w:sz="4" w:space="0" w:color="0070C0"/>
            </w:tcBorders>
            <w:shd w:val="clear" w:color="auto" w:fill="auto"/>
            <w:hideMark/>
          </w:tcPr>
          <w:p w14:paraId="4E16511E"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Age du répondant en année </w:t>
            </w:r>
            <w:r w:rsidRPr="00E82DD7">
              <w:rPr>
                <w:rFonts w:eastAsia="Times New Roman" w:cs="Tahoma"/>
                <w:i/>
                <w:iCs/>
                <w:color w:val="000000"/>
                <w:sz w:val="20"/>
                <w:szCs w:val="20"/>
              </w:rPr>
              <w:t>[Il s’agit de son âge au dernier anniversaire]</w:t>
            </w:r>
          </w:p>
        </w:tc>
        <w:tc>
          <w:tcPr>
            <w:tcW w:w="182" w:type="pct"/>
            <w:tcBorders>
              <w:top w:val="nil"/>
              <w:left w:val="nil"/>
              <w:bottom w:val="single" w:sz="4" w:space="0" w:color="0070C0"/>
              <w:right w:val="single" w:sz="4" w:space="0" w:color="0070C0"/>
            </w:tcBorders>
            <w:shd w:val="clear" w:color="auto" w:fill="auto"/>
            <w:vAlign w:val="center"/>
            <w:hideMark/>
          </w:tcPr>
          <w:p w14:paraId="4932C19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B3A9C7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941922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008852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1E883B4"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0117120"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2D9F3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E9158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390397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CB.07</w:t>
            </w:r>
          </w:p>
        </w:tc>
        <w:tc>
          <w:tcPr>
            <w:tcW w:w="4016" w:type="pct"/>
            <w:tcBorders>
              <w:top w:val="nil"/>
              <w:left w:val="nil"/>
              <w:bottom w:val="single" w:sz="4" w:space="0" w:color="0070C0"/>
              <w:right w:val="single" w:sz="4" w:space="0" w:color="0070C0"/>
            </w:tcBorders>
            <w:shd w:val="clear" w:color="auto" w:fill="auto"/>
            <w:hideMark/>
          </w:tcPr>
          <w:p w14:paraId="3EFA0BA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statut matrimonial ?</w:t>
            </w:r>
          </w:p>
        </w:tc>
        <w:tc>
          <w:tcPr>
            <w:tcW w:w="182" w:type="pct"/>
            <w:tcBorders>
              <w:top w:val="nil"/>
              <w:left w:val="nil"/>
              <w:bottom w:val="single" w:sz="4" w:space="0" w:color="0070C0"/>
              <w:right w:val="single" w:sz="4" w:space="0" w:color="0070C0"/>
            </w:tcBorders>
            <w:shd w:val="clear" w:color="auto" w:fill="auto"/>
            <w:vAlign w:val="center"/>
            <w:hideMark/>
          </w:tcPr>
          <w:p w14:paraId="199F16E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3EB66D"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5157ED7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EC33D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B8D7761"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Marié Polygame</w:t>
            </w:r>
          </w:p>
        </w:tc>
        <w:tc>
          <w:tcPr>
            <w:tcW w:w="182" w:type="pct"/>
            <w:tcBorders>
              <w:top w:val="nil"/>
              <w:left w:val="nil"/>
              <w:bottom w:val="single" w:sz="4" w:space="0" w:color="0070C0"/>
              <w:right w:val="single" w:sz="4" w:space="0" w:color="0070C0"/>
            </w:tcBorders>
            <w:shd w:val="clear" w:color="auto" w:fill="auto"/>
            <w:vAlign w:val="center"/>
            <w:hideMark/>
          </w:tcPr>
          <w:p w14:paraId="4D298786"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40FDDD"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02B3FF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53EA4F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F4B2EF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Marié Monogame</w:t>
            </w:r>
          </w:p>
        </w:tc>
        <w:tc>
          <w:tcPr>
            <w:tcW w:w="182" w:type="pct"/>
            <w:tcBorders>
              <w:top w:val="nil"/>
              <w:left w:val="nil"/>
              <w:bottom w:val="single" w:sz="4" w:space="0" w:color="0070C0"/>
              <w:right w:val="single" w:sz="4" w:space="0" w:color="0070C0"/>
            </w:tcBorders>
            <w:shd w:val="clear" w:color="auto" w:fill="auto"/>
            <w:vAlign w:val="center"/>
            <w:hideMark/>
          </w:tcPr>
          <w:p w14:paraId="425552A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5E51C9B5"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1E95B6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E51DDD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5B8F959"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Veuf (ve)</w:t>
            </w:r>
          </w:p>
        </w:tc>
        <w:tc>
          <w:tcPr>
            <w:tcW w:w="182" w:type="pct"/>
            <w:tcBorders>
              <w:top w:val="nil"/>
              <w:left w:val="nil"/>
              <w:bottom w:val="single" w:sz="4" w:space="0" w:color="0070C0"/>
              <w:right w:val="single" w:sz="4" w:space="0" w:color="0070C0"/>
            </w:tcBorders>
            <w:shd w:val="clear" w:color="auto" w:fill="auto"/>
            <w:vAlign w:val="center"/>
            <w:hideMark/>
          </w:tcPr>
          <w:p w14:paraId="14428D32"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582F840A"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2C826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064949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DA4A58B"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Divorcé</w:t>
            </w:r>
          </w:p>
        </w:tc>
        <w:tc>
          <w:tcPr>
            <w:tcW w:w="182" w:type="pct"/>
            <w:tcBorders>
              <w:top w:val="nil"/>
              <w:left w:val="nil"/>
              <w:bottom w:val="single" w:sz="4" w:space="0" w:color="0070C0"/>
              <w:right w:val="single" w:sz="4" w:space="0" w:color="0070C0"/>
            </w:tcBorders>
            <w:shd w:val="clear" w:color="auto" w:fill="auto"/>
            <w:vAlign w:val="center"/>
            <w:hideMark/>
          </w:tcPr>
          <w:p w14:paraId="006F8CA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5274B81E"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A254F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7E9142"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9974F3F"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Célibataire </w:t>
            </w:r>
          </w:p>
        </w:tc>
        <w:tc>
          <w:tcPr>
            <w:tcW w:w="182" w:type="pct"/>
            <w:tcBorders>
              <w:top w:val="nil"/>
              <w:left w:val="nil"/>
              <w:bottom w:val="single" w:sz="4" w:space="0" w:color="0070C0"/>
              <w:right w:val="single" w:sz="4" w:space="0" w:color="0070C0"/>
            </w:tcBorders>
            <w:shd w:val="clear" w:color="auto" w:fill="auto"/>
            <w:vAlign w:val="center"/>
          </w:tcPr>
          <w:p w14:paraId="5CC7D530"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794A8034"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483F44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457028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90926E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4F270DD1"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2849DBDA"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78184D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53EA5C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F6A8B4D"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056ED1CF"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73949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06CF32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74F0BA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CB.08</w:t>
            </w:r>
          </w:p>
        </w:tc>
        <w:tc>
          <w:tcPr>
            <w:tcW w:w="4016" w:type="pct"/>
            <w:tcBorders>
              <w:top w:val="nil"/>
              <w:left w:val="nil"/>
              <w:bottom w:val="single" w:sz="4" w:space="0" w:color="0070C0"/>
              <w:right w:val="single" w:sz="4" w:space="0" w:color="0070C0"/>
            </w:tcBorders>
            <w:shd w:val="clear" w:color="auto" w:fill="auto"/>
            <w:hideMark/>
          </w:tcPr>
          <w:p w14:paraId="0E7E31D4"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niveau d'instruction ?</w:t>
            </w:r>
          </w:p>
        </w:tc>
        <w:tc>
          <w:tcPr>
            <w:tcW w:w="182" w:type="pct"/>
            <w:tcBorders>
              <w:top w:val="nil"/>
              <w:left w:val="nil"/>
              <w:bottom w:val="single" w:sz="4" w:space="0" w:color="0070C0"/>
              <w:right w:val="single" w:sz="4" w:space="0" w:color="0070C0"/>
            </w:tcBorders>
            <w:shd w:val="clear" w:color="auto" w:fill="auto"/>
            <w:vAlign w:val="center"/>
            <w:hideMark/>
          </w:tcPr>
          <w:p w14:paraId="1A4A3BAE"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noWrap/>
            <w:vAlign w:val="center"/>
            <w:hideMark/>
          </w:tcPr>
          <w:p w14:paraId="2CE03563"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717445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EB7FC7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E873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Supérieur</w:t>
            </w:r>
          </w:p>
        </w:tc>
        <w:tc>
          <w:tcPr>
            <w:tcW w:w="182" w:type="pct"/>
            <w:tcBorders>
              <w:top w:val="nil"/>
              <w:left w:val="nil"/>
              <w:bottom w:val="single" w:sz="4" w:space="0" w:color="0070C0"/>
              <w:right w:val="single" w:sz="4" w:space="0" w:color="0070C0"/>
            </w:tcBorders>
            <w:shd w:val="clear" w:color="auto" w:fill="auto"/>
            <w:vAlign w:val="center"/>
            <w:hideMark/>
          </w:tcPr>
          <w:p w14:paraId="6C7695E8"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C61DD5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4D286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4ACF0E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A244D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Secondaire</w:t>
            </w:r>
          </w:p>
        </w:tc>
        <w:tc>
          <w:tcPr>
            <w:tcW w:w="182" w:type="pct"/>
            <w:tcBorders>
              <w:top w:val="nil"/>
              <w:left w:val="nil"/>
              <w:bottom w:val="single" w:sz="4" w:space="0" w:color="0070C0"/>
              <w:right w:val="single" w:sz="4" w:space="0" w:color="0070C0"/>
            </w:tcBorders>
            <w:shd w:val="clear" w:color="auto" w:fill="auto"/>
            <w:vAlign w:val="center"/>
            <w:hideMark/>
          </w:tcPr>
          <w:p w14:paraId="713839DB"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5107E8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4B953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B8AB2E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2FD28FE"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Primaire </w:t>
            </w:r>
          </w:p>
        </w:tc>
        <w:tc>
          <w:tcPr>
            <w:tcW w:w="182" w:type="pct"/>
            <w:tcBorders>
              <w:top w:val="nil"/>
              <w:left w:val="nil"/>
              <w:bottom w:val="single" w:sz="4" w:space="0" w:color="0070C0"/>
              <w:right w:val="single" w:sz="4" w:space="0" w:color="0070C0"/>
            </w:tcBorders>
            <w:shd w:val="clear" w:color="auto" w:fill="auto"/>
            <w:vAlign w:val="center"/>
            <w:hideMark/>
          </w:tcPr>
          <w:p w14:paraId="251A8E83"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06DA033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553CE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4B9DB0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13FC4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Sans instruction</w:t>
            </w:r>
          </w:p>
        </w:tc>
        <w:tc>
          <w:tcPr>
            <w:tcW w:w="182" w:type="pct"/>
            <w:tcBorders>
              <w:top w:val="nil"/>
              <w:left w:val="nil"/>
              <w:bottom w:val="single" w:sz="4" w:space="0" w:color="0070C0"/>
              <w:right w:val="single" w:sz="4" w:space="0" w:color="0070C0"/>
            </w:tcBorders>
            <w:shd w:val="clear" w:color="auto" w:fill="auto"/>
            <w:vAlign w:val="center"/>
            <w:hideMark/>
          </w:tcPr>
          <w:p w14:paraId="3EC2D344"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532FA18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99AAD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B330D68"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963FE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Ne sais pas </w:t>
            </w:r>
          </w:p>
        </w:tc>
        <w:tc>
          <w:tcPr>
            <w:tcW w:w="182" w:type="pct"/>
            <w:tcBorders>
              <w:top w:val="nil"/>
              <w:left w:val="nil"/>
              <w:bottom w:val="single" w:sz="4" w:space="0" w:color="0070C0"/>
              <w:right w:val="single" w:sz="4" w:space="0" w:color="0070C0"/>
            </w:tcBorders>
            <w:shd w:val="clear" w:color="auto" w:fill="auto"/>
            <w:vAlign w:val="center"/>
            <w:hideMark/>
          </w:tcPr>
          <w:p w14:paraId="2F1F2537"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58E378B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E2A38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E09154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2D819C1C"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04E9FCF"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355A68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2E7047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CA8FA2A"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CB.09</w:t>
            </w:r>
          </w:p>
        </w:tc>
        <w:tc>
          <w:tcPr>
            <w:tcW w:w="4016" w:type="pct"/>
            <w:tcBorders>
              <w:top w:val="nil"/>
              <w:left w:val="nil"/>
              <w:bottom w:val="single" w:sz="4" w:space="0" w:color="0070C0"/>
              <w:right w:val="single" w:sz="4" w:space="0" w:color="0070C0"/>
            </w:tcBorders>
            <w:shd w:val="clear" w:color="auto" w:fill="auto"/>
            <w:hideMark/>
          </w:tcPr>
          <w:p w14:paraId="599201F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Quelle est votre activité principale ?</w:t>
            </w:r>
          </w:p>
        </w:tc>
        <w:tc>
          <w:tcPr>
            <w:tcW w:w="182" w:type="pct"/>
            <w:tcBorders>
              <w:top w:val="nil"/>
              <w:left w:val="nil"/>
              <w:bottom w:val="single" w:sz="4" w:space="0" w:color="0070C0"/>
              <w:right w:val="single" w:sz="4" w:space="0" w:color="0070C0"/>
            </w:tcBorders>
            <w:shd w:val="clear" w:color="auto" w:fill="auto"/>
            <w:vAlign w:val="center"/>
            <w:hideMark/>
          </w:tcPr>
          <w:p w14:paraId="5162190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noWrap/>
            <w:vAlign w:val="center"/>
            <w:hideMark/>
          </w:tcPr>
          <w:p w14:paraId="3B65FEA6"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26A36BD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3A4159E"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DDF89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Travaux </w:t>
            </w:r>
            <w:r>
              <w:rPr>
                <w:rFonts w:eastAsia="Times New Roman" w:cs="Tahoma"/>
                <w:i/>
                <w:iCs/>
                <w:color w:val="000000"/>
                <w:sz w:val="20"/>
                <w:szCs w:val="20"/>
              </w:rPr>
              <w:t>m</w:t>
            </w:r>
            <w:r w:rsidRPr="00E82DD7">
              <w:rPr>
                <w:rFonts w:eastAsia="Times New Roman" w:cs="Tahoma"/>
                <w:i/>
                <w:iCs/>
                <w:color w:val="000000"/>
                <w:sz w:val="20"/>
                <w:szCs w:val="20"/>
              </w:rPr>
              <w:t>énagers</w:t>
            </w:r>
          </w:p>
        </w:tc>
        <w:tc>
          <w:tcPr>
            <w:tcW w:w="182" w:type="pct"/>
            <w:tcBorders>
              <w:top w:val="nil"/>
              <w:left w:val="nil"/>
              <w:bottom w:val="single" w:sz="4" w:space="0" w:color="0070C0"/>
              <w:right w:val="single" w:sz="4" w:space="0" w:color="0070C0"/>
            </w:tcBorders>
            <w:shd w:val="clear" w:color="auto" w:fill="auto"/>
            <w:vAlign w:val="center"/>
            <w:hideMark/>
          </w:tcPr>
          <w:p w14:paraId="06965016"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noWrap/>
            <w:vAlign w:val="center"/>
            <w:hideMark/>
          </w:tcPr>
          <w:p w14:paraId="4F8B1B4E"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D22833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66CA4D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FBC8F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Agriculture</w:t>
            </w:r>
          </w:p>
        </w:tc>
        <w:tc>
          <w:tcPr>
            <w:tcW w:w="182" w:type="pct"/>
            <w:tcBorders>
              <w:top w:val="nil"/>
              <w:left w:val="nil"/>
              <w:bottom w:val="single" w:sz="4" w:space="0" w:color="0070C0"/>
              <w:right w:val="single" w:sz="4" w:space="0" w:color="0070C0"/>
            </w:tcBorders>
            <w:shd w:val="clear" w:color="auto" w:fill="auto"/>
            <w:vAlign w:val="center"/>
            <w:hideMark/>
          </w:tcPr>
          <w:p w14:paraId="065A23F9"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4B22B26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F12107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119DF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EE6E327"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Élevage</w:t>
            </w:r>
          </w:p>
        </w:tc>
        <w:tc>
          <w:tcPr>
            <w:tcW w:w="182" w:type="pct"/>
            <w:tcBorders>
              <w:top w:val="nil"/>
              <w:left w:val="nil"/>
              <w:bottom w:val="single" w:sz="4" w:space="0" w:color="0070C0"/>
              <w:right w:val="single" w:sz="4" w:space="0" w:color="0070C0"/>
            </w:tcBorders>
            <w:shd w:val="clear" w:color="auto" w:fill="auto"/>
            <w:vAlign w:val="center"/>
            <w:hideMark/>
          </w:tcPr>
          <w:p w14:paraId="3AA52CC1"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6DB2CA9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6281C4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30D8AF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988CA1"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Commerc</w:t>
            </w:r>
            <w:r>
              <w:rPr>
                <w:rFonts w:eastAsia="Times New Roman" w:cs="Tahoma"/>
                <w:i/>
                <w:iCs/>
                <w:color w:val="000000"/>
                <w:sz w:val="20"/>
                <w:szCs w:val="20"/>
              </w:rPr>
              <w:t>e</w:t>
            </w:r>
            <w:r w:rsidRPr="00E82DD7">
              <w:rPr>
                <w:rFonts w:eastAsia="Times New Roman" w:cs="Tahoma"/>
                <w:i/>
                <w:iCs/>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1C57DC2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71A65C1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BB3158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BD27B22"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4CA93ED" w14:textId="77777777" w:rsidR="00906232" w:rsidRPr="00E82DD7" w:rsidDel="00F5517E"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Artisanat</w:t>
            </w:r>
          </w:p>
        </w:tc>
        <w:tc>
          <w:tcPr>
            <w:tcW w:w="182" w:type="pct"/>
            <w:tcBorders>
              <w:top w:val="nil"/>
              <w:left w:val="nil"/>
              <w:bottom w:val="single" w:sz="4" w:space="0" w:color="0070C0"/>
              <w:right w:val="single" w:sz="4" w:space="0" w:color="0070C0"/>
            </w:tcBorders>
            <w:shd w:val="clear" w:color="auto" w:fill="auto"/>
            <w:vAlign w:val="center"/>
          </w:tcPr>
          <w:p w14:paraId="1A99DD5E"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1BCE12C7"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55E5A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04E2048"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40393922" w14:textId="77777777" w:rsidR="00906232" w:rsidRPr="00E82DD7" w:rsidRDefault="00906232" w:rsidP="009E2DE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Fonction publique</w:t>
            </w:r>
          </w:p>
        </w:tc>
        <w:tc>
          <w:tcPr>
            <w:tcW w:w="182" w:type="pct"/>
            <w:tcBorders>
              <w:top w:val="nil"/>
              <w:left w:val="nil"/>
              <w:bottom w:val="single" w:sz="4" w:space="0" w:color="0070C0"/>
              <w:right w:val="single" w:sz="4" w:space="0" w:color="0070C0"/>
            </w:tcBorders>
            <w:shd w:val="clear" w:color="auto" w:fill="auto"/>
            <w:vAlign w:val="center"/>
          </w:tcPr>
          <w:p w14:paraId="6E51920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4A5D38F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20F278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FB66E61"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B546CB"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Etu</w:t>
            </w:r>
            <w:r>
              <w:rPr>
                <w:rFonts w:eastAsia="Times New Roman" w:cs="Tahoma"/>
                <w:i/>
                <w:iCs/>
                <w:color w:val="000000"/>
                <w:sz w:val="20"/>
                <w:szCs w:val="20"/>
              </w:rPr>
              <w:t>des (Elève / étudiant)</w:t>
            </w:r>
          </w:p>
        </w:tc>
        <w:tc>
          <w:tcPr>
            <w:tcW w:w="182" w:type="pct"/>
            <w:tcBorders>
              <w:top w:val="nil"/>
              <w:left w:val="nil"/>
              <w:bottom w:val="single" w:sz="4" w:space="0" w:color="0070C0"/>
              <w:right w:val="single" w:sz="4" w:space="0" w:color="0070C0"/>
            </w:tcBorders>
            <w:shd w:val="clear" w:color="auto" w:fill="auto"/>
            <w:vAlign w:val="center"/>
          </w:tcPr>
          <w:p w14:paraId="4969C57E"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79CA544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F3677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A6BCDFD"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4CA575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3185D5AA"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7662968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8CFD49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846FE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EC68927" w14:textId="77777777" w:rsidR="00906232" w:rsidRPr="00E82DD7" w:rsidRDefault="00906232" w:rsidP="009E2DE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1885D88"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779055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09E4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81C99B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CB.10</w:t>
            </w:r>
          </w:p>
        </w:tc>
        <w:tc>
          <w:tcPr>
            <w:tcW w:w="4016" w:type="pct"/>
            <w:tcBorders>
              <w:top w:val="nil"/>
              <w:left w:val="nil"/>
              <w:bottom w:val="single" w:sz="4" w:space="0" w:color="0070C0"/>
              <w:right w:val="single" w:sz="4" w:space="0" w:color="0070C0"/>
            </w:tcBorders>
            <w:shd w:val="clear" w:color="000000" w:fill="FFFFFF"/>
            <w:hideMark/>
          </w:tcPr>
          <w:p w14:paraId="4C413BD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statut de résidence ?</w:t>
            </w:r>
          </w:p>
        </w:tc>
        <w:tc>
          <w:tcPr>
            <w:tcW w:w="182" w:type="pct"/>
            <w:tcBorders>
              <w:top w:val="nil"/>
              <w:left w:val="nil"/>
              <w:bottom w:val="single" w:sz="4" w:space="0" w:color="0070C0"/>
              <w:right w:val="single" w:sz="4" w:space="0" w:color="0070C0"/>
            </w:tcBorders>
            <w:shd w:val="clear" w:color="auto" w:fill="auto"/>
            <w:vAlign w:val="center"/>
            <w:hideMark/>
          </w:tcPr>
          <w:p w14:paraId="7DA2BDAA"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75312E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D147D4" w14:paraId="6634F41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B9AF94B"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A78E7"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Autochtone</w:t>
            </w:r>
          </w:p>
        </w:tc>
        <w:tc>
          <w:tcPr>
            <w:tcW w:w="182" w:type="pct"/>
            <w:tcBorders>
              <w:top w:val="nil"/>
              <w:left w:val="nil"/>
              <w:bottom w:val="single" w:sz="4" w:space="0" w:color="0070C0"/>
              <w:right w:val="single" w:sz="4" w:space="0" w:color="0070C0"/>
            </w:tcBorders>
            <w:shd w:val="clear" w:color="auto" w:fill="auto"/>
            <w:vAlign w:val="center"/>
            <w:hideMark/>
          </w:tcPr>
          <w:p w14:paraId="50DD1AC5" w14:textId="77777777" w:rsidR="00906232" w:rsidRPr="00D147D4" w:rsidRDefault="00906232" w:rsidP="009E2DEE">
            <w:pPr>
              <w:spacing w:before="20" w:after="20" w:line="240" w:lineRule="auto"/>
              <w:jc w:val="center"/>
              <w:rPr>
                <w:rFonts w:eastAsia="Times New Roman" w:cs="Tahoma"/>
                <w:sz w:val="20"/>
                <w:szCs w:val="20"/>
              </w:rPr>
            </w:pPr>
            <w:r w:rsidRPr="00D147D4">
              <w:rPr>
                <w:rFonts w:eastAsia="Times New Roman" w:cs="Tahoma"/>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58E423" w14:textId="77777777" w:rsidR="00906232" w:rsidRPr="00D147D4" w:rsidRDefault="00906232" w:rsidP="009E2DEE">
            <w:pPr>
              <w:spacing w:before="20" w:after="20" w:line="240" w:lineRule="auto"/>
              <w:jc w:val="center"/>
              <w:rPr>
                <w:rFonts w:eastAsia="Times New Roman" w:cs="Tahoma"/>
                <w:b/>
                <w:bCs/>
                <w:i/>
                <w:iCs/>
                <w:sz w:val="20"/>
                <w:szCs w:val="20"/>
              </w:rPr>
            </w:pPr>
          </w:p>
        </w:tc>
      </w:tr>
      <w:tr w:rsidR="00F01CB8" w:rsidRPr="00E82DD7" w14:paraId="40F281E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886283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DC0E552"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Déplacés (personnes déplacées internes)</w:t>
            </w:r>
          </w:p>
        </w:tc>
        <w:tc>
          <w:tcPr>
            <w:tcW w:w="182" w:type="pct"/>
            <w:tcBorders>
              <w:top w:val="nil"/>
              <w:left w:val="nil"/>
              <w:bottom w:val="single" w:sz="4" w:space="0" w:color="0070C0"/>
              <w:right w:val="single" w:sz="4" w:space="0" w:color="0070C0"/>
            </w:tcBorders>
            <w:shd w:val="clear" w:color="auto" w:fill="auto"/>
            <w:vAlign w:val="center"/>
            <w:hideMark/>
          </w:tcPr>
          <w:p w14:paraId="1C2A6EDB"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2EB88F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D89F8D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26DBB9B" w14:textId="77777777" w:rsidR="00906232" w:rsidRPr="00E82DD7" w:rsidRDefault="00906232" w:rsidP="009E2DEE">
            <w:pPr>
              <w:spacing w:before="20" w:after="20" w:line="240" w:lineRule="auto"/>
              <w:rPr>
                <w:b/>
                <w:color w:val="000000"/>
                <w:sz w:val="20"/>
                <w:szCs w:val="20"/>
              </w:rPr>
            </w:pPr>
            <w:r w:rsidRPr="00E82DD7">
              <w:rPr>
                <w:b/>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6C2F07E"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Déplacés retournés</w:t>
            </w:r>
          </w:p>
        </w:tc>
        <w:tc>
          <w:tcPr>
            <w:tcW w:w="182" w:type="pct"/>
            <w:tcBorders>
              <w:top w:val="nil"/>
              <w:left w:val="nil"/>
              <w:bottom w:val="single" w:sz="4" w:space="0" w:color="0070C0"/>
              <w:right w:val="single" w:sz="4" w:space="0" w:color="0070C0"/>
            </w:tcBorders>
            <w:shd w:val="clear" w:color="auto" w:fill="auto"/>
            <w:vAlign w:val="center"/>
            <w:hideMark/>
          </w:tcPr>
          <w:p w14:paraId="6F90DAA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232214F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FCAEC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11CAFD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000000" w:fill="FFFFFF"/>
            <w:hideMark/>
          </w:tcPr>
          <w:p w14:paraId="2492B3A2" w14:textId="77777777" w:rsidR="00906232" w:rsidRPr="00E82DD7" w:rsidRDefault="00906232" w:rsidP="009E2DE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2B02103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0935CB7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FEF1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6CF3A97"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000000" w:fill="FFFFFF"/>
          </w:tcPr>
          <w:p w14:paraId="67079AC7" w14:textId="77777777" w:rsidR="00906232" w:rsidRPr="00E82DD7" w:rsidRDefault="00906232" w:rsidP="009E2DE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29C9C206"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3C25321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D61A10" w:rsidRPr="00E82DD7" w14:paraId="4C3D53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AD00F8" w14:textId="32DD72B3" w:rsidR="00D61A10" w:rsidRPr="00E82DD7" w:rsidRDefault="00D61A10"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CB.11</w:t>
            </w:r>
          </w:p>
        </w:tc>
        <w:tc>
          <w:tcPr>
            <w:tcW w:w="4016" w:type="pct"/>
            <w:tcBorders>
              <w:top w:val="nil"/>
              <w:left w:val="nil"/>
              <w:bottom w:val="single" w:sz="4" w:space="0" w:color="0070C0"/>
              <w:right w:val="single" w:sz="4" w:space="0" w:color="0070C0"/>
            </w:tcBorders>
            <w:shd w:val="clear" w:color="000000" w:fill="FFFFFF"/>
          </w:tcPr>
          <w:p w14:paraId="3C0AFC97" w14:textId="316B2293" w:rsidR="00D61A10" w:rsidRPr="00E82DD7" w:rsidRDefault="00D61A10" w:rsidP="009E2DE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Vivez-vous avec un handicap ?</w:t>
            </w:r>
          </w:p>
        </w:tc>
        <w:tc>
          <w:tcPr>
            <w:tcW w:w="182" w:type="pct"/>
            <w:tcBorders>
              <w:top w:val="nil"/>
              <w:left w:val="nil"/>
              <w:bottom w:val="single" w:sz="4" w:space="0" w:color="0070C0"/>
              <w:right w:val="single" w:sz="4" w:space="0" w:color="0070C0"/>
            </w:tcBorders>
            <w:shd w:val="clear" w:color="auto" w:fill="auto"/>
            <w:vAlign w:val="center"/>
          </w:tcPr>
          <w:p w14:paraId="0C89062C"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BE8D3D"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D61A10" w:rsidRPr="00E82DD7" w14:paraId="75C3413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32C10AA" w14:textId="77777777" w:rsidR="00D61A10" w:rsidRPr="00E82DD7" w:rsidRDefault="00D61A10"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000000" w:fill="FFFFFF"/>
          </w:tcPr>
          <w:p w14:paraId="0C8812BE" w14:textId="77777777" w:rsidR="00D61A10" w:rsidRPr="00E82DD7" w:rsidRDefault="00D61A10" w:rsidP="009E2DE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B43BED1"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0FC2FD1"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D61A10" w:rsidRPr="00E82DD7" w14:paraId="621AC81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4664C4" w14:textId="0492517F" w:rsidR="00D61A10" w:rsidRPr="00E82DD7" w:rsidRDefault="00E77F04"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CB.12</w:t>
            </w:r>
          </w:p>
        </w:tc>
        <w:tc>
          <w:tcPr>
            <w:tcW w:w="4016" w:type="pct"/>
            <w:tcBorders>
              <w:top w:val="nil"/>
              <w:left w:val="nil"/>
              <w:bottom w:val="single" w:sz="4" w:space="0" w:color="0070C0"/>
              <w:right w:val="single" w:sz="4" w:space="0" w:color="0070C0"/>
            </w:tcBorders>
            <w:shd w:val="clear" w:color="000000" w:fill="FFFFFF"/>
          </w:tcPr>
          <w:p w14:paraId="6294B1AE" w14:textId="7F65DDDA" w:rsidR="00D61A10" w:rsidRPr="00E82DD7" w:rsidRDefault="00E77F04" w:rsidP="009E2DE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Quel type d’handicap ?</w:t>
            </w:r>
          </w:p>
        </w:tc>
        <w:tc>
          <w:tcPr>
            <w:tcW w:w="182" w:type="pct"/>
            <w:tcBorders>
              <w:top w:val="nil"/>
              <w:left w:val="nil"/>
              <w:bottom w:val="single" w:sz="4" w:space="0" w:color="0070C0"/>
              <w:right w:val="single" w:sz="4" w:space="0" w:color="0070C0"/>
            </w:tcBorders>
            <w:shd w:val="clear" w:color="auto" w:fill="auto"/>
            <w:vAlign w:val="center"/>
          </w:tcPr>
          <w:p w14:paraId="7D71516D"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4DAE0B"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E77F04" w:rsidRPr="00E82DD7" w14:paraId="3388804D"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366BA37E" w14:textId="77777777"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5A6BE69F"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787B5765"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2ED4C4A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4A8E747E"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16AED0B5" w14:textId="4E1B3378"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4B897536" w14:textId="4E35C225"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7362811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24FE4AF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6E8A441B"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54EA603F" w14:textId="77777777"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3E7B379D"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18115D0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6D29901B"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67EE48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4963BA0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03</w:t>
            </w:r>
          </w:p>
        </w:tc>
        <w:tc>
          <w:tcPr>
            <w:tcW w:w="4016" w:type="pct"/>
            <w:tcBorders>
              <w:top w:val="nil"/>
              <w:left w:val="nil"/>
              <w:bottom w:val="single" w:sz="4" w:space="0" w:color="0070C0"/>
              <w:right w:val="single" w:sz="4" w:space="0" w:color="0070C0"/>
            </w:tcBorders>
            <w:shd w:val="clear" w:color="000000" w:fill="D9D9D9"/>
            <w:hideMark/>
          </w:tcPr>
          <w:p w14:paraId="11E40F3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Connaissance du projet et des mécanismes et des droits</w:t>
            </w:r>
          </w:p>
        </w:tc>
        <w:tc>
          <w:tcPr>
            <w:tcW w:w="182" w:type="pct"/>
            <w:tcBorders>
              <w:top w:val="nil"/>
              <w:left w:val="nil"/>
              <w:bottom w:val="single" w:sz="4" w:space="0" w:color="0070C0"/>
              <w:right w:val="single" w:sz="4" w:space="0" w:color="0070C0"/>
            </w:tcBorders>
            <w:shd w:val="clear" w:color="000000" w:fill="D9D9D9"/>
            <w:vAlign w:val="center"/>
            <w:hideMark/>
          </w:tcPr>
          <w:p w14:paraId="75274ED8"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CP</w:t>
            </w:r>
          </w:p>
        </w:tc>
        <w:tc>
          <w:tcPr>
            <w:tcW w:w="259" w:type="pct"/>
            <w:tcBorders>
              <w:top w:val="nil"/>
              <w:left w:val="nil"/>
              <w:bottom w:val="single" w:sz="4" w:space="0" w:color="0070C0"/>
              <w:right w:val="single" w:sz="4" w:space="0" w:color="0070C0"/>
            </w:tcBorders>
            <w:shd w:val="clear" w:color="000000" w:fill="D9D9D9"/>
            <w:vAlign w:val="center"/>
            <w:hideMark/>
          </w:tcPr>
          <w:p w14:paraId="0008AD5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F8A25B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B6FBA8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52E69E" w14:textId="77777777" w:rsidR="00906232" w:rsidRPr="00E82DD7" w:rsidRDefault="00906232" w:rsidP="009E2DE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2F6609A0"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8C0AE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D147D4" w14:paraId="3C21BA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1D5BE83"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CP.01</w:t>
            </w:r>
          </w:p>
        </w:tc>
        <w:tc>
          <w:tcPr>
            <w:tcW w:w="4016" w:type="pct"/>
            <w:tcBorders>
              <w:top w:val="nil"/>
              <w:left w:val="nil"/>
              <w:bottom w:val="single" w:sz="4" w:space="0" w:color="0070C0"/>
              <w:right w:val="single" w:sz="4" w:space="0" w:color="0070C0"/>
            </w:tcBorders>
            <w:shd w:val="clear" w:color="auto" w:fill="auto"/>
          </w:tcPr>
          <w:p w14:paraId="5FFA8A0B" w14:textId="0004FB4E"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Selon vous est ce que le projet « </w:t>
            </w:r>
            <w:r w:rsidRPr="00D147D4">
              <w:rPr>
                <w:rFonts w:eastAsia="Times New Roman" w:cs="Tahoma"/>
                <w:i/>
                <w:iCs/>
                <w:sz w:val="20"/>
                <w:szCs w:val="20"/>
              </w:rPr>
              <w:t>Appui aux initiatives transfrontalières de dialogue communautaire avec les acteurs du secteur de la sécurité et de la justice pour la consolidation de la paix au Mali et au Nige</w:t>
            </w:r>
            <w:r w:rsidRPr="00D147D4">
              <w:rPr>
                <w:rFonts w:eastAsia="Times New Roman" w:cs="Tahoma"/>
                <w:sz w:val="20"/>
                <w:szCs w:val="20"/>
              </w:rPr>
              <w:t xml:space="preserve">r » </w:t>
            </w:r>
            <w:r w:rsidRPr="00D147D4">
              <w:rPr>
                <w:sz w:val="20"/>
                <w:szCs w:val="20"/>
              </w:rPr>
              <w:t xml:space="preserve">a pris en compte le problème de participation des femmes et des jeunes </w:t>
            </w:r>
            <w:r w:rsidR="002853AE" w:rsidRPr="00D147D4">
              <w:rPr>
                <w:sz w:val="20"/>
                <w:szCs w:val="20"/>
              </w:rPr>
              <w:t xml:space="preserve">dans les </w:t>
            </w:r>
            <w:r w:rsidRPr="00D147D4">
              <w:rPr>
                <w:sz w:val="20"/>
                <w:szCs w:val="20"/>
              </w:rPr>
              <w:t>mécanismes de gestion des conflits</w:t>
            </w:r>
          </w:p>
        </w:tc>
        <w:tc>
          <w:tcPr>
            <w:tcW w:w="182" w:type="pct"/>
            <w:tcBorders>
              <w:top w:val="nil"/>
              <w:left w:val="nil"/>
              <w:bottom w:val="single" w:sz="4" w:space="0" w:color="0070C0"/>
              <w:right w:val="single" w:sz="4" w:space="0" w:color="0070C0"/>
            </w:tcBorders>
            <w:shd w:val="clear" w:color="auto" w:fill="auto"/>
            <w:vAlign w:val="center"/>
          </w:tcPr>
          <w:p w14:paraId="298EBBC3" w14:textId="77777777" w:rsidR="00906232" w:rsidRPr="00D147D4" w:rsidRDefault="00906232" w:rsidP="009E2DE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3C5F3AA"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E82DD7" w14:paraId="590A9F3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4EBFAEF"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C069E1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44EB5DD3" w14:textId="7A738AC4" w:rsidR="00906232" w:rsidRPr="00E82DD7" w:rsidRDefault="00F3541E" w:rsidP="009E2DE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47B4B7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150A21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78C0244"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13F9E08"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09E5CA5" w14:textId="3D9F7D96" w:rsidR="00906232" w:rsidRPr="00E82DD7" w:rsidRDefault="00F3541E" w:rsidP="009E2DE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7654E13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D99A62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6745A9"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DE86784" w14:textId="77777777" w:rsidR="00906232" w:rsidRPr="00E82DD7" w:rsidRDefault="00906232" w:rsidP="009E2DE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7D82E5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B775F8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9F3C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A87D84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CP.02</w:t>
            </w:r>
          </w:p>
        </w:tc>
        <w:tc>
          <w:tcPr>
            <w:tcW w:w="4016" w:type="pct"/>
            <w:tcBorders>
              <w:top w:val="nil"/>
              <w:left w:val="nil"/>
              <w:bottom w:val="single" w:sz="4" w:space="0" w:color="0070C0"/>
              <w:right w:val="single" w:sz="4" w:space="0" w:color="0070C0"/>
            </w:tcBorders>
            <w:shd w:val="clear" w:color="auto" w:fill="auto"/>
          </w:tcPr>
          <w:p w14:paraId="6881A2F0" w14:textId="77777777" w:rsidR="00906232" w:rsidRPr="00E82DD7" w:rsidRDefault="00906232" w:rsidP="009E2DEE">
            <w:pPr>
              <w:spacing w:before="20" w:after="20" w:line="240" w:lineRule="auto"/>
              <w:rPr>
                <w:rFonts w:eastAsia="Times New Roman" w:cs="Tahoma"/>
                <w:color w:val="000000"/>
                <w:sz w:val="20"/>
                <w:szCs w:val="20"/>
              </w:rPr>
            </w:pPr>
            <w:r w:rsidRPr="00E82DD7">
              <w:rPr>
                <w:sz w:val="20"/>
                <w:szCs w:val="20"/>
              </w:rPr>
              <w:t>Selon vous, est ce que les priorités des personnes handicapées ont été prises en compte par le projet ?</w:t>
            </w:r>
          </w:p>
        </w:tc>
        <w:tc>
          <w:tcPr>
            <w:tcW w:w="182" w:type="pct"/>
            <w:tcBorders>
              <w:top w:val="nil"/>
              <w:left w:val="nil"/>
              <w:bottom w:val="single" w:sz="4" w:space="0" w:color="0070C0"/>
              <w:right w:val="single" w:sz="4" w:space="0" w:color="0070C0"/>
            </w:tcBorders>
            <w:shd w:val="clear" w:color="auto" w:fill="auto"/>
            <w:vAlign w:val="center"/>
          </w:tcPr>
          <w:p w14:paraId="5054CE6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07EC02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7569BB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CEAEA7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B30D69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6BA4CA66" w14:textId="3FC01B2D"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BF594B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CA6F9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0A0FC5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AFDAAA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508813EB" w14:textId="47DF54E7"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F70FD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C117F9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CABC64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E251B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965644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1C48AE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77048F4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6594649" w14:textId="77777777"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CP.03</w:t>
            </w:r>
          </w:p>
        </w:tc>
        <w:tc>
          <w:tcPr>
            <w:tcW w:w="4016" w:type="pct"/>
            <w:tcBorders>
              <w:top w:val="nil"/>
              <w:left w:val="nil"/>
              <w:bottom w:val="single" w:sz="4" w:space="0" w:color="0070C0"/>
              <w:right w:val="single" w:sz="4" w:space="0" w:color="0070C0"/>
            </w:tcBorders>
            <w:shd w:val="clear" w:color="auto" w:fill="auto"/>
          </w:tcPr>
          <w:p w14:paraId="29EA245B" w14:textId="5277EF16" w:rsidR="00F3541E" w:rsidRPr="00D147D4" w:rsidRDefault="00F3541E" w:rsidP="00F3541E">
            <w:pPr>
              <w:spacing w:before="20" w:after="20" w:line="240" w:lineRule="auto"/>
              <w:rPr>
                <w:rFonts w:eastAsia="Times New Roman" w:cs="Tahoma"/>
                <w:sz w:val="20"/>
                <w:szCs w:val="20"/>
              </w:rPr>
            </w:pPr>
            <w:r w:rsidRPr="00D147D4">
              <w:rPr>
                <w:sz w:val="20"/>
                <w:szCs w:val="20"/>
              </w:rPr>
              <w:t xml:space="preserve">Selon vous, est ce que le projet a pris en compte leurs besoins </w:t>
            </w:r>
            <w:r w:rsidR="002853AE" w:rsidRPr="00D147D4">
              <w:rPr>
                <w:sz w:val="20"/>
                <w:szCs w:val="20"/>
              </w:rPr>
              <w:t xml:space="preserve">des femmes et des jeunes </w:t>
            </w:r>
            <w:r w:rsidRPr="00D147D4">
              <w:rPr>
                <w:sz w:val="20"/>
                <w:szCs w:val="20"/>
              </w:rPr>
              <w:t>en matière de paix et de cohésion sociale ?</w:t>
            </w:r>
          </w:p>
        </w:tc>
        <w:tc>
          <w:tcPr>
            <w:tcW w:w="182" w:type="pct"/>
            <w:tcBorders>
              <w:top w:val="nil"/>
              <w:left w:val="nil"/>
              <w:bottom w:val="single" w:sz="4" w:space="0" w:color="0070C0"/>
              <w:right w:val="single" w:sz="4" w:space="0" w:color="0070C0"/>
            </w:tcBorders>
            <w:shd w:val="clear" w:color="auto" w:fill="auto"/>
            <w:vAlign w:val="center"/>
          </w:tcPr>
          <w:p w14:paraId="168175A0"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8A484C"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E82DD7" w14:paraId="46EB51D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4F8B65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78CA1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8EE29C1" w14:textId="481DF75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3C490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2CA39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CAF50F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CC0EAF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003EA05" w14:textId="40A6D61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13569E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831E48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08C246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B5C8ADB"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847E9CD"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9E102B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96B82A1" w14:textId="77777777" w:rsidTr="00E77F04">
        <w:trPr>
          <w:trHeight w:val="602"/>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D18AB7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CP.04</w:t>
            </w:r>
          </w:p>
        </w:tc>
        <w:tc>
          <w:tcPr>
            <w:tcW w:w="4016" w:type="pct"/>
            <w:tcBorders>
              <w:top w:val="nil"/>
              <w:left w:val="nil"/>
              <w:bottom w:val="single" w:sz="4" w:space="0" w:color="0070C0"/>
              <w:right w:val="single" w:sz="4" w:space="0" w:color="0070C0"/>
            </w:tcBorders>
            <w:shd w:val="clear" w:color="auto" w:fill="auto"/>
          </w:tcPr>
          <w:p w14:paraId="0675E1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Quelles sont les activités du projet que vous avez le plus apprécié ?</w:t>
            </w:r>
          </w:p>
        </w:tc>
        <w:tc>
          <w:tcPr>
            <w:tcW w:w="182" w:type="pct"/>
            <w:tcBorders>
              <w:top w:val="nil"/>
              <w:left w:val="nil"/>
              <w:bottom w:val="single" w:sz="4" w:space="0" w:color="0070C0"/>
              <w:right w:val="single" w:sz="4" w:space="0" w:color="0070C0"/>
            </w:tcBorders>
            <w:shd w:val="clear" w:color="auto" w:fill="auto"/>
            <w:vAlign w:val="center"/>
          </w:tcPr>
          <w:p w14:paraId="736511F9"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76F71C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7EB945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C7F36F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76BE7A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Mise en place /dynamisation des comités de veille</w:t>
            </w:r>
          </w:p>
        </w:tc>
        <w:tc>
          <w:tcPr>
            <w:tcW w:w="182" w:type="pct"/>
            <w:tcBorders>
              <w:top w:val="nil"/>
              <w:left w:val="nil"/>
              <w:bottom w:val="single" w:sz="4" w:space="0" w:color="0070C0"/>
              <w:right w:val="single" w:sz="4" w:space="0" w:color="0070C0"/>
            </w:tcBorders>
            <w:shd w:val="clear" w:color="auto" w:fill="auto"/>
            <w:vAlign w:val="center"/>
          </w:tcPr>
          <w:p w14:paraId="51A32100" w14:textId="67FF3C9F"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A35D8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83B54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4A03CA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24369A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Formation des responsables et membres des organisations de femmes et de jeunes </w:t>
            </w:r>
          </w:p>
        </w:tc>
        <w:tc>
          <w:tcPr>
            <w:tcW w:w="182" w:type="pct"/>
            <w:tcBorders>
              <w:top w:val="nil"/>
              <w:left w:val="nil"/>
              <w:bottom w:val="single" w:sz="4" w:space="0" w:color="0070C0"/>
              <w:right w:val="single" w:sz="4" w:space="0" w:color="0070C0"/>
            </w:tcBorders>
            <w:shd w:val="clear" w:color="auto" w:fill="auto"/>
            <w:vAlign w:val="center"/>
          </w:tcPr>
          <w:p w14:paraId="5F39BC41" w14:textId="45C58DE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44F8027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F58EC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CCE05B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6BD00E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Formations des FDS et des ACP</w:t>
            </w:r>
          </w:p>
        </w:tc>
        <w:tc>
          <w:tcPr>
            <w:tcW w:w="182" w:type="pct"/>
            <w:tcBorders>
              <w:top w:val="nil"/>
              <w:left w:val="nil"/>
              <w:bottom w:val="single" w:sz="4" w:space="0" w:color="0070C0"/>
              <w:right w:val="single" w:sz="4" w:space="0" w:color="0070C0"/>
            </w:tcBorders>
            <w:shd w:val="clear" w:color="auto" w:fill="auto"/>
            <w:vAlign w:val="center"/>
          </w:tcPr>
          <w:p w14:paraId="6BD7D709" w14:textId="46E1D792"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261548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CB5392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973FF5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216FD7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Gestion des conflits par les comités de veille</w:t>
            </w:r>
          </w:p>
        </w:tc>
        <w:tc>
          <w:tcPr>
            <w:tcW w:w="182" w:type="pct"/>
            <w:tcBorders>
              <w:top w:val="nil"/>
              <w:left w:val="nil"/>
              <w:bottom w:val="single" w:sz="4" w:space="0" w:color="0070C0"/>
              <w:right w:val="single" w:sz="4" w:space="0" w:color="0070C0"/>
            </w:tcBorders>
            <w:shd w:val="clear" w:color="auto" w:fill="auto"/>
            <w:vAlign w:val="center"/>
          </w:tcPr>
          <w:p w14:paraId="3707017F" w14:textId="6117D12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22D1264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C8F9BB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F5F113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D25639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Sensibilisation des populations sur leurs droits et devoirs en matière de sécurité et de cohésion sociale</w:t>
            </w:r>
          </w:p>
        </w:tc>
        <w:tc>
          <w:tcPr>
            <w:tcW w:w="182" w:type="pct"/>
            <w:tcBorders>
              <w:top w:val="nil"/>
              <w:left w:val="nil"/>
              <w:bottom w:val="single" w:sz="4" w:space="0" w:color="0070C0"/>
              <w:right w:val="single" w:sz="4" w:space="0" w:color="0070C0"/>
            </w:tcBorders>
            <w:shd w:val="clear" w:color="auto" w:fill="auto"/>
            <w:vAlign w:val="center"/>
          </w:tcPr>
          <w:p w14:paraId="7E69AF07" w14:textId="69BFD28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376C9B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BAC88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C54954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3F016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4C96EFDC" w14:textId="5F67743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557CB15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31FFA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72F838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4D687E0"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527531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0AACA4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5395DDF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A17CB22" w14:textId="19712358"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CP.05</w:t>
            </w:r>
          </w:p>
        </w:tc>
        <w:tc>
          <w:tcPr>
            <w:tcW w:w="4016" w:type="pct"/>
            <w:tcBorders>
              <w:top w:val="nil"/>
              <w:left w:val="nil"/>
              <w:bottom w:val="single" w:sz="4" w:space="0" w:color="0070C0"/>
              <w:right w:val="single" w:sz="4" w:space="0" w:color="0070C0"/>
            </w:tcBorders>
            <w:shd w:val="clear" w:color="auto" w:fill="auto"/>
          </w:tcPr>
          <w:p w14:paraId="6DD89B29" w14:textId="527C9387" w:rsidR="00F3541E" w:rsidRPr="00D147D4" w:rsidRDefault="00F3541E" w:rsidP="00F3541E">
            <w:pPr>
              <w:spacing w:before="20" w:after="20" w:line="240" w:lineRule="auto"/>
              <w:ind w:left="708"/>
              <w:rPr>
                <w:rFonts w:eastAsia="Times New Roman" w:cs="Tahoma"/>
                <w:i/>
                <w:iCs/>
                <w:sz w:val="20"/>
                <w:szCs w:val="20"/>
              </w:rPr>
            </w:pPr>
            <w:r w:rsidRPr="00D147D4">
              <w:rPr>
                <w:sz w:val="20"/>
                <w:szCs w:val="20"/>
              </w:rPr>
              <w:t>Est-ce que vous pensez que vo</w:t>
            </w:r>
            <w:r w:rsidR="002853AE" w:rsidRPr="00D147D4">
              <w:rPr>
                <w:sz w:val="20"/>
                <w:szCs w:val="20"/>
              </w:rPr>
              <w:t>s avis et opinions sont pris en compte dans les décisions des comités locaux de gestion des conflits ?</w:t>
            </w:r>
          </w:p>
        </w:tc>
        <w:tc>
          <w:tcPr>
            <w:tcW w:w="182" w:type="pct"/>
            <w:tcBorders>
              <w:top w:val="nil"/>
              <w:left w:val="nil"/>
              <w:bottom w:val="single" w:sz="4" w:space="0" w:color="0070C0"/>
              <w:right w:val="single" w:sz="4" w:space="0" w:color="0070C0"/>
            </w:tcBorders>
            <w:shd w:val="clear" w:color="auto" w:fill="auto"/>
            <w:vAlign w:val="center"/>
          </w:tcPr>
          <w:p w14:paraId="29C55C7F"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37A3D7F"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1F9320D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F63B16E"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5E9ABC6D" w14:textId="39140475" w:rsidR="00F3541E" w:rsidRPr="00D147D4" w:rsidRDefault="00F3541E" w:rsidP="00F3541E">
            <w:pPr>
              <w:spacing w:before="20" w:after="20" w:line="240" w:lineRule="auto"/>
              <w:ind w:left="708"/>
              <w:rPr>
                <w:rFonts w:eastAsia="Times New Roman" w:cs="Tahoma"/>
                <w:i/>
                <w:iCs/>
                <w:sz w:val="20"/>
                <w:szCs w:val="20"/>
              </w:rPr>
            </w:pPr>
            <w:r w:rsidRPr="00D147D4">
              <w:rPr>
                <w:rFonts w:eastAsia="Times New Roman" w:cs="Tahoma"/>
                <w:i/>
                <w:iCs/>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713B77FD" w14:textId="3C7E48E8"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1770F50"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626B8F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37D5626"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7A5EB077" w14:textId="26269386" w:rsidR="00F3541E" w:rsidRPr="00D147D4" w:rsidRDefault="00F3541E" w:rsidP="00F3541E">
            <w:pPr>
              <w:spacing w:before="20" w:after="20" w:line="240" w:lineRule="auto"/>
              <w:ind w:left="708"/>
              <w:rPr>
                <w:rFonts w:eastAsia="Times New Roman" w:cs="Tahoma"/>
                <w:i/>
                <w:iCs/>
                <w:sz w:val="20"/>
                <w:szCs w:val="20"/>
              </w:rPr>
            </w:pPr>
            <w:r w:rsidRPr="00D147D4">
              <w:rPr>
                <w:rFonts w:eastAsia="Times New Roman" w:cs="Tahoma"/>
                <w:i/>
                <w:iCs/>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DA4BC12" w14:textId="53BFB662"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3CFB550"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4A95BC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15571C0"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45F970A5" w14:textId="77777777" w:rsidR="00F3541E" w:rsidRPr="00D147D4" w:rsidRDefault="00F3541E" w:rsidP="00F3541E">
            <w:pPr>
              <w:spacing w:before="20" w:after="20" w:line="240" w:lineRule="auto"/>
              <w:ind w:left="708"/>
              <w:rPr>
                <w:rFonts w:eastAsia="Times New Roman" w:cs="Tahoma"/>
                <w:i/>
                <w:iCs/>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D6355FE"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36E6AD5E"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57FD2D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59B642B" w14:textId="30A55A71"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CP.06</w:t>
            </w:r>
          </w:p>
        </w:tc>
        <w:tc>
          <w:tcPr>
            <w:tcW w:w="4016" w:type="pct"/>
            <w:tcBorders>
              <w:top w:val="nil"/>
              <w:left w:val="nil"/>
              <w:bottom w:val="single" w:sz="4" w:space="0" w:color="0070C0"/>
              <w:right w:val="single" w:sz="4" w:space="0" w:color="0070C0"/>
            </w:tcBorders>
            <w:shd w:val="clear" w:color="auto" w:fill="auto"/>
          </w:tcPr>
          <w:p w14:paraId="655EB50A" w14:textId="3D5F8759" w:rsidR="00F3541E" w:rsidRPr="00D147D4" w:rsidRDefault="002853AE" w:rsidP="00F3541E">
            <w:pPr>
              <w:spacing w:before="20" w:after="20" w:line="240" w:lineRule="auto"/>
              <w:ind w:left="708"/>
              <w:rPr>
                <w:rFonts w:eastAsia="Times New Roman" w:cs="Tahoma"/>
                <w:i/>
                <w:iCs/>
                <w:sz w:val="20"/>
                <w:szCs w:val="20"/>
              </w:rPr>
            </w:pPr>
            <w:r w:rsidRPr="00D147D4">
              <w:rPr>
                <w:sz w:val="20"/>
                <w:szCs w:val="20"/>
              </w:rPr>
              <w:t>Est-ce que vous pensez que les avis et opinions des femmes et des jeunes d’une manière générale, sont pris en compte dans les décisions des comités locaux de gestion des conflits ?</w:t>
            </w:r>
          </w:p>
        </w:tc>
        <w:tc>
          <w:tcPr>
            <w:tcW w:w="182" w:type="pct"/>
            <w:tcBorders>
              <w:top w:val="nil"/>
              <w:left w:val="nil"/>
              <w:bottom w:val="single" w:sz="4" w:space="0" w:color="0070C0"/>
              <w:right w:val="single" w:sz="4" w:space="0" w:color="0070C0"/>
            </w:tcBorders>
            <w:shd w:val="clear" w:color="auto" w:fill="auto"/>
            <w:vAlign w:val="center"/>
          </w:tcPr>
          <w:p w14:paraId="7D541E5D"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F1DDEE8"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E82DD7" w14:paraId="61DA7B6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EECE35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40DB27C0" w14:textId="312ACEF5" w:rsidR="00F3541E" w:rsidRPr="00E82DD7" w:rsidRDefault="00F3541E" w:rsidP="00F3541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290B6BC" w14:textId="4DDAAB3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4BF16C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DCD89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5085E9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D226D78" w14:textId="6309EF83" w:rsidR="00F3541E" w:rsidRPr="00E82DD7" w:rsidRDefault="00F3541E" w:rsidP="00F3541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CCE9CE4" w14:textId="58E8411D"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D6599E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6B35FE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16820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587EECF" w14:textId="77777777" w:rsidR="00F3541E"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AE15D2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BEA4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7F09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111C360" w14:textId="4778823B"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hideMark/>
          </w:tcPr>
          <w:p w14:paraId="4181094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Connaissez-vous des comités locaux </w:t>
            </w:r>
            <w:r>
              <w:rPr>
                <w:rFonts w:eastAsia="Times New Roman" w:cs="Tahoma"/>
                <w:color w:val="000000"/>
                <w:sz w:val="20"/>
                <w:szCs w:val="20"/>
              </w:rPr>
              <w:t>de veille et de gestion de conflits</w:t>
            </w:r>
            <w:r w:rsidRPr="00E82DD7">
              <w:rPr>
                <w:rFonts w:eastAsia="Times New Roman" w:cs="Tahoma"/>
                <w:color w:val="000000"/>
                <w:sz w:val="20"/>
                <w:szCs w:val="20"/>
              </w:rPr>
              <w:t xml:space="preserve"> qui travaillent sur la cohésion sociale, la prévention et la gestion des conflits</w:t>
            </w:r>
          </w:p>
        </w:tc>
        <w:tc>
          <w:tcPr>
            <w:tcW w:w="182" w:type="pct"/>
            <w:tcBorders>
              <w:top w:val="nil"/>
              <w:left w:val="nil"/>
              <w:bottom w:val="single" w:sz="4" w:space="0" w:color="0070C0"/>
              <w:right w:val="single" w:sz="4" w:space="0" w:color="0070C0"/>
            </w:tcBorders>
            <w:shd w:val="clear" w:color="auto" w:fill="auto"/>
            <w:vAlign w:val="center"/>
            <w:hideMark/>
          </w:tcPr>
          <w:p w14:paraId="0E4E972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08A3C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BF5F4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AAF17E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A3425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1D8A9969"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92C1A3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6D3D86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5A5B13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08CC51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737257C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49E4543" w14:textId="77777777"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Alle</w:t>
            </w:r>
            <w:r w:rsidRPr="00E82DD7">
              <w:rPr>
                <w:rFonts w:eastAsia="Times New Roman" w:cs="Tahoma"/>
                <w:b/>
                <w:bCs/>
                <w:color w:val="000000"/>
                <w:sz w:val="20"/>
                <w:szCs w:val="20"/>
              </w:rPr>
              <w:t xml:space="preserve">r à </w:t>
            </w:r>
            <w:r>
              <w:rPr>
                <w:rFonts w:eastAsia="Times New Roman" w:cs="Tahoma"/>
                <w:b/>
                <w:bCs/>
                <w:color w:val="000000"/>
                <w:sz w:val="20"/>
                <w:szCs w:val="20"/>
              </w:rPr>
              <w:t>CP.06</w:t>
            </w:r>
          </w:p>
        </w:tc>
      </w:tr>
      <w:tr w:rsidR="00F01CB8" w:rsidRPr="00E82DD7" w14:paraId="51835C8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21E90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7F62DF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1A4EA7A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5681ED8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39AE23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7811E6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F7919B4"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3DC13FE"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CF7A5A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C3D593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E53D36" w14:textId="3D9770F2"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7</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hideMark/>
          </w:tcPr>
          <w:p w14:paraId="206A034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lesquelles</w:t>
            </w:r>
          </w:p>
        </w:tc>
        <w:tc>
          <w:tcPr>
            <w:tcW w:w="182" w:type="pct"/>
            <w:tcBorders>
              <w:top w:val="nil"/>
              <w:left w:val="nil"/>
              <w:bottom w:val="single" w:sz="4" w:space="0" w:color="0070C0"/>
              <w:right w:val="single" w:sz="4" w:space="0" w:color="0070C0"/>
            </w:tcBorders>
            <w:shd w:val="clear" w:color="auto" w:fill="auto"/>
            <w:vAlign w:val="center"/>
            <w:hideMark/>
          </w:tcPr>
          <w:p w14:paraId="1E0D9424"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9F8E3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4CA3C0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95063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81B9D3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Réseau pastoral pour la prévention et la gestion des conflits (RPPGC)</w:t>
            </w:r>
          </w:p>
        </w:tc>
        <w:tc>
          <w:tcPr>
            <w:tcW w:w="182" w:type="pct"/>
            <w:tcBorders>
              <w:top w:val="nil"/>
              <w:left w:val="nil"/>
              <w:bottom w:val="single" w:sz="4" w:space="0" w:color="0070C0"/>
              <w:right w:val="single" w:sz="4" w:space="0" w:color="0070C0"/>
            </w:tcBorders>
            <w:shd w:val="clear" w:color="auto" w:fill="auto"/>
            <w:vAlign w:val="center"/>
            <w:hideMark/>
          </w:tcPr>
          <w:p w14:paraId="766BBDF1"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E62BAC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EA86B4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11EC8C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5092ED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Commission domaniale et foncière (CDF)</w:t>
            </w:r>
          </w:p>
        </w:tc>
        <w:tc>
          <w:tcPr>
            <w:tcW w:w="182" w:type="pct"/>
            <w:tcBorders>
              <w:top w:val="nil"/>
              <w:left w:val="nil"/>
              <w:bottom w:val="single" w:sz="4" w:space="0" w:color="0070C0"/>
              <w:right w:val="single" w:sz="4" w:space="0" w:color="0070C0"/>
            </w:tcBorders>
            <w:shd w:val="clear" w:color="auto" w:fill="auto"/>
            <w:vAlign w:val="center"/>
            <w:hideMark/>
          </w:tcPr>
          <w:p w14:paraId="5C55EE6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7A8B80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10336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E28B6B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AF5A91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Equipe des personnes ressources (EPR)</w:t>
            </w:r>
          </w:p>
        </w:tc>
        <w:tc>
          <w:tcPr>
            <w:tcW w:w="182" w:type="pct"/>
            <w:tcBorders>
              <w:top w:val="nil"/>
              <w:left w:val="nil"/>
              <w:bottom w:val="single" w:sz="4" w:space="0" w:color="0070C0"/>
              <w:right w:val="single" w:sz="4" w:space="0" w:color="0070C0"/>
            </w:tcBorders>
            <w:shd w:val="clear" w:color="auto" w:fill="auto"/>
            <w:vAlign w:val="center"/>
          </w:tcPr>
          <w:p w14:paraId="6D6412A5"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332C2E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6CAD6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4C1E4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A32A7D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Comités de paix (CP)</w:t>
            </w:r>
          </w:p>
        </w:tc>
        <w:tc>
          <w:tcPr>
            <w:tcW w:w="182" w:type="pct"/>
            <w:tcBorders>
              <w:top w:val="nil"/>
              <w:left w:val="nil"/>
              <w:bottom w:val="single" w:sz="4" w:space="0" w:color="0070C0"/>
              <w:right w:val="single" w:sz="4" w:space="0" w:color="0070C0"/>
            </w:tcBorders>
            <w:shd w:val="clear" w:color="auto" w:fill="auto"/>
            <w:vAlign w:val="center"/>
          </w:tcPr>
          <w:p w14:paraId="545CD9D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091DC9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756F97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E8B65B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4CAFED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Comité local de paix (CLP)</w:t>
            </w:r>
          </w:p>
        </w:tc>
        <w:tc>
          <w:tcPr>
            <w:tcW w:w="182" w:type="pct"/>
            <w:tcBorders>
              <w:top w:val="nil"/>
              <w:left w:val="nil"/>
              <w:bottom w:val="single" w:sz="4" w:space="0" w:color="0070C0"/>
              <w:right w:val="single" w:sz="4" w:space="0" w:color="0070C0"/>
            </w:tcBorders>
            <w:shd w:val="clear" w:color="auto" w:fill="auto"/>
            <w:vAlign w:val="center"/>
          </w:tcPr>
          <w:p w14:paraId="7A9F6F9E"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518A07B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84C0B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ADC32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B2425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Commission paix sécurité</w:t>
            </w:r>
          </w:p>
        </w:tc>
        <w:tc>
          <w:tcPr>
            <w:tcW w:w="182" w:type="pct"/>
            <w:tcBorders>
              <w:top w:val="nil"/>
              <w:left w:val="nil"/>
              <w:bottom w:val="single" w:sz="4" w:space="0" w:color="0070C0"/>
              <w:right w:val="single" w:sz="4" w:space="0" w:color="0070C0"/>
            </w:tcBorders>
            <w:shd w:val="clear" w:color="auto" w:fill="auto"/>
            <w:vAlign w:val="center"/>
          </w:tcPr>
          <w:p w14:paraId="04C54EE3"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20701E6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22256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86C6C0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279B5E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Réseau Nanaye</w:t>
            </w:r>
          </w:p>
        </w:tc>
        <w:tc>
          <w:tcPr>
            <w:tcW w:w="182" w:type="pct"/>
            <w:tcBorders>
              <w:top w:val="nil"/>
              <w:left w:val="nil"/>
              <w:bottom w:val="single" w:sz="4" w:space="0" w:color="0070C0"/>
              <w:right w:val="single" w:sz="4" w:space="0" w:color="0070C0"/>
            </w:tcBorders>
            <w:shd w:val="clear" w:color="auto" w:fill="auto"/>
            <w:vAlign w:val="center"/>
          </w:tcPr>
          <w:p w14:paraId="3244BCA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1205588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5D18BF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A674C4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7E55C8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Ambassadeur de paix</w:t>
            </w:r>
          </w:p>
        </w:tc>
        <w:tc>
          <w:tcPr>
            <w:tcW w:w="182" w:type="pct"/>
            <w:tcBorders>
              <w:top w:val="nil"/>
              <w:left w:val="nil"/>
              <w:bottom w:val="single" w:sz="4" w:space="0" w:color="0070C0"/>
              <w:right w:val="single" w:sz="4" w:space="0" w:color="0070C0"/>
            </w:tcBorders>
            <w:shd w:val="clear" w:color="auto" w:fill="auto"/>
            <w:vAlign w:val="center"/>
          </w:tcPr>
          <w:p w14:paraId="151AF3F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8</w:t>
            </w:r>
          </w:p>
        </w:tc>
        <w:tc>
          <w:tcPr>
            <w:tcW w:w="259" w:type="pct"/>
            <w:tcBorders>
              <w:top w:val="nil"/>
              <w:left w:val="nil"/>
              <w:bottom w:val="single" w:sz="4" w:space="0" w:color="0070C0"/>
              <w:right w:val="single" w:sz="4" w:space="0" w:color="0070C0"/>
            </w:tcBorders>
            <w:shd w:val="clear" w:color="auto" w:fill="auto"/>
            <w:vAlign w:val="center"/>
          </w:tcPr>
          <w:p w14:paraId="460D430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ECCC97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2F4029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615001F"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1EB2A338"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462C5B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B1DC1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15972B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F9358FB"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2C9885A"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880AA9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D147D4" w14:paraId="541E9AB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FA24486" w14:textId="01EB9F83"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CP.08</w:t>
            </w:r>
          </w:p>
        </w:tc>
        <w:tc>
          <w:tcPr>
            <w:tcW w:w="4016" w:type="pct"/>
            <w:tcBorders>
              <w:top w:val="nil"/>
              <w:left w:val="nil"/>
              <w:bottom w:val="single" w:sz="4" w:space="0" w:color="0070C0"/>
              <w:right w:val="single" w:sz="4" w:space="0" w:color="0070C0"/>
            </w:tcBorders>
            <w:shd w:val="clear" w:color="auto" w:fill="auto"/>
            <w:noWrap/>
            <w:vAlign w:val="center"/>
          </w:tcPr>
          <w:p w14:paraId="4F2BA66A" w14:textId="07ECF5D0" w:rsidR="00F3541E" w:rsidRPr="00D147D4" w:rsidRDefault="00F3541E" w:rsidP="00F3541E">
            <w:pPr>
              <w:spacing w:before="20" w:after="20" w:line="240" w:lineRule="auto"/>
              <w:rPr>
                <w:rFonts w:eastAsia="Times New Roman" w:cs="Tahoma"/>
                <w:i/>
                <w:iCs/>
                <w:sz w:val="20"/>
                <w:szCs w:val="20"/>
              </w:rPr>
            </w:pPr>
            <w:r w:rsidRPr="00D147D4">
              <w:rPr>
                <w:sz w:val="20"/>
                <w:szCs w:val="20"/>
              </w:rPr>
              <w:t>Quelle appréciation faites-vous de la participation</w:t>
            </w:r>
            <w:r w:rsidR="002853AE" w:rsidRPr="00D147D4">
              <w:rPr>
                <w:sz w:val="20"/>
                <w:szCs w:val="20"/>
              </w:rPr>
              <w:t xml:space="preserve"> des femmes</w:t>
            </w:r>
            <w:r w:rsidRPr="00D147D4">
              <w:rPr>
                <w:sz w:val="20"/>
                <w:szCs w:val="20"/>
              </w:rPr>
              <w:t xml:space="preserve"> et des jeunes dans les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589C1343"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69BDA9C" w14:textId="77777777" w:rsidR="00F3541E" w:rsidRPr="00D147D4" w:rsidRDefault="00F3541E" w:rsidP="00F3541E">
            <w:pPr>
              <w:spacing w:before="20" w:after="20" w:line="240" w:lineRule="auto"/>
              <w:jc w:val="center"/>
              <w:rPr>
                <w:rFonts w:eastAsia="Times New Roman" w:cs="Tahoma"/>
                <w:b/>
                <w:bCs/>
                <w:sz w:val="20"/>
                <w:szCs w:val="20"/>
              </w:rPr>
            </w:pPr>
          </w:p>
        </w:tc>
      </w:tr>
      <w:tr w:rsidR="00653EB1" w:rsidRPr="00E82DD7" w14:paraId="17B7DF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5233F7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446AD4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 xml:space="preserve">Ne </w:t>
            </w:r>
            <w:r>
              <w:rPr>
                <w:i/>
                <w:iCs/>
                <w:sz w:val="20"/>
                <w:szCs w:val="20"/>
              </w:rPr>
              <w:t>p</w:t>
            </w:r>
            <w:r w:rsidRPr="00E82DD7">
              <w:rPr>
                <w:i/>
                <w:iCs/>
                <w:sz w:val="20"/>
                <w:szCs w:val="20"/>
              </w:rPr>
              <w:t>articipe pas</w:t>
            </w:r>
          </w:p>
        </w:tc>
        <w:tc>
          <w:tcPr>
            <w:tcW w:w="182" w:type="pct"/>
            <w:tcBorders>
              <w:top w:val="nil"/>
              <w:left w:val="nil"/>
              <w:bottom w:val="single" w:sz="4" w:space="0" w:color="0070C0"/>
              <w:right w:val="single" w:sz="4" w:space="0" w:color="0070C0"/>
            </w:tcBorders>
            <w:shd w:val="clear" w:color="auto" w:fill="auto"/>
            <w:vAlign w:val="center"/>
          </w:tcPr>
          <w:p w14:paraId="4671FF4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E5AAD5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BA7AA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408305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93346B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Participe</w:t>
            </w:r>
          </w:p>
        </w:tc>
        <w:tc>
          <w:tcPr>
            <w:tcW w:w="182" w:type="pct"/>
            <w:tcBorders>
              <w:top w:val="nil"/>
              <w:left w:val="nil"/>
              <w:bottom w:val="single" w:sz="4" w:space="0" w:color="0070C0"/>
              <w:right w:val="single" w:sz="4" w:space="0" w:color="0070C0"/>
            </w:tcBorders>
            <w:shd w:val="clear" w:color="auto" w:fill="auto"/>
            <w:vAlign w:val="center"/>
          </w:tcPr>
          <w:p w14:paraId="4F2C641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7507E9F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27A58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A3F482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8C13F3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Participe et défend son point vue</w:t>
            </w:r>
          </w:p>
        </w:tc>
        <w:tc>
          <w:tcPr>
            <w:tcW w:w="182" w:type="pct"/>
            <w:tcBorders>
              <w:top w:val="nil"/>
              <w:left w:val="nil"/>
              <w:bottom w:val="single" w:sz="4" w:space="0" w:color="0070C0"/>
              <w:right w:val="single" w:sz="4" w:space="0" w:color="0070C0"/>
            </w:tcBorders>
            <w:shd w:val="clear" w:color="auto" w:fill="auto"/>
            <w:vAlign w:val="center"/>
          </w:tcPr>
          <w:p w14:paraId="58A2080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B1BBE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750FF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8F20B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1FE7CE99" w14:textId="77777777" w:rsidR="00F3541E" w:rsidRPr="00E82DD7" w:rsidRDefault="00F3541E" w:rsidP="00F3541E">
            <w:pPr>
              <w:spacing w:before="20" w:after="20" w:line="240" w:lineRule="auto"/>
              <w:ind w:left="708"/>
              <w:rPr>
                <w:i/>
                <w:iCs/>
                <w:sz w:val="20"/>
                <w:szCs w:val="20"/>
              </w:rPr>
            </w:pPr>
            <w:r>
              <w:rPr>
                <w:i/>
                <w:iCs/>
                <w:sz w:val="20"/>
                <w:szCs w:val="20"/>
              </w:rPr>
              <w:t>Sans avis</w:t>
            </w:r>
          </w:p>
        </w:tc>
        <w:tc>
          <w:tcPr>
            <w:tcW w:w="182" w:type="pct"/>
            <w:tcBorders>
              <w:top w:val="nil"/>
              <w:left w:val="nil"/>
              <w:bottom w:val="single" w:sz="4" w:space="0" w:color="0070C0"/>
              <w:right w:val="single" w:sz="4" w:space="0" w:color="0070C0"/>
            </w:tcBorders>
            <w:shd w:val="clear" w:color="auto" w:fill="auto"/>
            <w:vAlign w:val="center"/>
          </w:tcPr>
          <w:p w14:paraId="1AED988E"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tcPr>
          <w:p w14:paraId="2802325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79A3D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71518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B5198F7"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465E504"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40FA78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3C81E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330B410" w14:textId="57D52C9C"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8</w:t>
            </w:r>
          </w:p>
        </w:tc>
        <w:tc>
          <w:tcPr>
            <w:tcW w:w="4016" w:type="pct"/>
            <w:tcBorders>
              <w:top w:val="nil"/>
              <w:left w:val="nil"/>
              <w:bottom w:val="single" w:sz="4" w:space="0" w:color="0070C0"/>
              <w:right w:val="single" w:sz="4" w:space="0" w:color="0070C0"/>
            </w:tcBorders>
            <w:shd w:val="clear" w:color="auto" w:fill="auto"/>
            <w:noWrap/>
            <w:vAlign w:val="center"/>
            <w:hideMark/>
          </w:tcPr>
          <w:p w14:paraId="7E7881C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Etes-vous membres d’un des comités ou structures locaux de prévention et de gestion des conflits ?</w:t>
            </w:r>
          </w:p>
          <w:p w14:paraId="7017C9CB"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hideMark/>
          </w:tcPr>
          <w:p w14:paraId="5BA5767E"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5BFA27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7A2AC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44E13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81DB9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Oui </w:t>
            </w:r>
          </w:p>
        </w:tc>
        <w:tc>
          <w:tcPr>
            <w:tcW w:w="182" w:type="pct"/>
            <w:tcBorders>
              <w:top w:val="nil"/>
              <w:left w:val="nil"/>
              <w:bottom w:val="single" w:sz="4" w:space="0" w:color="0070C0"/>
              <w:right w:val="single" w:sz="4" w:space="0" w:color="0070C0"/>
            </w:tcBorders>
            <w:shd w:val="clear" w:color="auto" w:fill="auto"/>
            <w:vAlign w:val="center"/>
            <w:hideMark/>
          </w:tcPr>
          <w:p w14:paraId="20D2286B"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39654E5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DC79E2" w14:textId="77777777" w:rsidTr="00E77F04">
        <w:trPr>
          <w:trHeight w:val="406"/>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C8EF3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A8DC47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Non </w:t>
            </w:r>
          </w:p>
        </w:tc>
        <w:tc>
          <w:tcPr>
            <w:tcW w:w="182" w:type="pct"/>
            <w:tcBorders>
              <w:top w:val="nil"/>
              <w:left w:val="nil"/>
              <w:bottom w:val="single" w:sz="4" w:space="0" w:color="0070C0"/>
              <w:right w:val="single" w:sz="4" w:space="0" w:color="0070C0"/>
            </w:tcBorders>
            <w:shd w:val="clear" w:color="auto" w:fill="auto"/>
            <w:vAlign w:val="center"/>
            <w:hideMark/>
          </w:tcPr>
          <w:p w14:paraId="3BB68E2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5792DB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Aller à CP.1</w:t>
            </w:r>
            <w:r>
              <w:rPr>
                <w:rFonts w:eastAsia="Times New Roman" w:cs="Tahoma"/>
                <w:b/>
                <w:bCs/>
                <w:color w:val="000000"/>
                <w:sz w:val="20"/>
                <w:szCs w:val="20"/>
              </w:rPr>
              <w:t>7</w:t>
            </w:r>
          </w:p>
        </w:tc>
      </w:tr>
      <w:tr w:rsidR="00F01CB8" w:rsidRPr="00E82DD7" w14:paraId="69EF5A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93CC538" w14:textId="45B9E775"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CP.</w:t>
            </w:r>
            <w:r>
              <w:rPr>
                <w:rFonts w:eastAsia="Times New Roman" w:cs="Tahoma"/>
                <w:b/>
                <w:bCs/>
                <w:color w:val="000000"/>
                <w:sz w:val="20"/>
                <w:szCs w:val="20"/>
              </w:rPr>
              <w:t>10</w:t>
            </w:r>
          </w:p>
        </w:tc>
        <w:tc>
          <w:tcPr>
            <w:tcW w:w="4016" w:type="pct"/>
            <w:tcBorders>
              <w:top w:val="nil"/>
              <w:left w:val="nil"/>
              <w:bottom w:val="single" w:sz="4" w:space="0" w:color="0070C0"/>
              <w:right w:val="single" w:sz="4" w:space="0" w:color="0070C0"/>
            </w:tcBorders>
            <w:shd w:val="clear" w:color="auto" w:fill="auto"/>
            <w:noWrap/>
            <w:vAlign w:val="bottom"/>
            <w:hideMark/>
          </w:tcPr>
          <w:p w14:paraId="3B66C16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Depuis quand faites-vous partie de la structure ? </w:t>
            </w:r>
          </w:p>
        </w:tc>
        <w:tc>
          <w:tcPr>
            <w:tcW w:w="182" w:type="pct"/>
            <w:tcBorders>
              <w:top w:val="nil"/>
              <w:left w:val="nil"/>
              <w:bottom w:val="single" w:sz="4" w:space="0" w:color="0070C0"/>
              <w:right w:val="single" w:sz="4" w:space="0" w:color="0070C0"/>
            </w:tcBorders>
            <w:shd w:val="clear" w:color="auto" w:fill="auto"/>
            <w:vAlign w:val="center"/>
            <w:hideMark/>
          </w:tcPr>
          <w:p w14:paraId="7016278A"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CF7CF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7ADC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67710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1689AA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2021</w:t>
            </w:r>
          </w:p>
        </w:tc>
        <w:tc>
          <w:tcPr>
            <w:tcW w:w="182" w:type="pct"/>
            <w:tcBorders>
              <w:top w:val="nil"/>
              <w:left w:val="nil"/>
              <w:bottom w:val="single" w:sz="4" w:space="0" w:color="0070C0"/>
              <w:right w:val="single" w:sz="4" w:space="0" w:color="0070C0"/>
            </w:tcBorders>
            <w:shd w:val="clear" w:color="auto" w:fill="auto"/>
            <w:vAlign w:val="center"/>
          </w:tcPr>
          <w:p w14:paraId="2500A79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52B3AC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41C2FF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26D6B7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AC0142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2020</w:t>
            </w:r>
          </w:p>
        </w:tc>
        <w:tc>
          <w:tcPr>
            <w:tcW w:w="182" w:type="pct"/>
            <w:tcBorders>
              <w:top w:val="nil"/>
              <w:left w:val="nil"/>
              <w:bottom w:val="single" w:sz="4" w:space="0" w:color="0070C0"/>
              <w:right w:val="single" w:sz="4" w:space="0" w:color="0070C0"/>
            </w:tcBorders>
            <w:shd w:val="clear" w:color="auto" w:fill="auto"/>
            <w:vAlign w:val="center"/>
          </w:tcPr>
          <w:p w14:paraId="25D0DCB1"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8AF31F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BFECD7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868586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613C9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2020</w:t>
            </w:r>
          </w:p>
        </w:tc>
        <w:tc>
          <w:tcPr>
            <w:tcW w:w="182" w:type="pct"/>
            <w:tcBorders>
              <w:top w:val="nil"/>
              <w:left w:val="nil"/>
              <w:bottom w:val="single" w:sz="4" w:space="0" w:color="0070C0"/>
              <w:right w:val="single" w:sz="4" w:space="0" w:color="0070C0"/>
            </w:tcBorders>
            <w:shd w:val="clear" w:color="auto" w:fill="auto"/>
            <w:vAlign w:val="center"/>
          </w:tcPr>
          <w:p w14:paraId="3021219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0211B2A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3FABA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1D153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BC2C3C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2019</w:t>
            </w:r>
          </w:p>
        </w:tc>
        <w:tc>
          <w:tcPr>
            <w:tcW w:w="182" w:type="pct"/>
            <w:tcBorders>
              <w:top w:val="nil"/>
              <w:left w:val="nil"/>
              <w:bottom w:val="single" w:sz="4" w:space="0" w:color="0070C0"/>
              <w:right w:val="single" w:sz="4" w:space="0" w:color="0070C0"/>
            </w:tcBorders>
            <w:shd w:val="clear" w:color="auto" w:fill="auto"/>
            <w:vAlign w:val="center"/>
          </w:tcPr>
          <w:p w14:paraId="29DE88E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5937FD3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A9A4EA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4CE699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DB6CEE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2019</w:t>
            </w:r>
          </w:p>
        </w:tc>
        <w:tc>
          <w:tcPr>
            <w:tcW w:w="182" w:type="pct"/>
            <w:tcBorders>
              <w:top w:val="nil"/>
              <w:left w:val="nil"/>
              <w:bottom w:val="single" w:sz="4" w:space="0" w:color="0070C0"/>
              <w:right w:val="single" w:sz="4" w:space="0" w:color="0070C0"/>
            </w:tcBorders>
            <w:shd w:val="clear" w:color="auto" w:fill="auto"/>
            <w:vAlign w:val="center"/>
          </w:tcPr>
          <w:p w14:paraId="392D55F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1B47552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3792B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CC8FB5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55F372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2018</w:t>
            </w:r>
          </w:p>
        </w:tc>
        <w:tc>
          <w:tcPr>
            <w:tcW w:w="182" w:type="pct"/>
            <w:tcBorders>
              <w:top w:val="nil"/>
              <w:left w:val="nil"/>
              <w:bottom w:val="single" w:sz="4" w:space="0" w:color="0070C0"/>
              <w:right w:val="single" w:sz="4" w:space="0" w:color="0070C0"/>
            </w:tcBorders>
            <w:shd w:val="clear" w:color="auto" w:fill="auto"/>
            <w:vAlign w:val="center"/>
          </w:tcPr>
          <w:p w14:paraId="20D3F1B8"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7DECE0C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1915C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A7A76B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729907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Avant juin 2018</w:t>
            </w:r>
          </w:p>
        </w:tc>
        <w:tc>
          <w:tcPr>
            <w:tcW w:w="182" w:type="pct"/>
            <w:tcBorders>
              <w:top w:val="nil"/>
              <w:left w:val="nil"/>
              <w:bottom w:val="single" w:sz="4" w:space="0" w:color="0070C0"/>
              <w:right w:val="single" w:sz="4" w:space="0" w:color="0070C0"/>
            </w:tcBorders>
            <w:shd w:val="clear" w:color="auto" w:fill="auto"/>
            <w:vAlign w:val="center"/>
          </w:tcPr>
          <w:p w14:paraId="009714D9"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3F077B7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D8B1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665F89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0FDBB20" w14:textId="77777777" w:rsidR="00F3541E" w:rsidRPr="00E82DD7" w:rsidRDefault="00F3541E" w:rsidP="00F3541E">
            <w:pPr>
              <w:spacing w:before="20" w:after="20" w:line="240" w:lineRule="auto"/>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1009C68"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F7D1D4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DF6E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21B950" w14:textId="2C88B21E"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w:t>
            </w:r>
            <w:r>
              <w:rPr>
                <w:rFonts w:eastAsia="Times New Roman" w:cs="Tahoma"/>
                <w:b/>
                <w:bCs/>
                <w:color w:val="000000"/>
                <w:sz w:val="20"/>
                <w:szCs w:val="20"/>
              </w:rPr>
              <w:t>11</w:t>
            </w:r>
          </w:p>
        </w:tc>
        <w:tc>
          <w:tcPr>
            <w:tcW w:w="4016" w:type="pct"/>
            <w:tcBorders>
              <w:top w:val="nil"/>
              <w:left w:val="nil"/>
              <w:bottom w:val="single" w:sz="4" w:space="0" w:color="0070C0"/>
              <w:right w:val="single" w:sz="4" w:space="0" w:color="0070C0"/>
            </w:tcBorders>
            <w:shd w:val="clear" w:color="auto" w:fill="auto"/>
            <w:noWrap/>
            <w:vAlign w:val="bottom"/>
          </w:tcPr>
          <w:p w14:paraId="31CEE22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Par qui êtes-vous arrivé à faire partie de ce comité de prévention et de gestion des conflits communautaires</w:t>
            </w:r>
          </w:p>
        </w:tc>
        <w:tc>
          <w:tcPr>
            <w:tcW w:w="182" w:type="pct"/>
            <w:tcBorders>
              <w:top w:val="nil"/>
              <w:left w:val="nil"/>
              <w:bottom w:val="single" w:sz="4" w:space="0" w:color="0070C0"/>
              <w:right w:val="single" w:sz="4" w:space="0" w:color="0070C0"/>
            </w:tcBorders>
            <w:shd w:val="clear" w:color="auto" w:fill="auto"/>
            <w:vAlign w:val="center"/>
          </w:tcPr>
          <w:p w14:paraId="68C7569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42530B25"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lang w:val="en-US"/>
              </w:rPr>
              <w:t>QCM</w:t>
            </w:r>
          </w:p>
        </w:tc>
      </w:tr>
      <w:tr w:rsidR="00F01CB8" w:rsidRPr="00E82DD7" w14:paraId="0D7B2B5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925EC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E4A0AF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C'est de ma propre volonté </w:t>
            </w:r>
          </w:p>
        </w:tc>
        <w:tc>
          <w:tcPr>
            <w:tcW w:w="182" w:type="pct"/>
            <w:tcBorders>
              <w:top w:val="nil"/>
              <w:left w:val="nil"/>
              <w:bottom w:val="single" w:sz="4" w:space="0" w:color="0070C0"/>
              <w:right w:val="single" w:sz="4" w:space="0" w:color="0070C0"/>
            </w:tcBorders>
            <w:shd w:val="clear" w:color="auto" w:fill="auto"/>
            <w:vAlign w:val="center"/>
          </w:tcPr>
          <w:p w14:paraId="3993CBC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75FD322F"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00EF57E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3967D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A5088E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mon époux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3EA0E6C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DC31AF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995E20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0C9D7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4011EC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un membre de ma famille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6A06306C"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0A7C9CB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9CE94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60C87C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9C0917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un responsable d'organisation de femme ou de jeune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0B9A3FDB"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37906710"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613BF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528805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DD1392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1E89ED40"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2C5F7B8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D93968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97B52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D0D1EB7"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B6016E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05AFC72"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5FEB15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2028F49" w14:textId="32C2AFAA"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noWrap/>
            <w:vAlign w:val="bottom"/>
          </w:tcPr>
          <w:p w14:paraId="473FC00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prenez part à tous les travaux du comité local de gestion des conflits ?</w:t>
            </w:r>
          </w:p>
        </w:tc>
        <w:tc>
          <w:tcPr>
            <w:tcW w:w="182" w:type="pct"/>
            <w:tcBorders>
              <w:top w:val="nil"/>
              <w:left w:val="nil"/>
              <w:bottom w:val="single" w:sz="4" w:space="0" w:color="0070C0"/>
              <w:right w:val="single" w:sz="4" w:space="0" w:color="0070C0"/>
            </w:tcBorders>
            <w:shd w:val="clear" w:color="auto" w:fill="auto"/>
            <w:vAlign w:val="center"/>
          </w:tcPr>
          <w:p w14:paraId="73B7BF6F"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6B380A2B"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9F9E6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8AF140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FA0859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5C3105E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5FBB92C1"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113A8C0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3042EC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2833AD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4F7647C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07ACF4D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4B23CDB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E1A451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0D9D38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5F93ECA1"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48E9C47D"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6BFF3A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798E62A"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0</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7FC2A18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 ?</w:t>
            </w:r>
          </w:p>
        </w:tc>
        <w:tc>
          <w:tcPr>
            <w:tcW w:w="182" w:type="pct"/>
            <w:tcBorders>
              <w:top w:val="nil"/>
              <w:left w:val="nil"/>
              <w:bottom w:val="single" w:sz="4" w:space="0" w:color="0070C0"/>
              <w:right w:val="single" w:sz="4" w:space="0" w:color="0070C0"/>
            </w:tcBorders>
            <w:shd w:val="clear" w:color="auto" w:fill="auto"/>
            <w:vAlign w:val="center"/>
          </w:tcPr>
          <w:p w14:paraId="68BCF60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3436D617"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1461727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CF2B8C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6A6F70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Je n'ai pas toujours le temps</w:t>
            </w:r>
          </w:p>
        </w:tc>
        <w:tc>
          <w:tcPr>
            <w:tcW w:w="182" w:type="pct"/>
            <w:tcBorders>
              <w:top w:val="nil"/>
              <w:left w:val="nil"/>
              <w:bottom w:val="single" w:sz="4" w:space="0" w:color="0070C0"/>
              <w:right w:val="single" w:sz="4" w:space="0" w:color="0070C0"/>
            </w:tcBorders>
            <w:shd w:val="clear" w:color="auto" w:fill="auto"/>
            <w:vAlign w:val="center"/>
          </w:tcPr>
          <w:p w14:paraId="4E60318B"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bottom"/>
          </w:tcPr>
          <w:p w14:paraId="5B5985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3DAE924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70B8A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4681FA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travaux du comité local se font la nuit</w:t>
            </w:r>
          </w:p>
        </w:tc>
        <w:tc>
          <w:tcPr>
            <w:tcW w:w="182" w:type="pct"/>
            <w:tcBorders>
              <w:top w:val="nil"/>
              <w:left w:val="nil"/>
              <w:bottom w:val="single" w:sz="4" w:space="0" w:color="0070C0"/>
              <w:right w:val="single" w:sz="4" w:space="0" w:color="0070C0"/>
            </w:tcBorders>
            <w:shd w:val="clear" w:color="auto" w:fill="auto"/>
            <w:vAlign w:val="center"/>
          </w:tcPr>
          <w:p w14:paraId="59932CC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7E2A73E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E723A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D2DC05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F37FB8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travaux du comité local durent trop longtemps</w:t>
            </w:r>
          </w:p>
        </w:tc>
        <w:tc>
          <w:tcPr>
            <w:tcW w:w="182" w:type="pct"/>
            <w:tcBorders>
              <w:top w:val="nil"/>
              <w:left w:val="nil"/>
              <w:bottom w:val="single" w:sz="4" w:space="0" w:color="0070C0"/>
              <w:right w:val="single" w:sz="4" w:space="0" w:color="0070C0"/>
            </w:tcBorders>
            <w:shd w:val="clear" w:color="auto" w:fill="auto"/>
            <w:vAlign w:val="center"/>
          </w:tcPr>
          <w:p w14:paraId="71B9600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6FA6D62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6D525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F35AB1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8F0AEA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points de discussion ne m'intéressent pas toujours</w:t>
            </w:r>
          </w:p>
        </w:tc>
        <w:tc>
          <w:tcPr>
            <w:tcW w:w="182" w:type="pct"/>
            <w:tcBorders>
              <w:top w:val="nil"/>
              <w:left w:val="nil"/>
              <w:bottom w:val="single" w:sz="4" w:space="0" w:color="0070C0"/>
              <w:right w:val="single" w:sz="4" w:space="0" w:color="0070C0"/>
            </w:tcBorders>
            <w:shd w:val="clear" w:color="auto" w:fill="auto"/>
            <w:vAlign w:val="center"/>
          </w:tcPr>
          <w:p w14:paraId="0469F43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6FCAEC3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1B0E38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A09442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08759B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43889B8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6AC2E3F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31C21A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A15BFF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F71F4E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51CCB55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bottom"/>
          </w:tcPr>
          <w:p w14:paraId="355543F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D9FF0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944113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1</w:t>
            </w:r>
          </w:p>
        </w:tc>
        <w:tc>
          <w:tcPr>
            <w:tcW w:w="4016" w:type="pct"/>
            <w:tcBorders>
              <w:top w:val="nil"/>
              <w:left w:val="nil"/>
              <w:bottom w:val="single" w:sz="4" w:space="0" w:color="0070C0"/>
              <w:right w:val="single" w:sz="4" w:space="0" w:color="0070C0"/>
            </w:tcBorders>
            <w:shd w:val="clear" w:color="auto" w:fill="auto"/>
            <w:noWrap/>
            <w:vAlign w:val="bottom"/>
          </w:tcPr>
          <w:p w14:paraId="1354FCA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comprenez bien tous les points qui sont discutés lors des travaux du comité local de gestion des conflits ?</w:t>
            </w:r>
          </w:p>
        </w:tc>
        <w:tc>
          <w:tcPr>
            <w:tcW w:w="182" w:type="pct"/>
            <w:tcBorders>
              <w:top w:val="nil"/>
              <w:left w:val="nil"/>
              <w:bottom w:val="single" w:sz="4" w:space="0" w:color="0070C0"/>
              <w:right w:val="single" w:sz="4" w:space="0" w:color="0070C0"/>
            </w:tcBorders>
            <w:shd w:val="clear" w:color="auto" w:fill="auto"/>
            <w:vAlign w:val="center"/>
          </w:tcPr>
          <w:p w14:paraId="3E6DDA81" w14:textId="77777777" w:rsidR="00F3541E" w:rsidRPr="00E82DD7"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bottom"/>
          </w:tcPr>
          <w:p w14:paraId="17644B0D"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2C90373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D7D3C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1E5348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711C8C1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6F37038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FA2E6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A3816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2A8951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386BE46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1E2514F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14016CA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7C5B5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8C862B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3A80893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701C980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46C02A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5B3402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1</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18B0019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avez-vous besoin d'être renforcé ?</w:t>
            </w:r>
          </w:p>
        </w:tc>
        <w:tc>
          <w:tcPr>
            <w:tcW w:w="182" w:type="pct"/>
            <w:tcBorders>
              <w:top w:val="nil"/>
              <w:left w:val="nil"/>
              <w:bottom w:val="single" w:sz="4" w:space="0" w:color="0070C0"/>
              <w:right w:val="single" w:sz="4" w:space="0" w:color="0070C0"/>
            </w:tcBorders>
            <w:shd w:val="clear" w:color="auto" w:fill="auto"/>
            <w:vAlign w:val="center"/>
          </w:tcPr>
          <w:p w14:paraId="3338C768"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2446AF4F"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3DBA1A7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53D013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064CA1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55A99AC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66A4075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7C0F26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7958E1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F77BEF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FE540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8E9432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D0E779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021043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hideMark/>
          </w:tcPr>
          <w:p w14:paraId="3DAC33F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hideMark/>
          </w:tcPr>
          <w:p w14:paraId="125226D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hideMark/>
          </w:tcPr>
          <w:p w14:paraId="74A8714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2340A5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0F1B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r w:rsidRPr="00E82DD7">
              <w:rPr>
                <w:rFonts w:eastAsia="Times New Roman" w:cs="Tahoma"/>
                <w:b/>
                <w:bCs/>
                <w:color w:val="000000"/>
                <w:sz w:val="20"/>
                <w:szCs w:val="20"/>
              </w:rPr>
              <w:t>CP.1</w:t>
            </w:r>
            <w:r>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vAlign w:val="bottom"/>
            <w:hideMark/>
          </w:tcPr>
          <w:p w14:paraId="719CCFC9"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vous sentez utile dans les travaux du comité local ?</w:t>
            </w:r>
          </w:p>
        </w:tc>
        <w:tc>
          <w:tcPr>
            <w:tcW w:w="182" w:type="pct"/>
            <w:tcBorders>
              <w:top w:val="nil"/>
              <w:left w:val="nil"/>
              <w:bottom w:val="single" w:sz="4" w:space="0" w:color="0070C0"/>
              <w:right w:val="single" w:sz="4" w:space="0" w:color="0070C0"/>
            </w:tcBorders>
            <w:shd w:val="clear" w:color="auto" w:fill="auto"/>
            <w:vAlign w:val="center"/>
            <w:hideMark/>
          </w:tcPr>
          <w:p w14:paraId="27DC3706"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hideMark/>
          </w:tcPr>
          <w:p w14:paraId="4637B553"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6C618C1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17CA51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vAlign w:val="bottom"/>
            <w:hideMark/>
          </w:tcPr>
          <w:p w14:paraId="25D6FB4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37310B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hideMark/>
          </w:tcPr>
          <w:p w14:paraId="3055F33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CBD964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548C7F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42B443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AE3C4F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hideMark/>
          </w:tcPr>
          <w:p w14:paraId="5F084EA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653EB1" w:rsidRPr="00E82DD7" w14:paraId="401387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03C3F6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258F8B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A4A0AB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58951C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CF61F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83980E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3</w:t>
            </w:r>
          </w:p>
        </w:tc>
        <w:tc>
          <w:tcPr>
            <w:tcW w:w="4016" w:type="pct"/>
            <w:tcBorders>
              <w:top w:val="nil"/>
              <w:left w:val="nil"/>
              <w:bottom w:val="single" w:sz="4" w:space="0" w:color="0070C0"/>
              <w:right w:val="single" w:sz="4" w:space="0" w:color="0070C0"/>
            </w:tcBorders>
            <w:shd w:val="clear" w:color="auto" w:fill="auto"/>
            <w:noWrap/>
            <w:vAlign w:val="bottom"/>
          </w:tcPr>
          <w:p w14:paraId="61136DD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Aujourd'hui, est ce que vous ne regrettez pas de faire partie du comité local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4169D355"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13DD31E2"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185CF6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9ED7F9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745B02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1783CD9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3673ED2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F5E36D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1754BA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BE4011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050A846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7F86545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3F3782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C69C62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0E43C1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0EE1D10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081C42B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6C7E2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F8323F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3</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7506F4F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 ?</w:t>
            </w:r>
          </w:p>
        </w:tc>
        <w:tc>
          <w:tcPr>
            <w:tcW w:w="182" w:type="pct"/>
            <w:tcBorders>
              <w:top w:val="nil"/>
              <w:left w:val="nil"/>
              <w:bottom w:val="single" w:sz="4" w:space="0" w:color="0070C0"/>
              <w:right w:val="single" w:sz="4" w:space="0" w:color="0070C0"/>
            </w:tcBorders>
            <w:shd w:val="clear" w:color="auto" w:fill="auto"/>
            <w:vAlign w:val="center"/>
          </w:tcPr>
          <w:p w14:paraId="26F0CA2D"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7E88F264"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1A40F57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4B681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0E4C93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On ne me donne pas la parole </w:t>
            </w:r>
          </w:p>
        </w:tc>
        <w:tc>
          <w:tcPr>
            <w:tcW w:w="182" w:type="pct"/>
            <w:tcBorders>
              <w:top w:val="nil"/>
              <w:left w:val="nil"/>
              <w:bottom w:val="single" w:sz="4" w:space="0" w:color="0070C0"/>
              <w:right w:val="single" w:sz="4" w:space="0" w:color="0070C0"/>
            </w:tcBorders>
            <w:shd w:val="clear" w:color="auto" w:fill="auto"/>
            <w:vAlign w:val="center"/>
          </w:tcPr>
          <w:p w14:paraId="1407354B"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739445A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261BC5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16330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3B1122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Quand je parle, les hommes ne s'y intéressent pas</w:t>
            </w:r>
          </w:p>
        </w:tc>
        <w:tc>
          <w:tcPr>
            <w:tcW w:w="182" w:type="pct"/>
            <w:tcBorders>
              <w:top w:val="nil"/>
              <w:left w:val="nil"/>
              <w:bottom w:val="single" w:sz="4" w:space="0" w:color="0070C0"/>
              <w:right w:val="single" w:sz="4" w:space="0" w:color="0070C0"/>
            </w:tcBorders>
            <w:shd w:val="clear" w:color="auto" w:fill="auto"/>
            <w:vAlign w:val="center"/>
          </w:tcPr>
          <w:p w14:paraId="6B121DE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1115E7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39422BF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A834FE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A9CA21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Mes points de vue ne sont pas pris en compte </w:t>
            </w:r>
          </w:p>
        </w:tc>
        <w:tc>
          <w:tcPr>
            <w:tcW w:w="182" w:type="pct"/>
            <w:tcBorders>
              <w:top w:val="nil"/>
              <w:left w:val="nil"/>
              <w:bottom w:val="single" w:sz="4" w:space="0" w:color="0070C0"/>
              <w:right w:val="single" w:sz="4" w:space="0" w:color="0070C0"/>
            </w:tcBorders>
            <w:shd w:val="clear" w:color="auto" w:fill="auto"/>
            <w:vAlign w:val="center"/>
          </w:tcPr>
          <w:p w14:paraId="0603290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424A58E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104F68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9DF24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864938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257CF7B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4638E8F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698A6D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16C163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A9C052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0E7EA19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2B0980A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8BFE2F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452D5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4</w:t>
            </w:r>
          </w:p>
        </w:tc>
        <w:tc>
          <w:tcPr>
            <w:tcW w:w="4016" w:type="pct"/>
            <w:tcBorders>
              <w:top w:val="nil"/>
              <w:left w:val="nil"/>
              <w:bottom w:val="single" w:sz="4" w:space="0" w:color="0070C0"/>
              <w:right w:val="single" w:sz="4" w:space="0" w:color="0070C0"/>
            </w:tcBorders>
            <w:shd w:val="clear" w:color="auto" w:fill="auto"/>
            <w:noWrap/>
            <w:vAlign w:val="bottom"/>
          </w:tcPr>
          <w:p w14:paraId="7DEA4FE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Aujourd'hui, est ce que votre époux ou vos parents regrette (ent) le fait que vous fassiez partie du comité local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210757B0"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31BBB29C"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0679394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71E9F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29FF0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232975E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089CE7E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3187A5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39605C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D6929C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674292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515ACA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2926BD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19C7D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13C54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4E84876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4D4BDE0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347888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63F1B9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4</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6E1395C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pourquoi ?</w:t>
            </w:r>
          </w:p>
        </w:tc>
        <w:tc>
          <w:tcPr>
            <w:tcW w:w="182" w:type="pct"/>
            <w:tcBorders>
              <w:top w:val="nil"/>
              <w:left w:val="nil"/>
              <w:bottom w:val="single" w:sz="4" w:space="0" w:color="0070C0"/>
              <w:right w:val="single" w:sz="4" w:space="0" w:color="0070C0"/>
            </w:tcBorders>
            <w:shd w:val="clear" w:color="auto" w:fill="auto"/>
            <w:vAlign w:val="center"/>
          </w:tcPr>
          <w:p w14:paraId="0065C63E"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5B72EEFF"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49AE812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A4C72E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1E046E1"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travaux du comité occupent beaucoup mon temps</w:t>
            </w:r>
          </w:p>
        </w:tc>
        <w:tc>
          <w:tcPr>
            <w:tcW w:w="182" w:type="pct"/>
            <w:tcBorders>
              <w:top w:val="nil"/>
              <w:left w:val="nil"/>
              <w:bottom w:val="single" w:sz="4" w:space="0" w:color="0070C0"/>
              <w:right w:val="single" w:sz="4" w:space="0" w:color="0070C0"/>
            </w:tcBorders>
            <w:shd w:val="clear" w:color="auto" w:fill="auto"/>
            <w:vAlign w:val="center"/>
          </w:tcPr>
          <w:p w14:paraId="440C0C77"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1D470C45"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0A67BF7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69D2642"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5D18633"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 comité n’arrive pas à résoudre les conflits</w:t>
            </w:r>
          </w:p>
        </w:tc>
        <w:tc>
          <w:tcPr>
            <w:tcW w:w="182" w:type="pct"/>
            <w:tcBorders>
              <w:top w:val="nil"/>
              <w:left w:val="nil"/>
              <w:bottom w:val="single" w:sz="4" w:space="0" w:color="0070C0"/>
              <w:right w:val="single" w:sz="4" w:space="0" w:color="0070C0"/>
            </w:tcBorders>
            <w:shd w:val="clear" w:color="auto" w:fill="auto"/>
            <w:vAlign w:val="center"/>
          </w:tcPr>
          <w:p w14:paraId="22160C4D" w14:textId="77777777" w:rsidR="00F3541E" w:rsidRPr="00E82DD7" w:rsidRDefault="00F3541E" w:rsidP="00F3541E">
            <w:pPr>
              <w:spacing w:before="20" w:after="20" w:line="240" w:lineRule="auto"/>
              <w:jc w:val="center"/>
              <w:rPr>
                <w:rFonts w:eastAsia="Times New Roman" w:cs="Tahoma"/>
                <w:sz w:val="20"/>
                <w:szCs w:val="20"/>
              </w:rPr>
            </w:pPr>
            <w:r w:rsidRPr="00E82DD7">
              <w:rPr>
                <w:rFonts w:eastAsia="Times New Roman" w:cs="Tahoma"/>
                <w:sz w:val="20"/>
                <w:szCs w:val="20"/>
              </w:rPr>
              <w:t>2</w:t>
            </w:r>
          </w:p>
        </w:tc>
        <w:tc>
          <w:tcPr>
            <w:tcW w:w="259" w:type="pct"/>
            <w:tcBorders>
              <w:top w:val="nil"/>
              <w:left w:val="nil"/>
              <w:bottom w:val="single" w:sz="4" w:space="0" w:color="0070C0"/>
              <w:right w:val="single" w:sz="4" w:space="0" w:color="0070C0"/>
            </w:tcBorders>
            <w:shd w:val="clear" w:color="auto" w:fill="auto"/>
            <w:vAlign w:val="bottom"/>
          </w:tcPr>
          <w:p w14:paraId="42E29B2C" w14:textId="77777777" w:rsidR="00F3541E" w:rsidRPr="00E82DD7" w:rsidRDefault="00F3541E" w:rsidP="00F3541E">
            <w:pPr>
              <w:spacing w:before="20" w:after="20" w:line="240" w:lineRule="auto"/>
              <w:jc w:val="center"/>
              <w:rPr>
                <w:rFonts w:eastAsia="Times New Roman" w:cs="Tahoma"/>
                <w:sz w:val="20"/>
                <w:szCs w:val="20"/>
              </w:rPr>
            </w:pPr>
          </w:p>
        </w:tc>
      </w:tr>
      <w:tr w:rsidR="00F01CB8" w:rsidRPr="00E82DD7" w14:paraId="3C3DB80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2972A7"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6204782"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décisions de la structure ne sont suivies ni respectées</w:t>
            </w:r>
          </w:p>
        </w:tc>
        <w:tc>
          <w:tcPr>
            <w:tcW w:w="182" w:type="pct"/>
            <w:tcBorders>
              <w:top w:val="nil"/>
              <w:left w:val="nil"/>
              <w:bottom w:val="single" w:sz="4" w:space="0" w:color="0070C0"/>
              <w:right w:val="single" w:sz="4" w:space="0" w:color="0070C0"/>
            </w:tcBorders>
            <w:shd w:val="clear" w:color="auto" w:fill="auto"/>
            <w:vAlign w:val="center"/>
          </w:tcPr>
          <w:p w14:paraId="2F643413"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322E7B52"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2DE5684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6C9CA1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659F31A"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populations ne font pas confiance au comité local</w:t>
            </w:r>
          </w:p>
        </w:tc>
        <w:tc>
          <w:tcPr>
            <w:tcW w:w="182" w:type="pct"/>
            <w:tcBorders>
              <w:top w:val="nil"/>
              <w:left w:val="nil"/>
              <w:bottom w:val="single" w:sz="4" w:space="0" w:color="0070C0"/>
              <w:right w:val="single" w:sz="4" w:space="0" w:color="0070C0"/>
            </w:tcBorders>
            <w:shd w:val="clear" w:color="auto" w:fill="auto"/>
            <w:vAlign w:val="center"/>
          </w:tcPr>
          <w:p w14:paraId="63CFE8C3"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3A216325"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0B5114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4DDF32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C557E9"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6ACA6972"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723C3884"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782D37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09683F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95054C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49D0E77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6E4C177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7C1F84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BBD7A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auto" w:fill="auto"/>
            <w:noWrap/>
            <w:vAlign w:val="bottom"/>
          </w:tcPr>
          <w:p w14:paraId="364D1C7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pensez que les autres membres notamment les hommes accepteront recevoir plus de femmes ou de jeune pour faire partie du comité de gestion des conflits ?</w:t>
            </w:r>
          </w:p>
        </w:tc>
        <w:tc>
          <w:tcPr>
            <w:tcW w:w="182" w:type="pct"/>
            <w:tcBorders>
              <w:top w:val="nil"/>
              <w:left w:val="nil"/>
              <w:bottom w:val="single" w:sz="4" w:space="0" w:color="0070C0"/>
              <w:right w:val="single" w:sz="4" w:space="0" w:color="0070C0"/>
            </w:tcBorders>
            <w:shd w:val="clear" w:color="auto" w:fill="auto"/>
            <w:vAlign w:val="center"/>
          </w:tcPr>
          <w:p w14:paraId="474A4312"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06FBDFB6"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6197452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75D6C6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6141A9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1C4BBED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20E3E36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2087B1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344AA2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C3FA05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FF6CFB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2A8CAE5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E77F04" w:rsidRPr="00E82DD7" w14:paraId="4B324E70"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vAlign w:val="center"/>
          </w:tcPr>
          <w:p w14:paraId="4A682D5A" w14:textId="77777777" w:rsidR="00F3541E" w:rsidRPr="00E82DD7" w:rsidRDefault="00F3541E" w:rsidP="00F3541E">
            <w:pPr>
              <w:spacing w:before="20" w:after="20" w:line="240" w:lineRule="auto"/>
              <w:rPr>
                <w:rFonts w:eastAsia="Times New Roman" w:cs="Tahoma"/>
                <w:color w:val="000000"/>
                <w:sz w:val="20"/>
                <w:szCs w:val="20"/>
              </w:rPr>
            </w:pPr>
          </w:p>
        </w:tc>
        <w:tc>
          <w:tcPr>
            <w:tcW w:w="423" w:type="pct"/>
            <w:tcBorders>
              <w:top w:val="nil"/>
              <w:left w:val="nil"/>
              <w:bottom w:val="single" w:sz="4" w:space="0" w:color="0070C0"/>
              <w:right w:val="single" w:sz="4" w:space="0" w:color="0070C0"/>
            </w:tcBorders>
            <w:shd w:val="clear" w:color="auto" w:fill="FFFFFF"/>
            <w:noWrap/>
            <w:vAlign w:val="bottom"/>
          </w:tcPr>
          <w:p w14:paraId="19A0AE7D" w14:textId="77777777" w:rsidR="00F3541E" w:rsidRPr="00E82DD7" w:rsidRDefault="00F3541E" w:rsidP="00F3541E">
            <w:pPr>
              <w:spacing w:before="20" w:after="20" w:line="240" w:lineRule="auto"/>
              <w:rPr>
                <w:rFonts w:eastAsia="Times New Roman" w:cs="Tahoma"/>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4452AE41" w14:textId="77777777" w:rsidR="00F3541E" w:rsidRPr="00E82DD7" w:rsidRDefault="00F3541E" w:rsidP="00F3541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bottom"/>
          </w:tcPr>
          <w:p w14:paraId="32F3B9F9" w14:textId="77777777" w:rsidR="00F3541E" w:rsidRPr="00E82DD7" w:rsidRDefault="00F3541E" w:rsidP="00F3541E">
            <w:pPr>
              <w:spacing w:before="20" w:after="20" w:line="240" w:lineRule="auto"/>
              <w:jc w:val="center"/>
              <w:rPr>
                <w:rFonts w:eastAsia="Times New Roman" w:cs="Tahoma"/>
                <w:color w:val="000000"/>
                <w:sz w:val="20"/>
                <w:szCs w:val="20"/>
              </w:rPr>
            </w:pPr>
          </w:p>
        </w:tc>
      </w:tr>
      <w:tr w:rsidR="00653EB1" w:rsidRPr="00E82DD7" w14:paraId="68C130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3F7F56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6</w:t>
            </w:r>
          </w:p>
        </w:tc>
        <w:tc>
          <w:tcPr>
            <w:tcW w:w="4016" w:type="pct"/>
            <w:tcBorders>
              <w:top w:val="nil"/>
              <w:left w:val="nil"/>
              <w:bottom w:val="single" w:sz="4" w:space="0" w:color="0070C0"/>
              <w:right w:val="single" w:sz="4" w:space="0" w:color="0070C0"/>
            </w:tcBorders>
            <w:shd w:val="clear" w:color="auto" w:fill="auto"/>
            <w:noWrap/>
            <w:vAlign w:val="center"/>
          </w:tcPr>
          <w:p w14:paraId="3A8D6A26" w14:textId="77777777" w:rsidR="00F3541E" w:rsidRPr="00E82DD7" w:rsidRDefault="00F3541E" w:rsidP="00F3541E">
            <w:pPr>
              <w:spacing w:before="20" w:after="20" w:line="240" w:lineRule="auto"/>
              <w:rPr>
                <w:rFonts w:eastAsia="Times New Roman" w:cs="Tahoma"/>
                <w:color w:val="000000"/>
                <w:sz w:val="20"/>
                <w:szCs w:val="20"/>
              </w:rPr>
            </w:pPr>
            <w:r w:rsidRPr="00E82DD7">
              <w:rPr>
                <w:sz w:val="20"/>
                <w:szCs w:val="20"/>
              </w:rPr>
              <w:t>Etes-vous (femmes et jeunes) engagés à maintenir votre participation dans les comités de veille et d’alerte précoce</w:t>
            </w:r>
          </w:p>
        </w:tc>
        <w:tc>
          <w:tcPr>
            <w:tcW w:w="182" w:type="pct"/>
            <w:tcBorders>
              <w:top w:val="nil"/>
              <w:left w:val="nil"/>
              <w:bottom w:val="single" w:sz="4" w:space="0" w:color="0070C0"/>
              <w:right w:val="single" w:sz="4" w:space="0" w:color="0070C0"/>
            </w:tcBorders>
            <w:shd w:val="clear" w:color="auto" w:fill="auto"/>
            <w:vAlign w:val="center"/>
          </w:tcPr>
          <w:p w14:paraId="5E2DFA7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24EE65B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C04A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66B33E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9B376F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24E6DAB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center"/>
          </w:tcPr>
          <w:p w14:paraId="476145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5ED0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0FBC4F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5BF7C9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0E1C60D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center"/>
          </w:tcPr>
          <w:p w14:paraId="71BAD3D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F922E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6BEB5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62FDF29"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25912C98"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D68911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A7975F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61AC22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noWrap/>
            <w:vAlign w:val="center"/>
            <w:hideMark/>
          </w:tcPr>
          <w:p w14:paraId="2B96E474" w14:textId="77777777" w:rsidR="00F3541E" w:rsidRPr="00E82DD7" w:rsidRDefault="00F3541E" w:rsidP="00F3541E">
            <w:pPr>
              <w:spacing w:before="20" w:after="20" w:line="240" w:lineRule="auto"/>
              <w:rPr>
                <w:rFonts w:eastAsia="Times New Roman" w:cs="Tahoma"/>
                <w:color w:val="000000"/>
                <w:sz w:val="20"/>
                <w:szCs w:val="20"/>
              </w:rPr>
            </w:pPr>
            <w:r>
              <w:rPr>
                <w:rFonts w:eastAsia="Times New Roman" w:cs="Tahoma"/>
                <w:color w:val="000000"/>
                <w:sz w:val="20"/>
                <w:szCs w:val="20"/>
              </w:rPr>
              <w:t>Quels sont vos</w:t>
            </w:r>
            <w:r w:rsidRPr="00E82DD7">
              <w:rPr>
                <w:rFonts w:eastAsia="Times New Roman" w:cs="Tahoma"/>
                <w:color w:val="000000"/>
                <w:sz w:val="20"/>
                <w:szCs w:val="20"/>
              </w:rPr>
              <w:t xml:space="preserve"> droits en tant qu’être humain ?</w:t>
            </w:r>
          </w:p>
        </w:tc>
        <w:tc>
          <w:tcPr>
            <w:tcW w:w="182" w:type="pct"/>
            <w:tcBorders>
              <w:top w:val="nil"/>
              <w:left w:val="nil"/>
              <w:bottom w:val="single" w:sz="4" w:space="0" w:color="0070C0"/>
              <w:right w:val="single" w:sz="4" w:space="0" w:color="0070C0"/>
            </w:tcBorders>
            <w:shd w:val="clear" w:color="auto" w:fill="auto"/>
            <w:vAlign w:val="center"/>
            <w:hideMark/>
          </w:tcPr>
          <w:p w14:paraId="56C6F5E7"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9D48E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F1D1CE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B09CF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281933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civils</w:t>
            </w:r>
            <w:r w:rsidRPr="00E82DD7">
              <w:rPr>
                <w:rFonts w:eastAsia="Times New Roman" w:cs="Tahoma"/>
                <w:i/>
                <w:iCs/>
                <w:color w:val="000000"/>
                <w:sz w:val="20"/>
                <w:szCs w:val="20"/>
              </w:rPr>
              <w:t xml:space="preserve"> (droit à la vie, l’intégrité physique, </w:t>
            </w:r>
            <w:r>
              <w:rPr>
                <w:rFonts w:eastAsia="Times New Roman" w:cs="Tahoma"/>
                <w:i/>
                <w:iCs/>
                <w:color w:val="000000"/>
                <w:sz w:val="20"/>
                <w:szCs w:val="20"/>
              </w:rPr>
              <w:t>s</w:t>
            </w:r>
            <w:r w:rsidRPr="00E82DD7">
              <w:rPr>
                <w:rFonts w:eastAsia="Times New Roman" w:cs="Tahoma"/>
                <w:i/>
                <w:iCs/>
                <w:color w:val="000000"/>
                <w:sz w:val="20"/>
                <w:szCs w:val="20"/>
              </w:rPr>
              <w:t xml:space="preserve">écurité &amp; protection contre la violence, l’égalité, liberté de mouvement, de </w:t>
            </w:r>
            <w:r>
              <w:rPr>
                <w:rFonts w:eastAsia="Times New Roman" w:cs="Tahoma"/>
                <w:i/>
                <w:iCs/>
                <w:color w:val="000000"/>
                <w:sz w:val="20"/>
                <w:szCs w:val="20"/>
              </w:rPr>
              <w:t>culte</w:t>
            </w:r>
            <w:r w:rsidRPr="00E82DD7">
              <w:rPr>
                <w:rFonts w:eastAsia="Times New Roman" w:cs="Tahoma"/>
                <w:i/>
                <w:iCs/>
                <w:color w:val="000000"/>
                <w:sz w:val="20"/>
                <w:szCs w:val="20"/>
              </w:rPr>
              <w:t>, etc.)</w:t>
            </w:r>
          </w:p>
        </w:tc>
        <w:tc>
          <w:tcPr>
            <w:tcW w:w="182" w:type="pct"/>
            <w:tcBorders>
              <w:top w:val="nil"/>
              <w:left w:val="nil"/>
              <w:bottom w:val="single" w:sz="4" w:space="0" w:color="0070C0"/>
              <w:right w:val="single" w:sz="4" w:space="0" w:color="0070C0"/>
            </w:tcBorders>
            <w:shd w:val="clear" w:color="auto" w:fill="auto"/>
            <w:vAlign w:val="center"/>
            <w:hideMark/>
          </w:tcPr>
          <w:p w14:paraId="0FF920F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3715D8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B837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AEAB5D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4DDBF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sociaux</w:t>
            </w:r>
            <w:r w:rsidRPr="00E82DD7">
              <w:rPr>
                <w:rFonts w:eastAsia="Times New Roman" w:cs="Tahoma"/>
                <w:i/>
                <w:iCs/>
                <w:color w:val="000000"/>
                <w:sz w:val="20"/>
                <w:szCs w:val="20"/>
              </w:rPr>
              <w:t xml:space="preserve"> (accès à l’éducation, la santé, respect de la vie privée, non-discrimination ; liberté de mariage, repos et loisirs, etc.)</w:t>
            </w:r>
          </w:p>
        </w:tc>
        <w:tc>
          <w:tcPr>
            <w:tcW w:w="182" w:type="pct"/>
            <w:tcBorders>
              <w:top w:val="nil"/>
              <w:left w:val="nil"/>
              <w:bottom w:val="single" w:sz="4" w:space="0" w:color="0070C0"/>
              <w:right w:val="single" w:sz="4" w:space="0" w:color="0070C0"/>
            </w:tcBorders>
            <w:shd w:val="clear" w:color="auto" w:fill="auto"/>
            <w:vAlign w:val="center"/>
            <w:hideMark/>
          </w:tcPr>
          <w:p w14:paraId="4AFD09E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8725F2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DBCA5F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445544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2BE62C9" w14:textId="77777777" w:rsidR="00F3541E" w:rsidRPr="00E82DD7" w:rsidDel="004F40A1"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économiques</w:t>
            </w:r>
            <w:r w:rsidRPr="00E82DD7">
              <w:rPr>
                <w:rFonts w:eastAsia="Times New Roman" w:cs="Tahoma"/>
                <w:i/>
                <w:iCs/>
                <w:color w:val="000000"/>
                <w:sz w:val="20"/>
                <w:szCs w:val="20"/>
              </w:rPr>
              <w:t xml:space="preserve"> (droits de propriété, de travail/accès à l’emploi, égalité de revenu, etc.)</w:t>
            </w:r>
          </w:p>
        </w:tc>
        <w:tc>
          <w:tcPr>
            <w:tcW w:w="182" w:type="pct"/>
            <w:tcBorders>
              <w:top w:val="nil"/>
              <w:left w:val="nil"/>
              <w:bottom w:val="single" w:sz="4" w:space="0" w:color="0070C0"/>
              <w:right w:val="single" w:sz="4" w:space="0" w:color="0070C0"/>
            </w:tcBorders>
            <w:shd w:val="clear" w:color="auto" w:fill="auto"/>
            <w:vAlign w:val="center"/>
          </w:tcPr>
          <w:p w14:paraId="6CE087B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7CC286D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E95922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9382BA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AEEA81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politiques</w:t>
            </w:r>
            <w:r w:rsidRPr="00E82DD7">
              <w:rPr>
                <w:rFonts w:eastAsia="Times New Roman" w:cs="Tahoma"/>
                <w:i/>
                <w:iCs/>
                <w:color w:val="000000"/>
                <w:sz w:val="20"/>
                <w:szCs w:val="20"/>
              </w:rPr>
              <w:t xml:space="preserve"> (droits de vote, droits d’être éligible, liberté de réunion, d’association, liberté d’opinion et d’expression, etc.)</w:t>
            </w:r>
          </w:p>
        </w:tc>
        <w:tc>
          <w:tcPr>
            <w:tcW w:w="182" w:type="pct"/>
            <w:tcBorders>
              <w:top w:val="nil"/>
              <w:left w:val="nil"/>
              <w:bottom w:val="single" w:sz="4" w:space="0" w:color="0070C0"/>
              <w:right w:val="single" w:sz="4" w:space="0" w:color="0070C0"/>
            </w:tcBorders>
            <w:shd w:val="clear" w:color="auto" w:fill="auto"/>
            <w:vAlign w:val="center"/>
          </w:tcPr>
          <w:p w14:paraId="10B343B7"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4839704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28E86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B1603F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6A3145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sexuels et reproductifs</w:t>
            </w:r>
            <w:r w:rsidRPr="00E82DD7">
              <w:rPr>
                <w:rFonts w:eastAsia="Times New Roman" w:cs="Tahoma"/>
                <w:i/>
                <w:iCs/>
                <w:color w:val="000000"/>
                <w:sz w:val="20"/>
                <w:szCs w:val="20"/>
              </w:rPr>
              <w:t xml:space="preserve"> (droit de libre gestion de sa sexualité, libre décision du nombre d’enfants à avoir et libre choix des moyens de contraception voulus, etc.)</w:t>
            </w:r>
          </w:p>
        </w:tc>
        <w:tc>
          <w:tcPr>
            <w:tcW w:w="182" w:type="pct"/>
            <w:tcBorders>
              <w:top w:val="nil"/>
              <w:left w:val="nil"/>
              <w:bottom w:val="single" w:sz="4" w:space="0" w:color="0070C0"/>
              <w:right w:val="single" w:sz="4" w:space="0" w:color="0070C0"/>
            </w:tcBorders>
            <w:shd w:val="clear" w:color="auto" w:fill="auto"/>
            <w:vAlign w:val="center"/>
          </w:tcPr>
          <w:p w14:paraId="39501FE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51E3BF2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805E8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1696C5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center"/>
            <w:hideMark/>
          </w:tcPr>
          <w:p w14:paraId="646E687F"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w:t>
            </w:r>
            <w:r>
              <w:rPr>
                <w:rFonts w:eastAsia="Times New Roman" w:cs="Tahoma"/>
                <w:color w:val="000000"/>
                <w:sz w:val="20"/>
                <w:szCs w:val="20"/>
              </w:rPr>
              <w:t>Autres (préciser)</w:t>
            </w:r>
          </w:p>
        </w:tc>
        <w:tc>
          <w:tcPr>
            <w:tcW w:w="182" w:type="pct"/>
            <w:tcBorders>
              <w:top w:val="nil"/>
              <w:left w:val="nil"/>
              <w:bottom w:val="single" w:sz="4" w:space="0" w:color="0070C0"/>
              <w:right w:val="single" w:sz="4" w:space="0" w:color="0070C0"/>
            </w:tcBorders>
            <w:shd w:val="clear" w:color="auto" w:fill="auto"/>
            <w:vAlign w:val="center"/>
            <w:hideMark/>
          </w:tcPr>
          <w:p w14:paraId="7AABCBF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2BBDB2C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BB8684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2B7198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55B9B53"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66290F9"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E609EC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B3327C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C861F6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CP.19</w:t>
            </w:r>
          </w:p>
        </w:tc>
        <w:tc>
          <w:tcPr>
            <w:tcW w:w="4016" w:type="pct"/>
            <w:tcBorders>
              <w:top w:val="nil"/>
              <w:left w:val="nil"/>
              <w:bottom w:val="single" w:sz="4" w:space="0" w:color="0070C0"/>
              <w:right w:val="single" w:sz="4" w:space="0" w:color="0070C0"/>
            </w:tcBorders>
            <w:shd w:val="clear" w:color="auto" w:fill="auto"/>
            <w:noWrap/>
            <w:vAlign w:val="center"/>
          </w:tcPr>
          <w:p w14:paraId="006E71B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déjà été victime d’une violence (physique / sexuelle):</w:t>
            </w:r>
          </w:p>
        </w:tc>
        <w:tc>
          <w:tcPr>
            <w:tcW w:w="182" w:type="pct"/>
            <w:tcBorders>
              <w:top w:val="nil"/>
              <w:left w:val="nil"/>
              <w:bottom w:val="single" w:sz="4" w:space="0" w:color="0070C0"/>
              <w:right w:val="single" w:sz="4" w:space="0" w:color="0070C0"/>
            </w:tcBorders>
            <w:shd w:val="clear" w:color="auto" w:fill="auto"/>
            <w:vAlign w:val="center"/>
          </w:tcPr>
          <w:p w14:paraId="280CD957"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FFA95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C6130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4891E4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B5A3422" w14:textId="77777777" w:rsidR="00F3541E" w:rsidRPr="00E82DD7" w:rsidRDefault="00F3541E" w:rsidP="00F3541E">
            <w:pPr>
              <w:spacing w:before="20" w:after="20" w:line="240" w:lineRule="auto"/>
              <w:ind w:left="708"/>
              <w:jc w:val="left"/>
              <w:rPr>
                <w:rFonts w:eastAsia="Times New Roman" w:cs="Tahoma"/>
                <w:color w:val="000000"/>
                <w:sz w:val="20"/>
                <w:szCs w:val="20"/>
              </w:rPr>
            </w:pPr>
            <w:r w:rsidRPr="00E82DD7">
              <w:rPr>
                <w:rFonts w:eastAsia="Times New Roman" w:cs="Tahoma"/>
                <w:color w:val="000000"/>
                <w:sz w:val="20"/>
                <w:szCs w:val="20"/>
              </w:rPr>
              <w:t>Oui, de la part des FDS (gendarmes, policiers, militaires)</w:t>
            </w:r>
          </w:p>
        </w:tc>
        <w:tc>
          <w:tcPr>
            <w:tcW w:w="182" w:type="pct"/>
            <w:tcBorders>
              <w:top w:val="nil"/>
              <w:left w:val="nil"/>
              <w:bottom w:val="single" w:sz="4" w:space="0" w:color="0070C0"/>
              <w:right w:val="single" w:sz="4" w:space="0" w:color="0070C0"/>
            </w:tcBorders>
            <w:shd w:val="clear" w:color="auto" w:fill="auto"/>
            <w:vAlign w:val="center"/>
          </w:tcPr>
          <w:p w14:paraId="7E8EEB5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4BE7F2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BFDD42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78D48A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2291F6F" w14:textId="77777777" w:rsidR="00F3541E" w:rsidRPr="00E82DD7" w:rsidRDefault="00F3541E" w:rsidP="00F3541E">
            <w:pPr>
              <w:spacing w:before="20" w:after="20" w:line="240" w:lineRule="auto"/>
              <w:ind w:left="708"/>
              <w:jc w:val="left"/>
              <w:rPr>
                <w:rFonts w:eastAsia="Times New Roman" w:cs="Tahoma"/>
                <w:color w:val="000000"/>
                <w:sz w:val="20"/>
                <w:szCs w:val="20"/>
              </w:rPr>
            </w:pPr>
            <w:r>
              <w:rPr>
                <w:rFonts w:eastAsia="Times New Roman" w:cs="Tahoma"/>
                <w:color w:val="000000"/>
                <w:sz w:val="20"/>
                <w:szCs w:val="20"/>
              </w:rPr>
              <w:t>Oui, de la part d’un ACP (magistrat, juges, etc.)</w:t>
            </w:r>
          </w:p>
        </w:tc>
        <w:tc>
          <w:tcPr>
            <w:tcW w:w="182" w:type="pct"/>
            <w:tcBorders>
              <w:top w:val="nil"/>
              <w:left w:val="nil"/>
              <w:bottom w:val="single" w:sz="4" w:space="0" w:color="0070C0"/>
              <w:right w:val="single" w:sz="4" w:space="0" w:color="0070C0"/>
            </w:tcBorders>
            <w:shd w:val="clear" w:color="auto" w:fill="auto"/>
            <w:vAlign w:val="center"/>
          </w:tcPr>
          <w:p w14:paraId="5EA7CD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667CC77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B437C5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C1FDB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43046BA"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Oui, de la part des groupes rebelles / terroristes </w:t>
            </w:r>
          </w:p>
        </w:tc>
        <w:tc>
          <w:tcPr>
            <w:tcW w:w="182" w:type="pct"/>
            <w:tcBorders>
              <w:top w:val="nil"/>
              <w:left w:val="nil"/>
              <w:bottom w:val="single" w:sz="4" w:space="0" w:color="0070C0"/>
              <w:right w:val="single" w:sz="4" w:space="0" w:color="0070C0"/>
            </w:tcBorders>
            <w:shd w:val="clear" w:color="auto" w:fill="auto"/>
            <w:vAlign w:val="center"/>
          </w:tcPr>
          <w:p w14:paraId="3B162C3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CAAB08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2560B1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70515A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91B9209"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61BE473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5BBF3B6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Passer à CP.21</w:t>
            </w:r>
          </w:p>
        </w:tc>
      </w:tr>
      <w:tr w:rsidR="00653EB1" w:rsidRPr="00E82DD7" w14:paraId="32AB055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F4988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78C095F"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250604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08B14D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C306B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5F801B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CP.20</w:t>
            </w:r>
          </w:p>
        </w:tc>
        <w:tc>
          <w:tcPr>
            <w:tcW w:w="4016" w:type="pct"/>
            <w:tcBorders>
              <w:top w:val="nil"/>
              <w:left w:val="nil"/>
              <w:bottom w:val="single" w:sz="4" w:space="0" w:color="0070C0"/>
              <w:right w:val="single" w:sz="4" w:space="0" w:color="0070C0"/>
            </w:tcBorders>
            <w:shd w:val="clear" w:color="auto" w:fill="auto"/>
            <w:noWrap/>
            <w:vAlign w:val="center"/>
          </w:tcPr>
          <w:p w14:paraId="76679F8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Qu’avez-vous fait après avoir été victime ?</w:t>
            </w:r>
          </w:p>
        </w:tc>
        <w:tc>
          <w:tcPr>
            <w:tcW w:w="182" w:type="pct"/>
            <w:tcBorders>
              <w:top w:val="nil"/>
              <w:left w:val="nil"/>
              <w:bottom w:val="single" w:sz="4" w:space="0" w:color="0070C0"/>
              <w:right w:val="single" w:sz="4" w:space="0" w:color="0070C0"/>
            </w:tcBorders>
            <w:shd w:val="clear" w:color="auto" w:fill="auto"/>
            <w:vAlign w:val="center"/>
          </w:tcPr>
          <w:p w14:paraId="005FDF27"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9009E3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1FDAD5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FE5751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0C8FE2B"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Je n’ai rien fait</w:t>
            </w:r>
          </w:p>
        </w:tc>
        <w:tc>
          <w:tcPr>
            <w:tcW w:w="182" w:type="pct"/>
            <w:tcBorders>
              <w:top w:val="nil"/>
              <w:left w:val="nil"/>
              <w:bottom w:val="single" w:sz="4" w:space="0" w:color="0070C0"/>
              <w:right w:val="single" w:sz="4" w:space="0" w:color="0070C0"/>
            </w:tcBorders>
            <w:shd w:val="clear" w:color="auto" w:fill="auto"/>
            <w:vAlign w:val="center"/>
          </w:tcPr>
          <w:p w14:paraId="59CB8E2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119B33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72D0B2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EF7A0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D2A65A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J’ai été me plaindre auprès du Chef</w:t>
            </w:r>
          </w:p>
        </w:tc>
        <w:tc>
          <w:tcPr>
            <w:tcW w:w="182" w:type="pct"/>
            <w:tcBorders>
              <w:top w:val="nil"/>
              <w:left w:val="nil"/>
              <w:bottom w:val="single" w:sz="4" w:space="0" w:color="0070C0"/>
              <w:right w:val="single" w:sz="4" w:space="0" w:color="0070C0"/>
            </w:tcBorders>
            <w:shd w:val="clear" w:color="auto" w:fill="auto"/>
            <w:vAlign w:val="center"/>
          </w:tcPr>
          <w:p w14:paraId="4E8B485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062BE5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E9D67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61211E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E45242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J’ai été me plaindre auprès de la gendarmerie ou police</w:t>
            </w:r>
          </w:p>
        </w:tc>
        <w:tc>
          <w:tcPr>
            <w:tcW w:w="182" w:type="pct"/>
            <w:tcBorders>
              <w:top w:val="nil"/>
              <w:left w:val="nil"/>
              <w:bottom w:val="single" w:sz="4" w:space="0" w:color="0070C0"/>
              <w:right w:val="single" w:sz="4" w:space="0" w:color="0070C0"/>
            </w:tcBorders>
            <w:shd w:val="clear" w:color="auto" w:fill="auto"/>
            <w:vAlign w:val="center"/>
          </w:tcPr>
          <w:p w14:paraId="4D89D61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3BE656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198B5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79639E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9377927"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J’ai été me plaindre auprès de la </w:t>
            </w:r>
            <w:r>
              <w:rPr>
                <w:rFonts w:eastAsia="Times New Roman" w:cs="Tahoma"/>
                <w:color w:val="000000"/>
                <w:sz w:val="20"/>
                <w:szCs w:val="20"/>
              </w:rPr>
              <w:t>justice</w:t>
            </w:r>
          </w:p>
        </w:tc>
        <w:tc>
          <w:tcPr>
            <w:tcW w:w="182" w:type="pct"/>
            <w:tcBorders>
              <w:top w:val="nil"/>
              <w:left w:val="nil"/>
              <w:bottom w:val="single" w:sz="4" w:space="0" w:color="0070C0"/>
              <w:right w:val="single" w:sz="4" w:space="0" w:color="0070C0"/>
            </w:tcBorders>
            <w:shd w:val="clear" w:color="auto" w:fill="auto"/>
            <w:vAlign w:val="center"/>
          </w:tcPr>
          <w:p w14:paraId="102FB62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116B6F4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FC0F1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72579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F9765D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7E2BD4F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729596A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5E13F4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7EEAFC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ADAB285"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2FF85DD"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FBF385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C65E9A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44EF7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CP.21</w:t>
            </w:r>
          </w:p>
        </w:tc>
        <w:tc>
          <w:tcPr>
            <w:tcW w:w="4016" w:type="pct"/>
            <w:tcBorders>
              <w:top w:val="nil"/>
              <w:left w:val="nil"/>
              <w:bottom w:val="single" w:sz="4" w:space="0" w:color="0070C0"/>
              <w:right w:val="single" w:sz="4" w:space="0" w:color="0070C0"/>
            </w:tcBorders>
            <w:shd w:val="clear" w:color="auto" w:fill="auto"/>
            <w:noWrap/>
            <w:vAlign w:val="center"/>
          </w:tcPr>
          <w:p w14:paraId="78A47BCD" w14:textId="77777777" w:rsidR="00F3541E" w:rsidRPr="00E82DD7" w:rsidRDefault="00F3541E" w:rsidP="00F3541E">
            <w:pPr>
              <w:spacing w:before="20" w:after="20" w:line="240" w:lineRule="auto"/>
              <w:jc w:val="left"/>
              <w:rPr>
                <w:rFonts w:eastAsia="Times New Roman" w:cs="Tahoma"/>
                <w:color w:val="000000"/>
                <w:sz w:val="20"/>
                <w:szCs w:val="20"/>
              </w:rPr>
            </w:pPr>
            <w:r w:rsidRPr="00E82DD7">
              <w:rPr>
                <w:rFonts w:eastAsia="Times New Roman" w:cs="Tahoma"/>
                <w:color w:val="000000"/>
                <w:sz w:val="20"/>
                <w:szCs w:val="20"/>
              </w:rPr>
              <w:t xml:space="preserve">D’une manière générale, en cas de violation des droits humains, </w:t>
            </w:r>
            <w:r>
              <w:rPr>
                <w:rFonts w:eastAsia="Times New Roman" w:cs="Tahoma"/>
                <w:color w:val="000000"/>
                <w:sz w:val="20"/>
                <w:szCs w:val="20"/>
              </w:rPr>
              <w:t>c</w:t>
            </w:r>
            <w:r w:rsidRPr="00E82DD7">
              <w:rPr>
                <w:rFonts w:eastAsia="Times New Roman" w:cs="Tahoma"/>
                <w:color w:val="000000"/>
                <w:sz w:val="20"/>
                <w:szCs w:val="20"/>
              </w:rPr>
              <w:t>onnaissez-vous les voi</w:t>
            </w:r>
            <w:r>
              <w:rPr>
                <w:rFonts w:eastAsia="Times New Roman" w:cs="Tahoma"/>
                <w:color w:val="000000"/>
                <w:sz w:val="20"/>
                <w:szCs w:val="20"/>
              </w:rPr>
              <w:t xml:space="preserve">es </w:t>
            </w:r>
            <w:r w:rsidRPr="00E82DD7">
              <w:rPr>
                <w:rFonts w:eastAsia="Times New Roman" w:cs="Tahoma"/>
                <w:color w:val="000000"/>
                <w:sz w:val="20"/>
                <w:szCs w:val="20"/>
              </w:rPr>
              <w:t>et structures de recours pour réclamer réparation / justice ?</w:t>
            </w:r>
          </w:p>
        </w:tc>
        <w:tc>
          <w:tcPr>
            <w:tcW w:w="182" w:type="pct"/>
            <w:tcBorders>
              <w:top w:val="nil"/>
              <w:left w:val="nil"/>
              <w:bottom w:val="single" w:sz="4" w:space="0" w:color="0070C0"/>
              <w:right w:val="single" w:sz="4" w:space="0" w:color="0070C0"/>
            </w:tcBorders>
            <w:shd w:val="clear" w:color="auto" w:fill="auto"/>
            <w:vAlign w:val="center"/>
          </w:tcPr>
          <w:p w14:paraId="592E6F2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56B9CA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8BDAE4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CC1282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92DFF1D"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4A0D60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940746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08762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FD3384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523B464"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Non </w:t>
            </w:r>
          </w:p>
        </w:tc>
        <w:tc>
          <w:tcPr>
            <w:tcW w:w="182" w:type="pct"/>
            <w:tcBorders>
              <w:top w:val="nil"/>
              <w:left w:val="nil"/>
              <w:bottom w:val="single" w:sz="4" w:space="0" w:color="0070C0"/>
              <w:right w:val="single" w:sz="4" w:space="0" w:color="0070C0"/>
            </w:tcBorders>
            <w:shd w:val="clear" w:color="auto" w:fill="auto"/>
            <w:vAlign w:val="center"/>
          </w:tcPr>
          <w:p w14:paraId="25CC590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2B80A00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73CD8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4DE09F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531B4D5"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4EF31BB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F7BB24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A9540D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0A0653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CP.22</w:t>
            </w:r>
          </w:p>
        </w:tc>
        <w:tc>
          <w:tcPr>
            <w:tcW w:w="4016" w:type="pct"/>
            <w:tcBorders>
              <w:top w:val="nil"/>
              <w:left w:val="nil"/>
              <w:bottom w:val="single" w:sz="4" w:space="0" w:color="0070C0"/>
              <w:right w:val="single" w:sz="4" w:space="0" w:color="0070C0"/>
            </w:tcBorders>
            <w:shd w:val="clear" w:color="auto" w:fill="auto"/>
            <w:noWrap/>
            <w:vAlign w:val="center"/>
          </w:tcPr>
          <w:p w14:paraId="44570EF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quelles sont les structures de recours que vous connaissez ?</w:t>
            </w:r>
          </w:p>
        </w:tc>
        <w:tc>
          <w:tcPr>
            <w:tcW w:w="182" w:type="pct"/>
            <w:tcBorders>
              <w:top w:val="nil"/>
              <w:left w:val="nil"/>
              <w:bottom w:val="single" w:sz="4" w:space="0" w:color="0070C0"/>
              <w:right w:val="single" w:sz="4" w:space="0" w:color="0070C0"/>
            </w:tcBorders>
            <w:shd w:val="clear" w:color="auto" w:fill="auto"/>
            <w:vAlign w:val="center"/>
          </w:tcPr>
          <w:p w14:paraId="5AE732B0"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9072E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653EB1" w:rsidRPr="00E82DD7" w14:paraId="35C115E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E55D0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C2EEF73"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Gendarmerie / Police </w:t>
            </w:r>
          </w:p>
        </w:tc>
        <w:tc>
          <w:tcPr>
            <w:tcW w:w="182" w:type="pct"/>
            <w:tcBorders>
              <w:top w:val="nil"/>
              <w:left w:val="nil"/>
              <w:bottom w:val="single" w:sz="4" w:space="0" w:color="0070C0"/>
              <w:right w:val="single" w:sz="4" w:space="0" w:color="0070C0"/>
            </w:tcBorders>
            <w:shd w:val="clear" w:color="auto" w:fill="auto"/>
            <w:vAlign w:val="center"/>
          </w:tcPr>
          <w:p w14:paraId="7FA4C5B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6F41435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758159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B71384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1889F9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Justice </w:t>
            </w:r>
            <w:r>
              <w:rPr>
                <w:rFonts w:eastAsia="Times New Roman" w:cs="Tahoma"/>
                <w:color w:val="000000"/>
                <w:sz w:val="20"/>
                <w:szCs w:val="20"/>
              </w:rPr>
              <w:t>(Tribunaux départementaux / de cercle, etc.)</w:t>
            </w:r>
          </w:p>
        </w:tc>
        <w:tc>
          <w:tcPr>
            <w:tcW w:w="182" w:type="pct"/>
            <w:tcBorders>
              <w:top w:val="nil"/>
              <w:left w:val="nil"/>
              <w:bottom w:val="single" w:sz="4" w:space="0" w:color="0070C0"/>
              <w:right w:val="single" w:sz="4" w:space="0" w:color="0070C0"/>
            </w:tcBorders>
            <w:shd w:val="clear" w:color="auto" w:fill="auto"/>
            <w:vAlign w:val="center"/>
          </w:tcPr>
          <w:p w14:paraId="015FF6C6"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98AA7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529528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40606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5BE10A7"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Préfecture / sous-préfecture</w:t>
            </w:r>
          </w:p>
        </w:tc>
        <w:tc>
          <w:tcPr>
            <w:tcW w:w="182" w:type="pct"/>
            <w:tcBorders>
              <w:top w:val="nil"/>
              <w:left w:val="nil"/>
              <w:bottom w:val="single" w:sz="4" w:space="0" w:color="0070C0"/>
              <w:right w:val="single" w:sz="4" w:space="0" w:color="0070C0"/>
            </w:tcBorders>
            <w:shd w:val="clear" w:color="auto" w:fill="auto"/>
            <w:vAlign w:val="center"/>
          </w:tcPr>
          <w:p w14:paraId="27919EF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188C9B2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350FF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4FEEB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E84DA7B"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Mairie</w:t>
            </w:r>
          </w:p>
        </w:tc>
        <w:tc>
          <w:tcPr>
            <w:tcW w:w="182" w:type="pct"/>
            <w:tcBorders>
              <w:top w:val="nil"/>
              <w:left w:val="nil"/>
              <w:bottom w:val="single" w:sz="4" w:space="0" w:color="0070C0"/>
              <w:right w:val="single" w:sz="4" w:space="0" w:color="0070C0"/>
            </w:tcBorders>
            <w:shd w:val="clear" w:color="auto" w:fill="auto"/>
            <w:vAlign w:val="center"/>
          </w:tcPr>
          <w:p w14:paraId="49BEAD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330C20B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1449E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573239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D28F48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Comités locaux de préventions et de gestion conflits </w:t>
            </w:r>
          </w:p>
        </w:tc>
        <w:tc>
          <w:tcPr>
            <w:tcW w:w="182" w:type="pct"/>
            <w:tcBorders>
              <w:top w:val="nil"/>
              <w:left w:val="nil"/>
              <w:bottom w:val="single" w:sz="4" w:space="0" w:color="0070C0"/>
              <w:right w:val="single" w:sz="4" w:space="0" w:color="0070C0"/>
            </w:tcBorders>
            <w:shd w:val="clear" w:color="auto" w:fill="auto"/>
            <w:vAlign w:val="center"/>
          </w:tcPr>
          <w:p w14:paraId="173AB4DE"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423974D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3A6BA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08601E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0046B24"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Autre préciser</w:t>
            </w:r>
          </w:p>
        </w:tc>
        <w:tc>
          <w:tcPr>
            <w:tcW w:w="182" w:type="pct"/>
            <w:tcBorders>
              <w:top w:val="nil"/>
              <w:left w:val="nil"/>
              <w:bottom w:val="single" w:sz="4" w:space="0" w:color="0070C0"/>
              <w:right w:val="single" w:sz="4" w:space="0" w:color="0070C0"/>
            </w:tcBorders>
            <w:shd w:val="clear" w:color="auto" w:fill="auto"/>
            <w:vAlign w:val="center"/>
          </w:tcPr>
          <w:p w14:paraId="648F0497"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5DAFFDC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FFD409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E4784A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8B8EDD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7988E54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3D00F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E77F04" w:rsidRPr="00E82DD7" w14:paraId="327F2E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21A2C5C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04</w:t>
            </w:r>
          </w:p>
        </w:tc>
        <w:tc>
          <w:tcPr>
            <w:tcW w:w="4016" w:type="pct"/>
            <w:tcBorders>
              <w:top w:val="nil"/>
              <w:left w:val="nil"/>
              <w:bottom w:val="single" w:sz="4" w:space="0" w:color="0070C0"/>
              <w:right w:val="single" w:sz="4" w:space="0" w:color="0070C0"/>
            </w:tcBorders>
            <w:shd w:val="clear" w:color="000000" w:fill="D9D9D9"/>
            <w:hideMark/>
          </w:tcPr>
          <w:p w14:paraId="7C89571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Perception des Communautés</w:t>
            </w:r>
          </w:p>
        </w:tc>
        <w:tc>
          <w:tcPr>
            <w:tcW w:w="182" w:type="pct"/>
            <w:tcBorders>
              <w:top w:val="nil"/>
              <w:left w:val="nil"/>
              <w:bottom w:val="single" w:sz="4" w:space="0" w:color="0070C0"/>
              <w:right w:val="single" w:sz="4" w:space="0" w:color="0070C0"/>
            </w:tcBorders>
            <w:shd w:val="clear" w:color="000000" w:fill="D9D9D9"/>
            <w:vAlign w:val="center"/>
            <w:hideMark/>
          </w:tcPr>
          <w:p w14:paraId="3BDF600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PC</w:t>
            </w:r>
          </w:p>
        </w:tc>
        <w:tc>
          <w:tcPr>
            <w:tcW w:w="259" w:type="pct"/>
            <w:tcBorders>
              <w:top w:val="nil"/>
              <w:left w:val="nil"/>
              <w:bottom w:val="single" w:sz="4" w:space="0" w:color="0070C0"/>
              <w:right w:val="single" w:sz="4" w:space="0" w:color="0070C0"/>
            </w:tcBorders>
            <w:shd w:val="clear" w:color="000000" w:fill="D9D9D9"/>
            <w:vAlign w:val="center"/>
            <w:hideMark/>
          </w:tcPr>
          <w:p w14:paraId="0374CA3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19561F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43226A3" w14:textId="108CFE0A"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PC.0</w:t>
            </w:r>
            <w:r w:rsidR="00E37D9A" w:rsidRPr="00D147D4">
              <w:rPr>
                <w:rFonts w:eastAsia="Times New Roman" w:cs="Tahoma"/>
                <w:b/>
                <w:bCs/>
                <w:sz w:val="20"/>
                <w:szCs w:val="20"/>
              </w:rPr>
              <w:t>1</w:t>
            </w:r>
          </w:p>
        </w:tc>
        <w:tc>
          <w:tcPr>
            <w:tcW w:w="4016" w:type="pct"/>
            <w:tcBorders>
              <w:top w:val="nil"/>
              <w:left w:val="nil"/>
              <w:bottom w:val="single" w:sz="4" w:space="0" w:color="0070C0"/>
              <w:right w:val="single" w:sz="4" w:space="0" w:color="0070C0"/>
            </w:tcBorders>
            <w:shd w:val="clear" w:color="auto" w:fill="auto"/>
            <w:vAlign w:val="bottom"/>
            <w:hideMark/>
          </w:tcPr>
          <w:p w14:paraId="23012AB6" w14:textId="394F0EFE" w:rsidR="00F3541E" w:rsidRPr="00D147D4" w:rsidRDefault="00F3541E" w:rsidP="00F3541E">
            <w:pPr>
              <w:spacing w:before="20" w:after="20" w:line="240" w:lineRule="auto"/>
              <w:rPr>
                <w:rFonts w:eastAsia="Times New Roman" w:cs="Tahoma"/>
                <w:sz w:val="20"/>
                <w:szCs w:val="20"/>
              </w:rPr>
            </w:pPr>
            <w:r w:rsidRPr="00D147D4">
              <w:rPr>
                <w:rFonts w:eastAsia="Times New Roman" w:cs="Tahoma"/>
                <w:sz w:val="20"/>
                <w:szCs w:val="20"/>
              </w:rPr>
              <w:t xml:space="preserve">Les FDS (Policiers, Gendarmes, Militaires) ont pour mission de défendre l’intégrité du territoire national, lutter contre la délinquance, assurer l'ordre public, faire respecter les lois et les textes et gérer les conflits communautaires. Quelle appréciation faites-vous de l'exécution de </w:t>
            </w:r>
            <w:r w:rsidR="00E37D9A" w:rsidRPr="00D147D4">
              <w:rPr>
                <w:rFonts w:eastAsia="Times New Roman" w:cs="Tahoma"/>
                <w:sz w:val="20"/>
                <w:szCs w:val="20"/>
              </w:rPr>
              <w:t>c</w:t>
            </w:r>
            <w:r w:rsidRPr="00D147D4">
              <w:rPr>
                <w:rFonts w:eastAsia="Times New Roman" w:cs="Tahoma"/>
                <w:sz w:val="20"/>
                <w:szCs w:val="20"/>
              </w:rPr>
              <w:t>es missions dans votre communauté ?</w:t>
            </w:r>
          </w:p>
        </w:tc>
        <w:tc>
          <w:tcPr>
            <w:tcW w:w="182" w:type="pct"/>
            <w:tcBorders>
              <w:top w:val="nil"/>
              <w:left w:val="nil"/>
              <w:bottom w:val="single" w:sz="4" w:space="0" w:color="0070C0"/>
              <w:right w:val="single" w:sz="4" w:space="0" w:color="0070C0"/>
            </w:tcBorders>
            <w:shd w:val="clear" w:color="auto" w:fill="auto"/>
            <w:vAlign w:val="center"/>
            <w:hideMark/>
          </w:tcPr>
          <w:p w14:paraId="7ED04661"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hideMark/>
          </w:tcPr>
          <w:p w14:paraId="1728F545" w14:textId="77777777"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QCU</w:t>
            </w:r>
          </w:p>
        </w:tc>
      </w:tr>
      <w:tr w:rsidR="00F01CB8" w:rsidRPr="00E82DD7" w14:paraId="7106C39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808028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65516B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Très satisfait </w:t>
            </w:r>
          </w:p>
        </w:tc>
        <w:tc>
          <w:tcPr>
            <w:tcW w:w="182" w:type="pct"/>
            <w:tcBorders>
              <w:top w:val="nil"/>
              <w:left w:val="nil"/>
              <w:bottom w:val="single" w:sz="4" w:space="0" w:color="0070C0"/>
              <w:right w:val="single" w:sz="4" w:space="0" w:color="0070C0"/>
            </w:tcBorders>
            <w:shd w:val="clear" w:color="auto" w:fill="auto"/>
            <w:vAlign w:val="center"/>
            <w:hideMark/>
          </w:tcPr>
          <w:p w14:paraId="095503A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1D7A1F1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27875B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B8B423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8780C4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Satisfait </w:t>
            </w:r>
          </w:p>
        </w:tc>
        <w:tc>
          <w:tcPr>
            <w:tcW w:w="182" w:type="pct"/>
            <w:tcBorders>
              <w:top w:val="nil"/>
              <w:left w:val="nil"/>
              <w:bottom w:val="single" w:sz="4" w:space="0" w:color="0070C0"/>
              <w:right w:val="single" w:sz="4" w:space="0" w:color="0070C0"/>
            </w:tcBorders>
            <w:shd w:val="clear" w:color="auto" w:fill="auto"/>
            <w:vAlign w:val="center"/>
            <w:hideMark/>
          </w:tcPr>
          <w:p w14:paraId="507BC08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3695F8D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5BEBC7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24817D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2C7555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Insatisfait </w:t>
            </w:r>
          </w:p>
        </w:tc>
        <w:tc>
          <w:tcPr>
            <w:tcW w:w="182" w:type="pct"/>
            <w:tcBorders>
              <w:top w:val="nil"/>
              <w:left w:val="nil"/>
              <w:bottom w:val="single" w:sz="4" w:space="0" w:color="0070C0"/>
              <w:right w:val="single" w:sz="4" w:space="0" w:color="0070C0"/>
            </w:tcBorders>
            <w:shd w:val="clear" w:color="auto" w:fill="auto"/>
            <w:vAlign w:val="center"/>
            <w:hideMark/>
          </w:tcPr>
          <w:p w14:paraId="2421DA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41C175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37C20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1509D0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A5358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Très insatisfait </w:t>
            </w:r>
          </w:p>
        </w:tc>
        <w:tc>
          <w:tcPr>
            <w:tcW w:w="182" w:type="pct"/>
            <w:tcBorders>
              <w:top w:val="nil"/>
              <w:left w:val="nil"/>
              <w:bottom w:val="single" w:sz="4" w:space="0" w:color="0070C0"/>
              <w:right w:val="single" w:sz="4" w:space="0" w:color="0070C0"/>
            </w:tcBorders>
            <w:shd w:val="clear" w:color="auto" w:fill="auto"/>
            <w:vAlign w:val="center"/>
            <w:hideMark/>
          </w:tcPr>
          <w:p w14:paraId="2902DB4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hideMark/>
          </w:tcPr>
          <w:p w14:paraId="6DA3E45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82D97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BEBED5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4FDE26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4AE3462F"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hideMark/>
          </w:tcPr>
          <w:p w14:paraId="0C085EE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48E39A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82C971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ADCA9C"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342C0C7"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22EA60B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DEDFF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F47AE31" w14:textId="2192298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1</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vAlign w:val="bottom"/>
            <w:hideMark/>
          </w:tcPr>
          <w:p w14:paraId="6BF2497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très satisfait ou satisfait, pourquoi ?</w:t>
            </w:r>
          </w:p>
        </w:tc>
        <w:tc>
          <w:tcPr>
            <w:tcW w:w="182" w:type="pct"/>
            <w:tcBorders>
              <w:top w:val="nil"/>
              <w:left w:val="nil"/>
              <w:bottom w:val="single" w:sz="4" w:space="0" w:color="0070C0"/>
              <w:right w:val="single" w:sz="4" w:space="0" w:color="0070C0"/>
            </w:tcBorders>
            <w:shd w:val="clear" w:color="auto" w:fill="auto"/>
            <w:vAlign w:val="center"/>
            <w:hideMark/>
          </w:tcPr>
          <w:p w14:paraId="48F8645E"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7C2F4EC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479CB49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E8147EC"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B1147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Leur présence nous rassure en termes de sécurité et de quiétude</w:t>
            </w:r>
          </w:p>
        </w:tc>
        <w:tc>
          <w:tcPr>
            <w:tcW w:w="182" w:type="pct"/>
            <w:tcBorders>
              <w:top w:val="nil"/>
              <w:left w:val="nil"/>
              <w:bottom w:val="single" w:sz="4" w:space="0" w:color="0070C0"/>
              <w:right w:val="single" w:sz="4" w:space="0" w:color="0070C0"/>
            </w:tcBorders>
            <w:shd w:val="clear" w:color="auto" w:fill="auto"/>
            <w:vAlign w:val="center"/>
            <w:hideMark/>
          </w:tcPr>
          <w:p w14:paraId="546B945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3E25B4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930EB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1C8A93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A0FC0A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gèrent bien les conflits entre les communautés</w:t>
            </w:r>
          </w:p>
        </w:tc>
        <w:tc>
          <w:tcPr>
            <w:tcW w:w="182" w:type="pct"/>
            <w:tcBorders>
              <w:top w:val="nil"/>
              <w:left w:val="nil"/>
              <w:bottom w:val="single" w:sz="4" w:space="0" w:color="0070C0"/>
              <w:right w:val="single" w:sz="4" w:space="0" w:color="0070C0"/>
            </w:tcBorders>
            <w:shd w:val="clear" w:color="auto" w:fill="auto"/>
            <w:vAlign w:val="center"/>
            <w:hideMark/>
          </w:tcPr>
          <w:p w14:paraId="795F7AB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5EF2F44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856FBF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9A7FC5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C884D2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Elles sont toujours présentes </w:t>
            </w:r>
          </w:p>
        </w:tc>
        <w:tc>
          <w:tcPr>
            <w:tcW w:w="182" w:type="pct"/>
            <w:tcBorders>
              <w:top w:val="nil"/>
              <w:left w:val="nil"/>
              <w:bottom w:val="single" w:sz="4" w:space="0" w:color="0070C0"/>
              <w:right w:val="single" w:sz="4" w:space="0" w:color="0070C0"/>
            </w:tcBorders>
            <w:shd w:val="clear" w:color="auto" w:fill="auto"/>
            <w:vAlign w:val="center"/>
            <w:hideMark/>
          </w:tcPr>
          <w:p w14:paraId="6403B55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7D4FC57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DDEAA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C0CD9E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410E63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ont réussi à assurer la sécurité dans notre communauté</w:t>
            </w:r>
          </w:p>
        </w:tc>
        <w:tc>
          <w:tcPr>
            <w:tcW w:w="182" w:type="pct"/>
            <w:tcBorders>
              <w:top w:val="nil"/>
              <w:left w:val="nil"/>
              <w:bottom w:val="single" w:sz="4" w:space="0" w:color="0070C0"/>
              <w:right w:val="single" w:sz="4" w:space="0" w:color="0070C0"/>
            </w:tcBorders>
            <w:shd w:val="clear" w:color="auto" w:fill="auto"/>
            <w:vAlign w:val="center"/>
            <w:hideMark/>
          </w:tcPr>
          <w:p w14:paraId="275C774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hideMark/>
          </w:tcPr>
          <w:p w14:paraId="21592B4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6B338C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07FFAC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C4BD1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3E96436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hideMark/>
          </w:tcPr>
          <w:p w14:paraId="25A42F3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1B65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496EDA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D292AEA"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F6032C4"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0888687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B76FFA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A0C37A3" w14:textId="56B1CCDE"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1</w:t>
            </w:r>
            <w:r w:rsidRPr="00E82DD7">
              <w:rPr>
                <w:rFonts w:eastAsia="Times New Roman" w:cs="Tahoma"/>
                <w:b/>
                <w:bCs/>
                <w:color w:val="000000"/>
                <w:sz w:val="20"/>
                <w:szCs w:val="20"/>
              </w:rPr>
              <w:t>b</w:t>
            </w:r>
          </w:p>
        </w:tc>
        <w:tc>
          <w:tcPr>
            <w:tcW w:w="4016" w:type="pct"/>
            <w:tcBorders>
              <w:top w:val="nil"/>
              <w:left w:val="nil"/>
              <w:bottom w:val="single" w:sz="4" w:space="0" w:color="0070C0"/>
              <w:right w:val="single" w:sz="4" w:space="0" w:color="0070C0"/>
            </w:tcBorders>
            <w:shd w:val="clear" w:color="auto" w:fill="auto"/>
            <w:vAlign w:val="bottom"/>
            <w:hideMark/>
          </w:tcPr>
          <w:p w14:paraId="21BF517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insatisfait ou très insatisfait, pourquoi ?</w:t>
            </w:r>
          </w:p>
        </w:tc>
        <w:tc>
          <w:tcPr>
            <w:tcW w:w="182" w:type="pct"/>
            <w:tcBorders>
              <w:top w:val="nil"/>
              <w:left w:val="nil"/>
              <w:bottom w:val="single" w:sz="4" w:space="0" w:color="0070C0"/>
              <w:right w:val="single" w:sz="4" w:space="0" w:color="0070C0"/>
            </w:tcBorders>
            <w:shd w:val="clear" w:color="auto" w:fill="auto"/>
            <w:vAlign w:val="center"/>
            <w:hideMark/>
          </w:tcPr>
          <w:p w14:paraId="43A60A1E"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3DEF557" w14:textId="66B337A4"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AAE099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F3A2C2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5BC3AB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partielles dans l'exécution de leurs missions</w:t>
            </w:r>
          </w:p>
        </w:tc>
        <w:tc>
          <w:tcPr>
            <w:tcW w:w="182" w:type="pct"/>
            <w:tcBorders>
              <w:top w:val="nil"/>
              <w:left w:val="nil"/>
              <w:bottom w:val="single" w:sz="4" w:space="0" w:color="0070C0"/>
              <w:right w:val="single" w:sz="4" w:space="0" w:color="0070C0"/>
            </w:tcBorders>
            <w:shd w:val="clear" w:color="auto" w:fill="auto"/>
            <w:vAlign w:val="center"/>
            <w:hideMark/>
          </w:tcPr>
          <w:p w14:paraId="61247B6E"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4FA010B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2BE68D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1B26F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56A4BD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n'exécutent pas entièrement leurs missions</w:t>
            </w:r>
          </w:p>
        </w:tc>
        <w:tc>
          <w:tcPr>
            <w:tcW w:w="182" w:type="pct"/>
            <w:tcBorders>
              <w:top w:val="nil"/>
              <w:left w:val="nil"/>
              <w:bottom w:val="single" w:sz="4" w:space="0" w:color="0070C0"/>
              <w:right w:val="single" w:sz="4" w:space="0" w:color="0070C0"/>
            </w:tcBorders>
            <w:shd w:val="clear" w:color="auto" w:fill="auto"/>
            <w:vAlign w:val="center"/>
            <w:hideMark/>
          </w:tcPr>
          <w:p w14:paraId="59EC78B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5FE080E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3D12D6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DC83C0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5B27B3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en nombre limitées et peu équipées</w:t>
            </w:r>
          </w:p>
        </w:tc>
        <w:tc>
          <w:tcPr>
            <w:tcW w:w="182" w:type="pct"/>
            <w:tcBorders>
              <w:top w:val="nil"/>
              <w:left w:val="nil"/>
              <w:bottom w:val="single" w:sz="4" w:space="0" w:color="0070C0"/>
              <w:right w:val="single" w:sz="4" w:space="0" w:color="0070C0"/>
            </w:tcBorders>
            <w:shd w:val="clear" w:color="auto" w:fill="auto"/>
            <w:vAlign w:val="center"/>
            <w:hideMark/>
          </w:tcPr>
          <w:p w14:paraId="4B2D645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277021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996B5B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AC8834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960AB4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C97D25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hideMark/>
          </w:tcPr>
          <w:p w14:paraId="176DC7C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203997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5C75C0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21FA6A"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E90A31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2DCDFA2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2F6D6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F235381" w14:textId="5B41EDD3"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hideMark/>
          </w:tcPr>
          <w:p w14:paraId="39475D9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w:t>
            </w:r>
            <w:r>
              <w:rPr>
                <w:rFonts w:eastAsia="Times New Roman" w:cs="Tahoma"/>
                <w:color w:val="000000"/>
                <w:sz w:val="20"/>
                <w:szCs w:val="20"/>
              </w:rPr>
              <w:t xml:space="preserve">es FDS (Policiers, </w:t>
            </w:r>
            <w:r w:rsidRPr="00E82DD7">
              <w:rPr>
                <w:rFonts w:eastAsia="Times New Roman" w:cs="Tahoma"/>
                <w:color w:val="000000"/>
                <w:sz w:val="20"/>
                <w:szCs w:val="20"/>
              </w:rPr>
              <w:t>Gendar</w:t>
            </w:r>
            <w:r>
              <w:rPr>
                <w:rFonts w:eastAsia="Times New Roman" w:cs="Tahoma"/>
                <w:color w:val="000000"/>
                <w:sz w:val="20"/>
                <w:szCs w:val="20"/>
              </w:rPr>
              <w:t>mes, Militaires)</w:t>
            </w:r>
            <w:r w:rsidRPr="00E82DD7">
              <w:rPr>
                <w:rFonts w:eastAsia="Times New Roman" w:cs="Tahoma"/>
                <w:color w:val="000000"/>
                <w:sz w:val="20"/>
                <w:szCs w:val="20"/>
              </w:rPr>
              <w:t xml:space="preserve"> gèrent de mieux en mieux les conflits communautaires ?</w:t>
            </w:r>
          </w:p>
        </w:tc>
        <w:tc>
          <w:tcPr>
            <w:tcW w:w="182" w:type="pct"/>
            <w:tcBorders>
              <w:top w:val="nil"/>
              <w:left w:val="nil"/>
              <w:bottom w:val="single" w:sz="4" w:space="0" w:color="0070C0"/>
              <w:right w:val="single" w:sz="4" w:space="0" w:color="0070C0"/>
            </w:tcBorders>
            <w:shd w:val="clear" w:color="auto" w:fill="auto"/>
            <w:vAlign w:val="center"/>
            <w:hideMark/>
          </w:tcPr>
          <w:p w14:paraId="01DD7E7D"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94A29B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CCAF18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851F6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12661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69E4737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7C2EDC6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164F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A191A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15D8EE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D41237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6F9895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B1668E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8E9691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6D7254A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6275434"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DD623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625E76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5C3CE93" w14:textId="0124A94F"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2</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hideMark/>
          </w:tcPr>
          <w:p w14:paraId="43D890A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w:t>
            </w:r>
          </w:p>
        </w:tc>
        <w:tc>
          <w:tcPr>
            <w:tcW w:w="182" w:type="pct"/>
            <w:tcBorders>
              <w:top w:val="nil"/>
              <w:left w:val="nil"/>
              <w:bottom w:val="single" w:sz="4" w:space="0" w:color="0070C0"/>
              <w:right w:val="single" w:sz="4" w:space="0" w:color="0070C0"/>
            </w:tcBorders>
            <w:shd w:val="clear" w:color="auto" w:fill="auto"/>
            <w:vAlign w:val="center"/>
            <w:hideMark/>
          </w:tcPr>
          <w:p w14:paraId="663239CC"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FE02C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A3C8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72A974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7FA889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conflits non gérés sont en hausse</w:t>
            </w:r>
          </w:p>
        </w:tc>
        <w:tc>
          <w:tcPr>
            <w:tcW w:w="182" w:type="pct"/>
            <w:tcBorders>
              <w:top w:val="nil"/>
              <w:left w:val="nil"/>
              <w:bottom w:val="single" w:sz="4" w:space="0" w:color="0070C0"/>
              <w:right w:val="single" w:sz="4" w:space="0" w:color="0070C0"/>
            </w:tcBorders>
            <w:shd w:val="clear" w:color="auto" w:fill="auto"/>
            <w:vAlign w:val="center"/>
            <w:hideMark/>
          </w:tcPr>
          <w:p w14:paraId="6156BDC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7BA783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9FF313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14718E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F92DF8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moins nombreuses et peu équipées</w:t>
            </w:r>
          </w:p>
        </w:tc>
        <w:tc>
          <w:tcPr>
            <w:tcW w:w="182" w:type="pct"/>
            <w:tcBorders>
              <w:top w:val="nil"/>
              <w:left w:val="nil"/>
              <w:bottom w:val="single" w:sz="4" w:space="0" w:color="0070C0"/>
              <w:right w:val="single" w:sz="4" w:space="0" w:color="0070C0"/>
            </w:tcBorders>
            <w:shd w:val="clear" w:color="auto" w:fill="auto"/>
            <w:vAlign w:val="center"/>
            <w:hideMark/>
          </w:tcPr>
          <w:p w14:paraId="309561A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DD0454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C54F35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E1055F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BE9AA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ne sont pas toujours présentes quand on a besoin d'elles</w:t>
            </w:r>
          </w:p>
        </w:tc>
        <w:tc>
          <w:tcPr>
            <w:tcW w:w="182" w:type="pct"/>
            <w:tcBorders>
              <w:top w:val="nil"/>
              <w:left w:val="nil"/>
              <w:bottom w:val="single" w:sz="4" w:space="0" w:color="0070C0"/>
              <w:right w:val="single" w:sz="4" w:space="0" w:color="0070C0"/>
            </w:tcBorders>
            <w:shd w:val="clear" w:color="auto" w:fill="auto"/>
            <w:vAlign w:val="center"/>
            <w:hideMark/>
          </w:tcPr>
          <w:p w14:paraId="5240D6A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1C77D5E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2BBD51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207A82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ACA69F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250BA8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4E104F3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A19F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AEA7A3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6080C6" w14:textId="7B67DDA5" w:rsidR="00F3541E" w:rsidRPr="00E82DD7" w:rsidRDefault="007068E8" w:rsidP="00F3541E">
            <w:pPr>
              <w:spacing w:before="20" w:after="20" w:line="240" w:lineRule="auto"/>
              <w:rPr>
                <w:rFonts w:eastAsia="Times New Roman" w:cs="Tahoma"/>
                <w:i/>
                <w:iCs/>
                <w:color w:val="000000"/>
                <w:sz w:val="20"/>
                <w:szCs w:val="20"/>
              </w:rPr>
            </w:pPr>
            <w:r>
              <w:rPr>
                <w:rFonts w:eastAsia="Times New Roman" w:cs="Tahoma"/>
                <w:i/>
                <w:iCs/>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41392D7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992A3C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6E32F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86FB5CD" w14:textId="22472E35"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3</w:t>
            </w:r>
          </w:p>
        </w:tc>
        <w:tc>
          <w:tcPr>
            <w:tcW w:w="4016" w:type="pct"/>
            <w:tcBorders>
              <w:top w:val="nil"/>
              <w:left w:val="nil"/>
              <w:bottom w:val="single" w:sz="4" w:space="0" w:color="0070C0"/>
              <w:right w:val="single" w:sz="4" w:space="0" w:color="0070C0"/>
            </w:tcBorders>
            <w:shd w:val="clear" w:color="auto" w:fill="auto"/>
            <w:hideMark/>
          </w:tcPr>
          <w:p w14:paraId="209E794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la confiance entre les FDS et les communautés s'est améliorée ces deux dernières années ?</w:t>
            </w:r>
          </w:p>
        </w:tc>
        <w:tc>
          <w:tcPr>
            <w:tcW w:w="182" w:type="pct"/>
            <w:tcBorders>
              <w:top w:val="nil"/>
              <w:left w:val="nil"/>
              <w:bottom w:val="single" w:sz="4" w:space="0" w:color="0070C0"/>
              <w:right w:val="single" w:sz="4" w:space="0" w:color="0070C0"/>
            </w:tcBorders>
            <w:shd w:val="clear" w:color="auto" w:fill="auto"/>
            <w:vAlign w:val="center"/>
            <w:hideMark/>
          </w:tcPr>
          <w:p w14:paraId="7AA0542A"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3C9BD4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5549C9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A60B2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807378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37E9234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5FA7B3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143AE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A08BAA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BEE6D1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14DB067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3192A1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E3607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C7E5AC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66C667F"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7A4DB98"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A893EA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6E4079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9DA0454" w14:textId="4B5DC3A8"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4</w:t>
            </w:r>
          </w:p>
        </w:tc>
        <w:tc>
          <w:tcPr>
            <w:tcW w:w="4016" w:type="pct"/>
            <w:tcBorders>
              <w:top w:val="nil"/>
              <w:left w:val="nil"/>
              <w:bottom w:val="single" w:sz="4" w:space="0" w:color="0070C0"/>
              <w:right w:val="single" w:sz="4" w:space="0" w:color="0070C0"/>
            </w:tcBorders>
            <w:shd w:val="clear" w:color="auto" w:fill="auto"/>
            <w:vAlign w:val="bottom"/>
            <w:hideMark/>
          </w:tcPr>
          <w:p w14:paraId="6BE4FB6E" w14:textId="6727DFAB"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Quel est le niveau de votre confiance aux FDS </w:t>
            </w:r>
            <w:r>
              <w:rPr>
                <w:rFonts w:eastAsia="Times New Roman" w:cs="Tahoma"/>
                <w:color w:val="000000"/>
                <w:sz w:val="20"/>
                <w:szCs w:val="20"/>
              </w:rPr>
              <w:t xml:space="preserve">(Policiers, </w:t>
            </w:r>
            <w:r w:rsidRPr="00E82DD7">
              <w:rPr>
                <w:rFonts w:eastAsia="Times New Roman" w:cs="Tahoma"/>
                <w:color w:val="000000"/>
                <w:sz w:val="20"/>
                <w:szCs w:val="20"/>
              </w:rPr>
              <w:t>Gendar</w:t>
            </w:r>
            <w:r>
              <w:rPr>
                <w:rFonts w:eastAsia="Times New Roman" w:cs="Tahoma"/>
                <w:color w:val="000000"/>
                <w:sz w:val="20"/>
                <w:szCs w:val="20"/>
              </w:rPr>
              <w:t>mes, Militaires)</w:t>
            </w:r>
            <w:r w:rsidR="00E37D9A">
              <w:rPr>
                <w:rFonts w:eastAsia="Times New Roman" w:cs="Tahoma"/>
                <w:color w:val="000000"/>
                <w:sz w:val="20"/>
                <w:szCs w:val="20"/>
              </w:rPr>
              <w:t xml:space="preserve"> </w:t>
            </w:r>
            <w:r w:rsidRPr="00E82DD7">
              <w:rPr>
                <w:rFonts w:eastAsia="Times New Roman" w:cs="Tahoma"/>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4A8EA0E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CBF6DC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183C23D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5034B6C"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A7150D7"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Entièrement confiance</w:t>
            </w:r>
          </w:p>
        </w:tc>
        <w:tc>
          <w:tcPr>
            <w:tcW w:w="182" w:type="pct"/>
            <w:tcBorders>
              <w:top w:val="nil"/>
              <w:left w:val="nil"/>
              <w:bottom w:val="single" w:sz="4" w:space="0" w:color="0070C0"/>
              <w:right w:val="single" w:sz="4" w:space="0" w:color="0070C0"/>
            </w:tcBorders>
            <w:shd w:val="clear" w:color="auto" w:fill="auto"/>
            <w:vAlign w:val="center"/>
            <w:hideMark/>
          </w:tcPr>
          <w:p w14:paraId="78372371"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1</w:t>
            </w:r>
          </w:p>
        </w:tc>
        <w:tc>
          <w:tcPr>
            <w:tcW w:w="259" w:type="pct"/>
            <w:tcBorders>
              <w:top w:val="nil"/>
              <w:left w:val="nil"/>
              <w:bottom w:val="single" w:sz="4" w:space="0" w:color="0070C0"/>
              <w:right w:val="single" w:sz="4" w:space="0" w:color="0070C0"/>
            </w:tcBorders>
            <w:shd w:val="clear" w:color="auto" w:fill="auto"/>
            <w:hideMark/>
          </w:tcPr>
          <w:p w14:paraId="76578FFF"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699683E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637F933"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5FEA4D"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Peu confiance</w:t>
            </w:r>
          </w:p>
        </w:tc>
        <w:tc>
          <w:tcPr>
            <w:tcW w:w="182" w:type="pct"/>
            <w:tcBorders>
              <w:top w:val="nil"/>
              <w:left w:val="nil"/>
              <w:bottom w:val="single" w:sz="4" w:space="0" w:color="0070C0"/>
              <w:right w:val="single" w:sz="4" w:space="0" w:color="0070C0"/>
            </w:tcBorders>
            <w:shd w:val="clear" w:color="auto" w:fill="auto"/>
            <w:vAlign w:val="center"/>
            <w:hideMark/>
          </w:tcPr>
          <w:p w14:paraId="46AC5E78"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2</w:t>
            </w:r>
          </w:p>
        </w:tc>
        <w:tc>
          <w:tcPr>
            <w:tcW w:w="259" w:type="pct"/>
            <w:tcBorders>
              <w:top w:val="nil"/>
              <w:left w:val="nil"/>
              <w:bottom w:val="single" w:sz="4" w:space="0" w:color="0070C0"/>
              <w:right w:val="single" w:sz="4" w:space="0" w:color="0070C0"/>
            </w:tcBorders>
            <w:shd w:val="clear" w:color="auto" w:fill="auto"/>
            <w:hideMark/>
          </w:tcPr>
          <w:p w14:paraId="5DB0FAE8"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557F85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E4F04CA"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77AB59"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Pas confiance</w:t>
            </w:r>
          </w:p>
        </w:tc>
        <w:tc>
          <w:tcPr>
            <w:tcW w:w="182" w:type="pct"/>
            <w:tcBorders>
              <w:top w:val="nil"/>
              <w:left w:val="nil"/>
              <w:bottom w:val="single" w:sz="4" w:space="0" w:color="0070C0"/>
              <w:right w:val="single" w:sz="4" w:space="0" w:color="0070C0"/>
            </w:tcBorders>
            <w:shd w:val="clear" w:color="auto" w:fill="auto"/>
            <w:vAlign w:val="center"/>
            <w:hideMark/>
          </w:tcPr>
          <w:p w14:paraId="31F559BD"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3</w:t>
            </w:r>
          </w:p>
        </w:tc>
        <w:tc>
          <w:tcPr>
            <w:tcW w:w="259" w:type="pct"/>
            <w:tcBorders>
              <w:top w:val="nil"/>
              <w:left w:val="nil"/>
              <w:bottom w:val="single" w:sz="4" w:space="0" w:color="0070C0"/>
              <w:right w:val="single" w:sz="4" w:space="0" w:color="0070C0"/>
            </w:tcBorders>
            <w:shd w:val="clear" w:color="auto" w:fill="auto"/>
            <w:hideMark/>
          </w:tcPr>
          <w:p w14:paraId="2C806A6C"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20207E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81E540D"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E8B44A6"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1FD56A8D"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90</w:t>
            </w:r>
          </w:p>
        </w:tc>
        <w:tc>
          <w:tcPr>
            <w:tcW w:w="259" w:type="pct"/>
            <w:tcBorders>
              <w:top w:val="nil"/>
              <w:left w:val="nil"/>
              <w:bottom w:val="single" w:sz="4" w:space="0" w:color="0070C0"/>
              <w:right w:val="single" w:sz="4" w:space="0" w:color="0070C0"/>
            </w:tcBorders>
            <w:shd w:val="clear" w:color="auto" w:fill="auto"/>
            <w:hideMark/>
          </w:tcPr>
          <w:p w14:paraId="59655952"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3FFF352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995409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DDBBC3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1CF8DC0"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27DD27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7E5525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CA62B66" w14:textId="7DEA5156"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auto" w:fill="auto"/>
            <w:noWrap/>
            <w:vAlign w:val="bottom"/>
            <w:hideMark/>
          </w:tcPr>
          <w:p w14:paraId="4DDBBDEC"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été déjà été dans les tribunaux de justice pour une affaire vous concernant ou concernant une personne proche ?</w:t>
            </w:r>
          </w:p>
        </w:tc>
        <w:tc>
          <w:tcPr>
            <w:tcW w:w="182" w:type="pct"/>
            <w:tcBorders>
              <w:top w:val="nil"/>
              <w:left w:val="nil"/>
              <w:bottom w:val="single" w:sz="4" w:space="0" w:color="0070C0"/>
              <w:right w:val="single" w:sz="4" w:space="0" w:color="0070C0"/>
            </w:tcBorders>
            <w:shd w:val="clear" w:color="auto" w:fill="auto"/>
            <w:vAlign w:val="center"/>
            <w:hideMark/>
          </w:tcPr>
          <w:p w14:paraId="0211E6B9" w14:textId="77777777" w:rsidR="00F3541E" w:rsidRPr="003B328C" w:rsidRDefault="00F3541E" w:rsidP="00F3541E">
            <w:pPr>
              <w:spacing w:before="20" w:after="20" w:line="240" w:lineRule="auto"/>
              <w:jc w:val="center"/>
              <w:rPr>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3CCEE79" w14:textId="77777777" w:rsidR="00F3541E" w:rsidRPr="00E82DD7" w:rsidRDefault="00F3541E" w:rsidP="00F3541E">
            <w:pPr>
              <w:spacing w:before="20" w:after="20" w:line="240" w:lineRule="auto"/>
              <w:jc w:val="center"/>
              <w:rPr>
                <w:b/>
                <w:bCs/>
                <w:color w:val="000000"/>
                <w:sz w:val="20"/>
                <w:szCs w:val="20"/>
              </w:rPr>
            </w:pPr>
          </w:p>
        </w:tc>
      </w:tr>
      <w:tr w:rsidR="00F01CB8" w:rsidRPr="00E82DD7" w14:paraId="0A0BE7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3943E17" w14:textId="77777777" w:rsidR="00F3541E" w:rsidRPr="00E82DD7" w:rsidRDefault="00F3541E" w:rsidP="00F3541E">
            <w:pPr>
              <w:spacing w:before="20" w:after="20" w:line="240" w:lineRule="auto"/>
              <w:rPr>
                <w:b/>
                <w:color w:val="000000"/>
                <w:sz w:val="20"/>
                <w:szCs w:val="20"/>
              </w:rPr>
            </w:pPr>
            <w:r w:rsidRPr="00E82DD7">
              <w:rPr>
                <w:b/>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1EE44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1275AAB"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DCE2FC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C9D7B2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5BAC77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8241B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4521145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116A3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147535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08A25AA"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ED3C1E7"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CC277E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B7EF9F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1424A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855F545" w14:textId="149C3B90"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6</w:t>
            </w:r>
          </w:p>
        </w:tc>
        <w:tc>
          <w:tcPr>
            <w:tcW w:w="4016" w:type="pct"/>
            <w:tcBorders>
              <w:top w:val="nil"/>
              <w:left w:val="nil"/>
              <w:bottom w:val="single" w:sz="4" w:space="0" w:color="0070C0"/>
              <w:right w:val="single" w:sz="4" w:space="0" w:color="0070C0"/>
            </w:tcBorders>
            <w:shd w:val="clear" w:color="auto" w:fill="auto"/>
            <w:noWrap/>
            <w:vAlign w:val="bottom"/>
            <w:hideMark/>
          </w:tcPr>
          <w:p w14:paraId="54AF33C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été satisfait du jugement qui a été dit ?</w:t>
            </w:r>
          </w:p>
        </w:tc>
        <w:tc>
          <w:tcPr>
            <w:tcW w:w="182" w:type="pct"/>
            <w:tcBorders>
              <w:top w:val="nil"/>
              <w:left w:val="nil"/>
              <w:bottom w:val="single" w:sz="4" w:space="0" w:color="0070C0"/>
              <w:right w:val="single" w:sz="4" w:space="0" w:color="0070C0"/>
            </w:tcBorders>
            <w:shd w:val="clear" w:color="auto" w:fill="auto"/>
            <w:vAlign w:val="center"/>
            <w:hideMark/>
          </w:tcPr>
          <w:p w14:paraId="60623FB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4335B4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50F584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7256D54"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1E0117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1C0A2BC4"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3DC08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0A960D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BA6AD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2A1AC2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7F55F2CF"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F50FA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9770D5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CF4317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F1A0E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5B79861"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F5DB86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80CE9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748CED3" w14:textId="175CA0D3"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6</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hideMark/>
          </w:tcPr>
          <w:p w14:paraId="4F33624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 pourquoi ?</w:t>
            </w:r>
          </w:p>
        </w:tc>
        <w:tc>
          <w:tcPr>
            <w:tcW w:w="182" w:type="pct"/>
            <w:tcBorders>
              <w:top w:val="nil"/>
              <w:left w:val="nil"/>
              <w:bottom w:val="single" w:sz="4" w:space="0" w:color="0070C0"/>
              <w:right w:val="single" w:sz="4" w:space="0" w:color="0070C0"/>
            </w:tcBorders>
            <w:shd w:val="clear" w:color="auto" w:fill="auto"/>
            <w:vAlign w:val="center"/>
            <w:hideMark/>
          </w:tcPr>
          <w:p w14:paraId="014DE74F"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4AF66F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8807B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26A3A7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052633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 jugement n'a pas été à ma faveur</w:t>
            </w:r>
          </w:p>
        </w:tc>
        <w:tc>
          <w:tcPr>
            <w:tcW w:w="182" w:type="pct"/>
            <w:tcBorders>
              <w:top w:val="nil"/>
              <w:left w:val="nil"/>
              <w:bottom w:val="single" w:sz="4" w:space="0" w:color="0070C0"/>
              <w:right w:val="single" w:sz="4" w:space="0" w:color="0070C0"/>
            </w:tcBorders>
            <w:shd w:val="clear" w:color="auto" w:fill="auto"/>
            <w:vAlign w:val="center"/>
            <w:hideMark/>
          </w:tcPr>
          <w:p w14:paraId="53B50959"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334896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E31337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A9DB6E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F7E7C4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 jugement n'a pas été impartial</w:t>
            </w:r>
          </w:p>
        </w:tc>
        <w:tc>
          <w:tcPr>
            <w:tcW w:w="182" w:type="pct"/>
            <w:tcBorders>
              <w:top w:val="nil"/>
              <w:left w:val="nil"/>
              <w:bottom w:val="single" w:sz="4" w:space="0" w:color="0070C0"/>
              <w:right w:val="single" w:sz="4" w:space="0" w:color="0070C0"/>
            </w:tcBorders>
            <w:shd w:val="clear" w:color="auto" w:fill="auto"/>
            <w:vAlign w:val="center"/>
            <w:hideMark/>
          </w:tcPr>
          <w:p w14:paraId="1272B11F"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5501B95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FCCAC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08F96A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F92356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frais de justice étaient très chers</w:t>
            </w:r>
          </w:p>
        </w:tc>
        <w:tc>
          <w:tcPr>
            <w:tcW w:w="182" w:type="pct"/>
            <w:tcBorders>
              <w:top w:val="nil"/>
              <w:left w:val="nil"/>
              <w:bottom w:val="single" w:sz="4" w:space="0" w:color="0070C0"/>
              <w:right w:val="single" w:sz="4" w:space="0" w:color="0070C0"/>
            </w:tcBorders>
            <w:shd w:val="clear" w:color="auto" w:fill="auto"/>
            <w:vAlign w:val="center"/>
          </w:tcPr>
          <w:p w14:paraId="471813AD"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01B7B5F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117FC4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9FA210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BD2A08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Lenteur / lourdeurs des procédures de justice</w:t>
            </w:r>
          </w:p>
        </w:tc>
        <w:tc>
          <w:tcPr>
            <w:tcW w:w="182" w:type="pct"/>
            <w:tcBorders>
              <w:top w:val="nil"/>
              <w:left w:val="nil"/>
              <w:bottom w:val="single" w:sz="4" w:space="0" w:color="0070C0"/>
              <w:right w:val="single" w:sz="4" w:space="0" w:color="0070C0"/>
            </w:tcBorders>
            <w:shd w:val="clear" w:color="auto" w:fill="auto"/>
            <w:vAlign w:val="center"/>
          </w:tcPr>
          <w:p w14:paraId="1A6431DC"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10D972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3199CF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036C70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07F169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46926E2B"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7A99388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BE858B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8A732A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4F0DB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00CE8957"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E77905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BCD57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BA0D317" w14:textId="2C951B18"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vAlign w:val="bottom"/>
            <w:hideMark/>
          </w:tcPr>
          <w:p w14:paraId="23CEF0B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la confiance entre les acteurs de la chaine pénal (justice) et les communautés s'est améliorée ces deux dernières années ?</w:t>
            </w:r>
          </w:p>
        </w:tc>
        <w:tc>
          <w:tcPr>
            <w:tcW w:w="182" w:type="pct"/>
            <w:tcBorders>
              <w:top w:val="nil"/>
              <w:left w:val="nil"/>
              <w:bottom w:val="single" w:sz="4" w:space="0" w:color="0070C0"/>
              <w:right w:val="single" w:sz="4" w:space="0" w:color="0070C0"/>
            </w:tcBorders>
            <w:shd w:val="clear" w:color="auto" w:fill="auto"/>
            <w:vAlign w:val="center"/>
            <w:hideMark/>
          </w:tcPr>
          <w:p w14:paraId="54F44B21"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AF31DD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518DE0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AFA18F"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FD5A53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2312180"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71DF0D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89BA28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60B792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133C49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2A0A367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4D849F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F9868A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5B6647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2139F4A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76AFA44"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E0FCF8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1FEF6E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4F45C09" w14:textId="1BF4BD8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7</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hideMark/>
          </w:tcPr>
          <w:p w14:paraId="6D7B9F1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w:t>
            </w:r>
            <w:r>
              <w:rPr>
                <w:rFonts w:eastAsia="Times New Roman" w:cs="Tahoma"/>
                <w:color w:val="000000"/>
                <w:sz w:val="20"/>
                <w:szCs w:val="20"/>
              </w:rPr>
              <w:t xml:space="preserve">, </w:t>
            </w:r>
            <w:r w:rsidRPr="00E82DD7">
              <w:rPr>
                <w:rFonts w:eastAsia="Times New Roman" w:cs="Tahoma"/>
                <w:color w:val="000000"/>
                <w:sz w:val="20"/>
                <w:szCs w:val="20"/>
              </w:rPr>
              <w:t>pourquoi ?</w:t>
            </w:r>
          </w:p>
        </w:tc>
        <w:tc>
          <w:tcPr>
            <w:tcW w:w="182" w:type="pct"/>
            <w:tcBorders>
              <w:top w:val="nil"/>
              <w:left w:val="nil"/>
              <w:bottom w:val="single" w:sz="4" w:space="0" w:color="0070C0"/>
              <w:right w:val="single" w:sz="4" w:space="0" w:color="0070C0"/>
            </w:tcBorders>
            <w:shd w:val="clear" w:color="auto" w:fill="auto"/>
            <w:vAlign w:val="center"/>
            <w:hideMark/>
          </w:tcPr>
          <w:p w14:paraId="3A93C6D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24026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05FF1C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D524C5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47725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Augmentation du nombre de conflits non gérés </w:t>
            </w:r>
          </w:p>
        </w:tc>
        <w:tc>
          <w:tcPr>
            <w:tcW w:w="182" w:type="pct"/>
            <w:tcBorders>
              <w:top w:val="nil"/>
              <w:left w:val="nil"/>
              <w:bottom w:val="single" w:sz="4" w:space="0" w:color="0070C0"/>
              <w:right w:val="single" w:sz="4" w:space="0" w:color="0070C0"/>
            </w:tcBorders>
            <w:shd w:val="clear" w:color="auto" w:fill="auto"/>
            <w:vAlign w:val="center"/>
            <w:hideMark/>
          </w:tcPr>
          <w:p w14:paraId="54FA17B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96CDC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546CE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BCB2D7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9B333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Libération / impunité des présumés coupables des actes de banditismes, vols, viols, terrorisme</w:t>
            </w:r>
          </w:p>
        </w:tc>
        <w:tc>
          <w:tcPr>
            <w:tcW w:w="182" w:type="pct"/>
            <w:tcBorders>
              <w:top w:val="nil"/>
              <w:left w:val="nil"/>
              <w:bottom w:val="single" w:sz="4" w:space="0" w:color="0070C0"/>
              <w:right w:val="single" w:sz="4" w:space="0" w:color="0070C0"/>
            </w:tcBorders>
            <w:shd w:val="clear" w:color="auto" w:fill="auto"/>
            <w:vAlign w:val="center"/>
            <w:hideMark/>
          </w:tcPr>
          <w:p w14:paraId="29080A03"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3474F0C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C0C815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87C330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FBDAB5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Cas de contestation des décisions de justice </w:t>
            </w:r>
          </w:p>
        </w:tc>
        <w:tc>
          <w:tcPr>
            <w:tcW w:w="182" w:type="pct"/>
            <w:tcBorders>
              <w:top w:val="nil"/>
              <w:left w:val="nil"/>
              <w:bottom w:val="single" w:sz="4" w:space="0" w:color="0070C0"/>
              <w:right w:val="single" w:sz="4" w:space="0" w:color="0070C0"/>
            </w:tcBorders>
            <w:shd w:val="clear" w:color="auto" w:fill="auto"/>
            <w:vAlign w:val="center"/>
            <w:hideMark/>
          </w:tcPr>
          <w:p w14:paraId="4A62293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32D4780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4D56A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6CB1C0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8FE490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Lenteur dans la prise des décisions de justice</w:t>
            </w:r>
          </w:p>
        </w:tc>
        <w:tc>
          <w:tcPr>
            <w:tcW w:w="182" w:type="pct"/>
            <w:tcBorders>
              <w:top w:val="nil"/>
              <w:left w:val="nil"/>
              <w:bottom w:val="single" w:sz="4" w:space="0" w:color="0070C0"/>
              <w:right w:val="single" w:sz="4" w:space="0" w:color="0070C0"/>
            </w:tcBorders>
            <w:shd w:val="clear" w:color="auto" w:fill="auto"/>
            <w:vAlign w:val="center"/>
          </w:tcPr>
          <w:p w14:paraId="2E4546C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32B8E59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8FA094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403363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A43B02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1C894C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6700E91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C79F4C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B434D1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FF1A387"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741B5E0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8F28F8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E77F04" w:rsidRPr="00E82DD7" w14:paraId="27E49F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1DB161D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w:t>
            </w:r>
            <w:r>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000000" w:fill="D9D9D9"/>
            <w:hideMark/>
          </w:tcPr>
          <w:p w14:paraId="3903819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Effets Covid 19</w:t>
            </w:r>
          </w:p>
        </w:tc>
        <w:tc>
          <w:tcPr>
            <w:tcW w:w="182" w:type="pct"/>
            <w:tcBorders>
              <w:top w:val="nil"/>
              <w:left w:val="nil"/>
              <w:bottom w:val="single" w:sz="4" w:space="0" w:color="0070C0"/>
              <w:right w:val="single" w:sz="4" w:space="0" w:color="0070C0"/>
            </w:tcBorders>
            <w:shd w:val="clear" w:color="000000" w:fill="D9D9D9"/>
            <w:vAlign w:val="center"/>
            <w:hideMark/>
          </w:tcPr>
          <w:p w14:paraId="568F942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PC</w:t>
            </w:r>
          </w:p>
        </w:tc>
        <w:tc>
          <w:tcPr>
            <w:tcW w:w="259" w:type="pct"/>
            <w:tcBorders>
              <w:top w:val="nil"/>
              <w:left w:val="nil"/>
              <w:bottom w:val="single" w:sz="4" w:space="0" w:color="0070C0"/>
              <w:right w:val="single" w:sz="4" w:space="0" w:color="0070C0"/>
            </w:tcBorders>
            <w:shd w:val="clear" w:color="000000" w:fill="D9D9D9"/>
            <w:vAlign w:val="center"/>
            <w:hideMark/>
          </w:tcPr>
          <w:p w14:paraId="5D33D0F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2C69F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8C3D5B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EC.01</w:t>
            </w:r>
          </w:p>
        </w:tc>
        <w:tc>
          <w:tcPr>
            <w:tcW w:w="4016" w:type="pct"/>
            <w:tcBorders>
              <w:top w:val="nil"/>
              <w:left w:val="nil"/>
              <w:bottom w:val="single" w:sz="4" w:space="0" w:color="0070C0"/>
              <w:right w:val="single" w:sz="4" w:space="0" w:color="0070C0"/>
            </w:tcBorders>
            <w:shd w:val="clear" w:color="auto" w:fill="auto"/>
            <w:vAlign w:val="bottom"/>
            <w:hideMark/>
          </w:tcPr>
          <w:p w14:paraId="5BEA6FCC" w14:textId="1717B3FF"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déjà entendu parler de la maladie à Coronavirus (</w:t>
            </w:r>
            <w:r>
              <w:rPr>
                <w:rFonts w:eastAsia="Times New Roman" w:cs="Tahoma"/>
                <w:color w:val="000000"/>
                <w:sz w:val="20"/>
                <w:szCs w:val="20"/>
              </w:rPr>
              <w:t>COVID-19</w:t>
            </w: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BCFC64A"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CF6F54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508DE2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7E9824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4384A1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3E8036B1"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7BEFD5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AC6D81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0401E5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6D8E01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919050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FE2CC5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7A959C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95BB43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6E1D1949"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6D60030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760E09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DF9CE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88EE2A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EC.02</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7C9ADAB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Connaissez-vous les mesures prises par le Gouvernement pour limiter la propagation de la maladie ?</w:t>
            </w:r>
          </w:p>
        </w:tc>
        <w:tc>
          <w:tcPr>
            <w:tcW w:w="182" w:type="pct"/>
            <w:tcBorders>
              <w:top w:val="nil"/>
              <w:left w:val="nil"/>
              <w:bottom w:val="single" w:sz="4" w:space="0" w:color="0070C0"/>
              <w:right w:val="single" w:sz="4" w:space="0" w:color="0070C0"/>
            </w:tcBorders>
            <w:shd w:val="clear" w:color="auto" w:fill="auto"/>
            <w:vAlign w:val="center"/>
            <w:hideMark/>
          </w:tcPr>
          <w:p w14:paraId="5BC49BF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09FCFF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F5843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37614A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402EFD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Fermeture des frontières</w:t>
            </w:r>
          </w:p>
        </w:tc>
        <w:tc>
          <w:tcPr>
            <w:tcW w:w="182" w:type="pct"/>
            <w:tcBorders>
              <w:top w:val="nil"/>
              <w:left w:val="nil"/>
              <w:bottom w:val="single" w:sz="4" w:space="0" w:color="0070C0"/>
              <w:right w:val="single" w:sz="4" w:space="0" w:color="0070C0"/>
            </w:tcBorders>
            <w:shd w:val="clear" w:color="auto" w:fill="auto"/>
            <w:vAlign w:val="center"/>
            <w:hideMark/>
          </w:tcPr>
          <w:p w14:paraId="3FB79BD1" w14:textId="77777777" w:rsidR="00F3541E" w:rsidRPr="00837BF1" w:rsidRDefault="00F3541E" w:rsidP="00F3541E">
            <w:pPr>
              <w:spacing w:before="20" w:after="20" w:line="240" w:lineRule="auto"/>
              <w:jc w:val="center"/>
              <w:rPr>
                <w:rFonts w:eastAsia="Times New Roman" w:cs="Tahoma"/>
                <w:color w:val="000000"/>
                <w:sz w:val="20"/>
                <w:szCs w:val="20"/>
              </w:rPr>
            </w:pPr>
            <w:r w:rsidRPr="00837BF1">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1E167D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76D8C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825FE6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49E952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Mise en quarantaine des villes affectées</w:t>
            </w:r>
          </w:p>
        </w:tc>
        <w:tc>
          <w:tcPr>
            <w:tcW w:w="182" w:type="pct"/>
            <w:tcBorders>
              <w:top w:val="nil"/>
              <w:left w:val="nil"/>
              <w:bottom w:val="single" w:sz="4" w:space="0" w:color="0070C0"/>
              <w:right w:val="single" w:sz="4" w:space="0" w:color="0070C0"/>
            </w:tcBorders>
            <w:shd w:val="clear" w:color="auto" w:fill="auto"/>
            <w:vAlign w:val="center"/>
            <w:hideMark/>
          </w:tcPr>
          <w:p w14:paraId="72CC04A7" w14:textId="77777777" w:rsidR="00F3541E" w:rsidRPr="00837BF1" w:rsidRDefault="00F3541E" w:rsidP="00F3541E">
            <w:pPr>
              <w:spacing w:before="20" w:after="20" w:line="240" w:lineRule="auto"/>
              <w:jc w:val="center"/>
              <w:rPr>
                <w:rFonts w:eastAsia="Times New Roman" w:cs="Tahoma"/>
                <w:color w:val="000000"/>
                <w:sz w:val="20"/>
                <w:szCs w:val="20"/>
              </w:rPr>
            </w:pPr>
            <w:r w:rsidRPr="00837BF1">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7DB69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E38D45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0B61C3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5657B1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Fermeture des espaces grand public (marché, église, mosquée, école, restaurant et bar)</w:t>
            </w:r>
          </w:p>
        </w:tc>
        <w:tc>
          <w:tcPr>
            <w:tcW w:w="182" w:type="pct"/>
            <w:tcBorders>
              <w:top w:val="nil"/>
              <w:left w:val="nil"/>
              <w:bottom w:val="single" w:sz="4" w:space="0" w:color="0070C0"/>
              <w:right w:val="single" w:sz="4" w:space="0" w:color="0070C0"/>
            </w:tcBorders>
            <w:shd w:val="clear" w:color="auto" w:fill="auto"/>
            <w:vAlign w:val="center"/>
            <w:hideMark/>
          </w:tcPr>
          <w:p w14:paraId="21310185"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70141A1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B9294C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537099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B78971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Interdiction des grands rassemblements</w:t>
            </w:r>
          </w:p>
        </w:tc>
        <w:tc>
          <w:tcPr>
            <w:tcW w:w="182" w:type="pct"/>
            <w:tcBorders>
              <w:top w:val="nil"/>
              <w:left w:val="nil"/>
              <w:bottom w:val="single" w:sz="4" w:space="0" w:color="0070C0"/>
              <w:right w:val="single" w:sz="4" w:space="0" w:color="0070C0"/>
            </w:tcBorders>
            <w:shd w:val="clear" w:color="auto" w:fill="auto"/>
            <w:vAlign w:val="center"/>
            <w:hideMark/>
          </w:tcPr>
          <w:p w14:paraId="3C4A0DAD"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7FFB6D0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A962B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163BF5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AB1177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Port des maques / cache-nez</w:t>
            </w:r>
          </w:p>
        </w:tc>
        <w:tc>
          <w:tcPr>
            <w:tcW w:w="182" w:type="pct"/>
            <w:tcBorders>
              <w:top w:val="nil"/>
              <w:left w:val="nil"/>
              <w:bottom w:val="single" w:sz="4" w:space="0" w:color="0070C0"/>
              <w:right w:val="single" w:sz="4" w:space="0" w:color="0070C0"/>
            </w:tcBorders>
            <w:shd w:val="clear" w:color="auto" w:fill="auto"/>
            <w:vAlign w:val="center"/>
            <w:hideMark/>
          </w:tcPr>
          <w:p w14:paraId="16DF2C58"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hideMark/>
          </w:tcPr>
          <w:p w14:paraId="0AB4F13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D795E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E0D2F7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AE2E8E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Couvre-feu </w:t>
            </w:r>
          </w:p>
        </w:tc>
        <w:tc>
          <w:tcPr>
            <w:tcW w:w="182" w:type="pct"/>
            <w:tcBorders>
              <w:top w:val="nil"/>
              <w:left w:val="nil"/>
              <w:bottom w:val="single" w:sz="4" w:space="0" w:color="0070C0"/>
              <w:right w:val="single" w:sz="4" w:space="0" w:color="0070C0"/>
            </w:tcBorders>
            <w:shd w:val="clear" w:color="auto" w:fill="auto"/>
            <w:vAlign w:val="center"/>
            <w:hideMark/>
          </w:tcPr>
          <w:p w14:paraId="1E0CFB39"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hideMark/>
          </w:tcPr>
          <w:p w14:paraId="730E7A5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E2ABC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43DC6B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FBF8F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Lavage de main</w:t>
            </w:r>
          </w:p>
        </w:tc>
        <w:tc>
          <w:tcPr>
            <w:tcW w:w="182" w:type="pct"/>
            <w:tcBorders>
              <w:top w:val="nil"/>
              <w:left w:val="nil"/>
              <w:bottom w:val="single" w:sz="4" w:space="0" w:color="0070C0"/>
              <w:right w:val="single" w:sz="4" w:space="0" w:color="0070C0"/>
            </w:tcBorders>
            <w:shd w:val="clear" w:color="auto" w:fill="auto"/>
            <w:vAlign w:val="center"/>
            <w:hideMark/>
          </w:tcPr>
          <w:p w14:paraId="6D8A3FCB"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hideMark/>
          </w:tcPr>
          <w:p w14:paraId="6BBE2D7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A7ED08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7E40B9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29E73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Distanciation physique</w:t>
            </w:r>
          </w:p>
        </w:tc>
        <w:tc>
          <w:tcPr>
            <w:tcW w:w="182" w:type="pct"/>
            <w:tcBorders>
              <w:top w:val="nil"/>
              <w:left w:val="nil"/>
              <w:bottom w:val="single" w:sz="4" w:space="0" w:color="0070C0"/>
              <w:right w:val="single" w:sz="4" w:space="0" w:color="0070C0"/>
            </w:tcBorders>
            <w:shd w:val="clear" w:color="auto" w:fill="auto"/>
            <w:vAlign w:val="center"/>
            <w:hideMark/>
          </w:tcPr>
          <w:p w14:paraId="23C7C3E8"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8</w:t>
            </w:r>
          </w:p>
        </w:tc>
        <w:tc>
          <w:tcPr>
            <w:tcW w:w="259" w:type="pct"/>
            <w:tcBorders>
              <w:top w:val="nil"/>
              <w:left w:val="nil"/>
              <w:bottom w:val="single" w:sz="4" w:space="0" w:color="0070C0"/>
              <w:right w:val="single" w:sz="4" w:space="0" w:color="0070C0"/>
            </w:tcBorders>
            <w:shd w:val="clear" w:color="auto" w:fill="auto"/>
            <w:vAlign w:val="center"/>
            <w:hideMark/>
          </w:tcPr>
          <w:p w14:paraId="41B366E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370AE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E11CDF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1836A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27F68DE6"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38AE7E7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42CAD7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FAB028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0E8E0756"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79BC2A8E"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2B9924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2006E6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1069C1F"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EC.03</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15A0237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respectez les mesures barrières ?</w:t>
            </w:r>
          </w:p>
        </w:tc>
        <w:tc>
          <w:tcPr>
            <w:tcW w:w="182" w:type="pct"/>
            <w:tcBorders>
              <w:top w:val="nil"/>
              <w:left w:val="nil"/>
              <w:bottom w:val="single" w:sz="4" w:space="0" w:color="0070C0"/>
              <w:right w:val="single" w:sz="4" w:space="0" w:color="0070C0"/>
            </w:tcBorders>
            <w:shd w:val="clear" w:color="auto" w:fill="auto"/>
            <w:vAlign w:val="center"/>
            <w:hideMark/>
          </w:tcPr>
          <w:p w14:paraId="3B7D234F"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AC0657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2A40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599254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384B9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7DB9CE0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C21D66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05093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4FB17A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FC603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5A87162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B69B3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FBB2E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93FC41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4E51C3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31D254F6"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D123D0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A054D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B00180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EC.03a</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4DA6105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 pourquoi ?</w:t>
            </w:r>
          </w:p>
        </w:tc>
        <w:tc>
          <w:tcPr>
            <w:tcW w:w="182" w:type="pct"/>
            <w:tcBorders>
              <w:top w:val="nil"/>
              <w:left w:val="nil"/>
              <w:bottom w:val="single" w:sz="4" w:space="0" w:color="0070C0"/>
              <w:right w:val="single" w:sz="4" w:space="0" w:color="0070C0"/>
            </w:tcBorders>
            <w:shd w:val="clear" w:color="auto" w:fill="auto"/>
            <w:vAlign w:val="center"/>
            <w:hideMark/>
          </w:tcPr>
          <w:p w14:paraId="76CCDC8C"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C35E0F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35F52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86C070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6B24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Pas de moyen pour acheter des masques </w:t>
            </w:r>
          </w:p>
        </w:tc>
        <w:tc>
          <w:tcPr>
            <w:tcW w:w="182" w:type="pct"/>
            <w:tcBorders>
              <w:top w:val="nil"/>
              <w:left w:val="nil"/>
              <w:bottom w:val="single" w:sz="4" w:space="0" w:color="0070C0"/>
              <w:right w:val="single" w:sz="4" w:space="0" w:color="0070C0"/>
            </w:tcBorders>
            <w:shd w:val="clear" w:color="auto" w:fill="auto"/>
            <w:vAlign w:val="center"/>
            <w:hideMark/>
          </w:tcPr>
          <w:p w14:paraId="4001DE4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22B9222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661FF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ADDDB4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3139B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La maladie n'existe pas dans notre localité </w:t>
            </w:r>
          </w:p>
        </w:tc>
        <w:tc>
          <w:tcPr>
            <w:tcW w:w="182" w:type="pct"/>
            <w:tcBorders>
              <w:top w:val="nil"/>
              <w:left w:val="nil"/>
              <w:bottom w:val="single" w:sz="4" w:space="0" w:color="0070C0"/>
              <w:right w:val="single" w:sz="4" w:space="0" w:color="0070C0"/>
            </w:tcBorders>
            <w:shd w:val="clear" w:color="auto" w:fill="auto"/>
            <w:vAlign w:val="center"/>
            <w:hideMark/>
          </w:tcPr>
          <w:p w14:paraId="677FC093"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B0BAF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0FC856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AE5953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49AE95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15F6F14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3D92BA2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8F16C0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297418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nil"/>
              <w:right w:val="nil"/>
            </w:tcBorders>
            <w:shd w:val="clear" w:color="auto" w:fill="auto"/>
            <w:noWrap/>
            <w:vAlign w:val="bottom"/>
            <w:hideMark/>
          </w:tcPr>
          <w:p w14:paraId="6FB886FE" w14:textId="77777777" w:rsidR="00F3541E" w:rsidRPr="00E82DD7" w:rsidRDefault="00F3541E" w:rsidP="00F3541E">
            <w:pPr>
              <w:spacing w:before="20" w:after="20" w:line="240" w:lineRule="auto"/>
              <w:rPr>
                <w:rFonts w:eastAsia="Times New Roman" w:cs="Tahoma"/>
                <w:b/>
                <w:bCs/>
                <w:color w:val="000000"/>
                <w:sz w:val="20"/>
                <w:szCs w:val="20"/>
              </w:rPr>
            </w:pP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151FA0A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963138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085C2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0CAFD2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EC.04</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565F61A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la Covid 19 a empêché le fonctionnement des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hideMark/>
          </w:tcPr>
          <w:p w14:paraId="2431B68F"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235479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49E3B2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8C4E88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519C6F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28F364A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C69098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3C5F0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54F53B4"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4AFDC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4AF5950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4A63050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5A2E65C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B9FE03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nil"/>
              <w:right w:val="nil"/>
            </w:tcBorders>
            <w:shd w:val="clear" w:color="auto" w:fill="auto"/>
            <w:noWrap/>
            <w:vAlign w:val="bottom"/>
            <w:hideMark/>
          </w:tcPr>
          <w:p w14:paraId="6F693A3A" w14:textId="09436639" w:rsidR="00F3541E" w:rsidRPr="00E82DD7" w:rsidRDefault="007068E8" w:rsidP="00F3541E">
            <w:pPr>
              <w:spacing w:before="20" w:after="20" w:line="240" w:lineRule="auto"/>
              <w:rPr>
                <w:rFonts w:eastAsia="Times New Roman" w:cs="Tahoma"/>
                <w:color w:val="000000"/>
                <w:sz w:val="20"/>
                <w:szCs w:val="20"/>
              </w:rPr>
            </w:pPr>
            <w:r>
              <w:rPr>
                <w:rFonts w:eastAsia="Times New Roman" w:cs="Tahoma"/>
                <w:color w:val="000000"/>
                <w:sz w:val="20"/>
                <w:szCs w:val="20"/>
              </w:rPr>
              <w:t xml:space="preserve"> </w:t>
            </w:r>
            <w:r w:rsidR="00F3541E" w:rsidRPr="00E82DD7">
              <w:rPr>
                <w:rFonts w:eastAsia="Times New Roman" w:cs="Tahoma"/>
                <w:color w:val="000000"/>
                <w:sz w:val="20"/>
                <w:szCs w:val="20"/>
              </w:rPr>
              <w:t xml:space="preserve">Ne sais pas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32EBAF5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16B288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E54DE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103CFE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EC.05</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4A4C6CE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selon vous, que doit-on faire pour réduire les effets de la pandémie de Coronavirus sur le fonctionnement des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hideMark/>
          </w:tcPr>
          <w:p w14:paraId="70FA7710"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3B693E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F60A6AE" w14:textId="77777777" w:rsidTr="00E77F04">
        <w:trPr>
          <w:trHeight w:val="293"/>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tcPr>
          <w:p w14:paraId="38F28A2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single" w:sz="4" w:space="0" w:color="0070C0"/>
              <w:left w:val="nil"/>
              <w:bottom w:val="single" w:sz="4" w:space="0" w:color="0070C0"/>
              <w:right w:val="single" w:sz="4" w:space="0" w:color="0070C0"/>
            </w:tcBorders>
            <w:shd w:val="clear" w:color="auto" w:fill="auto"/>
            <w:vAlign w:val="bottom"/>
          </w:tcPr>
          <w:p w14:paraId="4BAAAD32"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DC3256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7E391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bl>
    <w:p w14:paraId="7E662665" w14:textId="77777777" w:rsidR="00906232" w:rsidRPr="00E82DD7" w:rsidRDefault="00906232" w:rsidP="00906232">
      <w:pPr>
        <w:spacing w:before="0" w:after="160" w:line="259" w:lineRule="auto"/>
        <w:jc w:val="left"/>
      </w:pPr>
      <w:r w:rsidRPr="00E82DD7">
        <w:br w:type="page"/>
      </w:r>
    </w:p>
    <w:p w14:paraId="2FDBDADE" w14:textId="7C7FF224" w:rsidR="00906232" w:rsidRPr="009F5BDE" w:rsidRDefault="00B4750A" w:rsidP="00906232">
      <w:pPr>
        <w:keepNext/>
        <w:keepLines/>
        <w:spacing w:before="40" w:after="0" w:line="276" w:lineRule="auto"/>
        <w:outlineLvl w:val="3"/>
        <w:rPr>
          <w:b/>
          <w:i/>
          <w:smallCaps/>
          <w:color w:val="2E74B5"/>
        </w:rPr>
      </w:pPr>
      <w:r w:rsidRPr="009F5BDE">
        <w:rPr>
          <w:b/>
          <w:i/>
          <w:smallCaps/>
          <w:color w:val="2E74B5"/>
        </w:rPr>
        <w:t xml:space="preserve">Annexe </w:t>
      </w:r>
      <w:r w:rsidR="006E0364" w:rsidRPr="009F5BDE">
        <w:rPr>
          <w:b/>
          <w:i/>
          <w:smallCaps/>
          <w:color w:val="2E74B5"/>
        </w:rPr>
        <w:t>5</w:t>
      </w:r>
      <w:r w:rsidRPr="009F5BDE">
        <w:rPr>
          <w:b/>
          <w:i/>
          <w:smallCaps/>
          <w:color w:val="2E74B5"/>
        </w:rPr>
        <w:t>.</w:t>
      </w:r>
      <w:r w:rsidR="00A769F5" w:rsidRPr="009F5BDE">
        <w:rPr>
          <w:b/>
          <w:i/>
          <w:smallCaps/>
          <w:color w:val="2E74B5"/>
        </w:rPr>
        <w:t>10</w:t>
      </w:r>
      <w:r w:rsidRPr="009F5BDE">
        <w:rPr>
          <w:b/>
          <w:i/>
          <w:smallCaps/>
          <w:color w:val="2E74B5"/>
        </w:rPr>
        <w:t>. Questionnaire adressé</w:t>
      </w:r>
      <w:r w:rsidR="008D48D8" w:rsidRPr="009F5BDE">
        <w:rPr>
          <w:b/>
          <w:i/>
          <w:smallCaps/>
          <w:color w:val="2E74B5"/>
        </w:rPr>
        <w:t xml:space="preserve"> aux</w:t>
      </w:r>
      <w:r w:rsidRPr="009F5BDE">
        <w:rPr>
          <w:b/>
          <w:i/>
          <w:smallCaps/>
          <w:color w:val="2E74B5"/>
        </w:rPr>
        <w:t xml:space="preserve"> FD</w:t>
      </w:r>
      <w:r w:rsidR="00C816C9" w:rsidRPr="009F5BDE">
        <w:rPr>
          <w:b/>
          <w:i/>
          <w:smallCaps/>
          <w:color w:val="2E74B5"/>
        </w:rPr>
        <w:t>S</w:t>
      </w:r>
      <w:r w:rsidRPr="009F5BDE">
        <w:rPr>
          <w:b/>
          <w:i/>
          <w:smallCaps/>
          <w:color w:val="2E74B5"/>
        </w:rPr>
        <w:t xml:space="preserve"> &amp; ACP</w:t>
      </w:r>
    </w:p>
    <w:p w14:paraId="206838F6" w14:textId="77777777" w:rsidR="00906232" w:rsidRPr="00B4750A" w:rsidRDefault="00906232" w:rsidP="00906232">
      <w:pPr>
        <w:spacing w:before="0" w:line="276" w:lineRule="auto"/>
        <w:rPr>
          <w:sz w:val="8"/>
          <w:szCs w:val="8"/>
        </w:rPr>
      </w:pPr>
    </w:p>
    <w:tbl>
      <w:tblPr>
        <w:tblW w:w="9351" w:type="dxa"/>
        <w:tblLook w:val="04A0" w:firstRow="1" w:lastRow="0" w:firstColumn="1" w:lastColumn="0" w:noHBand="0" w:noVBand="1"/>
      </w:tblPr>
      <w:tblGrid>
        <w:gridCol w:w="1212"/>
        <w:gridCol w:w="6841"/>
        <w:gridCol w:w="547"/>
        <w:gridCol w:w="751"/>
      </w:tblGrid>
      <w:tr w:rsidR="00906232" w:rsidRPr="00E82DD7" w14:paraId="070D265B" w14:textId="77777777" w:rsidTr="009F5BDE">
        <w:trPr>
          <w:gridAfter w:val="1"/>
          <w:wAfter w:w="113" w:type="dxa"/>
          <w:trHeight w:val="228"/>
          <w:tblHeader/>
        </w:trPr>
        <w:tc>
          <w:tcPr>
            <w:tcW w:w="9351" w:type="dxa"/>
            <w:gridSpan w:val="3"/>
            <w:tcBorders>
              <w:top w:val="single" w:sz="4" w:space="0" w:color="0070C0"/>
              <w:left w:val="single" w:sz="4" w:space="0" w:color="0070C0"/>
              <w:bottom w:val="single" w:sz="4" w:space="0" w:color="0070C0"/>
              <w:right w:val="single" w:sz="4" w:space="0" w:color="0070C0"/>
            </w:tcBorders>
            <w:shd w:val="clear" w:color="auto" w:fill="BDD6EE"/>
            <w:vAlign w:val="center"/>
          </w:tcPr>
          <w:p w14:paraId="595E05B0" w14:textId="77777777" w:rsidR="00906232" w:rsidRPr="00837BF1" w:rsidRDefault="00906232" w:rsidP="009E2DEE">
            <w:pPr>
              <w:spacing w:before="20" w:after="20" w:line="240" w:lineRule="auto"/>
              <w:rPr>
                <w:rFonts w:eastAsia="Times New Roman" w:cs="Tahoma"/>
                <w:b/>
                <w:bCs/>
                <w:color w:val="000000"/>
              </w:rPr>
            </w:pPr>
            <w:r w:rsidRPr="00837BF1">
              <w:rPr>
                <w:rFonts w:eastAsia="Times New Roman" w:cs="Tahoma"/>
                <w:b/>
                <w:bCs/>
              </w:rPr>
              <w:t>Questionnaire adressé aux FDS &amp; ACP</w:t>
            </w:r>
          </w:p>
        </w:tc>
      </w:tr>
      <w:tr w:rsidR="00906232" w:rsidRPr="00E82DD7" w14:paraId="72B825E2" w14:textId="77777777" w:rsidTr="009F5BDE">
        <w:trPr>
          <w:trHeight w:val="2865"/>
        </w:trPr>
        <w:tc>
          <w:tcPr>
            <w:tcW w:w="9351" w:type="dxa"/>
            <w:gridSpan w:val="4"/>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E851660" w14:textId="77777777" w:rsidR="00906232" w:rsidRPr="00837BF1" w:rsidRDefault="00906232" w:rsidP="009E2DEE">
            <w:pPr>
              <w:spacing w:before="20" w:after="20" w:line="276" w:lineRule="auto"/>
              <w:jc w:val="left"/>
              <w:rPr>
                <w:rFonts w:eastAsia="Times New Roman" w:cs="Tahoma"/>
                <w:b/>
                <w:bCs/>
                <w:color w:val="000000"/>
                <w:sz w:val="20"/>
                <w:szCs w:val="20"/>
              </w:rPr>
            </w:pPr>
            <w:r w:rsidRPr="00837BF1">
              <w:rPr>
                <w:rFonts w:eastAsia="Times New Roman" w:cs="Tahoma"/>
                <w:b/>
                <w:bCs/>
                <w:color w:val="FF0000"/>
                <w:sz w:val="20"/>
                <w:szCs w:val="20"/>
              </w:rPr>
              <w:t>CONSENTEMENT ECLAIRE</w:t>
            </w:r>
            <w:r w:rsidRPr="00837BF1">
              <w:rPr>
                <w:rFonts w:eastAsia="Times New Roman" w:cs="Tahoma"/>
                <w:sz w:val="20"/>
                <w:szCs w:val="20"/>
              </w:rPr>
              <w:br/>
              <w:t xml:space="preserve">Je m'appelle </w:t>
            </w:r>
            <w:r w:rsidRPr="00837BF1">
              <w:rPr>
                <w:rFonts w:eastAsia="Times New Roman" w:cs="Tahoma"/>
                <w:b/>
                <w:bCs/>
                <w:sz w:val="20"/>
                <w:szCs w:val="20"/>
              </w:rPr>
              <w:t>Nom &amp; Prénom,</w:t>
            </w:r>
            <w:r w:rsidRPr="00837BF1">
              <w:rPr>
                <w:rFonts w:eastAsia="Times New Roman" w:cs="Tahoma"/>
                <w:sz w:val="20"/>
                <w:szCs w:val="20"/>
              </w:rPr>
              <w:t xml:space="preserve"> je suis là dans le cadre de l'Evaluation finale du projet transfrontalier Mali-Niger Mis en œuvre par ONU Femmes et ONUDC. L'enquête est réalisée par le Cabinet d'Etudes "Associés en Management public et Développement" (AMD International), que je représente. Je voudrais m'entretenir avec vous sur ce sujet. Nos échanges dureront environ 1 h.</w:t>
            </w:r>
            <w:r w:rsidRPr="00837BF1">
              <w:rPr>
                <w:rFonts w:eastAsia="Times New Roman" w:cs="Tahoma"/>
                <w:sz w:val="20"/>
                <w:szCs w:val="20"/>
              </w:rPr>
              <w:br/>
              <w:t>Les données recueillies resteront confidentielles et ne serviront uniquement qu'à l'objet de la présente évaluation. Votre participation à l'étude est libre et non rémunérée. Elle permettrait de de mesurer les niveaux d’atteinte des résultats planifiés ainsi que les impacts. L'enquête nous permettra aussi de savoir les aspects qu'il faut corriger ou améliorer lors des prochaines interventions. Nous n’attendons pas de vous une réponse particulière ; nous aimerions que vous nous répondiez sincèrement de ce que vous saviez. Sentez-vous libre de répondre aux questions à votre rythme.</w:t>
            </w:r>
            <w:r w:rsidRPr="00837BF1">
              <w:rPr>
                <w:rFonts w:eastAsia="Times New Roman" w:cs="Tahoma"/>
                <w:sz w:val="20"/>
                <w:szCs w:val="20"/>
              </w:rPr>
              <w:br/>
              <w:t xml:space="preserve">Je sollicite votre accord pour commencer l'interview si vous acceptez de participer à cette enquête. </w:t>
            </w:r>
          </w:p>
        </w:tc>
      </w:tr>
      <w:tr w:rsidR="00F01CB8" w:rsidRPr="00E82DD7" w14:paraId="1D5E0C6F" w14:textId="77777777" w:rsidTr="009E2DEE">
        <w:trPr>
          <w:trHeight w:val="345"/>
        </w:trPr>
        <w:tc>
          <w:tcPr>
            <w:tcW w:w="0" w:type="auto"/>
            <w:tcBorders>
              <w:top w:val="nil"/>
              <w:left w:val="single" w:sz="4" w:space="0" w:color="0070C0"/>
              <w:bottom w:val="single" w:sz="4" w:space="0" w:color="0070C0"/>
              <w:right w:val="single" w:sz="4" w:space="0" w:color="0070C0"/>
            </w:tcBorders>
            <w:shd w:val="clear" w:color="000000" w:fill="D9D9D9"/>
            <w:vAlign w:val="center"/>
            <w:hideMark/>
          </w:tcPr>
          <w:p w14:paraId="1D92341B"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Section 01</w:t>
            </w:r>
          </w:p>
        </w:tc>
        <w:tc>
          <w:tcPr>
            <w:tcW w:w="6445" w:type="dxa"/>
            <w:tcBorders>
              <w:top w:val="nil"/>
              <w:left w:val="nil"/>
              <w:bottom w:val="single" w:sz="4" w:space="0" w:color="0070C0"/>
              <w:right w:val="single" w:sz="4" w:space="0" w:color="0070C0"/>
            </w:tcBorders>
            <w:shd w:val="clear" w:color="000000" w:fill="D9D9D9"/>
            <w:vAlign w:val="center"/>
            <w:hideMark/>
          </w:tcPr>
          <w:p w14:paraId="0CE5C3F5"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Information sur la Collecte</w:t>
            </w:r>
          </w:p>
        </w:tc>
        <w:tc>
          <w:tcPr>
            <w:tcW w:w="547" w:type="dxa"/>
            <w:tcBorders>
              <w:top w:val="nil"/>
              <w:left w:val="nil"/>
              <w:bottom w:val="single" w:sz="4" w:space="0" w:color="0070C0"/>
              <w:right w:val="single" w:sz="4" w:space="0" w:color="0070C0"/>
            </w:tcBorders>
            <w:shd w:val="clear" w:color="000000" w:fill="D9D9D9"/>
            <w:vAlign w:val="center"/>
            <w:hideMark/>
          </w:tcPr>
          <w:p w14:paraId="659B40CE"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IC</w:t>
            </w:r>
          </w:p>
        </w:tc>
        <w:tc>
          <w:tcPr>
            <w:tcW w:w="1147" w:type="dxa"/>
            <w:tcBorders>
              <w:top w:val="nil"/>
              <w:left w:val="nil"/>
              <w:bottom w:val="single" w:sz="4" w:space="0" w:color="0070C0"/>
              <w:right w:val="single" w:sz="4" w:space="0" w:color="0070C0"/>
            </w:tcBorders>
            <w:shd w:val="clear" w:color="000000" w:fill="D9D9D9"/>
            <w:vAlign w:val="center"/>
            <w:hideMark/>
          </w:tcPr>
          <w:p w14:paraId="1011FE8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5D46D3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C0FC92E"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IC.01</w:t>
            </w:r>
          </w:p>
        </w:tc>
        <w:tc>
          <w:tcPr>
            <w:tcW w:w="6445" w:type="dxa"/>
            <w:tcBorders>
              <w:top w:val="nil"/>
              <w:left w:val="nil"/>
              <w:bottom w:val="single" w:sz="4" w:space="0" w:color="0070C0"/>
              <w:right w:val="single" w:sz="4" w:space="0" w:color="0070C0"/>
            </w:tcBorders>
            <w:shd w:val="clear" w:color="auto" w:fill="auto"/>
            <w:hideMark/>
          </w:tcPr>
          <w:p w14:paraId="44A5AECB"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 xml:space="preserve">Date de l’interview </w:t>
            </w:r>
          </w:p>
        </w:tc>
        <w:tc>
          <w:tcPr>
            <w:tcW w:w="547" w:type="dxa"/>
            <w:tcBorders>
              <w:top w:val="nil"/>
              <w:left w:val="nil"/>
              <w:bottom w:val="single" w:sz="4" w:space="0" w:color="0070C0"/>
              <w:right w:val="single" w:sz="4" w:space="0" w:color="0070C0"/>
            </w:tcBorders>
            <w:shd w:val="clear" w:color="auto" w:fill="auto"/>
            <w:vAlign w:val="center"/>
            <w:hideMark/>
          </w:tcPr>
          <w:p w14:paraId="232F8DB8"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25C9BD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6AE97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16DA6AD"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6A00555"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43F9301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49B7EF7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8F8428F"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08B8BBF"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IC.02</w:t>
            </w:r>
          </w:p>
        </w:tc>
        <w:tc>
          <w:tcPr>
            <w:tcW w:w="6445" w:type="dxa"/>
            <w:tcBorders>
              <w:top w:val="nil"/>
              <w:left w:val="nil"/>
              <w:bottom w:val="single" w:sz="4" w:space="0" w:color="0070C0"/>
              <w:right w:val="single" w:sz="4" w:space="0" w:color="0070C0"/>
            </w:tcBorders>
            <w:shd w:val="clear" w:color="auto" w:fill="auto"/>
            <w:hideMark/>
          </w:tcPr>
          <w:p w14:paraId="547CC81F"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Heure de début de l’interview</w:t>
            </w:r>
          </w:p>
        </w:tc>
        <w:tc>
          <w:tcPr>
            <w:tcW w:w="547" w:type="dxa"/>
            <w:tcBorders>
              <w:top w:val="nil"/>
              <w:left w:val="nil"/>
              <w:bottom w:val="single" w:sz="4" w:space="0" w:color="0070C0"/>
              <w:right w:val="single" w:sz="4" w:space="0" w:color="0070C0"/>
            </w:tcBorders>
            <w:shd w:val="clear" w:color="auto" w:fill="auto"/>
            <w:vAlign w:val="center"/>
            <w:hideMark/>
          </w:tcPr>
          <w:p w14:paraId="52162DC5"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7E6B69C"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B4586D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71E312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C5090C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79CE82B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27AC78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0D7C6D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552EF8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IC.04</w:t>
            </w:r>
          </w:p>
        </w:tc>
        <w:tc>
          <w:tcPr>
            <w:tcW w:w="6445" w:type="dxa"/>
            <w:tcBorders>
              <w:top w:val="nil"/>
              <w:left w:val="nil"/>
              <w:bottom w:val="single" w:sz="4" w:space="0" w:color="0070C0"/>
              <w:right w:val="single" w:sz="4" w:space="0" w:color="0070C0"/>
            </w:tcBorders>
            <w:shd w:val="clear" w:color="auto" w:fill="auto"/>
            <w:hideMark/>
          </w:tcPr>
          <w:p w14:paraId="09BBDD78"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Code de l'enquêteur</w:t>
            </w:r>
          </w:p>
        </w:tc>
        <w:tc>
          <w:tcPr>
            <w:tcW w:w="547" w:type="dxa"/>
            <w:tcBorders>
              <w:top w:val="nil"/>
              <w:left w:val="nil"/>
              <w:bottom w:val="single" w:sz="4" w:space="0" w:color="0070C0"/>
              <w:right w:val="single" w:sz="4" w:space="0" w:color="0070C0"/>
            </w:tcBorders>
            <w:shd w:val="clear" w:color="auto" w:fill="auto"/>
            <w:vAlign w:val="center"/>
            <w:hideMark/>
          </w:tcPr>
          <w:p w14:paraId="072C0CC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FF1F88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9FF83A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0F39BE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CB1453D"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7B9F7D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4660CA3"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CE8AF2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A6AB7F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IC.05</w:t>
            </w:r>
          </w:p>
        </w:tc>
        <w:tc>
          <w:tcPr>
            <w:tcW w:w="6445" w:type="dxa"/>
            <w:tcBorders>
              <w:top w:val="nil"/>
              <w:left w:val="nil"/>
              <w:bottom w:val="single" w:sz="4" w:space="0" w:color="0070C0"/>
              <w:right w:val="single" w:sz="4" w:space="0" w:color="0070C0"/>
            </w:tcBorders>
            <w:shd w:val="clear" w:color="auto" w:fill="auto"/>
            <w:hideMark/>
          </w:tcPr>
          <w:p w14:paraId="2B1F98AE"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Insérer la prise des points GPS</w:t>
            </w:r>
          </w:p>
        </w:tc>
        <w:tc>
          <w:tcPr>
            <w:tcW w:w="547" w:type="dxa"/>
            <w:tcBorders>
              <w:top w:val="nil"/>
              <w:left w:val="nil"/>
              <w:bottom w:val="single" w:sz="4" w:space="0" w:color="0070C0"/>
              <w:right w:val="single" w:sz="4" w:space="0" w:color="0070C0"/>
            </w:tcBorders>
            <w:shd w:val="clear" w:color="auto" w:fill="auto"/>
            <w:vAlign w:val="center"/>
            <w:hideMark/>
          </w:tcPr>
          <w:p w14:paraId="763115E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4228F8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788C80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594D3E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991D8C7"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3B3602F0"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21B975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0967654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56DB67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CFCCBFE"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592A98E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239AB2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32E61878" w14:textId="77777777" w:rsidTr="009E2DEE">
        <w:trPr>
          <w:trHeight w:val="345"/>
        </w:trPr>
        <w:tc>
          <w:tcPr>
            <w:tcW w:w="0" w:type="auto"/>
            <w:tcBorders>
              <w:top w:val="nil"/>
              <w:left w:val="single" w:sz="4" w:space="0" w:color="0070C0"/>
              <w:bottom w:val="single" w:sz="4" w:space="0" w:color="0070C0"/>
              <w:right w:val="single" w:sz="4" w:space="0" w:color="0070C0"/>
            </w:tcBorders>
            <w:shd w:val="clear" w:color="000000" w:fill="D9D9D9"/>
            <w:vAlign w:val="center"/>
            <w:hideMark/>
          </w:tcPr>
          <w:p w14:paraId="5EA4855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Section 02</w:t>
            </w:r>
          </w:p>
        </w:tc>
        <w:tc>
          <w:tcPr>
            <w:tcW w:w="6445" w:type="dxa"/>
            <w:tcBorders>
              <w:top w:val="nil"/>
              <w:left w:val="nil"/>
              <w:bottom w:val="single" w:sz="4" w:space="0" w:color="0070C0"/>
              <w:right w:val="single" w:sz="4" w:space="0" w:color="0070C0"/>
            </w:tcBorders>
            <w:shd w:val="clear" w:color="000000" w:fill="D9D9D9"/>
            <w:vAlign w:val="center"/>
            <w:hideMark/>
          </w:tcPr>
          <w:p w14:paraId="689D52A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Caractéristiques du Bénéficiaire</w:t>
            </w:r>
          </w:p>
        </w:tc>
        <w:tc>
          <w:tcPr>
            <w:tcW w:w="547" w:type="dxa"/>
            <w:tcBorders>
              <w:top w:val="nil"/>
              <w:left w:val="nil"/>
              <w:bottom w:val="single" w:sz="4" w:space="0" w:color="0070C0"/>
              <w:right w:val="single" w:sz="4" w:space="0" w:color="0070C0"/>
            </w:tcBorders>
            <w:shd w:val="clear" w:color="000000" w:fill="D9D9D9"/>
            <w:vAlign w:val="center"/>
            <w:hideMark/>
          </w:tcPr>
          <w:p w14:paraId="76795D0F"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CB</w:t>
            </w:r>
          </w:p>
        </w:tc>
        <w:tc>
          <w:tcPr>
            <w:tcW w:w="1147" w:type="dxa"/>
            <w:tcBorders>
              <w:top w:val="nil"/>
              <w:left w:val="nil"/>
              <w:bottom w:val="single" w:sz="4" w:space="0" w:color="0070C0"/>
              <w:right w:val="single" w:sz="4" w:space="0" w:color="0070C0"/>
            </w:tcBorders>
            <w:shd w:val="clear" w:color="000000" w:fill="D9D9D9"/>
            <w:vAlign w:val="center"/>
            <w:hideMark/>
          </w:tcPr>
          <w:p w14:paraId="28F3FAB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0C536B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4045933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CB.01</w:t>
            </w:r>
          </w:p>
        </w:tc>
        <w:tc>
          <w:tcPr>
            <w:tcW w:w="6445" w:type="dxa"/>
            <w:tcBorders>
              <w:top w:val="nil"/>
              <w:left w:val="nil"/>
              <w:bottom w:val="single" w:sz="4" w:space="0" w:color="0070C0"/>
              <w:right w:val="single" w:sz="4" w:space="0" w:color="0070C0"/>
            </w:tcBorders>
            <w:shd w:val="clear" w:color="auto" w:fill="auto"/>
            <w:hideMark/>
          </w:tcPr>
          <w:p w14:paraId="482D030A"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Cercle/Département dont dépend le 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01DA659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278D66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61212C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8D19F9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6CE34C46"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66F20806"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6E2AABE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DDF87C7"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E66AC4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CB.02</w:t>
            </w:r>
          </w:p>
        </w:tc>
        <w:tc>
          <w:tcPr>
            <w:tcW w:w="6445" w:type="dxa"/>
            <w:tcBorders>
              <w:top w:val="nil"/>
              <w:left w:val="nil"/>
              <w:bottom w:val="single" w:sz="4" w:space="0" w:color="0070C0"/>
              <w:right w:val="single" w:sz="4" w:space="0" w:color="0070C0"/>
            </w:tcBorders>
            <w:shd w:val="clear" w:color="auto" w:fill="auto"/>
            <w:hideMark/>
          </w:tcPr>
          <w:p w14:paraId="33EB760F"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Commune dont dépend le 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6B1CF09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047CF1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293713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368DDDF"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9148229"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2D24A0C"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86F581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CB8285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D6BAD1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CB.03</w:t>
            </w:r>
          </w:p>
        </w:tc>
        <w:tc>
          <w:tcPr>
            <w:tcW w:w="6445" w:type="dxa"/>
            <w:tcBorders>
              <w:top w:val="nil"/>
              <w:left w:val="nil"/>
              <w:bottom w:val="single" w:sz="4" w:space="0" w:color="0070C0"/>
              <w:right w:val="single" w:sz="4" w:space="0" w:color="0070C0"/>
            </w:tcBorders>
            <w:shd w:val="clear" w:color="auto" w:fill="auto"/>
            <w:hideMark/>
          </w:tcPr>
          <w:p w14:paraId="16DD12B8"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3A23E6E0"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E5CE48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897E3FD"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FF0AA3C"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EBF99B6"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778B3C3"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C94EEB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D39917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612292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CB.04</w:t>
            </w:r>
          </w:p>
        </w:tc>
        <w:tc>
          <w:tcPr>
            <w:tcW w:w="6445" w:type="dxa"/>
            <w:tcBorders>
              <w:top w:val="nil"/>
              <w:left w:val="nil"/>
              <w:bottom w:val="single" w:sz="4" w:space="0" w:color="0070C0"/>
              <w:right w:val="single" w:sz="4" w:space="0" w:color="0070C0"/>
            </w:tcBorders>
            <w:shd w:val="clear" w:color="auto" w:fill="auto"/>
            <w:hideMark/>
          </w:tcPr>
          <w:p w14:paraId="71C127D0"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Sexe du répondant</w:t>
            </w:r>
          </w:p>
        </w:tc>
        <w:tc>
          <w:tcPr>
            <w:tcW w:w="547" w:type="dxa"/>
            <w:tcBorders>
              <w:top w:val="nil"/>
              <w:left w:val="nil"/>
              <w:bottom w:val="single" w:sz="4" w:space="0" w:color="0070C0"/>
              <w:right w:val="single" w:sz="4" w:space="0" w:color="0070C0"/>
            </w:tcBorders>
            <w:shd w:val="clear" w:color="auto" w:fill="auto"/>
            <w:vAlign w:val="center"/>
            <w:hideMark/>
          </w:tcPr>
          <w:p w14:paraId="1A213952"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7A0C1D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98BD103" w14:textId="77777777" w:rsidTr="009E2DEE">
        <w:trPr>
          <w:trHeight w:val="24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48EC185"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3A3011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Masculin</w:t>
            </w:r>
          </w:p>
        </w:tc>
        <w:tc>
          <w:tcPr>
            <w:tcW w:w="547" w:type="dxa"/>
            <w:tcBorders>
              <w:top w:val="nil"/>
              <w:left w:val="nil"/>
              <w:bottom w:val="single" w:sz="4" w:space="0" w:color="0070C0"/>
              <w:right w:val="single" w:sz="4" w:space="0" w:color="0070C0"/>
            </w:tcBorders>
            <w:shd w:val="clear" w:color="auto" w:fill="auto"/>
            <w:vAlign w:val="center"/>
            <w:hideMark/>
          </w:tcPr>
          <w:p w14:paraId="2F6E30F7"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31594A8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B19753E" w14:textId="77777777" w:rsidTr="009E2DEE">
        <w:trPr>
          <w:trHeight w:val="24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3DE48F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1A2F72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Féminin</w:t>
            </w:r>
          </w:p>
        </w:tc>
        <w:tc>
          <w:tcPr>
            <w:tcW w:w="547" w:type="dxa"/>
            <w:tcBorders>
              <w:top w:val="nil"/>
              <w:left w:val="nil"/>
              <w:bottom w:val="single" w:sz="4" w:space="0" w:color="0070C0"/>
              <w:right w:val="single" w:sz="4" w:space="0" w:color="0070C0"/>
            </w:tcBorders>
            <w:shd w:val="clear" w:color="auto" w:fill="auto"/>
            <w:vAlign w:val="center"/>
            <w:hideMark/>
          </w:tcPr>
          <w:p w14:paraId="73EFE2C3"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54DB460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1BF7C1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AB3C66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DCF596C"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16A675A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AFD47F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7391090C" w14:textId="77777777" w:rsidTr="009E2DEE">
        <w:trPr>
          <w:trHeight w:val="390"/>
        </w:trPr>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14:paraId="1A086DA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Section 03</w:t>
            </w:r>
          </w:p>
        </w:tc>
        <w:tc>
          <w:tcPr>
            <w:tcW w:w="6445" w:type="dxa"/>
            <w:tcBorders>
              <w:top w:val="nil"/>
              <w:left w:val="nil"/>
              <w:bottom w:val="single" w:sz="4" w:space="0" w:color="0070C0"/>
              <w:right w:val="single" w:sz="4" w:space="0" w:color="0070C0"/>
            </w:tcBorders>
            <w:shd w:val="clear" w:color="000000" w:fill="D9D9D9"/>
            <w:vAlign w:val="center"/>
            <w:hideMark/>
          </w:tcPr>
          <w:p w14:paraId="506262D9" w14:textId="77777777" w:rsidR="00906232" w:rsidRPr="00837BF1" w:rsidRDefault="00906232" w:rsidP="009E2DEE">
            <w:pPr>
              <w:spacing w:before="20" w:after="20" w:line="240" w:lineRule="auto"/>
              <w:jc w:val="left"/>
              <w:rPr>
                <w:rFonts w:eastAsia="Times New Roman" w:cs="Tahoma"/>
                <w:b/>
                <w:bCs/>
                <w:color w:val="000000"/>
                <w:sz w:val="20"/>
                <w:szCs w:val="20"/>
              </w:rPr>
            </w:pPr>
            <w:r w:rsidRPr="00837BF1">
              <w:rPr>
                <w:rFonts w:eastAsia="Times New Roman" w:cs="Tahoma"/>
                <w:b/>
                <w:bCs/>
                <w:color w:val="000000"/>
                <w:sz w:val="20"/>
                <w:szCs w:val="20"/>
              </w:rPr>
              <w:t xml:space="preserve">Connaissance du projet </w:t>
            </w:r>
          </w:p>
        </w:tc>
        <w:tc>
          <w:tcPr>
            <w:tcW w:w="547" w:type="dxa"/>
            <w:tcBorders>
              <w:top w:val="nil"/>
              <w:left w:val="nil"/>
              <w:bottom w:val="single" w:sz="4" w:space="0" w:color="0070C0"/>
              <w:right w:val="single" w:sz="4" w:space="0" w:color="0070C0"/>
            </w:tcBorders>
            <w:shd w:val="clear" w:color="000000" w:fill="D9D9D9"/>
            <w:vAlign w:val="center"/>
            <w:hideMark/>
          </w:tcPr>
          <w:p w14:paraId="697702DC"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CP</w:t>
            </w:r>
          </w:p>
        </w:tc>
        <w:tc>
          <w:tcPr>
            <w:tcW w:w="1147" w:type="dxa"/>
            <w:tcBorders>
              <w:top w:val="nil"/>
              <w:left w:val="nil"/>
              <w:bottom w:val="single" w:sz="4" w:space="0" w:color="0070C0"/>
              <w:right w:val="single" w:sz="4" w:space="0" w:color="0070C0"/>
            </w:tcBorders>
            <w:shd w:val="clear" w:color="000000" w:fill="D9D9D9"/>
            <w:vAlign w:val="center"/>
            <w:hideMark/>
          </w:tcPr>
          <w:p w14:paraId="15B59E9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37B1A73"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vAlign w:val="center"/>
          </w:tcPr>
          <w:p w14:paraId="5CD45D1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CP.01</w:t>
            </w:r>
          </w:p>
        </w:tc>
        <w:tc>
          <w:tcPr>
            <w:tcW w:w="6445" w:type="dxa"/>
            <w:tcBorders>
              <w:top w:val="nil"/>
              <w:left w:val="nil"/>
              <w:bottom w:val="single" w:sz="4" w:space="0" w:color="0070C0"/>
              <w:right w:val="single" w:sz="4" w:space="0" w:color="0070C0"/>
            </w:tcBorders>
            <w:shd w:val="clear" w:color="auto" w:fill="auto"/>
          </w:tcPr>
          <w:p w14:paraId="5A04816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Avez-vous entendu parler du projet « </w:t>
            </w:r>
            <w:r w:rsidRPr="00837BF1">
              <w:rPr>
                <w:rFonts w:eastAsia="Times New Roman" w:cs="Tahoma"/>
                <w:i/>
                <w:iCs/>
                <w:color w:val="000000"/>
                <w:sz w:val="20"/>
                <w:szCs w:val="20"/>
              </w:rPr>
              <w:t>Appui aux initiatives transfrontalières de dialogue communautaire avec les acteurs du secteur de la sécurité et de la justice pour la consolidation de la paix au Mali et au Nige</w:t>
            </w:r>
            <w:r w:rsidRPr="00837BF1">
              <w:rPr>
                <w:rFonts w:eastAsia="Times New Roman" w:cs="Tahoma"/>
                <w:color w:val="000000"/>
                <w:sz w:val="20"/>
                <w:szCs w:val="20"/>
              </w:rPr>
              <w:t>r » </w:t>
            </w:r>
            <w:r w:rsidRPr="00837BF1">
              <w:rPr>
                <w:sz w:val="20"/>
                <w:szCs w:val="20"/>
              </w:rPr>
              <w:t>?</w:t>
            </w:r>
          </w:p>
        </w:tc>
        <w:tc>
          <w:tcPr>
            <w:tcW w:w="547" w:type="dxa"/>
            <w:tcBorders>
              <w:top w:val="nil"/>
              <w:left w:val="nil"/>
              <w:bottom w:val="single" w:sz="4" w:space="0" w:color="0070C0"/>
              <w:right w:val="single" w:sz="4" w:space="0" w:color="0070C0"/>
            </w:tcBorders>
            <w:shd w:val="clear" w:color="auto" w:fill="auto"/>
            <w:vAlign w:val="center"/>
          </w:tcPr>
          <w:p w14:paraId="79E4B616"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562A654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D46BFD8" w14:textId="77777777" w:rsidTr="009E2DEE">
        <w:trPr>
          <w:trHeight w:val="175"/>
        </w:trPr>
        <w:tc>
          <w:tcPr>
            <w:tcW w:w="0" w:type="auto"/>
            <w:tcBorders>
              <w:top w:val="nil"/>
              <w:left w:val="single" w:sz="4" w:space="0" w:color="0070C0"/>
              <w:bottom w:val="single" w:sz="4" w:space="0" w:color="0070C0"/>
              <w:right w:val="single" w:sz="4" w:space="0" w:color="0070C0"/>
            </w:tcBorders>
            <w:shd w:val="clear" w:color="auto" w:fill="auto"/>
            <w:vAlign w:val="center"/>
          </w:tcPr>
          <w:p w14:paraId="14B26B39"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1BC81B16"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66C3E95D"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04DC94D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BB2A4A4" w14:textId="77777777" w:rsidTr="009E2DEE">
        <w:trPr>
          <w:trHeight w:val="278"/>
        </w:trPr>
        <w:tc>
          <w:tcPr>
            <w:tcW w:w="0" w:type="auto"/>
            <w:tcBorders>
              <w:top w:val="nil"/>
              <w:left w:val="single" w:sz="4" w:space="0" w:color="0070C0"/>
              <w:bottom w:val="single" w:sz="4" w:space="0" w:color="0070C0"/>
              <w:right w:val="single" w:sz="4" w:space="0" w:color="0070C0"/>
            </w:tcBorders>
            <w:shd w:val="clear" w:color="auto" w:fill="auto"/>
            <w:vAlign w:val="center"/>
          </w:tcPr>
          <w:p w14:paraId="3E3A7CB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64D02C22"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213A0D83"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4B25296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BE2D0AF" w14:textId="77777777" w:rsidTr="009E2DEE">
        <w:trPr>
          <w:trHeight w:val="278"/>
        </w:trPr>
        <w:tc>
          <w:tcPr>
            <w:tcW w:w="0" w:type="auto"/>
            <w:tcBorders>
              <w:top w:val="nil"/>
              <w:left w:val="single" w:sz="4" w:space="0" w:color="0070C0"/>
              <w:bottom w:val="single" w:sz="4" w:space="0" w:color="0070C0"/>
              <w:right w:val="single" w:sz="4" w:space="0" w:color="0070C0"/>
            </w:tcBorders>
            <w:shd w:val="clear" w:color="auto" w:fill="auto"/>
            <w:vAlign w:val="center"/>
          </w:tcPr>
          <w:p w14:paraId="3F631F50"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58B52417" w14:textId="77777777" w:rsidR="00906232" w:rsidRPr="00837BF1" w:rsidRDefault="00906232" w:rsidP="009E2DEE">
            <w:pPr>
              <w:spacing w:before="20" w:after="20" w:line="240" w:lineRule="auto"/>
              <w:ind w:left="708"/>
              <w:rPr>
                <w:rFonts w:eastAsia="Times New Roman" w:cs="Tahoma"/>
                <w:i/>
                <w:iCs/>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3836730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1BE6AF6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4C05B68"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vAlign w:val="center"/>
          </w:tcPr>
          <w:p w14:paraId="476CCF7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CP.02</w:t>
            </w:r>
          </w:p>
        </w:tc>
        <w:tc>
          <w:tcPr>
            <w:tcW w:w="6445" w:type="dxa"/>
            <w:tcBorders>
              <w:top w:val="nil"/>
              <w:left w:val="nil"/>
              <w:bottom w:val="single" w:sz="4" w:space="0" w:color="0070C0"/>
              <w:right w:val="single" w:sz="4" w:space="0" w:color="0070C0"/>
            </w:tcBorders>
            <w:shd w:val="clear" w:color="auto" w:fill="auto"/>
          </w:tcPr>
          <w:p w14:paraId="34601F36" w14:textId="77777777" w:rsidR="00906232" w:rsidRPr="00837BF1" w:rsidRDefault="00906232" w:rsidP="009E2DEE">
            <w:pPr>
              <w:spacing w:before="20" w:after="20" w:line="240" w:lineRule="auto"/>
              <w:rPr>
                <w:rFonts w:eastAsia="Times New Roman" w:cs="Tahoma"/>
                <w:color w:val="000000"/>
                <w:sz w:val="20"/>
                <w:szCs w:val="20"/>
              </w:rPr>
            </w:pPr>
            <w:r w:rsidRPr="00837BF1">
              <w:rPr>
                <w:sz w:val="20"/>
                <w:szCs w:val="20"/>
              </w:rPr>
              <w:t>Avez-vous étés formés dans le cadre de ce projet dans la prise en compte des droits humains dans vos missions ?</w:t>
            </w:r>
          </w:p>
        </w:tc>
        <w:tc>
          <w:tcPr>
            <w:tcW w:w="547" w:type="dxa"/>
            <w:tcBorders>
              <w:top w:val="nil"/>
              <w:left w:val="nil"/>
              <w:bottom w:val="single" w:sz="4" w:space="0" w:color="0070C0"/>
              <w:right w:val="single" w:sz="4" w:space="0" w:color="0070C0"/>
            </w:tcBorders>
            <w:shd w:val="clear" w:color="auto" w:fill="auto"/>
            <w:vAlign w:val="center"/>
          </w:tcPr>
          <w:p w14:paraId="669A34A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4E3DDC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6C1ECFA" w14:textId="77777777" w:rsidTr="009E2DEE">
        <w:trPr>
          <w:trHeight w:val="207"/>
        </w:trPr>
        <w:tc>
          <w:tcPr>
            <w:tcW w:w="0" w:type="auto"/>
            <w:tcBorders>
              <w:top w:val="nil"/>
              <w:left w:val="single" w:sz="4" w:space="0" w:color="0070C0"/>
              <w:bottom w:val="single" w:sz="4" w:space="0" w:color="0070C0"/>
              <w:right w:val="single" w:sz="4" w:space="0" w:color="0070C0"/>
            </w:tcBorders>
            <w:shd w:val="clear" w:color="auto" w:fill="auto"/>
            <w:vAlign w:val="center"/>
          </w:tcPr>
          <w:p w14:paraId="127F9A7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4456BB66"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4E6019E9"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57CEE20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C6496F6" w14:textId="77777777" w:rsidTr="009E2DEE">
        <w:trPr>
          <w:trHeight w:val="58"/>
        </w:trPr>
        <w:tc>
          <w:tcPr>
            <w:tcW w:w="0" w:type="auto"/>
            <w:tcBorders>
              <w:top w:val="nil"/>
              <w:left w:val="single" w:sz="4" w:space="0" w:color="0070C0"/>
              <w:bottom w:val="single" w:sz="4" w:space="0" w:color="0070C0"/>
              <w:right w:val="single" w:sz="4" w:space="0" w:color="0070C0"/>
            </w:tcBorders>
            <w:shd w:val="clear" w:color="auto" w:fill="auto"/>
            <w:vAlign w:val="center"/>
          </w:tcPr>
          <w:p w14:paraId="48AD02C5"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3050122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0AD4A900"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1B642823"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E680CD9"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A0049C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281C8083"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687AF42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FF5A92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43AD39E3"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18C1B115" w14:textId="5E6072B1"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w:t>
            </w:r>
            <w:r w:rsidR="0053504F">
              <w:rPr>
                <w:rFonts w:eastAsia="Times New Roman" w:cs="Tahoma"/>
                <w:b/>
                <w:bCs/>
                <w:color w:val="000000"/>
                <w:sz w:val="20"/>
                <w:szCs w:val="20"/>
              </w:rPr>
              <w:t>3</w:t>
            </w:r>
          </w:p>
        </w:tc>
        <w:tc>
          <w:tcPr>
            <w:tcW w:w="6445" w:type="dxa"/>
            <w:tcBorders>
              <w:top w:val="nil"/>
              <w:left w:val="nil"/>
              <w:bottom w:val="single" w:sz="4" w:space="0" w:color="0070C0"/>
              <w:right w:val="single" w:sz="4" w:space="0" w:color="0070C0"/>
            </w:tcBorders>
            <w:shd w:val="clear" w:color="auto" w:fill="auto"/>
            <w:vAlign w:val="center"/>
          </w:tcPr>
          <w:p w14:paraId="59B33AB5" w14:textId="77777777" w:rsidR="00906232" w:rsidRPr="00837BF1" w:rsidRDefault="00906232" w:rsidP="009E2DEE">
            <w:pPr>
              <w:spacing w:before="20" w:after="20" w:line="240" w:lineRule="auto"/>
              <w:rPr>
                <w:rFonts w:eastAsia="Times New Roman" w:cs="Tahoma"/>
                <w:color w:val="000000"/>
                <w:sz w:val="20"/>
                <w:szCs w:val="20"/>
              </w:rPr>
            </w:pPr>
            <w:r w:rsidRPr="00837BF1">
              <w:rPr>
                <w:sz w:val="20"/>
                <w:szCs w:val="20"/>
              </w:rPr>
              <w:t>Quelle appréciation faites-vous des comités de gestion des conflits au sein desquels, il n’y a pas ni femme ni jeunes ?</w:t>
            </w:r>
          </w:p>
        </w:tc>
        <w:tc>
          <w:tcPr>
            <w:tcW w:w="547" w:type="dxa"/>
            <w:tcBorders>
              <w:top w:val="nil"/>
              <w:left w:val="nil"/>
              <w:bottom w:val="single" w:sz="4" w:space="0" w:color="0070C0"/>
              <w:right w:val="single" w:sz="4" w:space="0" w:color="0070C0"/>
            </w:tcBorders>
            <w:shd w:val="clear" w:color="auto" w:fill="auto"/>
            <w:vAlign w:val="center"/>
          </w:tcPr>
          <w:p w14:paraId="4BE027E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7168270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36AE1520"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792A24A"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7F68CF24"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Gère bien les conflits</w:t>
            </w:r>
          </w:p>
        </w:tc>
        <w:tc>
          <w:tcPr>
            <w:tcW w:w="547" w:type="dxa"/>
            <w:tcBorders>
              <w:top w:val="nil"/>
              <w:left w:val="nil"/>
              <w:bottom w:val="single" w:sz="4" w:space="0" w:color="0070C0"/>
              <w:right w:val="single" w:sz="4" w:space="0" w:color="0070C0"/>
            </w:tcBorders>
            <w:shd w:val="clear" w:color="auto" w:fill="auto"/>
            <w:vAlign w:val="center"/>
          </w:tcPr>
          <w:p w14:paraId="72DF853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0407B4C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3C3353E8"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4F6D2B44"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2A21A3D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Gère moyennement les conflits</w:t>
            </w:r>
          </w:p>
        </w:tc>
        <w:tc>
          <w:tcPr>
            <w:tcW w:w="547" w:type="dxa"/>
            <w:tcBorders>
              <w:top w:val="nil"/>
              <w:left w:val="nil"/>
              <w:bottom w:val="single" w:sz="4" w:space="0" w:color="0070C0"/>
              <w:right w:val="single" w:sz="4" w:space="0" w:color="0070C0"/>
            </w:tcBorders>
            <w:shd w:val="clear" w:color="auto" w:fill="auto"/>
            <w:vAlign w:val="center"/>
          </w:tcPr>
          <w:p w14:paraId="679794F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3D3BDA5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5F027435"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1826B623"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202621CD"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N’arrive pas à gérer les conflits</w:t>
            </w:r>
          </w:p>
        </w:tc>
        <w:tc>
          <w:tcPr>
            <w:tcW w:w="547" w:type="dxa"/>
            <w:tcBorders>
              <w:top w:val="nil"/>
              <w:left w:val="nil"/>
              <w:bottom w:val="single" w:sz="4" w:space="0" w:color="0070C0"/>
              <w:right w:val="single" w:sz="4" w:space="0" w:color="0070C0"/>
            </w:tcBorders>
            <w:shd w:val="clear" w:color="auto" w:fill="auto"/>
            <w:vAlign w:val="center"/>
          </w:tcPr>
          <w:p w14:paraId="71EB7B14"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tcPr>
          <w:p w14:paraId="71DDA4A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1424C8C1"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7C30F17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7CAD3940"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 à préciser</w:t>
            </w:r>
          </w:p>
        </w:tc>
        <w:tc>
          <w:tcPr>
            <w:tcW w:w="547" w:type="dxa"/>
            <w:tcBorders>
              <w:top w:val="nil"/>
              <w:left w:val="nil"/>
              <w:bottom w:val="single" w:sz="4" w:space="0" w:color="0070C0"/>
              <w:right w:val="single" w:sz="4" w:space="0" w:color="0070C0"/>
            </w:tcBorders>
            <w:shd w:val="clear" w:color="auto" w:fill="auto"/>
            <w:vAlign w:val="center"/>
          </w:tcPr>
          <w:p w14:paraId="1C7A3B5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tcPr>
          <w:p w14:paraId="18446D60"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99</w:t>
            </w:r>
          </w:p>
        </w:tc>
      </w:tr>
      <w:tr w:rsidR="00653EB1" w:rsidRPr="00E82DD7" w14:paraId="5CAEFC9C"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2365586"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597BE579"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011F2D1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2411DF4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065B7CE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401DC7E6" w14:textId="2D94AC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w:t>
            </w:r>
            <w:r w:rsidR="0053504F">
              <w:rPr>
                <w:rFonts w:eastAsia="Times New Roman" w:cs="Tahoma"/>
                <w:b/>
                <w:bCs/>
                <w:color w:val="000000"/>
                <w:sz w:val="20"/>
                <w:szCs w:val="20"/>
              </w:rPr>
              <w:t>4</w:t>
            </w:r>
          </w:p>
        </w:tc>
        <w:tc>
          <w:tcPr>
            <w:tcW w:w="6445" w:type="dxa"/>
            <w:tcBorders>
              <w:top w:val="nil"/>
              <w:left w:val="nil"/>
              <w:bottom w:val="single" w:sz="4" w:space="0" w:color="0070C0"/>
              <w:right w:val="single" w:sz="4" w:space="0" w:color="0070C0"/>
            </w:tcBorders>
            <w:shd w:val="clear" w:color="auto" w:fill="auto"/>
            <w:noWrap/>
            <w:vAlign w:val="center"/>
          </w:tcPr>
          <w:p w14:paraId="518A8ED5" w14:textId="77777777" w:rsidR="00906232" w:rsidRPr="00837BF1" w:rsidRDefault="00906232" w:rsidP="009E2DEE">
            <w:pPr>
              <w:spacing w:before="20" w:after="20" w:line="240" w:lineRule="auto"/>
              <w:rPr>
                <w:rFonts w:eastAsia="Times New Roman" w:cs="Tahoma"/>
                <w:i/>
                <w:iCs/>
                <w:color w:val="000000"/>
                <w:sz w:val="20"/>
                <w:szCs w:val="20"/>
              </w:rPr>
            </w:pPr>
            <w:r w:rsidRPr="00837BF1">
              <w:rPr>
                <w:sz w:val="20"/>
                <w:szCs w:val="20"/>
              </w:rPr>
              <w:t xml:space="preserve">Quelle appréciation faites-vous de la participation des femmes et des jeunes dans les mécanismes de prévention et de gestion des conflits </w:t>
            </w:r>
          </w:p>
        </w:tc>
        <w:tc>
          <w:tcPr>
            <w:tcW w:w="547" w:type="dxa"/>
            <w:tcBorders>
              <w:top w:val="nil"/>
              <w:left w:val="nil"/>
              <w:bottom w:val="single" w:sz="4" w:space="0" w:color="0070C0"/>
              <w:right w:val="single" w:sz="4" w:space="0" w:color="0070C0"/>
            </w:tcBorders>
            <w:shd w:val="clear" w:color="auto" w:fill="auto"/>
            <w:vAlign w:val="center"/>
          </w:tcPr>
          <w:p w14:paraId="4B9657C5"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1B20AF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78E1486D"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ED25A5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66E19C71" w14:textId="5C7F1E7B"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 xml:space="preserve">Ne </w:t>
            </w:r>
            <w:r w:rsidR="009D22F9">
              <w:rPr>
                <w:i/>
                <w:iCs/>
                <w:sz w:val="20"/>
                <w:szCs w:val="20"/>
              </w:rPr>
              <w:t>p</w:t>
            </w:r>
            <w:r w:rsidRPr="00837BF1">
              <w:rPr>
                <w:i/>
                <w:iCs/>
                <w:sz w:val="20"/>
                <w:szCs w:val="20"/>
              </w:rPr>
              <w:t>articipe pas</w:t>
            </w:r>
          </w:p>
        </w:tc>
        <w:tc>
          <w:tcPr>
            <w:tcW w:w="547" w:type="dxa"/>
            <w:tcBorders>
              <w:top w:val="nil"/>
              <w:left w:val="nil"/>
              <w:bottom w:val="single" w:sz="4" w:space="0" w:color="0070C0"/>
              <w:right w:val="single" w:sz="4" w:space="0" w:color="0070C0"/>
            </w:tcBorders>
            <w:shd w:val="clear" w:color="auto" w:fill="auto"/>
            <w:vAlign w:val="center"/>
          </w:tcPr>
          <w:p w14:paraId="783B823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1DFFC97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2BA866B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5A46825"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3F3C38A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Participe</w:t>
            </w:r>
          </w:p>
        </w:tc>
        <w:tc>
          <w:tcPr>
            <w:tcW w:w="547" w:type="dxa"/>
            <w:tcBorders>
              <w:top w:val="nil"/>
              <w:left w:val="nil"/>
              <w:bottom w:val="single" w:sz="4" w:space="0" w:color="0070C0"/>
              <w:right w:val="single" w:sz="4" w:space="0" w:color="0070C0"/>
            </w:tcBorders>
            <w:shd w:val="clear" w:color="auto" w:fill="auto"/>
            <w:vAlign w:val="center"/>
          </w:tcPr>
          <w:p w14:paraId="0456E14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140C01A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1F9E86C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6796EC4"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2B9B51C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Participe et défend son point vue</w:t>
            </w:r>
          </w:p>
        </w:tc>
        <w:tc>
          <w:tcPr>
            <w:tcW w:w="547" w:type="dxa"/>
            <w:tcBorders>
              <w:top w:val="nil"/>
              <w:left w:val="nil"/>
              <w:bottom w:val="single" w:sz="4" w:space="0" w:color="0070C0"/>
              <w:right w:val="single" w:sz="4" w:space="0" w:color="0070C0"/>
            </w:tcBorders>
            <w:shd w:val="clear" w:color="auto" w:fill="auto"/>
            <w:vAlign w:val="center"/>
          </w:tcPr>
          <w:p w14:paraId="009E4EBD"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tcPr>
          <w:p w14:paraId="543F68A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63B8891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1FA5DA90"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38BE7E5C" w14:textId="77777777" w:rsidR="00906232" w:rsidRPr="00837BF1" w:rsidRDefault="00906232" w:rsidP="009E2DEE">
            <w:pPr>
              <w:spacing w:before="20" w:after="20" w:line="240" w:lineRule="auto"/>
              <w:ind w:left="708"/>
              <w:rPr>
                <w:i/>
                <w:iCs/>
                <w:sz w:val="20"/>
                <w:szCs w:val="20"/>
              </w:rPr>
            </w:pPr>
            <w:r>
              <w:rPr>
                <w:i/>
                <w:iCs/>
                <w:sz w:val="20"/>
                <w:szCs w:val="20"/>
              </w:rPr>
              <w:t>Sans avis</w:t>
            </w:r>
          </w:p>
        </w:tc>
        <w:tc>
          <w:tcPr>
            <w:tcW w:w="547" w:type="dxa"/>
            <w:tcBorders>
              <w:top w:val="nil"/>
              <w:left w:val="nil"/>
              <w:bottom w:val="single" w:sz="4" w:space="0" w:color="0070C0"/>
              <w:right w:val="single" w:sz="4" w:space="0" w:color="0070C0"/>
            </w:tcBorders>
            <w:shd w:val="clear" w:color="auto" w:fill="auto"/>
            <w:vAlign w:val="center"/>
          </w:tcPr>
          <w:p w14:paraId="7F02642A" w14:textId="77777777" w:rsidR="00906232" w:rsidRPr="00641190" w:rsidRDefault="00906232" w:rsidP="009E2DEE">
            <w:pPr>
              <w:spacing w:before="20" w:after="20" w:line="240" w:lineRule="auto"/>
              <w:jc w:val="center"/>
              <w:rPr>
                <w:rFonts w:eastAsia="Times New Roman" w:cs="Tahoma"/>
                <w:color w:val="000000"/>
                <w:sz w:val="20"/>
                <w:szCs w:val="20"/>
              </w:rPr>
            </w:pPr>
            <w:r>
              <w:rPr>
                <w:rFonts w:eastAsia="Times New Roman" w:cs="Tahoma"/>
                <w:color w:val="000000"/>
                <w:sz w:val="20"/>
                <w:szCs w:val="20"/>
              </w:rPr>
              <w:t>90</w:t>
            </w:r>
          </w:p>
        </w:tc>
        <w:tc>
          <w:tcPr>
            <w:tcW w:w="1147" w:type="dxa"/>
            <w:tcBorders>
              <w:top w:val="nil"/>
              <w:left w:val="nil"/>
              <w:bottom w:val="single" w:sz="4" w:space="0" w:color="0070C0"/>
              <w:right w:val="single" w:sz="4" w:space="0" w:color="0070C0"/>
            </w:tcBorders>
            <w:shd w:val="clear" w:color="auto" w:fill="auto"/>
            <w:vAlign w:val="center"/>
          </w:tcPr>
          <w:p w14:paraId="19C989C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00C113F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396F13D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7559D215"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11DD76C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78236405"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D147D4" w14:paraId="1F4913A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0A26F5C5" w14:textId="11409836" w:rsidR="00906232" w:rsidRPr="00D147D4" w:rsidRDefault="005030FC" w:rsidP="009E2DEE">
            <w:pPr>
              <w:spacing w:before="20" w:after="20" w:line="240" w:lineRule="auto"/>
              <w:rPr>
                <w:rFonts w:eastAsia="Times New Roman" w:cs="Tahoma"/>
                <w:b/>
                <w:bCs/>
                <w:sz w:val="20"/>
                <w:szCs w:val="20"/>
              </w:rPr>
            </w:pPr>
            <w:r w:rsidRPr="00D147D4">
              <w:rPr>
                <w:rFonts w:eastAsia="Times New Roman" w:cs="Tahoma"/>
                <w:b/>
                <w:bCs/>
                <w:sz w:val="20"/>
                <w:szCs w:val="20"/>
              </w:rPr>
              <w:t>CP.05</w:t>
            </w:r>
          </w:p>
        </w:tc>
        <w:tc>
          <w:tcPr>
            <w:tcW w:w="6445" w:type="dxa"/>
            <w:tcBorders>
              <w:top w:val="nil"/>
              <w:left w:val="nil"/>
              <w:bottom w:val="single" w:sz="4" w:space="0" w:color="0070C0"/>
              <w:right w:val="single" w:sz="4" w:space="0" w:color="0070C0"/>
            </w:tcBorders>
            <w:shd w:val="clear" w:color="auto" w:fill="auto"/>
            <w:noWrap/>
            <w:vAlign w:val="center"/>
          </w:tcPr>
          <w:p w14:paraId="13AF4BA8" w14:textId="757B8210" w:rsidR="00906232" w:rsidRPr="00D147D4" w:rsidRDefault="00906232" w:rsidP="009E2DEE">
            <w:pPr>
              <w:spacing w:before="20" w:after="20" w:line="240" w:lineRule="auto"/>
              <w:rPr>
                <w:rFonts w:eastAsia="Times New Roman" w:cs="Tahoma"/>
                <w:sz w:val="20"/>
                <w:szCs w:val="20"/>
              </w:rPr>
            </w:pPr>
            <w:r w:rsidRPr="00D147D4">
              <w:rPr>
                <w:sz w:val="20"/>
                <w:szCs w:val="20"/>
              </w:rPr>
              <w:t>Etes aujourd’hui les FDS et les ACP sont-ils engagés à prendre en compte les droits humains dans leurs missions</w:t>
            </w:r>
          </w:p>
        </w:tc>
        <w:tc>
          <w:tcPr>
            <w:tcW w:w="547" w:type="dxa"/>
            <w:tcBorders>
              <w:top w:val="nil"/>
              <w:left w:val="nil"/>
              <w:bottom w:val="single" w:sz="4" w:space="0" w:color="0070C0"/>
              <w:right w:val="single" w:sz="4" w:space="0" w:color="0070C0"/>
            </w:tcBorders>
            <w:shd w:val="clear" w:color="auto" w:fill="auto"/>
            <w:vAlign w:val="center"/>
          </w:tcPr>
          <w:p w14:paraId="46F616C7"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9D4AEF6"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26048E1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51837995"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tcPr>
          <w:p w14:paraId="3BDC1E66"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0686FDA9"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03BDDE44"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331340B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17CB51A9"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tcPr>
          <w:p w14:paraId="6E08834E"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57A2290B"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030D5F72"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D147D4" w14:paraId="1BEBE44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04A6EEC7"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noWrap/>
            <w:vAlign w:val="bottom"/>
          </w:tcPr>
          <w:p w14:paraId="1322EC30" w14:textId="77777777" w:rsidR="00906232" w:rsidRPr="00D147D4" w:rsidRDefault="00906232" w:rsidP="009E2DEE">
            <w:pPr>
              <w:spacing w:before="20" w:after="20" w:line="240" w:lineRule="auto"/>
              <w:rPr>
                <w:rFonts w:eastAsia="Times New Roman" w:cs="Tahoma"/>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3DCBA123"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7F1A24B"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D147D4" w14:paraId="127B9D6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14:paraId="43A120C7"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Section 04</w:t>
            </w:r>
          </w:p>
        </w:tc>
        <w:tc>
          <w:tcPr>
            <w:tcW w:w="6445" w:type="dxa"/>
            <w:tcBorders>
              <w:top w:val="nil"/>
              <w:left w:val="nil"/>
              <w:bottom w:val="single" w:sz="4" w:space="0" w:color="0070C0"/>
              <w:right w:val="single" w:sz="4" w:space="0" w:color="0070C0"/>
            </w:tcBorders>
            <w:shd w:val="clear" w:color="000000" w:fill="D9D9D9"/>
            <w:hideMark/>
          </w:tcPr>
          <w:p w14:paraId="177359D9"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Perception de la relation</w:t>
            </w:r>
          </w:p>
        </w:tc>
        <w:tc>
          <w:tcPr>
            <w:tcW w:w="547" w:type="dxa"/>
            <w:tcBorders>
              <w:top w:val="nil"/>
              <w:left w:val="nil"/>
              <w:bottom w:val="single" w:sz="4" w:space="0" w:color="0070C0"/>
              <w:right w:val="single" w:sz="4" w:space="0" w:color="0070C0"/>
            </w:tcBorders>
            <w:shd w:val="clear" w:color="000000" w:fill="D9D9D9"/>
            <w:vAlign w:val="center"/>
            <w:hideMark/>
          </w:tcPr>
          <w:p w14:paraId="3F4A8E5B" w14:textId="77777777" w:rsidR="00906232" w:rsidRPr="00D147D4" w:rsidRDefault="00906232" w:rsidP="009E2DEE">
            <w:pPr>
              <w:spacing w:before="20" w:after="20" w:line="240" w:lineRule="auto"/>
              <w:jc w:val="center"/>
              <w:rPr>
                <w:rFonts w:eastAsia="Times New Roman" w:cs="Tahoma"/>
                <w:b/>
                <w:bCs/>
                <w:sz w:val="20"/>
                <w:szCs w:val="20"/>
              </w:rPr>
            </w:pPr>
            <w:r w:rsidRPr="00D147D4">
              <w:rPr>
                <w:rFonts w:eastAsia="Times New Roman" w:cs="Tahoma"/>
                <w:b/>
                <w:bCs/>
                <w:sz w:val="20"/>
                <w:szCs w:val="20"/>
              </w:rPr>
              <w:t>PC</w:t>
            </w:r>
          </w:p>
        </w:tc>
        <w:tc>
          <w:tcPr>
            <w:tcW w:w="1147" w:type="dxa"/>
            <w:tcBorders>
              <w:top w:val="nil"/>
              <w:left w:val="nil"/>
              <w:bottom w:val="single" w:sz="4" w:space="0" w:color="0070C0"/>
              <w:right w:val="single" w:sz="4" w:space="0" w:color="0070C0"/>
            </w:tcBorders>
            <w:shd w:val="clear" w:color="000000" w:fill="D9D9D9"/>
            <w:vAlign w:val="center"/>
            <w:hideMark/>
          </w:tcPr>
          <w:p w14:paraId="2A441F90"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76049ACF"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2B5118FC"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PC.01</w:t>
            </w:r>
          </w:p>
        </w:tc>
        <w:tc>
          <w:tcPr>
            <w:tcW w:w="6445" w:type="dxa"/>
            <w:tcBorders>
              <w:top w:val="nil"/>
              <w:left w:val="nil"/>
              <w:bottom w:val="single" w:sz="4" w:space="0" w:color="0070C0"/>
              <w:right w:val="single" w:sz="4" w:space="0" w:color="0070C0"/>
            </w:tcBorders>
            <w:shd w:val="clear" w:color="auto" w:fill="auto"/>
            <w:hideMark/>
          </w:tcPr>
          <w:p w14:paraId="61383C5C" w14:textId="066C1B8D"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 xml:space="preserve">Pensez-vous </w:t>
            </w:r>
            <w:r w:rsidR="005030FC" w:rsidRPr="00D147D4">
              <w:rPr>
                <w:rFonts w:eastAsia="Times New Roman" w:cs="Tahoma"/>
                <w:sz w:val="20"/>
                <w:szCs w:val="20"/>
              </w:rPr>
              <w:t xml:space="preserve">que les </w:t>
            </w:r>
            <w:r w:rsidRPr="00D147D4">
              <w:rPr>
                <w:rFonts w:eastAsia="Times New Roman" w:cs="Tahoma"/>
                <w:sz w:val="20"/>
                <w:szCs w:val="20"/>
              </w:rPr>
              <w:t>FDS et ACP gèrent de mieux en mieux les conflits communautaires ces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457073D5"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6188720"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E82DD7" w14:paraId="01077F6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9B3DC4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4166AF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1B12FB33"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423B891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0657F9D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7AFDE9A"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0FB6C4C"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5876875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56333A7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F4F383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817C56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42FCF1A3"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7CCEBF5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290927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33DFBA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3D2B97A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1</w:t>
            </w:r>
            <w:r w:rsidRPr="00837BF1">
              <w:rPr>
                <w:rFonts w:eastAsia="Times New Roman" w:cs="Tahoma"/>
                <w:b/>
                <w:bCs/>
                <w:color w:val="000000"/>
                <w:sz w:val="20"/>
                <w:szCs w:val="20"/>
              </w:rPr>
              <w:t>a</w:t>
            </w:r>
          </w:p>
        </w:tc>
        <w:tc>
          <w:tcPr>
            <w:tcW w:w="6445" w:type="dxa"/>
            <w:tcBorders>
              <w:top w:val="nil"/>
              <w:left w:val="nil"/>
              <w:bottom w:val="single" w:sz="4" w:space="0" w:color="0070C0"/>
              <w:right w:val="single" w:sz="4" w:space="0" w:color="0070C0"/>
            </w:tcBorders>
            <w:shd w:val="clear" w:color="auto" w:fill="auto"/>
            <w:noWrap/>
            <w:vAlign w:val="bottom"/>
            <w:hideMark/>
          </w:tcPr>
          <w:p w14:paraId="4C65B211"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Sinon pourquoi</w:t>
            </w:r>
          </w:p>
        </w:tc>
        <w:tc>
          <w:tcPr>
            <w:tcW w:w="547" w:type="dxa"/>
            <w:tcBorders>
              <w:top w:val="nil"/>
              <w:left w:val="nil"/>
              <w:bottom w:val="single" w:sz="4" w:space="0" w:color="0070C0"/>
              <w:right w:val="single" w:sz="4" w:space="0" w:color="0070C0"/>
            </w:tcBorders>
            <w:shd w:val="clear" w:color="auto" w:fill="auto"/>
            <w:vAlign w:val="center"/>
            <w:hideMark/>
          </w:tcPr>
          <w:p w14:paraId="746D0C3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1679A1B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091A899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BEC913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D8B800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Les conflits non gérés sont en hausse</w:t>
            </w:r>
          </w:p>
        </w:tc>
        <w:tc>
          <w:tcPr>
            <w:tcW w:w="547" w:type="dxa"/>
            <w:tcBorders>
              <w:top w:val="nil"/>
              <w:left w:val="nil"/>
              <w:bottom w:val="single" w:sz="4" w:space="0" w:color="0070C0"/>
              <w:right w:val="single" w:sz="4" w:space="0" w:color="0070C0"/>
            </w:tcBorders>
            <w:shd w:val="clear" w:color="auto" w:fill="auto"/>
            <w:vAlign w:val="center"/>
            <w:hideMark/>
          </w:tcPr>
          <w:p w14:paraId="3BBBB4A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2B0F682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EE4B21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A1C2F6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653774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Elles sont moins nombreuses et peu équipées</w:t>
            </w:r>
          </w:p>
        </w:tc>
        <w:tc>
          <w:tcPr>
            <w:tcW w:w="547" w:type="dxa"/>
            <w:tcBorders>
              <w:top w:val="nil"/>
              <w:left w:val="nil"/>
              <w:bottom w:val="single" w:sz="4" w:space="0" w:color="0070C0"/>
              <w:right w:val="single" w:sz="4" w:space="0" w:color="0070C0"/>
            </w:tcBorders>
            <w:shd w:val="clear" w:color="auto" w:fill="auto"/>
            <w:vAlign w:val="center"/>
            <w:hideMark/>
          </w:tcPr>
          <w:p w14:paraId="4B14D2F6"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78EE093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E53E3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690E2D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F5C0F3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Elles ne sont pas toujours présentes quand on a besoin d'elles</w:t>
            </w:r>
          </w:p>
        </w:tc>
        <w:tc>
          <w:tcPr>
            <w:tcW w:w="547" w:type="dxa"/>
            <w:tcBorders>
              <w:top w:val="nil"/>
              <w:left w:val="nil"/>
              <w:bottom w:val="single" w:sz="4" w:space="0" w:color="0070C0"/>
              <w:right w:val="single" w:sz="4" w:space="0" w:color="0070C0"/>
            </w:tcBorders>
            <w:shd w:val="clear" w:color="auto" w:fill="auto"/>
            <w:vAlign w:val="center"/>
            <w:hideMark/>
          </w:tcPr>
          <w:p w14:paraId="09C00C58"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hideMark/>
          </w:tcPr>
          <w:p w14:paraId="27A6465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84AE897"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58F955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0605B7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Autres à préciser</w:t>
            </w:r>
          </w:p>
        </w:tc>
        <w:tc>
          <w:tcPr>
            <w:tcW w:w="547" w:type="dxa"/>
            <w:tcBorders>
              <w:top w:val="nil"/>
              <w:left w:val="nil"/>
              <w:bottom w:val="single" w:sz="4" w:space="0" w:color="0070C0"/>
              <w:right w:val="single" w:sz="4" w:space="0" w:color="0070C0"/>
            </w:tcBorders>
            <w:shd w:val="clear" w:color="auto" w:fill="auto"/>
            <w:vAlign w:val="center"/>
            <w:hideMark/>
          </w:tcPr>
          <w:p w14:paraId="1BA25EB8"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hideMark/>
          </w:tcPr>
          <w:p w14:paraId="3F1874F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6248E05"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CC9B4A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41257085" w14:textId="2D2EA017" w:rsidR="00906232" w:rsidRPr="00837BF1" w:rsidRDefault="007068E8" w:rsidP="009E2DEE">
            <w:pPr>
              <w:spacing w:before="20" w:after="20" w:line="240" w:lineRule="auto"/>
              <w:rPr>
                <w:rFonts w:eastAsia="Times New Roman" w:cs="Tahoma"/>
                <w:i/>
                <w:iCs/>
                <w:color w:val="000000"/>
                <w:sz w:val="20"/>
                <w:szCs w:val="20"/>
              </w:rPr>
            </w:pPr>
            <w:r>
              <w:rPr>
                <w:rFonts w:eastAsia="Times New Roman" w:cs="Tahoma"/>
                <w:i/>
                <w:iCs/>
                <w:color w:val="000000"/>
                <w:sz w:val="20"/>
                <w:szCs w:val="20"/>
              </w:rPr>
              <w:t xml:space="preserve"> </w:t>
            </w:r>
          </w:p>
        </w:tc>
        <w:tc>
          <w:tcPr>
            <w:tcW w:w="547" w:type="dxa"/>
            <w:tcBorders>
              <w:top w:val="nil"/>
              <w:left w:val="nil"/>
              <w:bottom w:val="single" w:sz="4" w:space="0" w:color="0070C0"/>
              <w:right w:val="single" w:sz="4" w:space="0" w:color="0070C0"/>
            </w:tcBorders>
            <w:shd w:val="clear" w:color="auto" w:fill="auto"/>
            <w:vAlign w:val="center"/>
            <w:hideMark/>
          </w:tcPr>
          <w:p w14:paraId="545A7B14"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E30832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BD3B8B1"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13690C4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2</w:t>
            </w:r>
          </w:p>
        </w:tc>
        <w:tc>
          <w:tcPr>
            <w:tcW w:w="6445" w:type="dxa"/>
            <w:tcBorders>
              <w:top w:val="nil"/>
              <w:left w:val="nil"/>
              <w:bottom w:val="single" w:sz="4" w:space="0" w:color="0070C0"/>
              <w:right w:val="single" w:sz="4" w:space="0" w:color="0070C0"/>
            </w:tcBorders>
            <w:shd w:val="clear" w:color="auto" w:fill="auto"/>
            <w:hideMark/>
          </w:tcPr>
          <w:p w14:paraId="40094EBF"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Pensez-vous que la confiance entre les FDS et les communautés s'est améliorée ces deux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401EC363"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73A8A2C"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85E30AF"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46117C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BD9C69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2CA5846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64D41CB5"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8F10E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07E76C1"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E9E810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01C91595"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1A4DAA6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E08234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B8761F3"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13C59BCB" w14:textId="77777777" w:rsidR="00906232" w:rsidRPr="00837BF1" w:rsidRDefault="00906232" w:rsidP="009E2DEE">
            <w:pPr>
              <w:spacing w:before="20" w:after="20" w:line="240" w:lineRule="auto"/>
              <w:rPr>
                <w:rFonts w:eastAsia="Times New Roman" w:cs="Tahoma"/>
                <w:i/>
                <w:iCs/>
                <w:color w:val="000000"/>
                <w:sz w:val="20"/>
                <w:szCs w:val="20"/>
              </w:rPr>
            </w:pPr>
            <w:r w:rsidRPr="00837BF1">
              <w:rPr>
                <w:rFonts w:eastAsia="Times New Roman" w:cs="Tahoma"/>
                <w:i/>
                <w:iCs/>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1EF67F9C" w14:textId="77777777" w:rsidR="00906232" w:rsidRPr="00641190" w:rsidRDefault="00906232" w:rsidP="009E2DEE">
            <w:pPr>
              <w:spacing w:before="20" w:after="20" w:line="240" w:lineRule="auto"/>
              <w:jc w:val="center"/>
              <w:rPr>
                <w:rFonts w:eastAsia="Times New Roman" w:cs="Tahoma"/>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18A345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A805CC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793D99D4"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4B4347B6" w14:textId="77777777" w:rsidR="00906232" w:rsidRPr="00837BF1" w:rsidRDefault="00906232" w:rsidP="009E2DEE">
            <w:pPr>
              <w:spacing w:before="20" w:after="20" w:line="240" w:lineRule="auto"/>
              <w:rPr>
                <w:rFonts w:eastAsia="Times New Roman" w:cs="Tahoma"/>
                <w:i/>
                <w:iCs/>
                <w:sz w:val="20"/>
                <w:szCs w:val="20"/>
              </w:rPr>
            </w:pPr>
            <w:r w:rsidRPr="00837BF1">
              <w:rPr>
                <w:sz w:val="20"/>
                <w:szCs w:val="20"/>
              </w:rPr>
              <w:t>Quel est votre appréciation de la collaboration entre les FDS et les acteurs de la chaîne pénale dans la zone du projet ?</w:t>
            </w:r>
          </w:p>
        </w:tc>
        <w:tc>
          <w:tcPr>
            <w:tcW w:w="547" w:type="dxa"/>
            <w:tcBorders>
              <w:top w:val="nil"/>
              <w:left w:val="nil"/>
              <w:bottom w:val="single" w:sz="4" w:space="0" w:color="0070C0"/>
              <w:right w:val="single" w:sz="4" w:space="0" w:color="0070C0"/>
            </w:tcBorders>
            <w:shd w:val="clear" w:color="auto" w:fill="auto"/>
            <w:vAlign w:val="center"/>
          </w:tcPr>
          <w:p w14:paraId="6F22E7F5" w14:textId="77777777" w:rsidR="00906232" w:rsidRPr="00837BF1"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tcPr>
          <w:p w14:paraId="29298FDA"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4C288F6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69737204"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0CE9E0BE"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Excellente collaboration</w:t>
            </w:r>
          </w:p>
        </w:tc>
        <w:tc>
          <w:tcPr>
            <w:tcW w:w="547" w:type="dxa"/>
            <w:tcBorders>
              <w:top w:val="nil"/>
              <w:left w:val="nil"/>
              <w:bottom w:val="single" w:sz="4" w:space="0" w:color="0070C0"/>
              <w:right w:val="single" w:sz="4" w:space="0" w:color="0070C0"/>
            </w:tcBorders>
            <w:shd w:val="clear" w:color="auto" w:fill="auto"/>
            <w:vAlign w:val="center"/>
          </w:tcPr>
          <w:p w14:paraId="035F91F9"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1</w:t>
            </w:r>
          </w:p>
        </w:tc>
        <w:tc>
          <w:tcPr>
            <w:tcW w:w="1147" w:type="dxa"/>
            <w:tcBorders>
              <w:top w:val="nil"/>
              <w:left w:val="nil"/>
              <w:bottom w:val="single" w:sz="4" w:space="0" w:color="0070C0"/>
              <w:right w:val="single" w:sz="4" w:space="0" w:color="0070C0"/>
            </w:tcBorders>
            <w:shd w:val="clear" w:color="auto" w:fill="auto"/>
          </w:tcPr>
          <w:p w14:paraId="046FB2BC"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449A834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4B11D8E7"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06BAED23"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Bonne collaboration</w:t>
            </w:r>
          </w:p>
        </w:tc>
        <w:tc>
          <w:tcPr>
            <w:tcW w:w="547" w:type="dxa"/>
            <w:tcBorders>
              <w:top w:val="nil"/>
              <w:left w:val="nil"/>
              <w:bottom w:val="single" w:sz="4" w:space="0" w:color="0070C0"/>
              <w:right w:val="single" w:sz="4" w:space="0" w:color="0070C0"/>
            </w:tcBorders>
            <w:shd w:val="clear" w:color="auto" w:fill="auto"/>
            <w:vAlign w:val="center"/>
          </w:tcPr>
          <w:p w14:paraId="4C281BAD"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2</w:t>
            </w:r>
          </w:p>
        </w:tc>
        <w:tc>
          <w:tcPr>
            <w:tcW w:w="1147" w:type="dxa"/>
            <w:tcBorders>
              <w:top w:val="nil"/>
              <w:left w:val="nil"/>
              <w:bottom w:val="single" w:sz="4" w:space="0" w:color="0070C0"/>
              <w:right w:val="single" w:sz="4" w:space="0" w:color="0070C0"/>
            </w:tcBorders>
            <w:shd w:val="clear" w:color="auto" w:fill="auto"/>
          </w:tcPr>
          <w:p w14:paraId="39BA8C06"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55EC3C6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76ABA82A"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325F3DE2"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Collaboration moyenne</w:t>
            </w:r>
          </w:p>
        </w:tc>
        <w:tc>
          <w:tcPr>
            <w:tcW w:w="547" w:type="dxa"/>
            <w:tcBorders>
              <w:top w:val="nil"/>
              <w:left w:val="nil"/>
              <w:bottom w:val="single" w:sz="4" w:space="0" w:color="0070C0"/>
              <w:right w:val="single" w:sz="4" w:space="0" w:color="0070C0"/>
            </w:tcBorders>
            <w:shd w:val="clear" w:color="auto" w:fill="auto"/>
            <w:vAlign w:val="center"/>
          </w:tcPr>
          <w:p w14:paraId="0AD5CCDD"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3</w:t>
            </w:r>
          </w:p>
        </w:tc>
        <w:tc>
          <w:tcPr>
            <w:tcW w:w="1147" w:type="dxa"/>
            <w:tcBorders>
              <w:top w:val="nil"/>
              <w:left w:val="nil"/>
              <w:bottom w:val="single" w:sz="4" w:space="0" w:color="0070C0"/>
              <w:right w:val="single" w:sz="4" w:space="0" w:color="0070C0"/>
            </w:tcBorders>
            <w:shd w:val="clear" w:color="auto" w:fill="auto"/>
          </w:tcPr>
          <w:p w14:paraId="4720F1E2" w14:textId="77777777" w:rsidR="00906232" w:rsidRPr="00837BF1" w:rsidRDefault="00906232" w:rsidP="009E2DEE">
            <w:pPr>
              <w:spacing w:before="20" w:after="20" w:line="240" w:lineRule="auto"/>
              <w:jc w:val="center"/>
              <w:rPr>
                <w:rFonts w:eastAsia="Times New Roman" w:cs="Tahoma"/>
                <w:b/>
                <w:bCs/>
                <w:sz w:val="20"/>
                <w:szCs w:val="20"/>
              </w:rPr>
            </w:pPr>
          </w:p>
        </w:tc>
      </w:tr>
      <w:tr w:rsidR="00F01CB8" w:rsidRPr="00E82DD7" w14:paraId="3AFCF8C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2D5F1F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44B07390"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Mauvaise collaboration</w:t>
            </w:r>
          </w:p>
        </w:tc>
        <w:tc>
          <w:tcPr>
            <w:tcW w:w="547" w:type="dxa"/>
            <w:tcBorders>
              <w:top w:val="nil"/>
              <w:left w:val="nil"/>
              <w:bottom w:val="single" w:sz="4" w:space="0" w:color="0070C0"/>
              <w:right w:val="single" w:sz="4" w:space="0" w:color="0070C0"/>
            </w:tcBorders>
            <w:shd w:val="clear" w:color="auto" w:fill="auto"/>
            <w:vAlign w:val="center"/>
            <w:hideMark/>
          </w:tcPr>
          <w:p w14:paraId="404E2531"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4</w:t>
            </w:r>
          </w:p>
        </w:tc>
        <w:tc>
          <w:tcPr>
            <w:tcW w:w="1147" w:type="dxa"/>
            <w:tcBorders>
              <w:top w:val="nil"/>
              <w:left w:val="nil"/>
              <w:bottom w:val="single" w:sz="4" w:space="0" w:color="0070C0"/>
              <w:right w:val="single" w:sz="4" w:space="0" w:color="0070C0"/>
            </w:tcBorders>
            <w:shd w:val="clear" w:color="auto" w:fill="auto"/>
            <w:vAlign w:val="center"/>
            <w:hideMark/>
          </w:tcPr>
          <w:p w14:paraId="10F5A66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213991D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15E1022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bottom"/>
          </w:tcPr>
          <w:p w14:paraId="741D32F0"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1F38230A" w14:textId="77777777" w:rsidR="00906232" w:rsidRPr="00837BF1" w:rsidRDefault="00906232" w:rsidP="009E2DEE">
            <w:pPr>
              <w:spacing w:before="20" w:after="20" w:line="240" w:lineRule="auto"/>
              <w:jc w:val="center"/>
              <w:rPr>
                <w:b/>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7A5083B" w14:textId="77777777" w:rsidR="00906232" w:rsidRPr="00837BF1" w:rsidRDefault="00906232" w:rsidP="009E2DEE">
            <w:pPr>
              <w:spacing w:before="20" w:after="20" w:line="240" w:lineRule="auto"/>
              <w:jc w:val="center"/>
              <w:rPr>
                <w:b/>
                <w:bCs/>
                <w:color w:val="000000"/>
                <w:sz w:val="20"/>
                <w:szCs w:val="20"/>
              </w:rPr>
            </w:pPr>
          </w:p>
        </w:tc>
      </w:tr>
      <w:tr w:rsidR="00F01CB8" w:rsidRPr="00D147D4" w14:paraId="60466312"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389D50E8"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PC.03</w:t>
            </w:r>
          </w:p>
        </w:tc>
        <w:tc>
          <w:tcPr>
            <w:tcW w:w="6445" w:type="dxa"/>
            <w:tcBorders>
              <w:top w:val="nil"/>
              <w:left w:val="nil"/>
              <w:bottom w:val="single" w:sz="4" w:space="0" w:color="0070C0"/>
              <w:right w:val="single" w:sz="4" w:space="0" w:color="0070C0"/>
            </w:tcBorders>
            <w:shd w:val="clear" w:color="auto" w:fill="auto"/>
            <w:vAlign w:val="bottom"/>
            <w:hideMark/>
          </w:tcPr>
          <w:p w14:paraId="06359FAA" w14:textId="7C69A5CB"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Pensez-vous que la confiance entre les acteurs de la chaine pénal</w:t>
            </w:r>
            <w:r w:rsidR="005030FC" w:rsidRPr="00D147D4">
              <w:rPr>
                <w:rFonts w:eastAsia="Times New Roman" w:cs="Tahoma"/>
                <w:sz w:val="20"/>
                <w:szCs w:val="20"/>
              </w:rPr>
              <w:t>e</w:t>
            </w:r>
            <w:r w:rsidRPr="00D147D4">
              <w:rPr>
                <w:rFonts w:eastAsia="Times New Roman" w:cs="Tahoma"/>
                <w:sz w:val="20"/>
                <w:szCs w:val="20"/>
              </w:rPr>
              <w:t xml:space="preserve"> (justice) et les communautés s'est améliorée ces deux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523AE5E5"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8925151"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E82DD7" w14:paraId="0C752EF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75390C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BE67AC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44005B76"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5CC1A8C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1820C4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6969A1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AA1085D"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6ECACC9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7517EA3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2D9A90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51E3C8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540542D0"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68E106B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1BCC976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1B61C5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4336647C"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3</w:t>
            </w:r>
            <w:r w:rsidRPr="00837BF1">
              <w:rPr>
                <w:rFonts w:eastAsia="Times New Roman" w:cs="Tahoma"/>
                <w:b/>
                <w:bCs/>
                <w:color w:val="000000"/>
                <w:sz w:val="20"/>
                <w:szCs w:val="20"/>
              </w:rPr>
              <w:t>a</w:t>
            </w:r>
          </w:p>
        </w:tc>
        <w:tc>
          <w:tcPr>
            <w:tcW w:w="6445" w:type="dxa"/>
            <w:tcBorders>
              <w:top w:val="nil"/>
              <w:left w:val="nil"/>
              <w:bottom w:val="single" w:sz="4" w:space="0" w:color="0070C0"/>
              <w:right w:val="single" w:sz="4" w:space="0" w:color="0070C0"/>
            </w:tcBorders>
            <w:shd w:val="clear" w:color="auto" w:fill="auto"/>
            <w:noWrap/>
            <w:vAlign w:val="bottom"/>
            <w:hideMark/>
          </w:tcPr>
          <w:p w14:paraId="18B9B4F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Si non</w:t>
            </w:r>
            <w:r>
              <w:rPr>
                <w:rFonts w:eastAsia="Times New Roman" w:cs="Tahoma"/>
                <w:color w:val="000000"/>
                <w:sz w:val="20"/>
                <w:szCs w:val="20"/>
              </w:rPr>
              <w:t>,</w:t>
            </w:r>
            <w:r w:rsidRPr="00837BF1">
              <w:rPr>
                <w:rFonts w:eastAsia="Times New Roman" w:cs="Tahoma"/>
                <w:color w:val="000000"/>
                <w:sz w:val="20"/>
                <w:szCs w:val="20"/>
              </w:rPr>
              <w:t xml:space="preserve"> pourquoi ?</w:t>
            </w:r>
          </w:p>
        </w:tc>
        <w:tc>
          <w:tcPr>
            <w:tcW w:w="547" w:type="dxa"/>
            <w:tcBorders>
              <w:top w:val="nil"/>
              <w:left w:val="nil"/>
              <w:bottom w:val="single" w:sz="4" w:space="0" w:color="0070C0"/>
              <w:right w:val="single" w:sz="4" w:space="0" w:color="0070C0"/>
            </w:tcBorders>
            <w:shd w:val="clear" w:color="auto" w:fill="auto"/>
            <w:vAlign w:val="center"/>
            <w:hideMark/>
          </w:tcPr>
          <w:p w14:paraId="275FA83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hideMark/>
          </w:tcPr>
          <w:p w14:paraId="1BC4387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1B9E6CA"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2694463"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B717890"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 xml:space="preserve">Augmentation du nombre de conflits non gérés </w:t>
            </w:r>
          </w:p>
        </w:tc>
        <w:tc>
          <w:tcPr>
            <w:tcW w:w="547" w:type="dxa"/>
            <w:tcBorders>
              <w:top w:val="nil"/>
              <w:left w:val="nil"/>
              <w:bottom w:val="single" w:sz="4" w:space="0" w:color="0070C0"/>
              <w:right w:val="single" w:sz="4" w:space="0" w:color="0070C0"/>
            </w:tcBorders>
            <w:shd w:val="clear" w:color="auto" w:fill="auto"/>
            <w:vAlign w:val="center"/>
            <w:hideMark/>
          </w:tcPr>
          <w:p w14:paraId="3B2AE3A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776D935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453D658"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3D7B52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54DE7A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Libération / impunité des présumés coupables des actes de banditismes, vols, viols, terrorisme</w:t>
            </w:r>
          </w:p>
        </w:tc>
        <w:tc>
          <w:tcPr>
            <w:tcW w:w="547" w:type="dxa"/>
            <w:tcBorders>
              <w:top w:val="nil"/>
              <w:left w:val="nil"/>
              <w:bottom w:val="single" w:sz="4" w:space="0" w:color="0070C0"/>
              <w:right w:val="single" w:sz="4" w:space="0" w:color="0070C0"/>
            </w:tcBorders>
            <w:shd w:val="clear" w:color="auto" w:fill="auto"/>
            <w:vAlign w:val="center"/>
            <w:hideMark/>
          </w:tcPr>
          <w:p w14:paraId="28BD7C0A"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084C5B3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37D6BE7"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4F52E2D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9D5D32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 xml:space="preserve">Cas de contestation des décisions de justice </w:t>
            </w:r>
          </w:p>
        </w:tc>
        <w:tc>
          <w:tcPr>
            <w:tcW w:w="547" w:type="dxa"/>
            <w:tcBorders>
              <w:top w:val="nil"/>
              <w:left w:val="nil"/>
              <w:bottom w:val="single" w:sz="4" w:space="0" w:color="0070C0"/>
              <w:right w:val="single" w:sz="4" w:space="0" w:color="0070C0"/>
            </w:tcBorders>
            <w:shd w:val="clear" w:color="auto" w:fill="auto"/>
            <w:vAlign w:val="center"/>
            <w:hideMark/>
          </w:tcPr>
          <w:p w14:paraId="5B1393EE"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hideMark/>
          </w:tcPr>
          <w:p w14:paraId="191EF3D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9453203"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tcPr>
          <w:p w14:paraId="0DA14CD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000EB33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Lenteur dans la prise des décisions de justice</w:t>
            </w:r>
          </w:p>
        </w:tc>
        <w:tc>
          <w:tcPr>
            <w:tcW w:w="547" w:type="dxa"/>
            <w:tcBorders>
              <w:top w:val="nil"/>
              <w:left w:val="nil"/>
              <w:bottom w:val="single" w:sz="4" w:space="0" w:color="0070C0"/>
              <w:right w:val="single" w:sz="4" w:space="0" w:color="0070C0"/>
            </w:tcBorders>
            <w:shd w:val="clear" w:color="auto" w:fill="auto"/>
            <w:vAlign w:val="center"/>
          </w:tcPr>
          <w:p w14:paraId="4EFE4BA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4</w:t>
            </w:r>
          </w:p>
        </w:tc>
        <w:tc>
          <w:tcPr>
            <w:tcW w:w="1147" w:type="dxa"/>
            <w:tcBorders>
              <w:top w:val="nil"/>
              <w:left w:val="nil"/>
              <w:bottom w:val="single" w:sz="4" w:space="0" w:color="0070C0"/>
              <w:right w:val="single" w:sz="4" w:space="0" w:color="0070C0"/>
            </w:tcBorders>
            <w:shd w:val="clear" w:color="auto" w:fill="auto"/>
            <w:vAlign w:val="center"/>
          </w:tcPr>
          <w:p w14:paraId="0CA822A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A9D039F"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E9C676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13854E8"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Autres à préciser</w:t>
            </w:r>
          </w:p>
        </w:tc>
        <w:tc>
          <w:tcPr>
            <w:tcW w:w="547" w:type="dxa"/>
            <w:tcBorders>
              <w:top w:val="nil"/>
              <w:left w:val="nil"/>
              <w:bottom w:val="single" w:sz="4" w:space="0" w:color="0070C0"/>
              <w:right w:val="single" w:sz="4" w:space="0" w:color="0070C0"/>
            </w:tcBorders>
            <w:shd w:val="clear" w:color="auto" w:fill="auto"/>
            <w:vAlign w:val="center"/>
            <w:hideMark/>
          </w:tcPr>
          <w:p w14:paraId="591E045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hideMark/>
          </w:tcPr>
          <w:p w14:paraId="6F9AA44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524405A"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tcPr>
          <w:p w14:paraId="14A0BDB6"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759AA583" w14:textId="77777777" w:rsidR="00906232" w:rsidRPr="00837BF1" w:rsidRDefault="00906232" w:rsidP="009E2DEE">
            <w:pPr>
              <w:spacing w:before="20" w:after="20" w:line="240" w:lineRule="auto"/>
              <w:ind w:left="708"/>
              <w:rPr>
                <w:rFonts w:eastAsia="Times New Roman" w:cs="Tahoma"/>
                <w:i/>
                <w:iCs/>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48CC8DD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A6A900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bl>
    <w:p w14:paraId="2AC56E13" w14:textId="3E175571" w:rsidR="000A46AA" w:rsidRDefault="00906232">
      <w:pPr>
        <w:spacing w:before="0" w:after="160" w:line="259" w:lineRule="auto"/>
        <w:jc w:val="left"/>
      </w:pPr>
      <w:r w:rsidRPr="00E82DD7">
        <w:br w:type="page"/>
      </w:r>
    </w:p>
    <w:p w14:paraId="6FBB6E04" w14:textId="53794ADC" w:rsidR="00906232" w:rsidRPr="00510709" w:rsidRDefault="000A46AA" w:rsidP="003A3323">
      <w:pPr>
        <w:pStyle w:val="Titre2"/>
        <w:numPr>
          <w:ilvl w:val="0"/>
          <w:numId w:val="0"/>
        </w:numPr>
        <w:ind w:left="720" w:hanging="720"/>
      </w:pPr>
      <w:bookmarkStart w:id="1009" w:name="_Toc95451885"/>
      <w:r w:rsidRPr="00510709">
        <w:t xml:space="preserve">Annexe </w:t>
      </w:r>
      <w:r w:rsidR="006E0364" w:rsidRPr="00510709">
        <w:t>6</w:t>
      </w:r>
      <w:r w:rsidRPr="00510709">
        <w:t> : Liste des structures et acteurs rencontrés</w:t>
      </w:r>
      <w:bookmarkEnd w:id="1009"/>
      <w:r w:rsidR="00D17D01" w:rsidRPr="00510709">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8"/>
        <w:gridCol w:w="2668"/>
        <w:gridCol w:w="3556"/>
      </w:tblGrid>
      <w:tr w:rsidR="00F01CB8" w:rsidRPr="00962115" w14:paraId="5E42FEE2" w14:textId="77777777" w:rsidTr="0020372B">
        <w:trPr>
          <w:trHeight w:val="570"/>
          <w:tblHeader/>
        </w:trPr>
        <w:tc>
          <w:tcPr>
            <w:tcW w:w="1566" w:type="pct"/>
            <w:shd w:val="clear" w:color="000000" w:fill="002060"/>
            <w:vAlign w:val="center"/>
            <w:hideMark/>
          </w:tcPr>
          <w:p w14:paraId="39701A9C" w14:textId="77777777" w:rsidR="00510709" w:rsidRPr="00962115" w:rsidRDefault="00510709" w:rsidP="0020372B">
            <w:pPr>
              <w:spacing w:before="0" w:after="0" w:line="240" w:lineRule="auto"/>
              <w:jc w:val="center"/>
              <w:rPr>
                <w:rFonts w:eastAsia="Times New Roman" w:cs="Calibri"/>
                <w:b/>
                <w:bCs/>
                <w:color w:val="FFFFFF"/>
              </w:rPr>
            </w:pPr>
            <w:r w:rsidRPr="00962115">
              <w:rPr>
                <w:rFonts w:eastAsia="Times New Roman" w:cs="Calibri"/>
                <w:b/>
                <w:bCs/>
                <w:color w:val="FFFFFF"/>
              </w:rPr>
              <w:t>Parties prenantes</w:t>
            </w:r>
            <w:r>
              <w:rPr>
                <w:rFonts w:eastAsia="Times New Roman" w:cs="Calibri"/>
                <w:b/>
                <w:bCs/>
                <w:color w:val="FFFFFF"/>
              </w:rPr>
              <w:t xml:space="preserve"> concernées</w:t>
            </w:r>
          </w:p>
        </w:tc>
        <w:tc>
          <w:tcPr>
            <w:tcW w:w="1472" w:type="pct"/>
            <w:shd w:val="clear" w:color="000000" w:fill="002060"/>
            <w:vAlign w:val="center"/>
            <w:hideMark/>
          </w:tcPr>
          <w:p w14:paraId="1CB9A9AB" w14:textId="77777777" w:rsidR="00510709" w:rsidRPr="00962115" w:rsidRDefault="00510709" w:rsidP="0020372B">
            <w:pPr>
              <w:spacing w:before="0" w:after="0" w:line="240" w:lineRule="auto"/>
              <w:jc w:val="left"/>
              <w:rPr>
                <w:rFonts w:eastAsia="Times New Roman" w:cs="Calibri"/>
                <w:b/>
                <w:bCs/>
                <w:color w:val="FFFFFF"/>
              </w:rPr>
            </w:pPr>
            <w:r w:rsidRPr="00962115">
              <w:rPr>
                <w:rFonts w:eastAsia="Times New Roman" w:cs="Calibri"/>
                <w:b/>
                <w:bCs/>
                <w:color w:val="FFFFFF"/>
              </w:rPr>
              <w:t>Structure</w:t>
            </w:r>
          </w:p>
        </w:tc>
        <w:tc>
          <w:tcPr>
            <w:tcW w:w="1962" w:type="pct"/>
            <w:shd w:val="clear" w:color="000000" w:fill="002060"/>
            <w:vAlign w:val="center"/>
            <w:hideMark/>
          </w:tcPr>
          <w:p w14:paraId="19AEB42E" w14:textId="77777777" w:rsidR="00510709" w:rsidRPr="00962115" w:rsidRDefault="00510709" w:rsidP="0020372B">
            <w:pPr>
              <w:spacing w:before="0" w:after="0" w:line="240" w:lineRule="auto"/>
              <w:jc w:val="left"/>
              <w:rPr>
                <w:rFonts w:eastAsia="Times New Roman" w:cs="Calibri"/>
                <w:b/>
                <w:bCs/>
                <w:color w:val="FFFFFF"/>
              </w:rPr>
            </w:pPr>
            <w:r w:rsidRPr="00962115">
              <w:rPr>
                <w:rFonts w:eastAsia="Times New Roman" w:cs="Calibri"/>
                <w:b/>
                <w:bCs/>
                <w:color w:val="FFFFFF"/>
              </w:rPr>
              <w:t>Personne à rencontrer</w:t>
            </w:r>
          </w:p>
        </w:tc>
      </w:tr>
      <w:tr w:rsidR="00510709" w:rsidRPr="00962115" w14:paraId="1519CB2C" w14:textId="77777777" w:rsidTr="0060123A">
        <w:trPr>
          <w:trHeight w:val="405"/>
        </w:trPr>
        <w:tc>
          <w:tcPr>
            <w:tcW w:w="1566" w:type="pct"/>
            <w:vMerge w:val="restart"/>
            <w:shd w:val="clear" w:color="auto" w:fill="auto"/>
            <w:vAlign w:val="center"/>
            <w:hideMark/>
          </w:tcPr>
          <w:p w14:paraId="4B390A74" w14:textId="77777777" w:rsidR="00510709" w:rsidRPr="00962115" w:rsidRDefault="00510709" w:rsidP="0020372B">
            <w:pPr>
              <w:spacing w:before="0" w:after="0" w:line="240" w:lineRule="auto"/>
              <w:rPr>
                <w:rFonts w:eastAsia="Times New Roman" w:cs="Calibri"/>
                <w:b/>
                <w:bCs/>
                <w:i/>
                <w:iCs/>
                <w:color w:val="000000"/>
              </w:rPr>
            </w:pPr>
            <w:r w:rsidRPr="00962115">
              <w:rPr>
                <w:rFonts w:eastAsia="Times New Roman" w:cs="Calibri"/>
                <w:b/>
                <w:bCs/>
                <w:i/>
                <w:iCs/>
                <w:color w:val="000000"/>
              </w:rPr>
              <w:t xml:space="preserve">Bailleur de fonds </w:t>
            </w:r>
          </w:p>
        </w:tc>
        <w:tc>
          <w:tcPr>
            <w:tcW w:w="1472" w:type="pct"/>
            <w:shd w:val="clear" w:color="auto" w:fill="auto"/>
            <w:vAlign w:val="center"/>
            <w:hideMark/>
          </w:tcPr>
          <w:p w14:paraId="6652E2A0"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PBF</w:t>
            </w:r>
            <w:r>
              <w:rPr>
                <w:rFonts w:eastAsia="Times New Roman" w:cs="Calibri"/>
                <w:color w:val="000000"/>
              </w:rPr>
              <w:t xml:space="preserve"> Mali </w:t>
            </w:r>
          </w:p>
        </w:tc>
        <w:tc>
          <w:tcPr>
            <w:tcW w:w="1962" w:type="pct"/>
            <w:shd w:val="clear" w:color="auto" w:fill="auto"/>
            <w:vAlign w:val="center"/>
            <w:hideMark/>
          </w:tcPr>
          <w:p w14:paraId="14CCEFD7" w14:textId="77777777" w:rsidR="00510709" w:rsidRPr="002809BF" w:rsidRDefault="00510709" w:rsidP="0020372B">
            <w:pPr>
              <w:spacing w:before="0" w:after="0" w:line="240" w:lineRule="auto"/>
              <w:jc w:val="left"/>
              <w:rPr>
                <w:rFonts w:eastAsia="Times New Roman" w:cs="Calibri"/>
                <w:color w:val="000000"/>
              </w:rPr>
            </w:pPr>
            <w:r w:rsidRPr="002809BF">
              <w:rPr>
                <w:rFonts w:eastAsia="Times New Roman" w:cs="Calibri"/>
                <w:color w:val="000000"/>
              </w:rPr>
              <w:t>Chargé de projet / de subvention</w:t>
            </w:r>
          </w:p>
        </w:tc>
      </w:tr>
      <w:tr w:rsidR="00510709" w:rsidRPr="002809BF" w14:paraId="24B42F56" w14:textId="77777777" w:rsidTr="0060123A">
        <w:trPr>
          <w:trHeight w:val="70"/>
        </w:trPr>
        <w:tc>
          <w:tcPr>
            <w:tcW w:w="1566" w:type="pct"/>
            <w:vMerge/>
            <w:shd w:val="clear" w:color="auto" w:fill="auto"/>
            <w:vAlign w:val="center"/>
          </w:tcPr>
          <w:p w14:paraId="19941614" w14:textId="77777777" w:rsidR="00510709" w:rsidRPr="00962115" w:rsidRDefault="00510709" w:rsidP="0020372B">
            <w:pPr>
              <w:spacing w:after="0" w:line="240" w:lineRule="auto"/>
              <w:rPr>
                <w:rFonts w:eastAsia="Times New Roman" w:cs="Calibri"/>
                <w:b/>
                <w:bCs/>
                <w:i/>
                <w:iCs/>
                <w:color w:val="000000"/>
              </w:rPr>
            </w:pPr>
          </w:p>
        </w:tc>
        <w:tc>
          <w:tcPr>
            <w:tcW w:w="1472" w:type="pct"/>
            <w:shd w:val="clear" w:color="auto" w:fill="auto"/>
            <w:vAlign w:val="center"/>
          </w:tcPr>
          <w:p w14:paraId="611FAE7E" w14:textId="77777777" w:rsidR="00510709" w:rsidRPr="00962115" w:rsidRDefault="00510709" w:rsidP="0020372B">
            <w:pPr>
              <w:spacing w:after="0" w:line="240" w:lineRule="auto"/>
              <w:rPr>
                <w:rFonts w:eastAsia="Times New Roman" w:cs="Calibri"/>
                <w:color w:val="000000"/>
              </w:rPr>
            </w:pPr>
            <w:r w:rsidRPr="00962115">
              <w:rPr>
                <w:rFonts w:eastAsia="Times New Roman" w:cs="Calibri"/>
                <w:color w:val="000000"/>
              </w:rPr>
              <w:t>PBF</w:t>
            </w:r>
            <w:r>
              <w:rPr>
                <w:rFonts w:eastAsia="Times New Roman" w:cs="Calibri"/>
                <w:color w:val="000000"/>
              </w:rPr>
              <w:t xml:space="preserve"> Mali</w:t>
            </w:r>
          </w:p>
        </w:tc>
        <w:tc>
          <w:tcPr>
            <w:tcW w:w="1962" w:type="pct"/>
            <w:shd w:val="clear" w:color="auto" w:fill="auto"/>
            <w:vAlign w:val="center"/>
          </w:tcPr>
          <w:p w14:paraId="1775FE94" w14:textId="77777777" w:rsidR="00510709" w:rsidRPr="002809BF" w:rsidRDefault="00510709" w:rsidP="0020372B">
            <w:pPr>
              <w:spacing w:after="0" w:line="240" w:lineRule="auto"/>
              <w:rPr>
                <w:rFonts w:eastAsia="Times New Roman" w:cs="Calibri"/>
                <w:color w:val="000000"/>
              </w:rPr>
            </w:pPr>
            <w:r w:rsidRPr="002809BF">
              <w:rPr>
                <w:rFonts w:eastAsia="Times New Roman" w:cs="Calibri"/>
                <w:color w:val="000000"/>
              </w:rPr>
              <w:t>Chargé de projet / de subvention</w:t>
            </w:r>
          </w:p>
        </w:tc>
      </w:tr>
      <w:tr w:rsidR="00F01CB8" w:rsidRPr="00962115" w14:paraId="35CD262B" w14:textId="77777777" w:rsidTr="0020372B">
        <w:trPr>
          <w:trHeight w:val="344"/>
        </w:trPr>
        <w:tc>
          <w:tcPr>
            <w:tcW w:w="1566" w:type="pct"/>
            <w:vMerge w:val="restart"/>
            <w:shd w:val="clear" w:color="000000" w:fill="F2F2F2"/>
            <w:vAlign w:val="center"/>
            <w:hideMark/>
          </w:tcPr>
          <w:p w14:paraId="2F88B93B" w14:textId="77777777" w:rsidR="00510709" w:rsidRPr="002809BF" w:rsidRDefault="00510709" w:rsidP="0020372B">
            <w:pPr>
              <w:spacing w:before="0" w:after="0" w:line="240" w:lineRule="auto"/>
              <w:rPr>
                <w:rFonts w:eastAsia="Times New Roman" w:cs="Calibri"/>
                <w:b/>
                <w:bCs/>
                <w:i/>
                <w:iCs/>
                <w:color w:val="000000"/>
              </w:rPr>
            </w:pPr>
            <w:r w:rsidRPr="002809BF">
              <w:rPr>
                <w:rFonts w:eastAsia="Times New Roman" w:cs="Calibri"/>
                <w:b/>
                <w:bCs/>
                <w:i/>
                <w:iCs/>
                <w:color w:val="000000"/>
              </w:rPr>
              <w:t>Agences de mise en œuvre </w:t>
            </w:r>
          </w:p>
        </w:tc>
        <w:tc>
          <w:tcPr>
            <w:tcW w:w="1472" w:type="pct"/>
            <w:shd w:val="clear" w:color="000000" w:fill="F2F2F2"/>
            <w:vAlign w:val="center"/>
            <w:hideMark/>
          </w:tcPr>
          <w:p w14:paraId="2B36CEBF"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ONU Femmes (Mali)</w:t>
            </w:r>
          </w:p>
        </w:tc>
        <w:tc>
          <w:tcPr>
            <w:tcW w:w="1962" w:type="pct"/>
            <w:shd w:val="clear" w:color="000000" w:fill="F2F2F2"/>
            <w:vAlign w:val="center"/>
            <w:hideMark/>
          </w:tcPr>
          <w:p w14:paraId="70A645B5"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Equipe de projet (Program manager, Responsable</w:t>
            </w:r>
            <w:r>
              <w:rPr>
                <w:rFonts w:eastAsia="Times New Roman" w:cs="Calibri"/>
                <w:color w:val="000000"/>
              </w:rPr>
              <w:t xml:space="preserve"> et chargés de</w:t>
            </w:r>
            <w:r w:rsidRPr="00906112">
              <w:rPr>
                <w:rFonts w:eastAsia="Times New Roman" w:cs="Calibri"/>
                <w:color w:val="000000"/>
              </w:rPr>
              <w:t xml:space="preserve"> S&amp;E</w:t>
            </w:r>
            <w:r>
              <w:rPr>
                <w:rFonts w:eastAsia="Times New Roman" w:cs="Calibri"/>
                <w:color w:val="000000"/>
              </w:rPr>
              <w:t>)</w:t>
            </w:r>
          </w:p>
        </w:tc>
      </w:tr>
      <w:tr w:rsidR="00F01CB8" w:rsidRPr="00962115" w14:paraId="757F04C8" w14:textId="77777777" w:rsidTr="0020372B">
        <w:trPr>
          <w:trHeight w:val="270"/>
        </w:trPr>
        <w:tc>
          <w:tcPr>
            <w:tcW w:w="1566" w:type="pct"/>
            <w:vMerge/>
            <w:vAlign w:val="center"/>
            <w:hideMark/>
          </w:tcPr>
          <w:p w14:paraId="1A3E0B60"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9472DD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ONU Femmes (Niger)</w:t>
            </w:r>
          </w:p>
        </w:tc>
        <w:tc>
          <w:tcPr>
            <w:tcW w:w="1962" w:type="pct"/>
            <w:shd w:val="clear" w:color="000000" w:fill="F2F2F2"/>
            <w:vAlign w:val="center"/>
            <w:hideMark/>
          </w:tcPr>
          <w:p w14:paraId="1AB6E515"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Program manager </w:t>
            </w:r>
          </w:p>
        </w:tc>
      </w:tr>
      <w:tr w:rsidR="00F01CB8" w:rsidRPr="00962115" w14:paraId="1AA71A6F" w14:textId="77777777" w:rsidTr="0020372B">
        <w:trPr>
          <w:trHeight w:val="270"/>
        </w:trPr>
        <w:tc>
          <w:tcPr>
            <w:tcW w:w="1566" w:type="pct"/>
            <w:vMerge/>
            <w:vAlign w:val="center"/>
            <w:hideMark/>
          </w:tcPr>
          <w:p w14:paraId="24E768AA"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CA70CE9"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ONUDC </w:t>
            </w:r>
            <w:r>
              <w:rPr>
                <w:rFonts w:eastAsia="Times New Roman" w:cs="Calibri"/>
                <w:color w:val="000000"/>
              </w:rPr>
              <w:t xml:space="preserve">Dakar </w:t>
            </w:r>
          </w:p>
        </w:tc>
        <w:tc>
          <w:tcPr>
            <w:tcW w:w="1962" w:type="pct"/>
            <w:shd w:val="clear" w:color="000000" w:fill="F2F2F2"/>
            <w:vAlign w:val="center"/>
            <w:hideMark/>
          </w:tcPr>
          <w:p w14:paraId="0FA7279B"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Gestionnaire de projet</w:t>
            </w:r>
          </w:p>
        </w:tc>
      </w:tr>
      <w:tr w:rsidR="00510709" w:rsidRPr="00962115" w14:paraId="052AEBEB" w14:textId="77777777" w:rsidTr="0060123A">
        <w:trPr>
          <w:trHeight w:val="270"/>
        </w:trPr>
        <w:tc>
          <w:tcPr>
            <w:tcW w:w="1566" w:type="pct"/>
            <w:vMerge w:val="restart"/>
            <w:shd w:val="clear" w:color="auto" w:fill="auto"/>
            <w:vAlign w:val="center"/>
            <w:hideMark/>
          </w:tcPr>
          <w:p w14:paraId="17ADE5D9" w14:textId="77777777" w:rsidR="00510709" w:rsidRPr="002809BF" w:rsidRDefault="00510709" w:rsidP="0020372B">
            <w:pPr>
              <w:spacing w:before="0" w:after="0" w:line="240" w:lineRule="auto"/>
              <w:rPr>
                <w:rFonts w:eastAsia="Times New Roman" w:cs="Calibri"/>
                <w:b/>
                <w:bCs/>
                <w:color w:val="000000"/>
              </w:rPr>
            </w:pPr>
            <w:r w:rsidRPr="002809BF">
              <w:rPr>
                <w:rFonts w:eastAsia="Times New Roman" w:cs="Calibri"/>
                <w:b/>
                <w:bCs/>
                <w:color w:val="000000"/>
              </w:rPr>
              <w:t xml:space="preserve">ONG locales partenaires de mise en œuvre </w:t>
            </w:r>
          </w:p>
        </w:tc>
        <w:tc>
          <w:tcPr>
            <w:tcW w:w="1472" w:type="pct"/>
            <w:shd w:val="clear" w:color="auto" w:fill="auto"/>
            <w:vAlign w:val="center"/>
            <w:hideMark/>
          </w:tcPr>
          <w:p w14:paraId="0557814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CAR.D (Mali)</w:t>
            </w:r>
          </w:p>
        </w:tc>
        <w:tc>
          <w:tcPr>
            <w:tcW w:w="1962" w:type="pct"/>
            <w:shd w:val="clear" w:color="auto" w:fill="auto"/>
            <w:vAlign w:val="center"/>
            <w:hideMark/>
          </w:tcPr>
          <w:p w14:paraId="0907A3FE"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3AE7B263" w14:textId="77777777" w:rsidTr="0060123A">
        <w:trPr>
          <w:trHeight w:val="270"/>
        </w:trPr>
        <w:tc>
          <w:tcPr>
            <w:tcW w:w="1566" w:type="pct"/>
            <w:vMerge/>
            <w:vAlign w:val="center"/>
            <w:hideMark/>
          </w:tcPr>
          <w:p w14:paraId="5AA94307"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2A7D4746"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CRADE (Mali)</w:t>
            </w:r>
          </w:p>
        </w:tc>
        <w:tc>
          <w:tcPr>
            <w:tcW w:w="1962" w:type="pct"/>
            <w:shd w:val="clear" w:color="auto" w:fill="auto"/>
            <w:vAlign w:val="center"/>
            <w:hideMark/>
          </w:tcPr>
          <w:p w14:paraId="23241934"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068ABB35" w14:textId="77777777" w:rsidTr="0060123A">
        <w:trPr>
          <w:trHeight w:val="270"/>
        </w:trPr>
        <w:tc>
          <w:tcPr>
            <w:tcW w:w="1566" w:type="pct"/>
            <w:vMerge/>
            <w:vAlign w:val="center"/>
            <w:hideMark/>
          </w:tcPr>
          <w:p w14:paraId="65B35947"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2C74E66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RESPFCO (Niger)</w:t>
            </w:r>
          </w:p>
        </w:tc>
        <w:tc>
          <w:tcPr>
            <w:tcW w:w="1962" w:type="pct"/>
            <w:shd w:val="clear" w:color="auto" w:fill="auto"/>
            <w:vAlign w:val="center"/>
            <w:hideMark/>
          </w:tcPr>
          <w:p w14:paraId="1BB84062"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61EF62D7" w14:textId="77777777" w:rsidTr="0060123A">
        <w:trPr>
          <w:trHeight w:val="270"/>
        </w:trPr>
        <w:tc>
          <w:tcPr>
            <w:tcW w:w="1566" w:type="pct"/>
            <w:vMerge/>
            <w:vAlign w:val="center"/>
            <w:hideMark/>
          </w:tcPr>
          <w:p w14:paraId="133C9E4C"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17918C60"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ADL (Niger)</w:t>
            </w:r>
          </w:p>
        </w:tc>
        <w:tc>
          <w:tcPr>
            <w:tcW w:w="1962" w:type="pct"/>
            <w:shd w:val="clear" w:color="auto" w:fill="auto"/>
            <w:vAlign w:val="center"/>
            <w:hideMark/>
          </w:tcPr>
          <w:p w14:paraId="45C2EC48"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F01CB8" w:rsidRPr="00962115" w14:paraId="47A13F0E" w14:textId="77777777" w:rsidTr="0020372B">
        <w:trPr>
          <w:trHeight w:val="310"/>
        </w:trPr>
        <w:tc>
          <w:tcPr>
            <w:tcW w:w="1566" w:type="pct"/>
            <w:vMerge w:val="restart"/>
            <w:shd w:val="clear" w:color="000000" w:fill="F2F2F2"/>
            <w:vAlign w:val="center"/>
            <w:hideMark/>
          </w:tcPr>
          <w:p w14:paraId="37AFC665" w14:textId="77777777" w:rsidR="00510709" w:rsidRPr="00962115" w:rsidRDefault="00510709" w:rsidP="0020372B">
            <w:pPr>
              <w:spacing w:before="0" w:after="0" w:line="240" w:lineRule="auto"/>
              <w:jc w:val="left"/>
              <w:rPr>
                <w:rFonts w:eastAsia="Times New Roman" w:cs="Calibri"/>
                <w:b/>
                <w:bCs/>
                <w:i/>
                <w:iCs/>
                <w:color w:val="000000"/>
              </w:rPr>
            </w:pPr>
            <w:r w:rsidRPr="00962115">
              <w:rPr>
                <w:rFonts w:eastAsia="Times New Roman" w:cs="Calibri"/>
                <w:b/>
                <w:bCs/>
                <w:i/>
                <w:iCs/>
                <w:color w:val="000000"/>
              </w:rPr>
              <w:t xml:space="preserve">Partie Gouvernementale (Ministères) </w:t>
            </w:r>
          </w:p>
        </w:tc>
        <w:tc>
          <w:tcPr>
            <w:tcW w:w="1472" w:type="pct"/>
            <w:vMerge w:val="restart"/>
            <w:shd w:val="clear" w:color="auto" w:fill="auto"/>
            <w:vAlign w:val="center"/>
            <w:hideMark/>
          </w:tcPr>
          <w:p w14:paraId="6D5AE6EE" w14:textId="77777777" w:rsidR="00510709" w:rsidRPr="00962115" w:rsidRDefault="00510709" w:rsidP="0020372B">
            <w:pPr>
              <w:spacing w:before="0" w:after="0" w:line="240" w:lineRule="auto"/>
              <w:jc w:val="left"/>
              <w:rPr>
                <w:rFonts w:eastAsia="Times New Roman" w:cs="Calibri"/>
                <w:color w:val="000000"/>
              </w:rPr>
            </w:pPr>
            <w:r w:rsidRPr="00962115">
              <w:t>MPFEF-Mali</w:t>
            </w:r>
          </w:p>
        </w:tc>
        <w:tc>
          <w:tcPr>
            <w:tcW w:w="1962" w:type="pct"/>
            <w:shd w:val="clear" w:color="auto" w:fill="auto"/>
            <w:vAlign w:val="center"/>
            <w:hideMark/>
          </w:tcPr>
          <w:p w14:paraId="535A3B49"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Chef de </w:t>
            </w:r>
            <w:r w:rsidRPr="00906112">
              <w:rPr>
                <w:rFonts w:eastAsia="Times New Roman" w:cs="Calibri"/>
                <w:color w:val="000000"/>
              </w:rPr>
              <w:t>Service Local de la Promotion de la Femme</w:t>
            </w:r>
            <w:r>
              <w:rPr>
                <w:rFonts w:eastAsia="Times New Roman" w:cs="Calibri"/>
                <w:color w:val="000000"/>
              </w:rPr>
              <w:t xml:space="preserve"> de Ménaka </w:t>
            </w:r>
          </w:p>
        </w:tc>
      </w:tr>
      <w:tr w:rsidR="00F01CB8" w:rsidRPr="00906112" w14:paraId="6A4816D9" w14:textId="77777777" w:rsidTr="0020372B">
        <w:trPr>
          <w:trHeight w:val="310"/>
        </w:trPr>
        <w:tc>
          <w:tcPr>
            <w:tcW w:w="1566" w:type="pct"/>
            <w:vMerge/>
            <w:shd w:val="clear" w:color="000000" w:fill="F2F2F2"/>
            <w:vAlign w:val="center"/>
          </w:tcPr>
          <w:p w14:paraId="0FFCC645"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shd w:val="clear" w:color="auto" w:fill="auto"/>
            <w:vAlign w:val="center"/>
          </w:tcPr>
          <w:p w14:paraId="6F4EF1CC" w14:textId="77777777" w:rsidR="00510709" w:rsidRPr="00962115" w:rsidRDefault="00510709" w:rsidP="0020372B">
            <w:pPr>
              <w:spacing w:after="0" w:line="240" w:lineRule="auto"/>
            </w:pPr>
          </w:p>
        </w:tc>
        <w:tc>
          <w:tcPr>
            <w:tcW w:w="1962" w:type="pct"/>
            <w:shd w:val="clear" w:color="auto" w:fill="auto"/>
            <w:vAlign w:val="center"/>
          </w:tcPr>
          <w:p w14:paraId="429F09CF" w14:textId="77777777" w:rsidR="00510709" w:rsidRDefault="00510709" w:rsidP="0020372B">
            <w:pPr>
              <w:spacing w:after="0" w:line="240" w:lineRule="auto"/>
              <w:rPr>
                <w:rFonts w:eastAsia="Times New Roman" w:cs="Calibri"/>
                <w:color w:val="000000"/>
              </w:rPr>
            </w:pPr>
            <w:r>
              <w:rPr>
                <w:rFonts w:eastAsia="Times New Roman" w:cs="Calibri"/>
                <w:color w:val="000000"/>
              </w:rPr>
              <w:t xml:space="preserve">Chef de </w:t>
            </w:r>
            <w:r w:rsidRPr="00906112">
              <w:rPr>
                <w:rFonts w:eastAsia="Times New Roman" w:cs="Calibri"/>
                <w:color w:val="000000"/>
              </w:rPr>
              <w:t>Service Local de la Promotion de la Femme</w:t>
            </w:r>
            <w:r>
              <w:rPr>
                <w:rFonts w:eastAsia="Times New Roman" w:cs="Calibri"/>
                <w:color w:val="000000"/>
              </w:rPr>
              <w:t xml:space="preserve"> de Anderamboukane</w:t>
            </w:r>
          </w:p>
        </w:tc>
      </w:tr>
      <w:tr w:rsidR="00F01CB8" w:rsidRPr="00906112" w14:paraId="5365AFEB" w14:textId="77777777" w:rsidTr="0020372B">
        <w:trPr>
          <w:trHeight w:val="310"/>
        </w:trPr>
        <w:tc>
          <w:tcPr>
            <w:tcW w:w="1566" w:type="pct"/>
            <w:vMerge/>
            <w:shd w:val="clear" w:color="000000" w:fill="F2F2F2"/>
            <w:vAlign w:val="center"/>
          </w:tcPr>
          <w:p w14:paraId="6AA17C10"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val="restart"/>
            <w:shd w:val="clear" w:color="auto" w:fill="auto"/>
            <w:vAlign w:val="center"/>
          </w:tcPr>
          <w:p w14:paraId="50216DF8" w14:textId="77777777" w:rsidR="00510709" w:rsidRPr="00DE534C" w:rsidRDefault="00510709" w:rsidP="0020372B">
            <w:pPr>
              <w:spacing w:after="0" w:line="240" w:lineRule="auto"/>
            </w:pPr>
            <w:r w:rsidRPr="00DE534C">
              <w:t>MJDH-GS Mali</w:t>
            </w:r>
          </w:p>
        </w:tc>
        <w:tc>
          <w:tcPr>
            <w:tcW w:w="1962" w:type="pct"/>
            <w:shd w:val="clear" w:color="auto" w:fill="auto"/>
            <w:vAlign w:val="center"/>
          </w:tcPr>
          <w:p w14:paraId="2D849C1C" w14:textId="77777777" w:rsidR="00510709" w:rsidRPr="00DE534C" w:rsidRDefault="00510709" w:rsidP="0020372B">
            <w:pPr>
              <w:spacing w:after="0" w:line="240" w:lineRule="auto"/>
              <w:rPr>
                <w:rFonts w:eastAsia="Times New Roman" w:cs="Calibri"/>
              </w:rPr>
            </w:pPr>
            <w:r w:rsidRPr="00DE534C">
              <w:rPr>
                <w:rFonts w:eastAsia="Times New Roman" w:cs="Calibri"/>
              </w:rPr>
              <w:t>Président du Tribunal de grande Instance de Gao</w:t>
            </w:r>
          </w:p>
        </w:tc>
      </w:tr>
      <w:tr w:rsidR="00F01CB8" w:rsidRPr="00906112" w14:paraId="2170C22B" w14:textId="77777777" w:rsidTr="0020372B">
        <w:trPr>
          <w:trHeight w:val="310"/>
        </w:trPr>
        <w:tc>
          <w:tcPr>
            <w:tcW w:w="1566" w:type="pct"/>
            <w:vMerge/>
            <w:shd w:val="clear" w:color="000000" w:fill="F2F2F2"/>
            <w:vAlign w:val="center"/>
          </w:tcPr>
          <w:p w14:paraId="7F1AAABA"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shd w:val="clear" w:color="auto" w:fill="auto"/>
            <w:vAlign w:val="center"/>
          </w:tcPr>
          <w:p w14:paraId="3D14920A" w14:textId="77777777" w:rsidR="00510709" w:rsidRPr="00DE534C" w:rsidRDefault="00510709" w:rsidP="0020372B">
            <w:pPr>
              <w:spacing w:after="0" w:line="240" w:lineRule="auto"/>
            </w:pPr>
          </w:p>
        </w:tc>
        <w:tc>
          <w:tcPr>
            <w:tcW w:w="1962" w:type="pct"/>
            <w:shd w:val="clear" w:color="auto" w:fill="auto"/>
            <w:vAlign w:val="center"/>
          </w:tcPr>
          <w:p w14:paraId="593355D5" w14:textId="77777777" w:rsidR="00510709" w:rsidRPr="00DE534C" w:rsidRDefault="00510709" w:rsidP="0020372B">
            <w:pPr>
              <w:spacing w:after="0" w:line="240" w:lineRule="auto"/>
              <w:rPr>
                <w:rFonts w:eastAsia="Times New Roman" w:cs="Calibri"/>
              </w:rPr>
            </w:pPr>
            <w:r w:rsidRPr="00DE534C">
              <w:rPr>
                <w:rFonts w:eastAsia="Times New Roman" w:cs="Calibri"/>
              </w:rPr>
              <w:t>Chef d’équipe de la CVJR à Ménaka</w:t>
            </w:r>
          </w:p>
        </w:tc>
      </w:tr>
      <w:tr w:rsidR="00510709" w:rsidRPr="00962115" w14:paraId="0B8C16CC" w14:textId="77777777" w:rsidTr="009F5BDE">
        <w:trPr>
          <w:trHeight w:val="540"/>
        </w:trPr>
        <w:tc>
          <w:tcPr>
            <w:tcW w:w="1566" w:type="pct"/>
            <w:vMerge/>
            <w:vAlign w:val="center"/>
            <w:hideMark/>
          </w:tcPr>
          <w:p w14:paraId="7DD5B3C6"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hideMark/>
          </w:tcPr>
          <w:p w14:paraId="0A5EB010" w14:textId="77777777" w:rsidR="00510709" w:rsidRPr="00DE534C" w:rsidRDefault="00510709" w:rsidP="0020372B">
            <w:pPr>
              <w:spacing w:before="0" w:after="0" w:line="240" w:lineRule="auto"/>
              <w:jc w:val="left"/>
              <w:rPr>
                <w:rFonts w:eastAsia="Times New Roman" w:cs="Calibri"/>
              </w:rPr>
            </w:pPr>
            <w:r w:rsidRPr="00DE534C">
              <w:t>MSP-Mali</w:t>
            </w:r>
          </w:p>
        </w:tc>
        <w:tc>
          <w:tcPr>
            <w:tcW w:w="1962" w:type="pct"/>
            <w:shd w:val="clear" w:color="auto" w:fill="auto"/>
            <w:vAlign w:val="center"/>
            <w:hideMark/>
          </w:tcPr>
          <w:p w14:paraId="6D951679" w14:textId="77777777" w:rsidR="00510709" w:rsidRPr="00DE534C" w:rsidRDefault="00510709" w:rsidP="0020372B">
            <w:pPr>
              <w:spacing w:before="0" w:after="0" w:line="240" w:lineRule="auto"/>
              <w:jc w:val="left"/>
              <w:rPr>
                <w:rFonts w:eastAsia="Times New Roman" w:cs="Calibri"/>
              </w:rPr>
            </w:pPr>
            <w:r w:rsidRPr="00DE534C">
              <w:rPr>
                <w:rFonts w:eastAsia="Times New Roman" w:cs="Calibri"/>
              </w:rPr>
              <w:t>Commissaire Principale / Responsable genre à Ansongo</w:t>
            </w:r>
          </w:p>
        </w:tc>
      </w:tr>
      <w:tr w:rsidR="00510709" w:rsidRPr="00962115" w14:paraId="2A5A8674" w14:textId="77777777" w:rsidTr="009F5BDE">
        <w:trPr>
          <w:trHeight w:val="540"/>
        </w:trPr>
        <w:tc>
          <w:tcPr>
            <w:tcW w:w="1566" w:type="pct"/>
            <w:vMerge/>
            <w:vAlign w:val="center"/>
            <w:hideMark/>
          </w:tcPr>
          <w:p w14:paraId="185346E2"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hideMark/>
          </w:tcPr>
          <w:p w14:paraId="4DD31D79" w14:textId="77777777" w:rsidR="00510709" w:rsidRPr="00DE534C" w:rsidRDefault="00510709" w:rsidP="0020372B">
            <w:pPr>
              <w:spacing w:before="0" w:after="0" w:line="240" w:lineRule="auto"/>
              <w:jc w:val="left"/>
              <w:rPr>
                <w:rFonts w:eastAsia="Times New Roman" w:cs="Calibri"/>
              </w:rPr>
            </w:pPr>
            <w:r w:rsidRPr="00DE534C">
              <w:t>MISDACR-Niger</w:t>
            </w:r>
          </w:p>
        </w:tc>
        <w:tc>
          <w:tcPr>
            <w:tcW w:w="1962" w:type="pct"/>
            <w:shd w:val="clear" w:color="auto" w:fill="auto"/>
            <w:vAlign w:val="center"/>
            <w:hideMark/>
          </w:tcPr>
          <w:p w14:paraId="371E8ED6" w14:textId="77777777" w:rsidR="00510709" w:rsidRPr="00DE534C" w:rsidRDefault="00510709" w:rsidP="0020372B">
            <w:pPr>
              <w:spacing w:before="0" w:after="0" w:line="240" w:lineRule="auto"/>
              <w:jc w:val="left"/>
              <w:rPr>
                <w:rFonts w:eastAsia="Times New Roman" w:cs="Calibri"/>
              </w:rPr>
            </w:pPr>
            <w:r w:rsidRPr="00DE534C">
              <w:rPr>
                <w:rFonts w:eastAsia="Times New Roman" w:cs="Calibri"/>
              </w:rPr>
              <w:t xml:space="preserve">Point focal genre </w:t>
            </w:r>
          </w:p>
        </w:tc>
      </w:tr>
      <w:tr w:rsidR="00510709" w:rsidRPr="00962115" w14:paraId="42577B25" w14:textId="77777777" w:rsidTr="009F5BDE">
        <w:trPr>
          <w:trHeight w:val="270"/>
        </w:trPr>
        <w:tc>
          <w:tcPr>
            <w:tcW w:w="1566" w:type="pct"/>
            <w:vMerge w:val="restart"/>
            <w:shd w:val="clear" w:color="auto" w:fill="auto"/>
            <w:vAlign w:val="center"/>
            <w:hideMark/>
          </w:tcPr>
          <w:p w14:paraId="6DE4DA64" w14:textId="77777777" w:rsidR="00510709" w:rsidRPr="00962115" w:rsidRDefault="00510709" w:rsidP="0020372B">
            <w:pPr>
              <w:spacing w:before="0" w:after="0" w:line="240" w:lineRule="auto"/>
              <w:jc w:val="left"/>
              <w:rPr>
                <w:rFonts w:eastAsia="Times New Roman" w:cs="Calibri"/>
                <w:b/>
                <w:bCs/>
                <w:i/>
                <w:iCs/>
                <w:color w:val="000000"/>
              </w:rPr>
            </w:pPr>
            <w:r w:rsidRPr="002809BF">
              <w:rPr>
                <w:rFonts w:eastAsia="Times New Roman" w:cs="Calibri"/>
                <w:b/>
                <w:bCs/>
                <w:i/>
                <w:iCs/>
                <w:color w:val="000000"/>
              </w:rPr>
              <w:t>Partie Gouvernementale (</w:t>
            </w:r>
            <w:r>
              <w:rPr>
                <w:rFonts w:eastAsia="Times New Roman" w:cs="Calibri"/>
                <w:b/>
                <w:bCs/>
                <w:i/>
                <w:iCs/>
                <w:color w:val="000000"/>
              </w:rPr>
              <w:t xml:space="preserve">Institutions, </w:t>
            </w:r>
            <w:r w:rsidRPr="002809BF">
              <w:rPr>
                <w:rFonts w:eastAsia="Times New Roman" w:cs="Calibri"/>
                <w:b/>
                <w:bCs/>
                <w:i/>
                <w:iCs/>
                <w:color w:val="000000"/>
              </w:rPr>
              <w:t xml:space="preserve">Collectivités territoriales et autorités locales) </w:t>
            </w:r>
          </w:p>
        </w:tc>
        <w:tc>
          <w:tcPr>
            <w:tcW w:w="1472" w:type="pct"/>
            <w:shd w:val="clear" w:color="auto" w:fill="auto"/>
            <w:vAlign w:val="center"/>
          </w:tcPr>
          <w:p w14:paraId="7F9B2EC0" w14:textId="77777777" w:rsidR="00510709" w:rsidRPr="00C62F7E" w:rsidRDefault="00510709" w:rsidP="0020372B">
            <w:pPr>
              <w:spacing w:before="0" w:after="0" w:line="240" w:lineRule="auto"/>
              <w:jc w:val="left"/>
              <w:rPr>
                <w:color w:val="000000" w:themeColor="text1"/>
              </w:rPr>
            </w:pPr>
            <w:r w:rsidRPr="00C62F7E">
              <w:rPr>
                <w:color w:val="000000" w:themeColor="text1"/>
              </w:rPr>
              <w:t xml:space="preserve">Autorité de développement intégré de la région du Liptako Gourma (ALG) </w:t>
            </w:r>
          </w:p>
        </w:tc>
        <w:tc>
          <w:tcPr>
            <w:tcW w:w="1962" w:type="pct"/>
            <w:shd w:val="clear" w:color="auto" w:fill="auto"/>
            <w:vAlign w:val="center"/>
          </w:tcPr>
          <w:p w14:paraId="7F5D88D6" w14:textId="77777777" w:rsidR="00510709" w:rsidRPr="00C62F7E" w:rsidRDefault="00510709" w:rsidP="0020372B">
            <w:pPr>
              <w:spacing w:before="0" w:after="0" w:line="240" w:lineRule="auto"/>
              <w:jc w:val="left"/>
              <w:rPr>
                <w:color w:val="000000" w:themeColor="text1"/>
              </w:rPr>
            </w:pPr>
            <w:r w:rsidRPr="00C62F7E">
              <w:rPr>
                <w:color w:val="000000" w:themeColor="text1"/>
              </w:rPr>
              <w:t xml:space="preserve">Responsable C3Sahel </w:t>
            </w:r>
            <w:r w:rsidRPr="0060123A">
              <w:rPr>
                <w:color w:val="000000"/>
              </w:rPr>
              <w:t xml:space="preserve">à Ougadougou </w:t>
            </w:r>
          </w:p>
        </w:tc>
      </w:tr>
      <w:tr w:rsidR="00510709" w:rsidRPr="00962115" w14:paraId="50690160" w14:textId="77777777" w:rsidTr="009F5BDE">
        <w:trPr>
          <w:trHeight w:val="1389"/>
        </w:trPr>
        <w:tc>
          <w:tcPr>
            <w:tcW w:w="1566" w:type="pct"/>
            <w:vMerge/>
            <w:shd w:val="clear" w:color="auto" w:fill="auto"/>
            <w:vAlign w:val="center"/>
          </w:tcPr>
          <w:p w14:paraId="311C0898"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tcPr>
          <w:p w14:paraId="1B827401" w14:textId="77777777" w:rsidR="00510709" w:rsidRPr="00D92573" w:rsidRDefault="00510709" w:rsidP="0020372B">
            <w:pPr>
              <w:spacing w:after="0" w:line="240" w:lineRule="auto"/>
              <w:rPr>
                <w:rFonts w:eastAsia="Times New Roman" w:cs="Calibri"/>
              </w:rPr>
            </w:pPr>
            <w:r w:rsidRPr="00D92573">
              <w:rPr>
                <w:rFonts w:eastAsia="Times New Roman" w:cs="Calibri"/>
              </w:rPr>
              <w:t>Groupements locaux de coopération transfrontalière (GLCT)</w:t>
            </w:r>
          </w:p>
        </w:tc>
        <w:tc>
          <w:tcPr>
            <w:tcW w:w="1962" w:type="pct"/>
            <w:shd w:val="clear" w:color="auto" w:fill="auto"/>
            <w:vAlign w:val="center"/>
          </w:tcPr>
          <w:p w14:paraId="76A91A75" w14:textId="77777777" w:rsidR="00510709" w:rsidRPr="00D92573" w:rsidRDefault="00510709" w:rsidP="0020372B">
            <w:pPr>
              <w:spacing w:after="0" w:line="240" w:lineRule="auto"/>
              <w:rPr>
                <w:rFonts w:eastAsia="Times New Roman" w:cs="Calibri"/>
              </w:rPr>
            </w:pPr>
            <w:r w:rsidRPr="00D92573">
              <w:rPr>
                <w:rFonts w:eastAsia="Times New Roman" w:cs="Calibri"/>
              </w:rPr>
              <w:t>Président</w:t>
            </w:r>
            <w:r>
              <w:rPr>
                <w:rFonts w:eastAsia="Times New Roman" w:cs="Calibri"/>
              </w:rPr>
              <w:t>s des</w:t>
            </w:r>
            <w:r w:rsidRPr="00D92573">
              <w:rPr>
                <w:rFonts w:eastAsia="Times New Roman" w:cs="Calibri"/>
              </w:rPr>
              <w:t xml:space="preserve"> GLCT/Sahel-Tillabéry</w:t>
            </w:r>
            <w:r>
              <w:rPr>
                <w:rFonts w:eastAsia="Times New Roman" w:cs="Calibri"/>
              </w:rPr>
              <w:t xml:space="preserve"> (à Kantchari) et </w:t>
            </w:r>
            <w:r w:rsidRPr="00D92573">
              <w:rPr>
                <w:rFonts w:eastAsia="Times New Roman" w:cs="Calibri"/>
              </w:rPr>
              <w:t xml:space="preserve">Gulmu-Tillabery </w:t>
            </w:r>
            <w:r>
              <w:rPr>
                <w:rFonts w:eastAsia="Times New Roman" w:cs="Calibri"/>
              </w:rPr>
              <w:t xml:space="preserve">(à Tera) </w:t>
            </w:r>
          </w:p>
        </w:tc>
      </w:tr>
      <w:tr w:rsidR="00F01CB8" w:rsidRPr="00962115" w14:paraId="79F2AF4E" w14:textId="77777777" w:rsidTr="0020372B">
        <w:trPr>
          <w:trHeight w:val="270"/>
        </w:trPr>
        <w:tc>
          <w:tcPr>
            <w:tcW w:w="1566" w:type="pct"/>
            <w:vMerge/>
            <w:shd w:val="clear" w:color="000000" w:fill="F2F2F2"/>
            <w:vAlign w:val="center"/>
            <w:hideMark/>
          </w:tcPr>
          <w:p w14:paraId="676697EA" w14:textId="77777777" w:rsidR="00510709" w:rsidRPr="002809BF" w:rsidRDefault="00510709" w:rsidP="0020372B">
            <w:pPr>
              <w:spacing w:before="0" w:after="0" w:line="240" w:lineRule="auto"/>
              <w:jc w:val="left"/>
              <w:rPr>
                <w:rFonts w:eastAsia="Times New Roman" w:cs="Calibri"/>
                <w:b/>
                <w:bCs/>
                <w:i/>
                <w:iCs/>
                <w:color w:val="000000"/>
              </w:rPr>
            </w:pPr>
          </w:p>
        </w:tc>
        <w:tc>
          <w:tcPr>
            <w:tcW w:w="1472" w:type="pct"/>
            <w:vMerge w:val="restart"/>
            <w:shd w:val="clear" w:color="000000" w:fill="F2F2F2"/>
            <w:vAlign w:val="center"/>
            <w:hideMark/>
          </w:tcPr>
          <w:p w14:paraId="65DED641"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Mairie</w:t>
            </w:r>
          </w:p>
        </w:tc>
        <w:tc>
          <w:tcPr>
            <w:tcW w:w="1962" w:type="pct"/>
            <w:shd w:val="clear" w:color="000000" w:fill="F2F2F2"/>
            <w:vAlign w:val="center"/>
            <w:hideMark/>
          </w:tcPr>
          <w:p w14:paraId="30CE6B2F" w14:textId="77777777" w:rsidR="00510709" w:rsidRPr="002809BF" w:rsidRDefault="00510709" w:rsidP="0020372B">
            <w:pPr>
              <w:spacing w:before="0" w:after="0" w:line="240" w:lineRule="auto"/>
              <w:jc w:val="left"/>
              <w:rPr>
                <w:rFonts w:eastAsia="Times New Roman" w:cs="Calibri"/>
                <w:color w:val="000000"/>
              </w:rPr>
            </w:pPr>
            <w:r w:rsidRPr="002809BF">
              <w:rPr>
                <w:rFonts w:eastAsia="Times New Roman" w:cs="Calibri"/>
                <w:color w:val="000000"/>
              </w:rPr>
              <w:t>Maire</w:t>
            </w:r>
            <w:r>
              <w:rPr>
                <w:rFonts w:eastAsia="Times New Roman" w:cs="Calibri"/>
                <w:color w:val="000000"/>
              </w:rPr>
              <w:t xml:space="preserve"> de Ménaka</w:t>
            </w:r>
          </w:p>
        </w:tc>
      </w:tr>
      <w:tr w:rsidR="00F01CB8" w:rsidRPr="00962115" w14:paraId="0E1B5607" w14:textId="77777777" w:rsidTr="0020372B">
        <w:trPr>
          <w:trHeight w:val="270"/>
        </w:trPr>
        <w:tc>
          <w:tcPr>
            <w:tcW w:w="1566" w:type="pct"/>
            <w:vMerge/>
            <w:shd w:val="clear" w:color="000000" w:fill="F2F2F2"/>
            <w:vAlign w:val="center"/>
          </w:tcPr>
          <w:p w14:paraId="6E3C3D3E"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180661BF"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47E0975B" w14:textId="77777777" w:rsidR="00510709" w:rsidRPr="002809BF" w:rsidRDefault="00510709" w:rsidP="0020372B">
            <w:pPr>
              <w:spacing w:after="0" w:line="240" w:lineRule="auto"/>
              <w:rPr>
                <w:rFonts w:eastAsia="Times New Roman" w:cs="Calibri"/>
                <w:color w:val="000000"/>
              </w:rPr>
            </w:pPr>
            <w:r>
              <w:rPr>
                <w:rFonts w:eastAsia="Times New Roman" w:cs="Calibri"/>
                <w:color w:val="000000"/>
              </w:rPr>
              <w:t xml:space="preserve">SG / Mairie de Anderamboukane </w:t>
            </w:r>
          </w:p>
        </w:tc>
      </w:tr>
      <w:tr w:rsidR="00F01CB8" w:rsidRPr="00962115" w14:paraId="7F0F933E" w14:textId="77777777" w:rsidTr="0020372B">
        <w:trPr>
          <w:trHeight w:val="222"/>
        </w:trPr>
        <w:tc>
          <w:tcPr>
            <w:tcW w:w="1566" w:type="pct"/>
            <w:vMerge/>
            <w:shd w:val="clear" w:color="000000" w:fill="F2F2F2"/>
            <w:vAlign w:val="center"/>
          </w:tcPr>
          <w:p w14:paraId="49C00776"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66EB0731"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617FCE05" w14:textId="77777777" w:rsidR="00510709" w:rsidRDefault="00510709" w:rsidP="0020372B">
            <w:pPr>
              <w:spacing w:after="0" w:line="240" w:lineRule="auto"/>
              <w:rPr>
                <w:rFonts w:eastAsia="Times New Roman" w:cs="Calibri"/>
                <w:color w:val="000000"/>
              </w:rPr>
            </w:pPr>
            <w:r w:rsidRPr="002809BF">
              <w:rPr>
                <w:rFonts w:eastAsia="Times New Roman" w:cs="Calibri"/>
                <w:color w:val="000000"/>
              </w:rPr>
              <w:t>Maire</w:t>
            </w:r>
            <w:r>
              <w:rPr>
                <w:rFonts w:eastAsia="Times New Roman" w:cs="Calibri"/>
                <w:color w:val="000000"/>
              </w:rPr>
              <w:t xml:space="preserve"> de Ouatagouna </w:t>
            </w:r>
          </w:p>
        </w:tc>
      </w:tr>
      <w:tr w:rsidR="00F01CB8" w:rsidRPr="00962115" w14:paraId="55911504" w14:textId="77777777" w:rsidTr="0020372B">
        <w:trPr>
          <w:trHeight w:val="270"/>
        </w:trPr>
        <w:tc>
          <w:tcPr>
            <w:tcW w:w="1566" w:type="pct"/>
            <w:vMerge/>
            <w:shd w:val="clear" w:color="000000" w:fill="F2F2F2"/>
            <w:vAlign w:val="center"/>
          </w:tcPr>
          <w:p w14:paraId="1390B447"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3160B9EC"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66C95A10" w14:textId="77777777" w:rsidR="00510709" w:rsidRPr="002809BF" w:rsidRDefault="00510709" w:rsidP="0020372B">
            <w:pPr>
              <w:spacing w:after="0" w:line="240" w:lineRule="auto"/>
              <w:rPr>
                <w:rFonts w:eastAsia="Times New Roman" w:cs="Calibri"/>
                <w:color w:val="000000"/>
              </w:rPr>
            </w:pPr>
            <w:r>
              <w:rPr>
                <w:rFonts w:eastAsia="Times New Roman" w:cs="Calibri"/>
                <w:color w:val="000000"/>
              </w:rPr>
              <w:t xml:space="preserve">Maire de Terra et Président du GLCT-Sahel-Tillabery </w:t>
            </w:r>
          </w:p>
        </w:tc>
      </w:tr>
      <w:tr w:rsidR="00F01CB8" w:rsidRPr="00962115" w14:paraId="35D0DF34" w14:textId="77777777" w:rsidTr="0020372B">
        <w:trPr>
          <w:trHeight w:val="270"/>
        </w:trPr>
        <w:tc>
          <w:tcPr>
            <w:tcW w:w="1566" w:type="pct"/>
            <w:vMerge/>
            <w:vAlign w:val="center"/>
            <w:hideMark/>
          </w:tcPr>
          <w:p w14:paraId="39E0284C"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6776D063"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Préfecture &amp; Sous-préfecture</w:t>
            </w:r>
          </w:p>
        </w:tc>
        <w:tc>
          <w:tcPr>
            <w:tcW w:w="1962" w:type="pct"/>
            <w:shd w:val="clear" w:color="000000" w:fill="F2F2F2"/>
            <w:vAlign w:val="center"/>
            <w:hideMark/>
          </w:tcPr>
          <w:p w14:paraId="54254B91"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Intérimaire du </w:t>
            </w:r>
            <w:r w:rsidRPr="002809BF">
              <w:rPr>
                <w:rFonts w:eastAsia="Times New Roman" w:cs="Calibri"/>
                <w:color w:val="000000"/>
              </w:rPr>
              <w:t xml:space="preserve">préfet </w:t>
            </w:r>
            <w:r>
              <w:rPr>
                <w:rFonts w:eastAsia="Times New Roman" w:cs="Calibri"/>
                <w:color w:val="000000"/>
              </w:rPr>
              <w:t xml:space="preserve">de </w:t>
            </w:r>
            <w:r w:rsidRPr="002809BF">
              <w:rPr>
                <w:rFonts w:eastAsia="Times New Roman" w:cs="Calibri"/>
                <w:color w:val="000000"/>
              </w:rPr>
              <w:t>Andéramboukan</w:t>
            </w:r>
            <w:r>
              <w:rPr>
                <w:rFonts w:eastAsia="Times New Roman" w:cs="Calibri"/>
                <w:color w:val="000000"/>
              </w:rPr>
              <w:t>e</w:t>
            </w:r>
          </w:p>
        </w:tc>
      </w:tr>
      <w:tr w:rsidR="00F01CB8" w:rsidRPr="00962115" w14:paraId="316E5707" w14:textId="77777777" w:rsidTr="0020372B">
        <w:trPr>
          <w:trHeight w:val="435"/>
        </w:trPr>
        <w:tc>
          <w:tcPr>
            <w:tcW w:w="1566" w:type="pct"/>
            <w:vMerge/>
            <w:vAlign w:val="center"/>
            <w:hideMark/>
          </w:tcPr>
          <w:p w14:paraId="290FAC74"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9579A75"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Gouvernorat </w:t>
            </w:r>
          </w:p>
        </w:tc>
        <w:tc>
          <w:tcPr>
            <w:tcW w:w="1962" w:type="pct"/>
            <w:shd w:val="clear" w:color="000000" w:fill="F2F2F2"/>
            <w:vAlign w:val="center"/>
            <w:hideMark/>
          </w:tcPr>
          <w:p w14:paraId="10CD5CD0"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Représentant du </w:t>
            </w:r>
            <w:r w:rsidRPr="002809BF">
              <w:rPr>
                <w:rFonts w:eastAsia="Times New Roman" w:cs="Calibri"/>
                <w:color w:val="000000"/>
              </w:rPr>
              <w:t>Gouverneur</w:t>
            </w:r>
            <w:r>
              <w:rPr>
                <w:rFonts w:eastAsia="Times New Roman" w:cs="Calibri"/>
                <w:color w:val="000000"/>
              </w:rPr>
              <w:t xml:space="preserve"> de </w:t>
            </w:r>
            <w:r w:rsidRPr="002809BF">
              <w:rPr>
                <w:rFonts w:eastAsia="Times New Roman" w:cs="Calibri"/>
                <w:color w:val="000000"/>
              </w:rPr>
              <w:t>Ménaka</w:t>
            </w:r>
          </w:p>
        </w:tc>
      </w:tr>
    </w:tbl>
    <w:p w14:paraId="1D2C743C" w14:textId="67CD8F55" w:rsidR="000A46AA" w:rsidRDefault="000A46AA" w:rsidP="00906232">
      <w:pPr>
        <w:spacing w:before="0" w:line="276" w:lineRule="auto"/>
      </w:pPr>
    </w:p>
    <w:p w14:paraId="54008B84" w14:textId="77777777" w:rsidR="000A46AA" w:rsidRPr="00E82DD7" w:rsidRDefault="000A46AA" w:rsidP="00906232">
      <w:pPr>
        <w:spacing w:before="0" w:line="276" w:lineRule="auto"/>
      </w:pPr>
    </w:p>
    <w:p w14:paraId="1C878C19" w14:textId="1F478785" w:rsidR="0070509E" w:rsidRPr="00D623BF" w:rsidRDefault="0070509E" w:rsidP="003A3323">
      <w:pPr>
        <w:pStyle w:val="Titre2"/>
        <w:numPr>
          <w:ilvl w:val="0"/>
          <w:numId w:val="0"/>
        </w:numPr>
        <w:ind w:left="720" w:hanging="720"/>
      </w:pPr>
      <w:bookmarkStart w:id="1010" w:name="_Toc95451886"/>
      <w:r>
        <w:t xml:space="preserve">Annexe </w:t>
      </w:r>
      <w:r w:rsidR="006E0364">
        <w:t>7</w:t>
      </w:r>
      <w:r>
        <w:t> : Termes de référence de l’Evaluation finale</w:t>
      </w:r>
      <w:bookmarkEnd w:id="1010"/>
      <w:r>
        <w:t xml:space="preserve"> </w:t>
      </w:r>
    </w:p>
    <w:p w14:paraId="3A6E50B2" w14:textId="388ED5AB" w:rsidR="0070509E" w:rsidRPr="00806F7D" w:rsidRDefault="0070509E" w:rsidP="007007C9">
      <w:pPr>
        <w:spacing w:line="276" w:lineRule="auto"/>
        <w:ind w:left="140"/>
        <w:rPr>
          <w:b/>
        </w:rPr>
      </w:pPr>
      <w:r w:rsidRPr="00806F7D">
        <w:rPr>
          <w:b/>
        </w:rPr>
        <w:t>Recrutement d’un Bureau de consultant(e)s pour l’évaluation finale du projet « Appui aux initiatives transfrontalières de dialogue communautaire avec les acteurs du secteur de la sécurité et de la justice pour la consolidation de la paix au Mali et au Niger ».</w:t>
      </w:r>
    </w:p>
    <w:p w14:paraId="5AA7DF74" w14:textId="77777777" w:rsidR="0070509E" w:rsidRPr="00806F7D" w:rsidRDefault="0070509E" w:rsidP="007007C9">
      <w:pPr>
        <w:spacing w:before="0" w:after="0" w:line="276" w:lineRule="auto"/>
        <w:ind w:left="140"/>
        <w:rPr>
          <w:b/>
        </w:rPr>
      </w:pPr>
    </w:p>
    <w:p w14:paraId="593D56D3" w14:textId="77777777" w:rsidR="0070509E" w:rsidRPr="00806F7D" w:rsidRDefault="0070509E"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806F7D">
        <w:rPr>
          <w:b/>
        </w:rPr>
        <w:t>Contexte et</w:t>
      </w:r>
      <w:r w:rsidRPr="00806F7D">
        <w:rPr>
          <w:b/>
          <w:spacing w:val="-11"/>
        </w:rPr>
        <w:t xml:space="preserve"> </w:t>
      </w:r>
      <w:r w:rsidRPr="00806F7D">
        <w:rPr>
          <w:b/>
        </w:rPr>
        <w:t>justification</w:t>
      </w:r>
    </w:p>
    <w:p w14:paraId="2138CD92" w14:textId="77777777" w:rsidR="0070509E" w:rsidRPr="007007C9" w:rsidRDefault="0070509E" w:rsidP="007007C9">
      <w:pPr>
        <w:pStyle w:val="Corpsdetexte"/>
        <w:spacing w:before="134"/>
        <w:ind w:left="140" w:right="138"/>
        <w:rPr>
          <w:rFonts w:ascii="Century Gothic" w:hAnsi="Century Gothic"/>
        </w:rPr>
      </w:pPr>
      <w:r w:rsidRPr="007007C9">
        <w:rPr>
          <w:rFonts w:ascii="Century Gothic" w:hAnsi="Century Gothic"/>
        </w:rPr>
        <w:t>Le Niger et le Mali partagent leur frontière Ouest, les deux pays y abritent des populations qui ont en commun la culture, la langue, la religion. La dégradation de la situation sécuritaire dans ces zones depuis de</w:t>
      </w:r>
      <w:r w:rsidRPr="007007C9">
        <w:rPr>
          <w:rFonts w:ascii="Century Gothic" w:hAnsi="Century Gothic"/>
          <w:spacing w:val="-13"/>
        </w:rPr>
        <w:t xml:space="preserve"> </w:t>
      </w:r>
      <w:r w:rsidRPr="007007C9">
        <w:rPr>
          <w:rFonts w:ascii="Century Gothic" w:hAnsi="Century Gothic"/>
        </w:rPr>
        <w:t>nombreuses</w:t>
      </w:r>
      <w:r w:rsidRPr="007007C9">
        <w:rPr>
          <w:rFonts w:ascii="Century Gothic" w:hAnsi="Century Gothic"/>
          <w:spacing w:val="-13"/>
        </w:rPr>
        <w:t xml:space="preserve"> </w:t>
      </w:r>
      <w:r w:rsidRPr="007007C9">
        <w:rPr>
          <w:rFonts w:ascii="Century Gothic" w:hAnsi="Century Gothic"/>
        </w:rPr>
        <w:t>années</w:t>
      </w:r>
      <w:r w:rsidRPr="007007C9">
        <w:rPr>
          <w:rFonts w:ascii="Century Gothic" w:hAnsi="Century Gothic"/>
          <w:spacing w:val="-12"/>
        </w:rPr>
        <w:t xml:space="preserve"> </w:t>
      </w:r>
      <w:r w:rsidRPr="007007C9">
        <w:rPr>
          <w:rFonts w:ascii="Century Gothic" w:hAnsi="Century Gothic"/>
        </w:rPr>
        <w:t>affecte</w:t>
      </w:r>
      <w:r w:rsidRPr="007007C9">
        <w:rPr>
          <w:rFonts w:ascii="Century Gothic" w:hAnsi="Century Gothic"/>
          <w:spacing w:val="-12"/>
        </w:rPr>
        <w:t xml:space="preserve"> </w:t>
      </w:r>
      <w:r w:rsidRPr="007007C9">
        <w:rPr>
          <w:rFonts w:ascii="Century Gothic" w:hAnsi="Century Gothic"/>
        </w:rPr>
        <w:t>les</w:t>
      </w:r>
      <w:r w:rsidRPr="007007C9">
        <w:rPr>
          <w:rFonts w:ascii="Century Gothic" w:hAnsi="Century Gothic"/>
          <w:spacing w:val="-11"/>
        </w:rPr>
        <w:t xml:space="preserve"> </w:t>
      </w:r>
      <w:r w:rsidRPr="007007C9">
        <w:rPr>
          <w:rFonts w:ascii="Century Gothic" w:hAnsi="Century Gothic"/>
        </w:rPr>
        <w:t>communautés</w:t>
      </w:r>
      <w:r w:rsidRPr="007007C9">
        <w:rPr>
          <w:rFonts w:ascii="Century Gothic" w:hAnsi="Century Gothic"/>
          <w:spacing w:val="-13"/>
        </w:rPr>
        <w:t xml:space="preserve"> </w:t>
      </w:r>
      <w:r w:rsidRPr="007007C9">
        <w:rPr>
          <w:rFonts w:ascii="Century Gothic" w:hAnsi="Century Gothic"/>
        </w:rPr>
        <w:t>en</w:t>
      </w:r>
      <w:r w:rsidRPr="007007C9">
        <w:rPr>
          <w:rFonts w:ascii="Century Gothic" w:hAnsi="Century Gothic"/>
          <w:spacing w:val="-12"/>
        </w:rPr>
        <w:t xml:space="preserve"> </w:t>
      </w:r>
      <w:r w:rsidRPr="007007C9">
        <w:rPr>
          <w:rFonts w:ascii="Century Gothic" w:hAnsi="Century Gothic"/>
        </w:rPr>
        <w:t>général</w:t>
      </w:r>
      <w:r w:rsidRPr="007007C9">
        <w:rPr>
          <w:rFonts w:ascii="Century Gothic" w:hAnsi="Century Gothic"/>
          <w:spacing w:val="-13"/>
        </w:rPr>
        <w:t xml:space="preserve"> </w:t>
      </w:r>
      <w:r w:rsidRPr="007007C9">
        <w:rPr>
          <w:rFonts w:ascii="Century Gothic" w:hAnsi="Century Gothic"/>
        </w:rPr>
        <w:t>et</w:t>
      </w:r>
      <w:r w:rsidRPr="007007C9">
        <w:rPr>
          <w:rFonts w:ascii="Century Gothic" w:hAnsi="Century Gothic"/>
          <w:spacing w:val="-13"/>
        </w:rPr>
        <w:t xml:space="preserve"> </w:t>
      </w:r>
      <w:r w:rsidRPr="007007C9">
        <w:rPr>
          <w:rFonts w:ascii="Century Gothic" w:hAnsi="Century Gothic"/>
        </w:rPr>
        <w:t>particulièrement</w:t>
      </w:r>
      <w:r w:rsidRPr="007007C9">
        <w:rPr>
          <w:rFonts w:ascii="Century Gothic" w:hAnsi="Century Gothic"/>
          <w:spacing w:val="-13"/>
        </w:rPr>
        <w:t xml:space="preserve"> </w:t>
      </w:r>
      <w:r w:rsidRPr="007007C9">
        <w:rPr>
          <w:rFonts w:ascii="Century Gothic" w:hAnsi="Century Gothic"/>
        </w:rPr>
        <w:t>les</w:t>
      </w:r>
      <w:r w:rsidRPr="007007C9">
        <w:rPr>
          <w:rFonts w:ascii="Century Gothic" w:hAnsi="Century Gothic"/>
          <w:spacing w:val="-11"/>
        </w:rPr>
        <w:t xml:space="preserve"> </w:t>
      </w:r>
      <w:r w:rsidRPr="007007C9">
        <w:rPr>
          <w:rFonts w:ascii="Century Gothic" w:hAnsi="Century Gothic"/>
        </w:rPr>
        <w:t>femmes</w:t>
      </w:r>
      <w:r w:rsidRPr="007007C9">
        <w:rPr>
          <w:rFonts w:ascii="Century Gothic" w:hAnsi="Century Gothic"/>
          <w:spacing w:val="-11"/>
        </w:rPr>
        <w:t xml:space="preserve"> </w:t>
      </w:r>
      <w:r w:rsidRPr="007007C9">
        <w:rPr>
          <w:rFonts w:ascii="Century Gothic" w:hAnsi="Century Gothic"/>
        </w:rPr>
        <w:t>et</w:t>
      </w:r>
      <w:r w:rsidRPr="007007C9">
        <w:rPr>
          <w:rFonts w:ascii="Century Gothic" w:hAnsi="Century Gothic"/>
          <w:spacing w:val="-13"/>
        </w:rPr>
        <w:t xml:space="preserve"> </w:t>
      </w:r>
      <w:r w:rsidRPr="007007C9">
        <w:rPr>
          <w:rFonts w:ascii="Century Gothic" w:hAnsi="Century Gothic"/>
        </w:rPr>
        <w:t>les</w:t>
      </w:r>
      <w:r w:rsidRPr="007007C9">
        <w:rPr>
          <w:rFonts w:ascii="Century Gothic" w:hAnsi="Century Gothic"/>
          <w:spacing w:val="-13"/>
        </w:rPr>
        <w:t xml:space="preserve"> </w:t>
      </w:r>
      <w:r w:rsidRPr="007007C9">
        <w:rPr>
          <w:rFonts w:ascii="Century Gothic" w:hAnsi="Century Gothic"/>
        </w:rPr>
        <w:t>enfants dans les zones frontalières des deux pays. La fragilité des systèmes de sécurité et de justice et le combat mené contre l’insécurité qui sévit dans ces zones frontalières se sont soldés par l’effervescence de la montée des groupes radicaux qui ont su profiter de la faible gouvernance des Etats, de la présence des groupes armés, du faible pouvoir d’achat des populations, des conflits sociaux et</w:t>
      </w:r>
      <w:r w:rsidRPr="007007C9">
        <w:rPr>
          <w:rFonts w:ascii="Century Gothic" w:hAnsi="Century Gothic"/>
          <w:spacing w:val="-30"/>
        </w:rPr>
        <w:t xml:space="preserve"> </w:t>
      </w:r>
      <w:r w:rsidRPr="007007C9">
        <w:rPr>
          <w:rFonts w:ascii="Century Gothic" w:hAnsi="Century Gothic"/>
        </w:rPr>
        <w:t>communautaires.</w:t>
      </w:r>
    </w:p>
    <w:p w14:paraId="1B33299E" w14:textId="77777777" w:rsidR="0070509E" w:rsidRPr="007007C9" w:rsidRDefault="0070509E" w:rsidP="007007C9">
      <w:pPr>
        <w:pStyle w:val="Corpsdetexte"/>
        <w:ind w:left="140" w:right="139"/>
        <w:rPr>
          <w:rFonts w:ascii="Century Gothic" w:hAnsi="Century Gothic"/>
        </w:rPr>
      </w:pPr>
      <w:r w:rsidRPr="007007C9">
        <w:rPr>
          <w:rFonts w:ascii="Century Gothic" w:hAnsi="Century Gothic"/>
        </w:rPr>
        <w:t>Pour répondre à ces défis, ONU Femmes et ONUDC ont initié un projet conjoint intitulé : « Appui aux initiatives</w:t>
      </w:r>
      <w:r w:rsidRPr="007007C9">
        <w:rPr>
          <w:rFonts w:ascii="Century Gothic" w:hAnsi="Century Gothic"/>
          <w:spacing w:val="-5"/>
        </w:rPr>
        <w:t xml:space="preserve"> </w:t>
      </w:r>
      <w:r w:rsidRPr="007007C9">
        <w:rPr>
          <w:rFonts w:ascii="Century Gothic" w:hAnsi="Century Gothic"/>
        </w:rPr>
        <w:t>transfrontalières</w:t>
      </w:r>
      <w:r w:rsidRPr="007007C9">
        <w:rPr>
          <w:rFonts w:ascii="Century Gothic" w:hAnsi="Century Gothic"/>
          <w:spacing w:val="-6"/>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dialogue</w:t>
      </w:r>
      <w:r w:rsidRPr="007007C9">
        <w:rPr>
          <w:rFonts w:ascii="Century Gothic" w:hAnsi="Century Gothic"/>
          <w:spacing w:val="-4"/>
        </w:rPr>
        <w:t xml:space="preserve"> </w:t>
      </w:r>
      <w:r w:rsidRPr="007007C9">
        <w:rPr>
          <w:rFonts w:ascii="Century Gothic" w:hAnsi="Century Gothic"/>
        </w:rPr>
        <w:t>communautaire</w:t>
      </w:r>
      <w:r w:rsidRPr="007007C9">
        <w:rPr>
          <w:rFonts w:ascii="Century Gothic" w:hAnsi="Century Gothic"/>
          <w:spacing w:val="-6"/>
        </w:rPr>
        <w:t xml:space="preserve"> </w:t>
      </w:r>
      <w:r w:rsidRPr="007007C9">
        <w:rPr>
          <w:rFonts w:ascii="Century Gothic" w:hAnsi="Century Gothic"/>
        </w:rPr>
        <w:t>avec</w:t>
      </w:r>
      <w:r w:rsidRPr="007007C9">
        <w:rPr>
          <w:rFonts w:ascii="Century Gothic" w:hAnsi="Century Gothic"/>
          <w:spacing w:val="-6"/>
        </w:rPr>
        <w:t xml:space="preserve"> </w:t>
      </w:r>
      <w:r w:rsidRPr="007007C9">
        <w:rPr>
          <w:rFonts w:ascii="Century Gothic" w:hAnsi="Century Gothic"/>
        </w:rPr>
        <w:t>les</w:t>
      </w:r>
      <w:r w:rsidRPr="007007C9">
        <w:rPr>
          <w:rFonts w:ascii="Century Gothic" w:hAnsi="Century Gothic"/>
          <w:spacing w:val="-6"/>
        </w:rPr>
        <w:t xml:space="preserve"> </w:t>
      </w:r>
      <w:r w:rsidRPr="007007C9">
        <w:rPr>
          <w:rFonts w:ascii="Century Gothic" w:hAnsi="Century Gothic"/>
        </w:rPr>
        <w:t>acteurs</w:t>
      </w:r>
      <w:r w:rsidRPr="007007C9">
        <w:rPr>
          <w:rFonts w:ascii="Century Gothic" w:hAnsi="Century Gothic"/>
          <w:spacing w:val="-5"/>
        </w:rPr>
        <w:t xml:space="preserve"> </w:t>
      </w:r>
      <w:r w:rsidRPr="007007C9">
        <w:rPr>
          <w:rFonts w:ascii="Century Gothic" w:hAnsi="Century Gothic"/>
        </w:rPr>
        <w:t>du</w:t>
      </w:r>
      <w:r w:rsidRPr="007007C9">
        <w:rPr>
          <w:rFonts w:ascii="Century Gothic" w:hAnsi="Century Gothic"/>
          <w:spacing w:val="-5"/>
        </w:rPr>
        <w:t xml:space="preserve"> </w:t>
      </w:r>
      <w:r w:rsidRPr="007007C9">
        <w:rPr>
          <w:rFonts w:ascii="Century Gothic" w:hAnsi="Century Gothic"/>
        </w:rPr>
        <w:t>secteur</w:t>
      </w:r>
      <w:r w:rsidRPr="007007C9">
        <w:rPr>
          <w:rFonts w:ascii="Century Gothic" w:hAnsi="Century Gothic"/>
          <w:spacing w:val="-5"/>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la</w:t>
      </w:r>
      <w:r w:rsidRPr="007007C9">
        <w:rPr>
          <w:rFonts w:ascii="Century Gothic" w:hAnsi="Century Gothic"/>
          <w:spacing w:val="-6"/>
        </w:rPr>
        <w:t xml:space="preserve"> </w:t>
      </w:r>
      <w:r w:rsidRPr="007007C9">
        <w:rPr>
          <w:rFonts w:ascii="Century Gothic" w:hAnsi="Century Gothic"/>
        </w:rPr>
        <w:t>sécurité</w:t>
      </w:r>
      <w:r w:rsidRPr="007007C9">
        <w:rPr>
          <w:rFonts w:ascii="Century Gothic" w:hAnsi="Century Gothic"/>
          <w:spacing w:val="-5"/>
        </w:rPr>
        <w:t xml:space="preserve"> </w:t>
      </w:r>
      <w:r w:rsidRPr="007007C9">
        <w:rPr>
          <w:rFonts w:ascii="Century Gothic" w:hAnsi="Century Gothic"/>
        </w:rPr>
        <w:t>et</w:t>
      </w:r>
      <w:r w:rsidRPr="007007C9">
        <w:rPr>
          <w:rFonts w:ascii="Century Gothic" w:hAnsi="Century Gothic"/>
          <w:spacing w:val="-6"/>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la justice pour la consolidation de la paix au Mali et au Niger » grâce au financement du Fonds de Consolidation de la paix</w:t>
      </w:r>
      <w:r w:rsidRPr="007007C9">
        <w:rPr>
          <w:rFonts w:ascii="Century Gothic" w:hAnsi="Century Gothic"/>
          <w:spacing w:val="-7"/>
        </w:rPr>
        <w:t xml:space="preserve"> </w:t>
      </w:r>
      <w:r w:rsidRPr="007007C9">
        <w:rPr>
          <w:rFonts w:ascii="Century Gothic" w:hAnsi="Century Gothic"/>
        </w:rPr>
        <w:t>(PBF).</w:t>
      </w:r>
    </w:p>
    <w:p w14:paraId="14D04221" w14:textId="77777777" w:rsidR="0070509E" w:rsidRPr="007007C9" w:rsidRDefault="0070509E" w:rsidP="007007C9">
      <w:pPr>
        <w:pStyle w:val="Corpsdetexte"/>
        <w:ind w:left="140" w:right="138"/>
        <w:rPr>
          <w:rFonts w:ascii="Century Gothic" w:hAnsi="Century Gothic"/>
        </w:rPr>
      </w:pPr>
      <w:r w:rsidRPr="007007C9">
        <w:rPr>
          <w:rFonts w:ascii="Century Gothic" w:hAnsi="Century Gothic"/>
        </w:rPr>
        <w:t>Le projet s’attaque à un défi important pour la sécurité dans ces zones frontalières, à savoir la défiance entre les communautés locales, les Forces de Défense et de Sécurité (FDS) et les acteurs de la chaine pénale. Les acteurs des secteurs de la sécurité et de la justice seront renforcés institutionnellement pour assurer le respect des droits humains et la prise en compte du genre dans leur fonctionnement. Les femmes et les jeunes seront outillés pour s’impliquer activement dans la prévention, la résolution des conflits et le rétablissement de la confiance avec ces acteurs.</w:t>
      </w:r>
    </w:p>
    <w:p w14:paraId="1485BA84" w14:textId="77777777" w:rsidR="0070509E" w:rsidRPr="007007C9" w:rsidRDefault="0070509E" w:rsidP="007007C9">
      <w:pPr>
        <w:pStyle w:val="Corpsdetexte"/>
        <w:ind w:left="140" w:right="136"/>
        <w:rPr>
          <w:rFonts w:ascii="Century Gothic" w:hAnsi="Century Gothic"/>
        </w:rPr>
      </w:pPr>
      <w:r w:rsidRPr="007007C9">
        <w:rPr>
          <w:rFonts w:ascii="Century Gothic" w:hAnsi="Century Gothic"/>
        </w:rPr>
        <w:t>Les interventions multi</w:t>
      </w:r>
      <w:r w:rsidRPr="007007C9">
        <w:rPr>
          <w:rFonts w:ascii="Cambria Math" w:hAnsi="Cambria Math" w:cs="Cambria Math"/>
        </w:rPr>
        <w:t>‐</w:t>
      </w:r>
      <w:r w:rsidRPr="007007C9">
        <w:rPr>
          <w:rFonts w:ascii="Century Gothic" w:hAnsi="Century Gothic"/>
        </w:rPr>
        <w:t>sectorielles cr</w:t>
      </w:r>
      <w:r w:rsidRPr="007007C9">
        <w:rPr>
          <w:rFonts w:ascii="Century Gothic" w:hAnsi="Century Gothic" w:cs="Century Gothic"/>
        </w:rPr>
        <w:t>é</w:t>
      </w:r>
      <w:r w:rsidRPr="007007C9">
        <w:rPr>
          <w:rFonts w:ascii="Century Gothic" w:hAnsi="Century Gothic"/>
        </w:rPr>
        <w:t>eront un cercle vertueux et contribueront à la stabilisation et la consolidation de la paix. Il sera développé selon une approche transfrontalière, aura un caractère pilote et</w:t>
      </w:r>
      <w:r w:rsidRPr="007007C9">
        <w:rPr>
          <w:rFonts w:ascii="Century Gothic" w:hAnsi="Century Gothic"/>
          <w:spacing w:val="-9"/>
        </w:rPr>
        <w:t xml:space="preserve"> </w:t>
      </w:r>
      <w:r w:rsidRPr="007007C9">
        <w:rPr>
          <w:rFonts w:ascii="Century Gothic" w:hAnsi="Century Gothic"/>
        </w:rPr>
        <w:t>pourrait</w:t>
      </w:r>
      <w:r w:rsidRPr="007007C9">
        <w:rPr>
          <w:rFonts w:ascii="Century Gothic" w:hAnsi="Century Gothic"/>
          <w:spacing w:val="-9"/>
        </w:rPr>
        <w:t xml:space="preserve"> </w:t>
      </w:r>
      <w:r w:rsidRPr="007007C9">
        <w:rPr>
          <w:rFonts w:ascii="Century Gothic" w:hAnsi="Century Gothic"/>
        </w:rPr>
        <w:t>être</w:t>
      </w:r>
      <w:r w:rsidRPr="007007C9">
        <w:rPr>
          <w:rFonts w:ascii="Century Gothic" w:hAnsi="Century Gothic"/>
          <w:spacing w:val="-9"/>
        </w:rPr>
        <w:t xml:space="preserve"> </w:t>
      </w:r>
      <w:r w:rsidRPr="007007C9">
        <w:rPr>
          <w:rFonts w:ascii="Century Gothic" w:hAnsi="Century Gothic"/>
        </w:rPr>
        <w:t>répliqué</w:t>
      </w:r>
      <w:r w:rsidRPr="007007C9">
        <w:rPr>
          <w:rFonts w:ascii="Century Gothic" w:hAnsi="Century Gothic"/>
          <w:spacing w:val="-8"/>
        </w:rPr>
        <w:t xml:space="preserve"> </w:t>
      </w:r>
      <w:r w:rsidRPr="007007C9">
        <w:rPr>
          <w:rFonts w:ascii="Century Gothic" w:hAnsi="Century Gothic"/>
        </w:rPr>
        <w:t>dans</w:t>
      </w:r>
      <w:r w:rsidRPr="007007C9">
        <w:rPr>
          <w:rFonts w:ascii="Century Gothic" w:hAnsi="Century Gothic"/>
          <w:spacing w:val="-8"/>
        </w:rPr>
        <w:t xml:space="preserve"> </w:t>
      </w:r>
      <w:r w:rsidRPr="007007C9">
        <w:rPr>
          <w:rFonts w:ascii="Century Gothic" w:hAnsi="Century Gothic"/>
        </w:rPr>
        <w:t>d’autres</w:t>
      </w:r>
      <w:r w:rsidRPr="007007C9">
        <w:rPr>
          <w:rFonts w:ascii="Century Gothic" w:hAnsi="Century Gothic"/>
          <w:spacing w:val="-7"/>
        </w:rPr>
        <w:t xml:space="preserve"> </w:t>
      </w:r>
      <w:r w:rsidRPr="007007C9">
        <w:rPr>
          <w:rFonts w:ascii="Century Gothic" w:hAnsi="Century Gothic"/>
        </w:rPr>
        <w:t>zones</w:t>
      </w:r>
      <w:r w:rsidRPr="007007C9">
        <w:rPr>
          <w:rFonts w:ascii="Century Gothic" w:hAnsi="Century Gothic"/>
          <w:spacing w:val="-9"/>
        </w:rPr>
        <w:t xml:space="preserve"> </w:t>
      </w:r>
      <w:r w:rsidRPr="007007C9">
        <w:rPr>
          <w:rFonts w:ascii="Century Gothic" w:hAnsi="Century Gothic"/>
        </w:rPr>
        <w:t>frontalières</w:t>
      </w:r>
      <w:r w:rsidRPr="007007C9">
        <w:rPr>
          <w:rFonts w:ascii="Century Gothic" w:hAnsi="Century Gothic"/>
          <w:spacing w:val="-8"/>
        </w:rPr>
        <w:t xml:space="preserve"> </w:t>
      </w:r>
      <w:r w:rsidRPr="007007C9">
        <w:rPr>
          <w:rFonts w:ascii="Century Gothic" w:hAnsi="Century Gothic"/>
        </w:rPr>
        <w:t>de</w:t>
      </w:r>
      <w:r w:rsidRPr="007007C9">
        <w:rPr>
          <w:rFonts w:ascii="Century Gothic" w:hAnsi="Century Gothic"/>
          <w:spacing w:val="-8"/>
        </w:rPr>
        <w:t xml:space="preserve"> </w:t>
      </w:r>
      <w:r w:rsidRPr="007007C9">
        <w:rPr>
          <w:rFonts w:ascii="Century Gothic" w:hAnsi="Century Gothic"/>
        </w:rPr>
        <w:t>la</w:t>
      </w:r>
      <w:r w:rsidRPr="007007C9">
        <w:rPr>
          <w:rFonts w:ascii="Century Gothic" w:hAnsi="Century Gothic"/>
          <w:spacing w:val="-8"/>
        </w:rPr>
        <w:t xml:space="preserve"> </w:t>
      </w:r>
      <w:r w:rsidRPr="007007C9">
        <w:rPr>
          <w:rFonts w:ascii="Century Gothic" w:hAnsi="Century Gothic"/>
        </w:rPr>
        <w:t>région</w:t>
      </w:r>
      <w:r w:rsidRPr="007007C9">
        <w:rPr>
          <w:rFonts w:ascii="Century Gothic" w:hAnsi="Century Gothic"/>
          <w:spacing w:val="-10"/>
        </w:rPr>
        <w:t xml:space="preserve"> </w:t>
      </w:r>
      <w:r w:rsidRPr="007007C9">
        <w:rPr>
          <w:rFonts w:ascii="Century Gothic" w:hAnsi="Century Gothic"/>
        </w:rPr>
        <w:t>du</w:t>
      </w:r>
      <w:r w:rsidRPr="007007C9">
        <w:rPr>
          <w:rFonts w:ascii="Century Gothic" w:hAnsi="Century Gothic"/>
          <w:spacing w:val="-8"/>
        </w:rPr>
        <w:t xml:space="preserve"> </w:t>
      </w:r>
      <w:r w:rsidRPr="007007C9">
        <w:rPr>
          <w:rFonts w:ascii="Century Gothic" w:hAnsi="Century Gothic"/>
        </w:rPr>
        <w:t>G5</w:t>
      </w:r>
      <w:r w:rsidRPr="007007C9">
        <w:rPr>
          <w:rFonts w:ascii="Century Gothic" w:hAnsi="Century Gothic"/>
          <w:spacing w:val="-8"/>
        </w:rPr>
        <w:t xml:space="preserve"> </w:t>
      </w:r>
      <w:r w:rsidRPr="007007C9">
        <w:rPr>
          <w:rFonts w:ascii="Century Gothic" w:hAnsi="Century Gothic"/>
        </w:rPr>
        <w:t>Sahel</w:t>
      </w:r>
      <w:r w:rsidRPr="007007C9">
        <w:rPr>
          <w:rFonts w:ascii="Century Gothic" w:hAnsi="Century Gothic"/>
          <w:spacing w:val="-9"/>
        </w:rPr>
        <w:t xml:space="preserve"> </w:t>
      </w:r>
      <w:r w:rsidRPr="007007C9">
        <w:rPr>
          <w:rFonts w:ascii="Century Gothic" w:hAnsi="Century Gothic"/>
        </w:rPr>
        <w:t>qui</w:t>
      </w:r>
      <w:r w:rsidRPr="007007C9">
        <w:rPr>
          <w:rFonts w:ascii="Century Gothic" w:hAnsi="Century Gothic"/>
          <w:spacing w:val="-9"/>
        </w:rPr>
        <w:t xml:space="preserve"> </w:t>
      </w:r>
      <w:r w:rsidRPr="007007C9">
        <w:rPr>
          <w:rFonts w:ascii="Century Gothic" w:hAnsi="Century Gothic"/>
        </w:rPr>
        <w:t>font</w:t>
      </w:r>
      <w:r w:rsidRPr="007007C9">
        <w:rPr>
          <w:rFonts w:ascii="Century Gothic" w:hAnsi="Century Gothic"/>
          <w:spacing w:val="-8"/>
        </w:rPr>
        <w:t xml:space="preserve"> </w:t>
      </w:r>
      <w:r w:rsidRPr="007007C9">
        <w:rPr>
          <w:rFonts w:ascii="Century Gothic" w:hAnsi="Century Gothic"/>
        </w:rPr>
        <w:t>face</w:t>
      </w:r>
      <w:r w:rsidRPr="007007C9">
        <w:rPr>
          <w:rFonts w:ascii="Century Gothic" w:hAnsi="Century Gothic"/>
          <w:spacing w:val="-9"/>
        </w:rPr>
        <w:t xml:space="preserve"> </w:t>
      </w:r>
      <w:r w:rsidRPr="007007C9">
        <w:rPr>
          <w:rFonts w:ascii="Century Gothic" w:hAnsi="Century Gothic"/>
        </w:rPr>
        <w:t>à</w:t>
      </w:r>
      <w:r w:rsidRPr="007007C9">
        <w:rPr>
          <w:rFonts w:ascii="Century Gothic" w:hAnsi="Century Gothic"/>
          <w:spacing w:val="-9"/>
        </w:rPr>
        <w:t xml:space="preserve"> </w:t>
      </w:r>
      <w:r w:rsidRPr="007007C9">
        <w:rPr>
          <w:rFonts w:ascii="Century Gothic" w:hAnsi="Century Gothic"/>
        </w:rPr>
        <w:t>des</w:t>
      </w:r>
      <w:r w:rsidRPr="007007C9">
        <w:rPr>
          <w:rFonts w:ascii="Century Gothic" w:hAnsi="Century Gothic"/>
          <w:spacing w:val="-8"/>
        </w:rPr>
        <w:t xml:space="preserve"> </w:t>
      </w:r>
      <w:r w:rsidRPr="007007C9">
        <w:rPr>
          <w:rFonts w:ascii="Century Gothic" w:hAnsi="Century Gothic"/>
        </w:rPr>
        <w:t>défis sécuritaires. Dans les zones d’intervention, les femmes apparaissent fortement défavorisées en raison d’une vulnérabilité plus spécifique, aux confits, l’insécurité, les ruptures familiales, les changements climatiques, les crises alimentaires entre autres. Ces facteurs de vulnérabilité pour les femmes et les jeunes</w:t>
      </w:r>
      <w:r w:rsidRPr="007007C9">
        <w:rPr>
          <w:rFonts w:ascii="Century Gothic" w:hAnsi="Century Gothic"/>
          <w:spacing w:val="-14"/>
        </w:rPr>
        <w:t xml:space="preserve"> </w:t>
      </w:r>
      <w:r w:rsidRPr="007007C9">
        <w:rPr>
          <w:rFonts w:ascii="Century Gothic" w:hAnsi="Century Gothic"/>
        </w:rPr>
        <w:t>se</w:t>
      </w:r>
      <w:r w:rsidRPr="007007C9">
        <w:rPr>
          <w:rFonts w:ascii="Century Gothic" w:hAnsi="Century Gothic"/>
          <w:spacing w:val="-14"/>
        </w:rPr>
        <w:t xml:space="preserve"> </w:t>
      </w:r>
      <w:r w:rsidRPr="007007C9">
        <w:rPr>
          <w:rFonts w:ascii="Century Gothic" w:hAnsi="Century Gothic"/>
        </w:rPr>
        <w:t>sont</w:t>
      </w:r>
      <w:r w:rsidRPr="007007C9">
        <w:rPr>
          <w:rFonts w:ascii="Century Gothic" w:hAnsi="Century Gothic"/>
          <w:spacing w:val="-14"/>
        </w:rPr>
        <w:t xml:space="preserve"> </w:t>
      </w:r>
      <w:r w:rsidRPr="007007C9">
        <w:rPr>
          <w:rFonts w:ascii="Century Gothic" w:hAnsi="Century Gothic"/>
        </w:rPr>
        <w:t>amplifiés</w:t>
      </w:r>
      <w:r w:rsidRPr="007007C9">
        <w:rPr>
          <w:rFonts w:ascii="Century Gothic" w:hAnsi="Century Gothic"/>
          <w:spacing w:val="-14"/>
        </w:rPr>
        <w:t xml:space="preserve"> </w:t>
      </w:r>
      <w:r w:rsidRPr="007007C9">
        <w:rPr>
          <w:rFonts w:ascii="Century Gothic" w:hAnsi="Century Gothic"/>
        </w:rPr>
        <w:t>sous</w:t>
      </w:r>
      <w:r w:rsidRPr="007007C9">
        <w:rPr>
          <w:rFonts w:ascii="Century Gothic" w:hAnsi="Century Gothic"/>
          <w:spacing w:val="-14"/>
        </w:rPr>
        <w:t xml:space="preserve"> </w:t>
      </w:r>
      <w:r w:rsidRPr="007007C9">
        <w:rPr>
          <w:rFonts w:ascii="Century Gothic" w:hAnsi="Century Gothic"/>
        </w:rPr>
        <w:t>l’effet</w:t>
      </w:r>
      <w:r w:rsidRPr="007007C9">
        <w:rPr>
          <w:rFonts w:ascii="Century Gothic" w:hAnsi="Century Gothic"/>
          <w:spacing w:val="-14"/>
        </w:rPr>
        <w:t xml:space="preserve"> </w:t>
      </w:r>
      <w:r w:rsidRPr="007007C9">
        <w:rPr>
          <w:rFonts w:ascii="Century Gothic" w:hAnsi="Century Gothic"/>
        </w:rPr>
        <w:t>d’une</w:t>
      </w:r>
      <w:r w:rsidRPr="007007C9">
        <w:rPr>
          <w:rFonts w:ascii="Century Gothic" w:hAnsi="Century Gothic"/>
          <w:spacing w:val="-14"/>
        </w:rPr>
        <w:t xml:space="preserve"> </w:t>
      </w:r>
      <w:r w:rsidRPr="007007C9">
        <w:rPr>
          <w:rFonts w:ascii="Century Gothic" w:hAnsi="Century Gothic"/>
        </w:rPr>
        <w:t>situation</w:t>
      </w:r>
      <w:r w:rsidRPr="007007C9">
        <w:rPr>
          <w:rFonts w:ascii="Century Gothic" w:hAnsi="Century Gothic"/>
          <w:spacing w:val="-14"/>
        </w:rPr>
        <w:t xml:space="preserve"> </w:t>
      </w:r>
      <w:r w:rsidRPr="007007C9">
        <w:rPr>
          <w:rFonts w:ascii="Century Gothic" w:hAnsi="Century Gothic"/>
        </w:rPr>
        <w:t>politique</w:t>
      </w:r>
      <w:r w:rsidRPr="007007C9">
        <w:rPr>
          <w:rFonts w:ascii="Century Gothic" w:hAnsi="Century Gothic"/>
          <w:spacing w:val="-13"/>
        </w:rPr>
        <w:t xml:space="preserve"> </w:t>
      </w:r>
      <w:r w:rsidRPr="007007C9">
        <w:rPr>
          <w:rFonts w:ascii="Century Gothic" w:hAnsi="Century Gothic"/>
        </w:rPr>
        <w:t>complexe,</w:t>
      </w:r>
      <w:r w:rsidRPr="007007C9">
        <w:rPr>
          <w:rFonts w:ascii="Century Gothic" w:hAnsi="Century Gothic"/>
          <w:spacing w:val="-14"/>
        </w:rPr>
        <w:t xml:space="preserve"> </w:t>
      </w:r>
      <w:r w:rsidRPr="007007C9">
        <w:rPr>
          <w:rFonts w:ascii="Century Gothic" w:hAnsi="Century Gothic"/>
        </w:rPr>
        <w:t>d’un</w:t>
      </w:r>
      <w:r w:rsidRPr="007007C9">
        <w:rPr>
          <w:rFonts w:ascii="Century Gothic" w:hAnsi="Century Gothic"/>
          <w:spacing w:val="-13"/>
        </w:rPr>
        <w:t xml:space="preserve"> </w:t>
      </w:r>
      <w:r w:rsidRPr="007007C9">
        <w:rPr>
          <w:rFonts w:ascii="Century Gothic" w:hAnsi="Century Gothic"/>
        </w:rPr>
        <w:t>environnement</w:t>
      </w:r>
      <w:r w:rsidRPr="007007C9">
        <w:rPr>
          <w:rFonts w:ascii="Century Gothic" w:hAnsi="Century Gothic"/>
          <w:spacing w:val="-14"/>
        </w:rPr>
        <w:t xml:space="preserve"> </w:t>
      </w:r>
      <w:r w:rsidRPr="007007C9">
        <w:rPr>
          <w:rFonts w:ascii="Century Gothic" w:hAnsi="Century Gothic"/>
        </w:rPr>
        <w:t>local</w:t>
      </w:r>
      <w:r w:rsidRPr="007007C9">
        <w:rPr>
          <w:rFonts w:ascii="Century Gothic" w:hAnsi="Century Gothic"/>
          <w:spacing w:val="-14"/>
        </w:rPr>
        <w:t xml:space="preserve"> </w:t>
      </w:r>
      <w:r w:rsidRPr="007007C9">
        <w:rPr>
          <w:rFonts w:ascii="Century Gothic" w:hAnsi="Century Gothic"/>
        </w:rPr>
        <w:t>instable et de facteurs globaux</w:t>
      </w:r>
      <w:r w:rsidRPr="007007C9">
        <w:rPr>
          <w:rFonts w:ascii="Century Gothic" w:hAnsi="Century Gothic"/>
          <w:spacing w:val="-8"/>
        </w:rPr>
        <w:t xml:space="preserve"> </w:t>
      </w:r>
      <w:r w:rsidRPr="007007C9">
        <w:rPr>
          <w:rFonts w:ascii="Century Gothic" w:hAnsi="Century Gothic"/>
        </w:rPr>
        <w:t>défavorables.</w:t>
      </w:r>
    </w:p>
    <w:p w14:paraId="46C42E6A" w14:textId="77777777" w:rsidR="0070509E" w:rsidRPr="007007C9" w:rsidRDefault="0070509E" w:rsidP="007007C9">
      <w:pPr>
        <w:pStyle w:val="Corpsdetexte"/>
        <w:ind w:left="140" w:right="139" w:hanging="1"/>
        <w:rPr>
          <w:rFonts w:ascii="Century Gothic" w:hAnsi="Century Gothic"/>
        </w:rPr>
      </w:pPr>
      <w:r w:rsidRPr="007007C9">
        <w:rPr>
          <w:rFonts w:ascii="Century Gothic" w:hAnsi="Century Gothic"/>
        </w:rPr>
        <w:t>Le projet vise à améliorer les capacités des acteurs clés à Ménaka, Gao et Tillabéry situés dans les zones frontalières du Mali et du Niger, à établir des dialogues et médiations en renforçant les mécanismes existants</w:t>
      </w:r>
      <w:r w:rsidRPr="007007C9">
        <w:rPr>
          <w:rFonts w:ascii="Century Gothic" w:hAnsi="Century Gothic"/>
          <w:spacing w:val="-3"/>
        </w:rPr>
        <w:t xml:space="preserve"> </w:t>
      </w:r>
      <w:r w:rsidRPr="007007C9">
        <w:rPr>
          <w:rFonts w:ascii="Century Gothic" w:hAnsi="Century Gothic"/>
        </w:rPr>
        <w:t>ou prévus par</w:t>
      </w:r>
      <w:r w:rsidRPr="007007C9">
        <w:rPr>
          <w:rFonts w:ascii="Century Gothic" w:hAnsi="Century Gothic"/>
          <w:spacing w:val="-4"/>
        </w:rPr>
        <w:t xml:space="preserve"> </w:t>
      </w:r>
      <w:r w:rsidRPr="007007C9">
        <w:rPr>
          <w:rFonts w:ascii="Century Gothic" w:hAnsi="Century Gothic"/>
        </w:rPr>
        <w:t>les</w:t>
      </w:r>
      <w:r w:rsidRPr="007007C9">
        <w:rPr>
          <w:rFonts w:ascii="Century Gothic" w:hAnsi="Century Gothic"/>
          <w:spacing w:val="-4"/>
        </w:rPr>
        <w:t xml:space="preserve"> </w:t>
      </w:r>
      <w:r w:rsidRPr="007007C9">
        <w:rPr>
          <w:rFonts w:ascii="Century Gothic" w:hAnsi="Century Gothic"/>
        </w:rPr>
        <w:t>Etats</w:t>
      </w:r>
      <w:r w:rsidRPr="007007C9">
        <w:rPr>
          <w:rFonts w:ascii="Century Gothic" w:hAnsi="Century Gothic"/>
          <w:spacing w:val="-4"/>
        </w:rPr>
        <w:t xml:space="preserve"> </w:t>
      </w:r>
      <w:r w:rsidRPr="007007C9">
        <w:rPr>
          <w:rFonts w:ascii="Century Gothic" w:hAnsi="Century Gothic"/>
        </w:rPr>
        <w:t>afin</w:t>
      </w:r>
      <w:r w:rsidRPr="007007C9">
        <w:rPr>
          <w:rFonts w:ascii="Century Gothic" w:hAnsi="Century Gothic"/>
          <w:spacing w:val="-3"/>
        </w:rPr>
        <w:t xml:space="preserve"> </w:t>
      </w:r>
      <w:r w:rsidRPr="007007C9">
        <w:rPr>
          <w:rFonts w:ascii="Century Gothic" w:hAnsi="Century Gothic"/>
        </w:rPr>
        <w:t>de</w:t>
      </w:r>
      <w:r w:rsidRPr="007007C9">
        <w:rPr>
          <w:rFonts w:ascii="Century Gothic" w:hAnsi="Century Gothic"/>
          <w:spacing w:val="-3"/>
        </w:rPr>
        <w:t xml:space="preserve"> </w:t>
      </w:r>
      <w:r w:rsidRPr="007007C9">
        <w:rPr>
          <w:rFonts w:ascii="Century Gothic" w:hAnsi="Century Gothic"/>
        </w:rPr>
        <w:t>mettre</w:t>
      </w:r>
      <w:r w:rsidRPr="007007C9">
        <w:rPr>
          <w:rFonts w:ascii="Century Gothic" w:hAnsi="Century Gothic"/>
          <w:spacing w:val="-3"/>
        </w:rPr>
        <w:t xml:space="preserve"> </w:t>
      </w:r>
      <w:r w:rsidRPr="007007C9">
        <w:rPr>
          <w:rFonts w:ascii="Century Gothic" w:hAnsi="Century Gothic"/>
        </w:rPr>
        <w:t>fin</w:t>
      </w:r>
      <w:r w:rsidRPr="007007C9">
        <w:rPr>
          <w:rFonts w:ascii="Century Gothic" w:hAnsi="Century Gothic"/>
          <w:spacing w:val="-3"/>
        </w:rPr>
        <w:t xml:space="preserve"> </w:t>
      </w:r>
      <w:r w:rsidRPr="007007C9">
        <w:rPr>
          <w:rFonts w:ascii="Century Gothic" w:hAnsi="Century Gothic"/>
        </w:rPr>
        <w:t>aux</w:t>
      </w:r>
      <w:r w:rsidRPr="007007C9">
        <w:rPr>
          <w:rFonts w:ascii="Century Gothic" w:hAnsi="Century Gothic"/>
          <w:spacing w:val="-3"/>
        </w:rPr>
        <w:t xml:space="preserve"> </w:t>
      </w:r>
      <w:r w:rsidRPr="007007C9">
        <w:rPr>
          <w:rFonts w:ascii="Century Gothic" w:hAnsi="Century Gothic"/>
        </w:rPr>
        <w:t>conflits communautaires</w:t>
      </w:r>
      <w:r w:rsidRPr="007007C9">
        <w:rPr>
          <w:rFonts w:ascii="Century Gothic" w:hAnsi="Century Gothic"/>
          <w:spacing w:val="-3"/>
        </w:rPr>
        <w:t xml:space="preserve"> </w:t>
      </w:r>
      <w:r w:rsidRPr="007007C9">
        <w:rPr>
          <w:rFonts w:ascii="Century Gothic" w:hAnsi="Century Gothic"/>
        </w:rPr>
        <w:t>qui</w:t>
      </w:r>
      <w:r w:rsidRPr="007007C9">
        <w:rPr>
          <w:rFonts w:ascii="Century Gothic" w:hAnsi="Century Gothic"/>
          <w:spacing w:val="-3"/>
        </w:rPr>
        <w:t xml:space="preserve"> </w:t>
      </w:r>
      <w:r w:rsidRPr="007007C9">
        <w:rPr>
          <w:rFonts w:ascii="Century Gothic" w:hAnsi="Century Gothic"/>
        </w:rPr>
        <w:t>sont</w:t>
      </w:r>
      <w:r w:rsidRPr="007007C9">
        <w:rPr>
          <w:rFonts w:ascii="Century Gothic" w:hAnsi="Century Gothic"/>
          <w:spacing w:val="-3"/>
        </w:rPr>
        <w:t xml:space="preserve"> </w:t>
      </w:r>
      <w:r w:rsidRPr="007007C9">
        <w:rPr>
          <w:rFonts w:ascii="Century Gothic" w:hAnsi="Century Gothic"/>
        </w:rPr>
        <w:t>aggravés</w:t>
      </w:r>
      <w:r w:rsidRPr="007007C9">
        <w:rPr>
          <w:rFonts w:ascii="Century Gothic" w:hAnsi="Century Gothic"/>
          <w:spacing w:val="-4"/>
        </w:rPr>
        <w:t xml:space="preserve"> </w:t>
      </w:r>
      <w:r w:rsidRPr="007007C9">
        <w:rPr>
          <w:rFonts w:ascii="Century Gothic" w:hAnsi="Century Gothic"/>
        </w:rPr>
        <w:t>par</w:t>
      </w:r>
      <w:r w:rsidRPr="007007C9">
        <w:rPr>
          <w:rFonts w:ascii="Century Gothic" w:hAnsi="Century Gothic"/>
          <w:spacing w:val="-4"/>
        </w:rPr>
        <w:t xml:space="preserve"> </w:t>
      </w:r>
      <w:r w:rsidRPr="007007C9">
        <w:rPr>
          <w:rFonts w:ascii="Century Gothic" w:hAnsi="Century Gothic"/>
        </w:rPr>
        <w:t>les actions des groupes extrémistes. Il est mis en œuvre conjointement par ONU Femmes et ONUDC au Mali et au Niger. ONU Femmes Mali en assure le</w:t>
      </w:r>
      <w:r w:rsidRPr="007007C9">
        <w:rPr>
          <w:rFonts w:ascii="Century Gothic" w:hAnsi="Century Gothic"/>
          <w:spacing w:val="-17"/>
        </w:rPr>
        <w:t xml:space="preserve"> </w:t>
      </w:r>
      <w:r w:rsidRPr="007007C9">
        <w:rPr>
          <w:rFonts w:ascii="Century Gothic" w:hAnsi="Century Gothic"/>
        </w:rPr>
        <w:t>lead. Les partenaires clés sont :</w:t>
      </w:r>
    </w:p>
    <w:p w14:paraId="608259AB" w14:textId="77777777" w:rsidR="0070509E" w:rsidRPr="007007C9" w:rsidRDefault="0070509E" w:rsidP="00FB2B45">
      <w:pPr>
        <w:pStyle w:val="Corpsdetexte"/>
        <w:numPr>
          <w:ilvl w:val="0"/>
          <w:numId w:val="27"/>
        </w:numPr>
        <w:spacing w:before="0" w:after="0"/>
        <w:ind w:right="139"/>
        <w:rPr>
          <w:rFonts w:ascii="Century Gothic" w:hAnsi="Century Gothic"/>
        </w:rPr>
      </w:pPr>
      <w:r w:rsidRPr="007007C9">
        <w:rPr>
          <w:rFonts w:ascii="Century Gothic" w:hAnsi="Century Gothic"/>
        </w:rPr>
        <w:t>Gouvernements</w:t>
      </w:r>
      <w:r w:rsidRPr="007007C9">
        <w:rPr>
          <w:rFonts w:ascii="Century Gothic" w:hAnsi="Century Gothic"/>
          <w:spacing w:val="-3"/>
        </w:rPr>
        <w:t xml:space="preserve"> </w:t>
      </w:r>
      <w:r w:rsidRPr="007007C9">
        <w:rPr>
          <w:rFonts w:ascii="Century Gothic" w:hAnsi="Century Gothic"/>
        </w:rPr>
        <w:t>:</w:t>
      </w:r>
      <w:r w:rsidRPr="007007C9">
        <w:rPr>
          <w:rFonts w:ascii="Century Gothic" w:hAnsi="Century Gothic"/>
          <w:spacing w:val="-10"/>
        </w:rPr>
        <w:t xml:space="preserve"> </w:t>
      </w:r>
      <w:r w:rsidRPr="007007C9">
        <w:rPr>
          <w:rFonts w:ascii="Century Gothic" w:hAnsi="Century Gothic"/>
        </w:rPr>
        <w:t>Ministères</w:t>
      </w:r>
      <w:r w:rsidRPr="007007C9">
        <w:rPr>
          <w:rFonts w:ascii="Century Gothic" w:hAnsi="Century Gothic"/>
          <w:spacing w:val="-10"/>
        </w:rPr>
        <w:t xml:space="preserve"> </w:t>
      </w:r>
      <w:r w:rsidRPr="007007C9">
        <w:rPr>
          <w:rFonts w:ascii="Century Gothic" w:hAnsi="Century Gothic"/>
        </w:rPr>
        <w:t>de</w:t>
      </w:r>
      <w:r w:rsidRPr="007007C9">
        <w:rPr>
          <w:rFonts w:ascii="Century Gothic" w:hAnsi="Century Gothic"/>
          <w:spacing w:val="-10"/>
        </w:rPr>
        <w:t xml:space="preserve"> </w:t>
      </w:r>
      <w:r w:rsidRPr="007007C9">
        <w:rPr>
          <w:rFonts w:ascii="Century Gothic" w:hAnsi="Century Gothic"/>
        </w:rPr>
        <w:t>la</w:t>
      </w:r>
      <w:r w:rsidRPr="007007C9">
        <w:rPr>
          <w:rFonts w:ascii="Century Gothic" w:hAnsi="Century Gothic"/>
          <w:spacing w:val="-10"/>
        </w:rPr>
        <w:t xml:space="preserve"> </w:t>
      </w:r>
      <w:r w:rsidRPr="007007C9">
        <w:rPr>
          <w:rFonts w:ascii="Century Gothic" w:hAnsi="Century Gothic"/>
        </w:rPr>
        <w:t>Défense,</w:t>
      </w:r>
      <w:r w:rsidRPr="007007C9">
        <w:rPr>
          <w:rFonts w:ascii="Century Gothic" w:hAnsi="Century Gothic"/>
          <w:spacing w:val="-10"/>
        </w:rPr>
        <w:t xml:space="preserve"> </w:t>
      </w:r>
      <w:r w:rsidRPr="007007C9">
        <w:rPr>
          <w:rFonts w:ascii="Century Gothic" w:hAnsi="Century Gothic"/>
        </w:rPr>
        <w:t>Sécurité,</w:t>
      </w:r>
      <w:r w:rsidRPr="007007C9">
        <w:rPr>
          <w:rFonts w:ascii="Century Gothic" w:hAnsi="Century Gothic"/>
          <w:spacing w:val="-9"/>
        </w:rPr>
        <w:t xml:space="preserve"> </w:t>
      </w:r>
      <w:r w:rsidRPr="007007C9">
        <w:rPr>
          <w:rFonts w:ascii="Century Gothic" w:hAnsi="Century Gothic"/>
        </w:rPr>
        <w:t>Promotion</w:t>
      </w:r>
      <w:r w:rsidRPr="007007C9">
        <w:rPr>
          <w:rFonts w:ascii="Century Gothic" w:hAnsi="Century Gothic"/>
          <w:spacing w:val="-11"/>
        </w:rPr>
        <w:t xml:space="preserve"> </w:t>
      </w:r>
      <w:r w:rsidRPr="007007C9">
        <w:rPr>
          <w:rFonts w:ascii="Century Gothic" w:hAnsi="Century Gothic"/>
        </w:rPr>
        <w:t>de</w:t>
      </w:r>
      <w:r w:rsidRPr="007007C9">
        <w:rPr>
          <w:rFonts w:ascii="Century Gothic" w:hAnsi="Century Gothic"/>
          <w:spacing w:val="-10"/>
        </w:rPr>
        <w:t xml:space="preserve"> </w:t>
      </w:r>
      <w:r w:rsidRPr="007007C9">
        <w:rPr>
          <w:rFonts w:ascii="Century Gothic" w:hAnsi="Century Gothic"/>
        </w:rPr>
        <w:t>la</w:t>
      </w:r>
      <w:r w:rsidRPr="007007C9">
        <w:rPr>
          <w:rFonts w:ascii="Century Gothic" w:hAnsi="Century Gothic"/>
          <w:spacing w:val="-10"/>
        </w:rPr>
        <w:t xml:space="preserve"> </w:t>
      </w:r>
      <w:r w:rsidRPr="007007C9">
        <w:rPr>
          <w:rFonts w:ascii="Century Gothic" w:hAnsi="Century Gothic"/>
        </w:rPr>
        <w:t>Femme,</w:t>
      </w:r>
      <w:r w:rsidRPr="007007C9">
        <w:rPr>
          <w:rFonts w:ascii="Century Gothic" w:hAnsi="Century Gothic"/>
          <w:spacing w:val="-10"/>
        </w:rPr>
        <w:t xml:space="preserve"> </w:t>
      </w:r>
      <w:r w:rsidRPr="007007C9">
        <w:rPr>
          <w:rFonts w:ascii="Century Gothic" w:hAnsi="Century Gothic"/>
        </w:rPr>
        <w:t>Justice,</w:t>
      </w:r>
      <w:r w:rsidRPr="007007C9">
        <w:rPr>
          <w:rFonts w:ascii="Century Gothic" w:hAnsi="Century Gothic"/>
          <w:spacing w:val="-10"/>
        </w:rPr>
        <w:t xml:space="preserve"> </w:t>
      </w:r>
      <w:r w:rsidRPr="007007C9">
        <w:rPr>
          <w:rFonts w:ascii="Century Gothic" w:hAnsi="Century Gothic"/>
        </w:rPr>
        <w:t>Administration territoriale (Mali), Intérieur (Niger), Cohésion sociale et paix (Mali), Commission mixte Mali/Niger, Haute Autorité à la Consolidation de la Paix (Niger), Conseil National de la Réforme du Secteur de Sécurité (CNRSS), Assemblées nationales, Commission Nationale des Droits de l’Homme (CNDH) et Bureaux des Médiateurs, Secrétariat Permanent du G5 Sahel</w:t>
      </w:r>
      <w:r w:rsidRPr="007007C9">
        <w:rPr>
          <w:rFonts w:ascii="Century Gothic" w:hAnsi="Century Gothic"/>
          <w:spacing w:val="-22"/>
        </w:rPr>
        <w:t xml:space="preserve"> </w:t>
      </w:r>
      <w:r w:rsidRPr="007007C9">
        <w:rPr>
          <w:rFonts w:ascii="Century Gothic" w:hAnsi="Century Gothic"/>
        </w:rPr>
        <w:t>;</w:t>
      </w:r>
    </w:p>
    <w:p w14:paraId="3920FB70" w14:textId="77777777" w:rsidR="0070509E" w:rsidRPr="007007C9" w:rsidRDefault="0070509E" w:rsidP="00FB2B45">
      <w:pPr>
        <w:pStyle w:val="Corpsdetexte"/>
        <w:numPr>
          <w:ilvl w:val="0"/>
          <w:numId w:val="27"/>
        </w:numPr>
        <w:spacing w:before="0" w:after="0"/>
        <w:ind w:right="139"/>
        <w:rPr>
          <w:rFonts w:ascii="Century Gothic" w:hAnsi="Century Gothic"/>
        </w:rPr>
      </w:pPr>
      <w:r w:rsidRPr="007007C9">
        <w:rPr>
          <w:rFonts w:ascii="Century Gothic" w:hAnsi="Century Gothic"/>
        </w:rPr>
        <w:t>Organisations</w:t>
      </w:r>
      <w:r w:rsidRPr="007007C9">
        <w:rPr>
          <w:rFonts w:ascii="Century Gothic" w:hAnsi="Century Gothic"/>
          <w:spacing w:val="-3"/>
        </w:rPr>
        <w:t xml:space="preserve"> </w:t>
      </w:r>
      <w:r w:rsidRPr="007007C9">
        <w:rPr>
          <w:rFonts w:ascii="Century Gothic" w:hAnsi="Century Gothic"/>
        </w:rPr>
        <w:t>de</w:t>
      </w:r>
      <w:r w:rsidRPr="007007C9">
        <w:rPr>
          <w:rFonts w:ascii="Century Gothic" w:hAnsi="Century Gothic"/>
          <w:spacing w:val="-3"/>
        </w:rPr>
        <w:t xml:space="preserve"> </w:t>
      </w:r>
      <w:r w:rsidRPr="007007C9">
        <w:rPr>
          <w:rFonts w:ascii="Century Gothic" w:hAnsi="Century Gothic"/>
        </w:rPr>
        <w:t>la société</w:t>
      </w:r>
      <w:r w:rsidRPr="007007C9">
        <w:rPr>
          <w:rFonts w:ascii="Century Gothic" w:hAnsi="Century Gothic"/>
          <w:spacing w:val="-3"/>
        </w:rPr>
        <w:t xml:space="preserve"> </w:t>
      </w:r>
      <w:r w:rsidRPr="007007C9">
        <w:rPr>
          <w:rFonts w:ascii="Century Gothic" w:hAnsi="Century Gothic"/>
        </w:rPr>
        <w:t>civile œuvrant</w:t>
      </w:r>
      <w:r w:rsidRPr="007007C9">
        <w:rPr>
          <w:rFonts w:ascii="Century Gothic" w:hAnsi="Century Gothic"/>
          <w:spacing w:val="-4"/>
        </w:rPr>
        <w:t xml:space="preserve"> </w:t>
      </w:r>
      <w:r w:rsidRPr="007007C9">
        <w:rPr>
          <w:rFonts w:ascii="Century Gothic" w:hAnsi="Century Gothic"/>
        </w:rPr>
        <w:t>en</w:t>
      </w:r>
      <w:r w:rsidRPr="007007C9">
        <w:rPr>
          <w:rFonts w:ascii="Century Gothic" w:hAnsi="Century Gothic"/>
          <w:spacing w:val="-3"/>
        </w:rPr>
        <w:t xml:space="preserve"> </w:t>
      </w:r>
      <w:r w:rsidRPr="007007C9">
        <w:rPr>
          <w:rFonts w:ascii="Century Gothic" w:hAnsi="Century Gothic"/>
        </w:rPr>
        <w:t>matière</w:t>
      </w:r>
      <w:r w:rsidRPr="007007C9">
        <w:rPr>
          <w:rFonts w:ascii="Century Gothic" w:hAnsi="Century Gothic"/>
          <w:spacing w:val="-3"/>
        </w:rPr>
        <w:t xml:space="preserve"> </w:t>
      </w:r>
      <w:r w:rsidRPr="007007C9">
        <w:rPr>
          <w:rFonts w:ascii="Century Gothic" w:hAnsi="Century Gothic"/>
        </w:rPr>
        <w:t>de paix, sécurité</w:t>
      </w:r>
      <w:r w:rsidRPr="007007C9">
        <w:rPr>
          <w:rFonts w:ascii="Century Gothic" w:hAnsi="Century Gothic"/>
          <w:spacing w:val="-1"/>
        </w:rPr>
        <w:t xml:space="preserve"> </w:t>
      </w:r>
      <w:r w:rsidRPr="007007C9">
        <w:rPr>
          <w:rFonts w:ascii="Century Gothic" w:hAnsi="Century Gothic"/>
        </w:rPr>
        <w:t>et participation des femmes</w:t>
      </w:r>
      <w:r w:rsidRPr="007007C9">
        <w:rPr>
          <w:rFonts w:ascii="Century Gothic" w:hAnsi="Century Gothic"/>
          <w:spacing w:val="-3"/>
        </w:rPr>
        <w:t xml:space="preserve"> </w:t>
      </w:r>
      <w:r w:rsidRPr="007007C9">
        <w:rPr>
          <w:rFonts w:ascii="Century Gothic" w:hAnsi="Century Gothic"/>
        </w:rPr>
        <w:t>;</w:t>
      </w:r>
    </w:p>
    <w:p w14:paraId="1B8B42C9" w14:textId="1BC03E41" w:rsidR="0070509E" w:rsidRPr="00563B2B" w:rsidRDefault="0070509E" w:rsidP="00FB2B45">
      <w:pPr>
        <w:pStyle w:val="Corpsdetexte"/>
        <w:numPr>
          <w:ilvl w:val="0"/>
          <w:numId w:val="27"/>
        </w:numPr>
        <w:spacing w:before="0" w:after="0"/>
        <w:ind w:right="139"/>
      </w:pPr>
      <w:r w:rsidRPr="007007C9">
        <w:rPr>
          <w:rFonts w:ascii="Century Gothic" w:hAnsi="Century Gothic"/>
        </w:rPr>
        <w:t>Les radios communautaires au Mali et au</w:t>
      </w:r>
      <w:r w:rsidRPr="007007C9">
        <w:rPr>
          <w:rFonts w:ascii="Century Gothic" w:hAnsi="Century Gothic"/>
          <w:spacing w:val="-14"/>
        </w:rPr>
        <w:t xml:space="preserve"> </w:t>
      </w:r>
      <w:r w:rsidRPr="007007C9">
        <w:rPr>
          <w:rFonts w:ascii="Century Gothic" w:hAnsi="Century Gothic"/>
        </w:rPr>
        <w:t>Niger.</w:t>
      </w:r>
    </w:p>
    <w:p w14:paraId="488DCE5E" w14:textId="77777777" w:rsidR="0070509E" w:rsidRPr="007007C9" w:rsidRDefault="0070509E" w:rsidP="007007C9">
      <w:pPr>
        <w:pStyle w:val="Corpsdetexte"/>
        <w:spacing w:before="134"/>
        <w:rPr>
          <w:rFonts w:ascii="Century Gothic" w:hAnsi="Century Gothic"/>
        </w:rPr>
      </w:pPr>
      <w:r w:rsidRPr="007007C9">
        <w:rPr>
          <w:rFonts w:ascii="Century Gothic" w:hAnsi="Century Gothic"/>
        </w:rPr>
        <w:t>De façon opérationnelle, trois (03) résultats ont été identifiés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49"/>
        <w:gridCol w:w="7813"/>
      </w:tblGrid>
      <w:tr w:rsidR="00806F7D" w:rsidRPr="00806F7D" w14:paraId="465CC127" w14:textId="77777777" w:rsidTr="009F5BDE">
        <w:trPr>
          <w:trHeight w:val="20"/>
        </w:trPr>
        <w:tc>
          <w:tcPr>
            <w:tcW w:w="689" w:type="pct"/>
            <w:shd w:val="clear" w:color="auto" w:fill="auto"/>
          </w:tcPr>
          <w:p w14:paraId="5B005CB5" w14:textId="77777777" w:rsidR="00806F7D" w:rsidRPr="00C62F7E" w:rsidRDefault="00806F7D" w:rsidP="009F5BDE">
            <w:pPr>
              <w:widowControl w:val="0"/>
              <w:autoSpaceDE w:val="0"/>
              <w:autoSpaceDN w:val="0"/>
              <w:spacing w:before="0" w:after="0" w:line="276" w:lineRule="auto"/>
            </w:pPr>
          </w:p>
        </w:tc>
        <w:tc>
          <w:tcPr>
            <w:tcW w:w="4311" w:type="pct"/>
            <w:shd w:val="clear" w:color="auto" w:fill="auto"/>
            <w:vAlign w:val="center"/>
          </w:tcPr>
          <w:p w14:paraId="37F17D32" w14:textId="77777777" w:rsidR="00806F7D" w:rsidRPr="007007C9" w:rsidRDefault="00806F7D" w:rsidP="007007C9">
            <w:pPr>
              <w:pStyle w:val="TableParagraph"/>
              <w:spacing w:line="276" w:lineRule="auto"/>
              <w:ind w:left="0" w:right="3218"/>
              <w:jc w:val="center"/>
              <w:rPr>
                <w:rFonts w:ascii="Century Gothic" w:hAnsi="Century Gothic"/>
                <w:b/>
              </w:rPr>
            </w:pPr>
            <w:r w:rsidRPr="007007C9">
              <w:rPr>
                <w:rFonts w:ascii="Century Gothic" w:hAnsi="Century Gothic"/>
                <w:b/>
              </w:rPr>
              <w:t>Résultats du projet</w:t>
            </w:r>
          </w:p>
        </w:tc>
      </w:tr>
      <w:tr w:rsidR="00806F7D" w:rsidRPr="00806F7D" w14:paraId="53316919" w14:textId="77777777" w:rsidTr="009F5BDE">
        <w:trPr>
          <w:trHeight w:val="20"/>
        </w:trPr>
        <w:tc>
          <w:tcPr>
            <w:tcW w:w="689" w:type="pct"/>
            <w:shd w:val="clear" w:color="auto" w:fill="auto"/>
          </w:tcPr>
          <w:p w14:paraId="6F6AD4C6"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1:</w:t>
            </w:r>
          </w:p>
        </w:tc>
        <w:tc>
          <w:tcPr>
            <w:tcW w:w="4311" w:type="pct"/>
            <w:shd w:val="clear" w:color="auto" w:fill="auto"/>
          </w:tcPr>
          <w:p w14:paraId="7071A770" w14:textId="12FE202D" w:rsidR="00806F7D" w:rsidRPr="001854AE" w:rsidRDefault="00806F7D" w:rsidP="007007C9">
            <w:pPr>
              <w:pStyle w:val="TableParagraph"/>
              <w:spacing w:line="276" w:lineRule="auto"/>
              <w:ind w:right="99"/>
              <w:jc w:val="both"/>
              <w:rPr>
                <w:rFonts w:ascii="Century Gothic" w:hAnsi="Century Gothic"/>
                <w:bCs/>
                <w:lang w:val="fr-FR"/>
              </w:rPr>
            </w:pPr>
            <w:r w:rsidRPr="001854AE">
              <w:rPr>
                <w:rFonts w:ascii="Century Gothic" w:hAnsi="Century Gothic"/>
                <w:bCs/>
                <w:lang w:val="fr-FR"/>
              </w:rPr>
              <w:t>D’ici la fin du projet, les mécanismes et structures étatiques et non</w:t>
            </w:r>
            <w:r w:rsidRPr="001854AE">
              <w:rPr>
                <w:rFonts w:ascii="Cambria Math" w:hAnsi="Cambria Math" w:cs="Cambria Math"/>
                <w:bCs/>
                <w:lang w:val="fr-FR"/>
              </w:rPr>
              <w:t>‐</w:t>
            </w:r>
            <w:r w:rsidRPr="001854AE">
              <w:rPr>
                <w:rFonts w:ascii="Century Gothic" w:hAnsi="Century Gothic" w:cs="Century Gothic"/>
                <w:bCs/>
                <w:lang w:val="fr-FR"/>
              </w:rPr>
              <w:t>é</w:t>
            </w:r>
            <w:r w:rsidRPr="001854AE">
              <w:rPr>
                <w:rFonts w:ascii="Century Gothic" w:hAnsi="Century Gothic"/>
                <w:bCs/>
                <w:lang w:val="fr-FR"/>
              </w:rPr>
              <w:t>tatiques</w:t>
            </w:r>
            <w:r w:rsidR="00383B84" w:rsidRPr="001854AE">
              <w:rPr>
                <w:rStyle w:val="Appelnotedebasdep"/>
                <w:rFonts w:ascii="Century Gothic" w:hAnsi="Century Gothic"/>
                <w:bCs/>
                <w:lang w:val="fr-FR"/>
              </w:rPr>
              <w:footnoteReference w:id="48"/>
            </w:r>
            <w:r w:rsidRPr="001854AE">
              <w:rPr>
                <w:rFonts w:ascii="Century Gothic" w:hAnsi="Century Gothic"/>
                <w:bCs/>
                <w:position w:val="8"/>
                <w:lang w:val="fr-FR"/>
              </w:rPr>
              <w:t xml:space="preserve"> </w:t>
            </w:r>
            <w:r w:rsidRPr="001854AE">
              <w:rPr>
                <w:rFonts w:ascii="Century Gothic" w:hAnsi="Century Gothic"/>
                <w:bCs/>
                <w:lang w:val="fr-FR"/>
              </w:rPr>
              <w:t>de prévention et de gestion de conflits dans les zones du projet intégrant les femmes et</w:t>
            </w:r>
            <w:r w:rsidRPr="001854AE">
              <w:rPr>
                <w:rFonts w:ascii="Century Gothic" w:hAnsi="Century Gothic"/>
                <w:bCs/>
                <w:spacing w:val="-29"/>
                <w:lang w:val="fr-FR"/>
              </w:rPr>
              <w:t xml:space="preserve"> </w:t>
            </w:r>
            <w:r w:rsidRPr="001854AE">
              <w:rPr>
                <w:rFonts w:ascii="Century Gothic" w:hAnsi="Century Gothic"/>
                <w:bCs/>
                <w:lang w:val="fr-FR"/>
              </w:rPr>
              <w:t>les jeunes, préviennent et résolvent de manière efficiente les conflits au niveau</w:t>
            </w:r>
            <w:r w:rsidRPr="001854AE">
              <w:rPr>
                <w:rFonts w:ascii="Century Gothic" w:hAnsi="Century Gothic"/>
                <w:bCs/>
                <w:spacing w:val="-22"/>
                <w:lang w:val="fr-FR"/>
              </w:rPr>
              <w:t xml:space="preserve"> </w:t>
            </w:r>
            <w:r w:rsidRPr="001854AE">
              <w:rPr>
                <w:rFonts w:ascii="Century Gothic" w:hAnsi="Century Gothic"/>
                <w:bCs/>
                <w:lang w:val="fr-FR"/>
              </w:rPr>
              <w:t>local.</w:t>
            </w:r>
          </w:p>
        </w:tc>
      </w:tr>
      <w:tr w:rsidR="00806F7D" w:rsidRPr="00806F7D" w14:paraId="60F3EBBE" w14:textId="77777777" w:rsidTr="009F5BDE">
        <w:trPr>
          <w:trHeight w:val="20"/>
        </w:trPr>
        <w:tc>
          <w:tcPr>
            <w:tcW w:w="689" w:type="pct"/>
            <w:shd w:val="clear" w:color="auto" w:fill="auto"/>
          </w:tcPr>
          <w:p w14:paraId="2999D633"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2:</w:t>
            </w:r>
          </w:p>
        </w:tc>
        <w:tc>
          <w:tcPr>
            <w:tcW w:w="4311" w:type="pct"/>
            <w:shd w:val="clear" w:color="auto" w:fill="auto"/>
          </w:tcPr>
          <w:p w14:paraId="0DBB2E82" w14:textId="77777777" w:rsidR="00806F7D" w:rsidRPr="001854AE" w:rsidRDefault="00806F7D" w:rsidP="007007C9">
            <w:pPr>
              <w:pStyle w:val="TableParagraph"/>
              <w:spacing w:line="276" w:lineRule="auto"/>
              <w:ind w:right="101"/>
              <w:jc w:val="both"/>
              <w:rPr>
                <w:rFonts w:ascii="Century Gothic" w:hAnsi="Century Gothic"/>
                <w:bCs/>
                <w:lang w:val="fr-FR"/>
              </w:rPr>
            </w:pPr>
            <w:r w:rsidRPr="001854AE">
              <w:rPr>
                <w:rFonts w:ascii="Century Gothic" w:hAnsi="Century Gothic"/>
                <w:bCs/>
                <w:lang w:val="fr-FR"/>
              </w:rPr>
              <w:t>D’ici</w:t>
            </w:r>
            <w:r w:rsidRPr="001854AE">
              <w:rPr>
                <w:rFonts w:ascii="Century Gothic" w:hAnsi="Century Gothic"/>
                <w:bCs/>
                <w:spacing w:val="-12"/>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fin</w:t>
            </w:r>
            <w:r w:rsidRPr="001854AE">
              <w:rPr>
                <w:rFonts w:ascii="Century Gothic" w:hAnsi="Century Gothic"/>
                <w:bCs/>
                <w:spacing w:val="-13"/>
                <w:lang w:val="fr-FR"/>
              </w:rPr>
              <w:t xml:space="preserve"> </w:t>
            </w:r>
            <w:r w:rsidRPr="001854AE">
              <w:rPr>
                <w:rFonts w:ascii="Century Gothic" w:hAnsi="Century Gothic"/>
                <w:bCs/>
                <w:lang w:val="fr-FR"/>
              </w:rPr>
              <w:t>du</w:t>
            </w:r>
            <w:r w:rsidRPr="001854AE">
              <w:rPr>
                <w:rFonts w:ascii="Century Gothic" w:hAnsi="Century Gothic"/>
                <w:bCs/>
                <w:spacing w:val="-12"/>
                <w:lang w:val="fr-FR"/>
              </w:rPr>
              <w:t xml:space="preserve"> </w:t>
            </w:r>
            <w:r w:rsidRPr="001854AE">
              <w:rPr>
                <w:rFonts w:ascii="Century Gothic" w:hAnsi="Century Gothic"/>
                <w:bCs/>
                <w:lang w:val="fr-FR"/>
              </w:rPr>
              <w:t>projet,</w:t>
            </w:r>
            <w:r w:rsidRPr="001854AE">
              <w:rPr>
                <w:rFonts w:ascii="Century Gothic" w:hAnsi="Century Gothic"/>
                <w:bCs/>
                <w:spacing w:val="-11"/>
                <w:lang w:val="fr-FR"/>
              </w:rPr>
              <w:t xml:space="preserve"> </w:t>
            </w:r>
            <w:r w:rsidRPr="001854AE">
              <w:rPr>
                <w:rFonts w:ascii="Century Gothic" w:hAnsi="Century Gothic"/>
                <w:bCs/>
                <w:lang w:val="fr-FR"/>
              </w:rPr>
              <w:t>les</w:t>
            </w:r>
            <w:r w:rsidRPr="001854AE">
              <w:rPr>
                <w:rFonts w:ascii="Century Gothic" w:hAnsi="Century Gothic"/>
                <w:bCs/>
                <w:spacing w:val="-13"/>
                <w:lang w:val="fr-FR"/>
              </w:rPr>
              <w:t xml:space="preserve"> </w:t>
            </w:r>
            <w:r w:rsidRPr="001854AE">
              <w:rPr>
                <w:rFonts w:ascii="Century Gothic" w:hAnsi="Century Gothic"/>
                <w:bCs/>
                <w:lang w:val="fr-FR"/>
              </w:rPr>
              <w:t>forces</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1"/>
                <w:lang w:val="fr-FR"/>
              </w:rPr>
              <w:t xml:space="preserve"> </w:t>
            </w:r>
            <w:r w:rsidRPr="001854AE">
              <w:rPr>
                <w:rFonts w:ascii="Century Gothic" w:hAnsi="Century Gothic"/>
                <w:bCs/>
                <w:lang w:val="fr-FR"/>
              </w:rPr>
              <w:t>défense</w:t>
            </w:r>
            <w:r w:rsidRPr="001854AE">
              <w:rPr>
                <w:rFonts w:ascii="Century Gothic" w:hAnsi="Century Gothic"/>
                <w:bCs/>
                <w:spacing w:val="-12"/>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3"/>
                <w:lang w:val="fr-FR"/>
              </w:rPr>
              <w:t xml:space="preserve"> </w:t>
            </w:r>
            <w:r w:rsidRPr="001854AE">
              <w:rPr>
                <w:rFonts w:ascii="Century Gothic" w:hAnsi="Century Gothic"/>
                <w:bCs/>
                <w:lang w:val="fr-FR"/>
              </w:rPr>
              <w:t>sécurité</w:t>
            </w:r>
            <w:r w:rsidRPr="001854AE">
              <w:rPr>
                <w:rFonts w:ascii="Century Gothic" w:hAnsi="Century Gothic"/>
                <w:bCs/>
                <w:spacing w:val="-11"/>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les</w:t>
            </w:r>
            <w:r w:rsidRPr="001854AE">
              <w:rPr>
                <w:rFonts w:ascii="Century Gothic" w:hAnsi="Century Gothic"/>
                <w:bCs/>
                <w:spacing w:val="-11"/>
                <w:lang w:val="fr-FR"/>
              </w:rPr>
              <w:t xml:space="preserve"> </w:t>
            </w:r>
            <w:r w:rsidRPr="001854AE">
              <w:rPr>
                <w:rFonts w:ascii="Century Gothic" w:hAnsi="Century Gothic"/>
                <w:bCs/>
                <w:lang w:val="fr-FR"/>
              </w:rPr>
              <w:t>acteurs</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3"/>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chaîne</w:t>
            </w:r>
            <w:r w:rsidRPr="001854AE">
              <w:rPr>
                <w:rFonts w:ascii="Century Gothic" w:hAnsi="Century Gothic"/>
                <w:bCs/>
                <w:spacing w:val="-10"/>
                <w:lang w:val="fr-FR"/>
              </w:rPr>
              <w:t xml:space="preserve"> </w:t>
            </w:r>
            <w:r w:rsidRPr="001854AE">
              <w:rPr>
                <w:rFonts w:ascii="Century Gothic" w:hAnsi="Century Gothic"/>
                <w:bCs/>
                <w:lang w:val="fr-FR"/>
              </w:rPr>
              <w:t>pénale intègrent les droits humains, particulièrement les droits des femmes, et le genre dans leurs</w:t>
            </w:r>
            <w:r w:rsidRPr="001854AE">
              <w:rPr>
                <w:rFonts w:ascii="Century Gothic" w:hAnsi="Century Gothic"/>
                <w:bCs/>
                <w:spacing w:val="-13"/>
                <w:lang w:val="fr-FR"/>
              </w:rPr>
              <w:t xml:space="preserve"> </w:t>
            </w:r>
            <w:r w:rsidRPr="001854AE">
              <w:rPr>
                <w:rFonts w:ascii="Century Gothic" w:hAnsi="Century Gothic"/>
                <w:bCs/>
                <w:lang w:val="fr-FR"/>
              </w:rPr>
              <w:t>missions</w:t>
            </w:r>
            <w:r w:rsidRPr="001854AE">
              <w:rPr>
                <w:rFonts w:ascii="Century Gothic" w:hAnsi="Century Gothic"/>
                <w:bCs/>
                <w:spacing w:val="-12"/>
                <w:lang w:val="fr-FR"/>
              </w:rPr>
              <w:t xml:space="preserve"> </w:t>
            </w:r>
            <w:r w:rsidRPr="001854AE">
              <w:rPr>
                <w:rFonts w:ascii="Century Gothic" w:hAnsi="Century Gothic"/>
                <w:bCs/>
                <w:lang w:val="fr-FR"/>
              </w:rPr>
              <w:t>dans</w:t>
            </w:r>
            <w:r w:rsidRPr="001854AE">
              <w:rPr>
                <w:rFonts w:ascii="Century Gothic" w:hAnsi="Century Gothic"/>
                <w:bCs/>
                <w:spacing w:val="-12"/>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zone</w:t>
            </w:r>
            <w:r w:rsidRPr="001854AE">
              <w:rPr>
                <w:rFonts w:ascii="Century Gothic" w:hAnsi="Century Gothic"/>
                <w:bCs/>
                <w:spacing w:val="-12"/>
                <w:lang w:val="fr-FR"/>
              </w:rPr>
              <w:t xml:space="preserve"> </w:t>
            </w:r>
            <w:r w:rsidRPr="001854AE">
              <w:rPr>
                <w:rFonts w:ascii="Century Gothic" w:hAnsi="Century Gothic"/>
                <w:bCs/>
                <w:lang w:val="fr-FR"/>
              </w:rPr>
              <w:t>d’intervention</w:t>
            </w:r>
            <w:r w:rsidRPr="001854AE">
              <w:rPr>
                <w:rFonts w:ascii="Century Gothic" w:hAnsi="Century Gothic"/>
                <w:bCs/>
                <w:spacing w:val="-11"/>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développent</w:t>
            </w:r>
            <w:r w:rsidRPr="001854AE">
              <w:rPr>
                <w:rFonts w:ascii="Century Gothic" w:hAnsi="Century Gothic"/>
                <w:bCs/>
                <w:spacing w:val="-12"/>
                <w:lang w:val="fr-FR"/>
              </w:rPr>
              <w:t xml:space="preserve"> </w:t>
            </w:r>
            <w:r w:rsidRPr="001854AE">
              <w:rPr>
                <w:rFonts w:ascii="Century Gothic" w:hAnsi="Century Gothic"/>
                <w:bCs/>
                <w:lang w:val="fr-FR"/>
              </w:rPr>
              <w:t>une</w:t>
            </w:r>
            <w:r w:rsidRPr="001854AE">
              <w:rPr>
                <w:rFonts w:ascii="Century Gothic" w:hAnsi="Century Gothic"/>
                <w:bCs/>
                <w:spacing w:val="-11"/>
                <w:lang w:val="fr-FR"/>
              </w:rPr>
              <w:t xml:space="preserve"> </w:t>
            </w:r>
            <w:r w:rsidRPr="001854AE">
              <w:rPr>
                <w:rFonts w:ascii="Century Gothic" w:hAnsi="Century Gothic"/>
                <w:bCs/>
                <w:lang w:val="fr-FR"/>
              </w:rPr>
              <w:t>relation</w:t>
            </w:r>
            <w:r w:rsidRPr="001854AE">
              <w:rPr>
                <w:rFonts w:ascii="Century Gothic" w:hAnsi="Century Gothic"/>
                <w:bCs/>
                <w:spacing w:val="-11"/>
                <w:lang w:val="fr-FR"/>
              </w:rPr>
              <w:t xml:space="preserve"> </w:t>
            </w:r>
            <w:r w:rsidRPr="001854AE">
              <w:rPr>
                <w:rFonts w:ascii="Century Gothic" w:hAnsi="Century Gothic"/>
                <w:bCs/>
                <w:lang w:val="fr-FR"/>
              </w:rPr>
              <w:t>de</w:t>
            </w:r>
            <w:r w:rsidRPr="001854AE">
              <w:rPr>
                <w:rFonts w:ascii="Century Gothic" w:hAnsi="Century Gothic"/>
                <w:bCs/>
                <w:spacing w:val="-12"/>
                <w:lang w:val="fr-FR"/>
              </w:rPr>
              <w:t xml:space="preserve"> </w:t>
            </w:r>
            <w:r w:rsidRPr="001854AE">
              <w:rPr>
                <w:rFonts w:ascii="Century Gothic" w:hAnsi="Century Gothic"/>
                <w:bCs/>
                <w:lang w:val="fr-FR"/>
              </w:rPr>
              <w:t>confiance</w:t>
            </w:r>
            <w:r w:rsidRPr="001854AE">
              <w:rPr>
                <w:rFonts w:ascii="Century Gothic" w:hAnsi="Century Gothic"/>
                <w:bCs/>
                <w:spacing w:val="-11"/>
                <w:lang w:val="fr-FR"/>
              </w:rPr>
              <w:t xml:space="preserve"> </w:t>
            </w:r>
            <w:r w:rsidRPr="001854AE">
              <w:rPr>
                <w:rFonts w:ascii="Century Gothic" w:hAnsi="Century Gothic"/>
                <w:bCs/>
                <w:lang w:val="fr-FR"/>
              </w:rPr>
              <w:t>avec les</w:t>
            </w:r>
            <w:r w:rsidRPr="001854AE">
              <w:rPr>
                <w:rFonts w:ascii="Century Gothic" w:hAnsi="Century Gothic"/>
                <w:bCs/>
                <w:spacing w:val="-7"/>
                <w:lang w:val="fr-FR"/>
              </w:rPr>
              <w:t xml:space="preserve"> </w:t>
            </w:r>
            <w:r w:rsidRPr="001854AE">
              <w:rPr>
                <w:rFonts w:ascii="Century Gothic" w:hAnsi="Century Gothic"/>
                <w:bCs/>
                <w:lang w:val="fr-FR"/>
              </w:rPr>
              <w:t>communautés.</w:t>
            </w:r>
          </w:p>
        </w:tc>
      </w:tr>
      <w:tr w:rsidR="00806F7D" w:rsidRPr="00806F7D" w14:paraId="6BFEC62C" w14:textId="77777777" w:rsidTr="009F5BDE">
        <w:trPr>
          <w:trHeight w:val="20"/>
        </w:trPr>
        <w:tc>
          <w:tcPr>
            <w:tcW w:w="689" w:type="pct"/>
            <w:shd w:val="clear" w:color="auto" w:fill="auto"/>
          </w:tcPr>
          <w:p w14:paraId="08A7D2E9"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3:</w:t>
            </w:r>
          </w:p>
        </w:tc>
        <w:tc>
          <w:tcPr>
            <w:tcW w:w="4311" w:type="pct"/>
            <w:shd w:val="clear" w:color="auto" w:fill="auto"/>
          </w:tcPr>
          <w:p w14:paraId="2952E3ED" w14:textId="77777777" w:rsidR="00806F7D" w:rsidRPr="001854AE" w:rsidRDefault="00806F7D" w:rsidP="007007C9">
            <w:pPr>
              <w:pStyle w:val="TableParagraph"/>
              <w:spacing w:line="276" w:lineRule="auto"/>
              <w:ind w:right="17"/>
              <w:rPr>
                <w:rFonts w:ascii="Century Gothic" w:hAnsi="Century Gothic"/>
                <w:bCs/>
                <w:lang w:val="fr-FR"/>
              </w:rPr>
            </w:pPr>
            <w:r w:rsidRPr="001854AE">
              <w:rPr>
                <w:rFonts w:ascii="Century Gothic" w:hAnsi="Century Gothic"/>
                <w:bCs/>
                <w:lang w:val="fr-FR"/>
              </w:rPr>
              <w:t>Le partage d’expériences et de bonnes pratiques ainsi que le plaidoyer sur les thématiques du projet sont promus par une approche transfrontalière et sous régionale.</w:t>
            </w:r>
          </w:p>
        </w:tc>
      </w:tr>
    </w:tbl>
    <w:p w14:paraId="614ABFD1" w14:textId="3D8D64D6" w:rsidR="0070509E" w:rsidRPr="007007C9" w:rsidRDefault="0070509E" w:rsidP="007007C9">
      <w:pPr>
        <w:spacing w:line="276" w:lineRule="auto"/>
        <w:rPr>
          <w:rFonts w:cs="Times New Roman"/>
          <w:b/>
        </w:rPr>
      </w:pPr>
    </w:p>
    <w:p w14:paraId="7511CC9F" w14:textId="77777777" w:rsidR="00806F7D" w:rsidRPr="007007C9" w:rsidRDefault="00806F7D" w:rsidP="007007C9">
      <w:pPr>
        <w:pStyle w:val="Corpsdetexte"/>
        <w:spacing w:before="0" w:after="0"/>
        <w:ind w:left="140" w:right="139" w:hanging="1"/>
        <w:rPr>
          <w:rFonts w:ascii="Century Gothic" w:hAnsi="Century Gothic"/>
        </w:rPr>
      </w:pPr>
      <w:r w:rsidRPr="007007C9">
        <w:rPr>
          <w:rFonts w:ascii="Century Gothic" w:hAnsi="Century Gothic"/>
        </w:rPr>
        <w:t>Tous les volets du projet sont concernés par la présente évaluation. Il s’agit de :</w:t>
      </w:r>
    </w:p>
    <w:p w14:paraId="46E3E639" w14:textId="77777777" w:rsidR="00806F7D" w:rsidRPr="00563B2B" w:rsidRDefault="00806F7D" w:rsidP="00FB2B45">
      <w:pPr>
        <w:pStyle w:val="Corpsdetexte"/>
        <w:numPr>
          <w:ilvl w:val="0"/>
          <w:numId w:val="27"/>
        </w:numPr>
        <w:spacing w:before="0" w:after="0"/>
        <w:ind w:right="139"/>
      </w:pPr>
      <w:r w:rsidRPr="007007C9">
        <w:rPr>
          <w:rFonts w:ascii="Century Gothic" w:hAnsi="Century Gothic"/>
        </w:rPr>
        <w:t>La participation des femmes dans la prévention et la résolution des conflits intra et intercommunautaires au sein des mécanismes communautaires des communes et des villages y compris au niveau transfrontalier Mali</w:t>
      </w:r>
      <w:r w:rsidRPr="007007C9">
        <w:rPr>
          <w:rFonts w:ascii="Cambria Math" w:hAnsi="Cambria Math" w:cs="Cambria Math"/>
        </w:rPr>
        <w:t>‐</w:t>
      </w:r>
      <w:r w:rsidRPr="007007C9">
        <w:rPr>
          <w:rFonts w:ascii="Century Gothic" w:hAnsi="Century Gothic"/>
        </w:rPr>
        <w:t>Niger ;</w:t>
      </w:r>
    </w:p>
    <w:p w14:paraId="3003F94A" w14:textId="2142350B" w:rsidR="00806F7D" w:rsidRDefault="00806F7D" w:rsidP="00FB2B45">
      <w:pPr>
        <w:pStyle w:val="Corpsdetexte"/>
        <w:numPr>
          <w:ilvl w:val="0"/>
          <w:numId w:val="27"/>
        </w:numPr>
        <w:spacing w:before="0" w:after="0"/>
        <w:ind w:right="139"/>
        <w:rPr>
          <w:rFonts w:ascii="Century Gothic" w:hAnsi="Century Gothic"/>
        </w:rPr>
      </w:pPr>
      <w:r w:rsidRPr="007007C9">
        <w:rPr>
          <w:rFonts w:ascii="Century Gothic" w:hAnsi="Century Gothic"/>
        </w:rPr>
        <w:t>Le rôle des femmes et des jeunes dans la cohésion sociale et la réconciliation dans les communautés y compris au niveau transfrontalier</w:t>
      </w:r>
      <w:r w:rsidRPr="007007C9">
        <w:rPr>
          <w:rFonts w:ascii="Century Gothic" w:hAnsi="Century Gothic"/>
          <w:spacing w:val="-14"/>
        </w:rPr>
        <w:t xml:space="preserve"> </w:t>
      </w:r>
      <w:r w:rsidRPr="007007C9">
        <w:rPr>
          <w:rFonts w:ascii="Century Gothic" w:hAnsi="Century Gothic"/>
        </w:rPr>
        <w:t>;</w:t>
      </w:r>
    </w:p>
    <w:p w14:paraId="1D149E30" w14:textId="77777777" w:rsidR="00806F7D" w:rsidRPr="00D87614" w:rsidRDefault="00806F7D" w:rsidP="00FB2B45">
      <w:pPr>
        <w:pStyle w:val="Paragraphedeliste"/>
        <w:widowControl w:val="0"/>
        <w:numPr>
          <w:ilvl w:val="0"/>
          <w:numId w:val="27"/>
        </w:numPr>
        <w:tabs>
          <w:tab w:val="left" w:pos="1724"/>
          <w:tab w:val="left" w:pos="1725"/>
        </w:tabs>
        <w:autoSpaceDE w:val="0"/>
        <w:autoSpaceDN w:val="0"/>
        <w:spacing w:before="0" w:after="0"/>
        <w:ind w:right="1438"/>
        <w:contextualSpacing w:val="0"/>
        <w:jc w:val="left"/>
      </w:pPr>
      <w:r w:rsidRPr="00D87614">
        <w:t>La prise en compte des priorités des femmes et des jeunes dans les initiatives communautaires de paix</w:t>
      </w:r>
      <w:r w:rsidRPr="00D87614">
        <w:rPr>
          <w:spacing w:val="-3"/>
        </w:rPr>
        <w:t xml:space="preserve"> </w:t>
      </w:r>
      <w:r w:rsidRPr="00D87614">
        <w:t>;</w:t>
      </w:r>
    </w:p>
    <w:p w14:paraId="3B055388" w14:textId="77777777" w:rsidR="00806F7D" w:rsidRPr="00D87614" w:rsidRDefault="00806F7D" w:rsidP="00FB2B45">
      <w:pPr>
        <w:pStyle w:val="Paragraphedeliste"/>
        <w:widowControl w:val="0"/>
        <w:numPr>
          <w:ilvl w:val="0"/>
          <w:numId w:val="27"/>
        </w:numPr>
        <w:tabs>
          <w:tab w:val="left" w:pos="1724"/>
          <w:tab w:val="left" w:pos="1725"/>
        </w:tabs>
        <w:autoSpaceDE w:val="0"/>
        <w:autoSpaceDN w:val="0"/>
        <w:spacing w:before="0" w:after="0"/>
        <w:ind w:right="1438"/>
        <w:contextualSpacing w:val="0"/>
        <w:jc w:val="left"/>
      </w:pPr>
      <w:r w:rsidRPr="00D87614">
        <w:t>La</w:t>
      </w:r>
      <w:r w:rsidRPr="00D87614">
        <w:rPr>
          <w:spacing w:val="-8"/>
        </w:rPr>
        <w:t xml:space="preserve"> </w:t>
      </w:r>
      <w:r w:rsidRPr="00D87614">
        <w:t>promotion</w:t>
      </w:r>
      <w:r w:rsidRPr="00D87614">
        <w:rPr>
          <w:spacing w:val="-7"/>
        </w:rPr>
        <w:t xml:space="preserve"> </w:t>
      </w:r>
      <w:r w:rsidRPr="00D87614">
        <w:t>et</w:t>
      </w:r>
      <w:r w:rsidRPr="00D87614">
        <w:rPr>
          <w:spacing w:val="-8"/>
        </w:rPr>
        <w:t xml:space="preserve"> </w:t>
      </w:r>
      <w:r w:rsidRPr="00D87614">
        <w:t>le</w:t>
      </w:r>
      <w:r w:rsidRPr="00D87614">
        <w:rPr>
          <w:spacing w:val="-8"/>
        </w:rPr>
        <w:t xml:space="preserve"> </w:t>
      </w:r>
      <w:r w:rsidRPr="00D87614">
        <w:t>respect</w:t>
      </w:r>
      <w:r w:rsidRPr="00D87614">
        <w:rPr>
          <w:spacing w:val="-9"/>
        </w:rPr>
        <w:t xml:space="preserve"> </w:t>
      </w:r>
      <w:r w:rsidRPr="00D87614">
        <w:t>des</w:t>
      </w:r>
      <w:r w:rsidRPr="00D87614">
        <w:rPr>
          <w:spacing w:val="-8"/>
        </w:rPr>
        <w:t xml:space="preserve"> </w:t>
      </w:r>
      <w:r w:rsidRPr="00D87614">
        <w:t>droits</w:t>
      </w:r>
      <w:r w:rsidRPr="00D87614">
        <w:rPr>
          <w:spacing w:val="-6"/>
        </w:rPr>
        <w:t xml:space="preserve"> </w:t>
      </w:r>
      <w:r w:rsidRPr="00D87614">
        <w:t>humains</w:t>
      </w:r>
      <w:r w:rsidRPr="00D87614">
        <w:rPr>
          <w:spacing w:val="-8"/>
        </w:rPr>
        <w:t xml:space="preserve"> </w:t>
      </w:r>
      <w:r w:rsidRPr="00D87614">
        <w:t>et</w:t>
      </w:r>
      <w:r w:rsidRPr="00D87614">
        <w:rPr>
          <w:spacing w:val="-9"/>
        </w:rPr>
        <w:t xml:space="preserve"> </w:t>
      </w:r>
      <w:r w:rsidRPr="00D87614">
        <w:t>spécifiquement</w:t>
      </w:r>
      <w:r w:rsidRPr="00D87614">
        <w:rPr>
          <w:spacing w:val="-8"/>
        </w:rPr>
        <w:t xml:space="preserve"> </w:t>
      </w:r>
      <w:r w:rsidRPr="00D87614">
        <w:t>les</w:t>
      </w:r>
      <w:r w:rsidRPr="00D87614">
        <w:rPr>
          <w:spacing w:val="-8"/>
        </w:rPr>
        <w:t xml:space="preserve"> </w:t>
      </w:r>
      <w:r w:rsidRPr="00D87614">
        <w:t>droits</w:t>
      </w:r>
      <w:r w:rsidRPr="00D87614">
        <w:rPr>
          <w:spacing w:val="-8"/>
        </w:rPr>
        <w:t xml:space="preserve"> </w:t>
      </w:r>
      <w:r w:rsidRPr="00D87614">
        <w:t>des</w:t>
      </w:r>
      <w:r w:rsidRPr="00D87614">
        <w:rPr>
          <w:spacing w:val="-7"/>
        </w:rPr>
        <w:t xml:space="preserve"> </w:t>
      </w:r>
      <w:r w:rsidRPr="00D87614">
        <w:t>femmes</w:t>
      </w:r>
      <w:r w:rsidRPr="00D87614">
        <w:rPr>
          <w:spacing w:val="-7"/>
        </w:rPr>
        <w:t xml:space="preserve"> </w:t>
      </w:r>
      <w:r w:rsidRPr="00D87614">
        <w:t>et</w:t>
      </w:r>
      <w:r w:rsidRPr="00D87614">
        <w:rPr>
          <w:spacing w:val="-8"/>
        </w:rPr>
        <w:t xml:space="preserve"> </w:t>
      </w:r>
      <w:r w:rsidRPr="00D87614">
        <w:t>des</w:t>
      </w:r>
      <w:r w:rsidRPr="00D87614">
        <w:rPr>
          <w:spacing w:val="-7"/>
        </w:rPr>
        <w:t xml:space="preserve"> </w:t>
      </w:r>
      <w:r w:rsidRPr="00D87614">
        <w:t>filles</w:t>
      </w:r>
      <w:r w:rsidRPr="00D87614">
        <w:rPr>
          <w:spacing w:val="-8"/>
        </w:rPr>
        <w:t xml:space="preserve"> </w:t>
      </w:r>
      <w:r w:rsidRPr="00D87614">
        <w:t>par les acteurs de la sécurité et de la justice au niveau</w:t>
      </w:r>
      <w:r w:rsidRPr="00D87614">
        <w:rPr>
          <w:spacing w:val="-19"/>
        </w:rPr>
        <w:t xml:space="preserve"> </w:t>
      </w:r>
      <w:r w:rsidRPr="00D87614">
        <w:t>transfrontalier.</w:t>
      </w:r>
    </w:p>
    <w:p w14:paraId="566255CE"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 projet couvre 7 communes transfrontalières du Mali et du Niger : i) Au Mali : dans les régions de Ménaka (Cercle d’Anderaboukane : Commune d’Anderaboukane, Cercle de Ménaka : Commune de Ménaka) et Gao (Cercle d’Ansongo : Communes de Ouatagouna et Tessit) ; ii) Au Niger : dans la région de Tillabéry (Département de Téra : Commune de Gorool, Département de Bankilaré : Commune de Bankilaré, et Département de Banibangou : Commune de Banibangou).</w:t>
      </w:r>
    </w:p>
    <w:p w14:paraId="1582B208"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La présente évaluation est prévue depuis la conception du projet et se fera sous la responsabilité d’ONU Femmes Mali avec l’implication de toutes les Agences impliquées dans la mise en œuvre du projet. L’évaluation finale couvrira la période de mise en œuvre du projet (Janvier 2019 à mars 2021).</w:t>
      </w:r>
    </w:p>
    <w:p w14:paraId="03F9B154" w14:textId="77777777" w:rsidR="00806F7D" w:rsidRPr="00563B2B" w:rsidRDefault="00806F7D" w:rsidP="007007C9">
      <w:pPr>
        <w:pStyle w:val="Corpsdetexte"/>
        <w:ind w:right="139"/>
      </w:pPr>
    </w:p>
    <w:p w14:paraId="7F8764D9" w14:textId="7A95A1BA"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Objectifs de l’évaluation</w:t>
      </w:r>
    </w:p>
    <w:p w14:paraId="0834E447"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La présente évaluation a pour but d’apprécier les résultats obtenus de la mise en œuvre du projet et de tirer les leçons pour la consolidation des acquis et les interventions futures. De manière spécifique, les principaux objectifs de l’évaluation sont les suivants :</w:t>
      </w:r>
    </w:p>
    <w:p w14:paraId="70262C9D" w14:textId="4D5BF070"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Etablir un bilan du projet en vue d’identifier les points forts et les points faibles de l’intervention ;</w:t>
      </w:r>
    </w:p>
    <w:p w14:paraId="038A856A" w14:textId="09616A6F"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Faire l’état des lieux sur les résultats atteints et leurs contributions à la réalisation des objectifs de développement au Mali et au Niger en général et en particulier des zones du projet ;</w:t>
      </w:r>
    </w:p>
    <w:p w14:paraId="742CE914" w14:textId="2CF09380"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Dégager des mesures éventuelles à prendre pour assurer une pérennisation des actions ;</w:t>
      </w:r>
    </w:p>
    <w:p w14:paraId="79F69F98" w14:textId="0783C5C8" w:rsidR="00806F7D"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Tirer les leçons apprises qui puissent contribuer à la conception/mise en œuvre des interventions futures.</w:t>
      </w:r>
    </w:p>
    <w:p w14:paraId="65474107" w14:textId="77777777" w:rsidR="00806F7D" w:rsidRPr="007007C9" w:rsidRDefault="00806F7D" w:rsidP="007007C9">
      <w:pPr>
        <w:pStyle w:val="Paragraphedeliste"/>
        <w:widowControl w:val="0"/>
        <w:tabs>
          <w:tab w:val="left" w:pos="1724"/>
          <w:tab w:val="left" w:pos="1725"/>
        </w:tabs>
        <w:autoSpaceDE w:val="0"/>
        <w:autoSpaceDN w:val="0"/>
        <w:spacing w:before="56" w:after="0"/>
        <w:ind w:left="500" w:right="1438"/>
        <w:contextualSpacing w:val="0"/>
        <w:jc w:val="left"/>
      </w:pPr>
    </w:p>
    <w:p w14:paraId="3D952404" w14:textId="7C7AA11D"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Résultats attendus de l’évaluation</w:t>
      </w:r>
    </w:p>
    <w:p w14:paraId="1D93886B"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Les leçons apprises et les informations relatives aux résultats du projet et son impact sur les communautés, en particulier les femmes et les jeunes, apporteront une contribution aux domaines prioritaires de la future programmation, notamment l’élaboration des nouveaux programmes d’implication, de protection, de participation des femmes et des jeunes à la consolidation de la paix à travers des actions de prévention et de gestion des conflits notamment au niveau transfrontalier.</w:t>
      </w:r>
    </w:p>
    <w:p w14:paraId="640B2B1B" w14:textId="7E2278F3" w:rsidR="00806F7D" w:rsidRPr="007007C9" w:rsidRDefault="00806F7D" w:rsidP="007007C9">
      <w:pPr>
        <w:spacing w:before="0" w:after="0"/>
        <w:rPr>
          <w:rFonts w:cs="Times New Roman"/>
        </w:rPr>
      </w:pPr>
      <w:r w:rsidRPr="00806F7D">
        <w:rPr>
          <w:rFonts w:ascii="Times New Roman" w:hAnsi="Times New Roman" w:cs="Times New Roman"/>
          <w:b/>
        </w:rPr>
        <w:t xml:space="preserve"> </w:t>
      </w:r>
      <w:r w:rsidRPr="007007C9">
        <w:rPr>
          <w:rFonts w:cs="Times New Roman"/>
        </w:rPr>
        <w:t>Les conclusions et recommandations de l’évaluation seront utilisées par ONU Femmes, et ONUDC pour affiner leurs approches en matière de genre et consolidation de la paix au Mali et au Niger particulièrement au niveau des zones transfrontalières.</w:t>
      </w:r>
    </w:p>
    <w:p w14:paraId="1B818E77"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Les informations générées par l’évaluation seront utilisées par les différentes parties prenantes pour :</w:t>
      </w:r>
    </w:p>
    <w:p w14:paraId="54433509" w14:textId="1D94D8C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Contribuer à l’élaboration de stratégies efficaces pour améliorer la participation des femmes dans les initiatives communautaires de dialogues et les mécanismes de prévention et de gestion de conflits ;</w:t>
      </w:r>
    </w:p>
    <w:p w14:paraId="315670E3" w14:textId="75F97CE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Améliorer la mise en œuvre des normes et standards en matière de paix et sécurité dans le processus de paix au Mali et au Niger ;</w:t>
      </w:r>
    </w:p>
    <w:p w14:paraId="5C358D67" w14:textId="42346A1B"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Contribuer à la prise en compte de la perspective genre dans les mécanismes de paix, cela inclut la représentation des femmes et des jeunes ;</w:t>
      </w:r>
    </w:p>
    <w:p w14:paraId="0D7E9990" w14:textId="3445ED46"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Améliorer l’accès des femmes et des jeunes au sein des mécanismes communautaires de prévention et de gestion des conflits transfrontaliers.</w:t>
      </w:r>
    </w:p>
    <w:p w14:paraId="4CD5E76D"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L’évaluation sera conduite par un cabinet ou un bureau d’évaluation, qui fournira un rapport final d’évaluation dont le contenu sera partagé avec toutes les parties prenantes. Le cabinet retenu sera le premier responsable de la bonne conduite de l’évaluation.</w:t>
      </w:r>
    </w:p>
    <w:p w14:paraId="010BAE41" w14:textId="7B15ABD4"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Méthodologie de l’évaluation</w:t>
      </w:r>
    </w:p>
    <w:p w14:paraId="3828B39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L’équipe d’évaluation proposera la méthodologie appropriée sur la base d’un processus participatif et produira les outils de collecte de données à annexer au rapport final.</w:t>
      </w:r>
    </w:p>
    <w:p w14:paraId="0C7EF96F"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De manière explicite, l’évaluation sera menée en conformité avec les lignes directrices d'évaluation et les normes du Groupe des Nations Unies pour l’Evaluation (GNUE), en particulier celles qui prescrivent l’intégration de la perspective des droits de l'homme et de l'égalité des sexes dans l’approche et le processus de l’évaluation.</w:t>
      </w:r>
    </w:p>
    <w:p w14:paraId="7E33D822" w14:textId="6DCDF28E"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 xml:space="preserve">Les produits de l’évaluation fournis par les évaluateurs seront revus et validés sur la base des critèe du système d’analyse et d’évaluation des rapports d’évaluation de ONU Femmes (Critères GERASS) </w:t>
      </w:r>
      <w:hyperlink r:id="rId33" w:history="1">
        <w:r w:rsidRPr="007007C9">
          <w:rPr>
            <w:rStyle w:val="Lienhypertexte"/>
            <w:rFonts w:ascii="Century Gothic" w:hAnsi="Century Gothic"/>
          </w:rPr>
          <w:t>http://www.unwomen.org/en/about</w:t>
        </w:r>
        <w:r w:rsidRPr="007007C9">
          <w:rPr>
            <w:rStyle w:val="Lienhypertexte"/>
            <w:rFonts w:ascii="Cambria Math" w:hAnsi="Cambria Math" w:cs="Cambria Math"/>
          </w:rPr>
          <w:t>‐</w:t>
        </w:r>
        <w:r w:rsidRPr="007007C9">
          <w:rPr>
            <w:rStyle w:val="Lienhypertexte"/>
            <w:rFonts w:ascii="Century Gothic" w:hAnsi="Century Gothic"/>
          </w:rPr>
          <w:t>us/evaluation/decentralized</w:t>
        </w:r>
        <w:r w:rsidRPr="007007C9">
          <w:rPr>
            <w:rStyle w:val="Lienhypertexte"/>
            <w:rFonts w:ascii="Cambria Math" w:hAnsi="Cambria Math" w:cs="Cambria Math"/>
          </w:rPr>
          <w:t>‐</w:t>
        </w:r>
        <w:r w:rsidRPr="007007C9">
          <w:rPr>
            <w:rStyle w:val="Lienhypertexte"/>
            <w:rFonts w:ascii="Century Gothic" w:hAnsi="Century Gothic"/>
          </w:rPr>
          <w:t>evaluations</w:t>
        </w:r>
      </w:hyperlink>
      <w:r>
        <w:rPr>
          <w:rFonts w:ascii="Century Gothic" w:hAnsi="Century Gothic"/>
        </w:rPr>
        <w:t xml:space="preserve"> </w:t>
      </w:r>
    </w:p>
    <w:p w14:paraId="77ADC622" w14:textId="44E0CEC3" w:rsidR="00806F7D" w:rsidRPr="00806F7D" w:rsidRDefault="00806F7D" w:rsidP="007007C9">
      <w:pPr>
        <w:pStyle w:val="Corpsdetexte"/>
        <w:ind w:left="140" w:right="139" w:hanging="1"/>
        <w:rPr>
          <w:rFonts w:ascii="Times New Roman" w:hAnsi="Times New Roman"/>
          <w:b/>
        </w:rPr>
      </w:pPr>
      <w:r w:rsidRPr="007007C9">
        <w:rPr>
          <w:rFonts w:ascii="Century Gothic" w:hAnsi="Century Gothic"/>
        </w:rPr>
        <w:t>Le rapport de conception initial du consultant avec un accent particulier sur la méthodologie sera présenté pour approbation au groupe de gestion et au Groupe de référence de l'évaluation. Les commentaires de ces groupes seront pris en compte avec satisfaction par l’évaluateur avant le début de la phase de terrain. L'évaluation</w:t>
      </w:r>
      <w:r w:rsidR="007068E8">
        <w:rPr>
          <w:rFonts w:ascii="Century Gothic" w:hAnsi="Century Gothic"/>
        </w:rPr>
        <w:t xml:space="preserve"> </w:t>
      </w:r>
      <w:r w:rsidRPr="007007C9">
        <w:rPr>
          <w:rFonts w:ascii="Century Gothic" w:hAnsi="Century Gothic"/>
        </w:rPr>
        <w:t>sera menée conformément aux directives d'évaluation d’ONU Femmes et précisément les</w:t>
      </w:r>
      <w:r>
        <w:rPr>
          <w:rFonts w:ascii="Century Gothic" w:hAnsi="Century Gothic"/>
        </w:rPr>
        <w:t xml:space="preserve"> </w:t>
      </w:r>
      <w:r w:rsidRPr="007007C9">
        <w:rPr>
          <w:rFonts w:ascii="Century Gothic" w:hAnsi="Century Gothic"/>
        </w:rPr>
        <w:t>paramètres du Système global d’examen et d’analyse des rapports d’évaluation (GERAAS), aux Normes de l'UNEG (United Nation Evaluation Group) et au Code de conduite des évaluations des Nations Unies.</w:t>
      </w:r>
    </w:p>
    <w:p w14:paraId="607BA949" w14:textId="55AA6243" w:rsidR="00806F7D" w:rsidRPr="007007C9" w:rsidRDefault="00806F7D" w:rsidP="00F40C45">
      <w:pPr>
        <w:spacing w:before="240" w:after="0"/>
        <w:rPr>
          <w:rFonts w:cs="Times New Roman"/>
          <w:b/>
        </w:rPr>
      </w:pPr>
      <w:r w:rsidRPr="007007C9">
        <w:rPr>
          <w:rFonts w:cs="Times New Roman"/>
          <w:b/>
        </w:rPr>
        <w:t>4</w:t>
      </w:r>
      <w:r w:rsidR="00A149E7" w:rsidRPr="007007C9">
        <w:rPr>
          <w:rFonts w:cs="Times New Roman"/>
          <w:b/>
        </w:rPr>
        <w:t xml:space="preserve">.1. </w:t>
      </w:r>
      <w:r w:rsidRPr="007007C9">
        <w:rPr>
          <w:rFonts w:cs="Times New Roman"/>
          <w:b/>
        </w:rPr>
        <w:t>Approche de l’évaluation</w:t>
      </w:r>
    </w:p>
    <w:p w14:paraId="031A4338"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L’évaluateur doit adopter une approche participative et consultative garantissant une collaboration étroite avec les homologues du gouvernement au Mali et au Niger, l’équipe chargée du projet et les principales parties prenantes. L’évaluation devrait :</w:t>
      </w:r>
    </w:p>
    <w:p w14:paraId="21916BD3" w14:textId="05388BA4"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Présenter une méthodologie afin de documenter les meilleures pratiques, analyser les défis et les faiblesses pour éclairer les actions futures en ce qui concerne la participation des femmes et des jeunes dans la prévention et la gestion de conflits y compris au niveau transfrontalier ;</w:t>
      </w:r>
    </w:p>
    <w:p w14:paraId="62E24522" w14:textId="0C708CEC"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Evaluer l’efficacité et l’efficience organisationnelles dans la mise en œuvre du projet afin de progresser vers une prise en compte de la perspective genre dans les mécanismes de gestion et de résolution de la paix dans les communautés ;</w:t>
      </w:r>
    </w:p>
    <w:p w14:paraId="1D832523" w14:textId="6F01745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Identifier et valider les actions innovantes en faveur de la participation et la représentation des femmes et des jeunes dans les mécanismes de prévention et de gestion de conflits ;</w:t>
      </w:r>
    </w:p>
    <w:p w14:paraId="4B3465E3" w14:textId="7779E3A0"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Formuler des recommandations réalisables en lien avec le renforcement des initiatives communautaires de paix au niveau transfrontalier.</w:t>
      </w:r>
    </w:p>
    <w:p w14:paraId="34359BD1"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Plus particulièrement, le Bureau d'évaluation indépendant (IEO) d’ONU Femmes a un plan d'action à l'échelle du système des Nations Unies sur l'égalité du genre et l'autonomisation des femmes, où l'entité déclarante de l'UN</w:t>
      </w:r>
      <w:r w:rsidRPr="007007C9">
        <w:rPr>
          <w:rFonts w:ascii="Cambria Math" w:hAnsi="Cambria Math" w:cs="Cambria Math"/>
        </w:rPr>
        <w:t>‐</w:t>
      </w:r>
      <w:r w:rsidRPr="007007C9">
        <w:rPr>
          <w:rFonts w:ascii="Century Gothic" w:hAnsi="Century Gothic"/>
        </w:rPr>
        <w:t>SWAP (United Nations System</w:t>
      </w:r>
      <w:r w:rsidRPr="007007C9">
        <w:rPr>
          <w:rFonts w:ascii="Cambria Math" w:hAnsi="Cambria Math" w:cs="Cambria Math"/>
        </w:rPr>
        <w:t>‐</w:t>
      </w:r>
      <w:r w:rsidRPr="007007C9">
        <w:rPr>
          <w:rFonts w:ascii="Century Gothic" w:hAnsi="Century Gothic"/>
        </w:rPr>
        <w:t>Wide Action Plan on Gender Equality and the Empowerment of Women) et l’équipe de consultants prendront en considération que toute évaluation à ONU Femmes est appréciée chaque année par rapport à l'UN</w:t>
      </w:r>
      <w:r w:rsidRPr="007007C9">
        <w:rPr>
          <w:rFonts w:ascii="Cambria Math" w:hAnsi="Cambria Math" w:cs="Cambria Math"/>
        </w:rPr>
        <w:t>‐</w:t>
      </w:r>
      <w:r w:rsidRPr="007007C9">
        <w:rPr>
          <w:rFonts w:ascii="Century Gothic" w:hAnsi="Century Gothic"/>
        </w:rPr>
        <w:t>SWAP (Indicateur de performance d'</w:t>
      </w:r>
      <w:r w:rsidRPr="007007C9">
        <w:rPr>
          <w:rFonts w:ascii="Century Gothic" w:hAnsi="Century Gothic" w:cs="Century Gothic"/>
        </w:rPr>
        <w:t>é</w:t>
      </w:r>
      <w:r w:rsidRPr="007007C9">
        <w:rPr>
          <w:rFonts w:ascii="Century Gothic" w:hAnsi="Century Gothic"/>
        </w:rPr>
        <w:t>valuation et son tableau de bord connexe).</w:t>
      </w:r>
    </w:p>
    <w:p w14:paraId="00632E01" w14:textId="43D541CB"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Conformément à ce qui précède, l'équipe d'évaluation sera soumise à la notation de qualité SWAP de l'ONU et doit démontrer l'intégration de genre dans le processus d'évaluation et le rapport. C'est l'un des éléments par lesquels cette évaluation sera examinée par une équipe externe, en utilisant les critères UN</w:t>
      </w:r>
      <w:r w:rsidRPr="007007C9">
        <w:rPr>
          <w:rFonts w:ascii="Cambria Math" w:hAnsi="Cambria Math" w:cs="Cambria Math"/>
        </w:rPr>
        <w:t>‐</w:t>
      </w:r>
      <w:r w:rsidRPr="00806F7D">
        <w:rPr>
          <w:rFonts w:ascii="Times New Roman" w:hAnsi="Times New Roman"/>
          <w:b/>
        </w:rPr>
        <w:t xml:space="preserve">SWAP. </w:t>
      </w:r>
      <w:r w:rsidRPr="007007C9">
        <w:rPr>
          <w:rFonts w:ascii="Century Gothic" w:hAnsi="Century Gothic"/>
        </w:rPr>
        <w:t>L'indicateur de performance d'évaluation [Guide technique et tableau de bord du PEV SWAP EPAP] permet d'apprécier dans quelle mesure le rapport d'évaluation satisfait aux critères suivants :</w:t>
      </w:r>
    </w:p>
    <w:p w14:paraId="29084D6E" w14:textId="158872DD" w:rsidR="00A149E7" w:rsidRPr="00A149E7"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Le Genre est intégré dans la portée de l'analyse de l'évaluation et les</w:t>
      </w:r>
      <w:r w:rsidR="00A149E7">
        <w:t xml:space="preserve"> </w:t>
      </w:r>
      <w:r w:rsidRPr="007007C9">
        <w:t>indicateurs d'évaluation sont conçus de manière à garantir la collecte des données liées à GEWE (Gender Equality and Women Empowerment).</w:t>
      </w:r>
    </w:p>
    <w:p w14:paraId="2F8CC0A9" w14:textId="6126D00C" w:rsidR="00806F7D" w:rsidRPr="00A149E7"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A149E7">
        <w:t>Le Genre est intégré dans les critères d'évaluation et des questions d'évaluation incluent spécifiquement la manière dont le Genre a été intégré dans la conception, la planification, la mise en œuvre de l'intervention et les résultats obtenus.</w:t>
      </w:r>
    </w:p>
    <w:p w14:paraId="45C7DD59" w14:textId="0B39222F"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Une méthodologie, des méthodes et des outils répondant au genre, et les techniques d'analyse de données sont sélectionnés.</w:t>
      </w:r>
    </w:p>
    <w:p w14:paraId="1F8383E3" w14:textId="3AF370D8"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Les conclusions et les recommandations de l'évaluation reflètent une analyse comparative entre les sexes.</w:t>
      </w:r>
    </w:p>
    <w:p w14:paraId="13676C2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Gestion des participations et des évaluations des parties prenantes : L'évaluation des projets finaux est conçue pour être sensible au genre et doit donc se concentrer sur la transformation du pouvoir et de la participation des femmes, des groupes de femmes et des réseaux de femmes dans le processus d'évaluation ainsi que sur la participation des hommes et des femmes à l'égalité des sexes.</w:t>
      </w:r>
    </w:p>
    <w:p w14:paraId="01AD52C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L'évaluation sera un processus consultatif, inclusif et participatif avec une forte composante d'apprentissage et d'autonomisation et assurera la participation des femmes et des jeunes, des leaders communautaires. Une attention particulière sera accordée à la représentativité de tous les groupes vulnérables et, en particulier, à projeter des groupes ciblés de femmes et de jeunes dans la consolidation de la paix</w:t>
      </w:r>
    </w:p>
    <w:p w14:paraId="714DC674" w14:textId="77777777" w:rsidR="00806F7D" w:rsidRPr="007007C9" w:rsidRDefault="00806F7D" w:rsidP="007007C9">
      <w:pPr>
        <w:pStyle w:val="Corpsdetexte"/>
        <w:ind w:left="140" w:right="139" w:hanging="1"/>
        <w:rPr>
          <w:rFonts w:ascii="Century Gothic" w:hAnsi="Century Gothic"/>
          <w:b/>
          <w:bCs/>
        </w:rPr>
      </w:pPr>
      <w:r w:rsidRPr="007007C9">
        <w:rPr>
          <w:rFonts w:ascii="Century Gothic" w:hAnsi="Century Gothic"/>
          <w:b/>
          <w:bCs/>
        </w:rPr>
        <w:t>Rédaction du rapport d’évaluation</w:t>
      </w:r>
    </w:p>
    <w:p w14:paraId="4FC33D63"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L’équipe d’évaluation s’assurera que le rapport d’évaluation est entièrement analytique. Ainsi, au</w:t>
      </w:r>
      <w:r w:rsidRPr="007007C9">
        <w:rPr>
          <w:rFonts w:ascii="Cambria Math" w:hAnsi="Cambria Math" w:cs="Cambria Math"/>
        </w:rPr>
        <w:t>‐</w:t>
      </w:r>
      <w:r w:rsidRPr="007007C9">
        <w:rPr>
          <w:rFonts w:ascii="Century Gothic" w:hAnsi="Century Gothic"/>
        </w:rPr>
        <w:t>del</w:t>
      </w:r>
      <w:r w:rsidRPr="007007C9">
        <w:rPr>
          <w:rFonts w:ascii="Century Gothic" w:hAnsi="Century Gothic" w:cs="Century Gothic"/>
        </w:rPr>
        <w:t>à</w:t>
      </w:r>
      <w:r w:rsidRPr="007007C9">
        <w:rPr>
          <w:rFonts w:ascii="Century Gothic" w:hAnsi="Century Gothic"/>
        </w:rPr>
        <w:t xml:space="preserve"> de la description des donn</w:t>
      </w:r>
      <w:r w:rsidRPr="007007C9">
        <w:rPr>
          <w:rFonts w:ascii="Century Gothic" w:hAnsi="Century Gothic" w:cs="Century Gothic"/>
        </w:rPr>
        <w:t>é</w:t>
      </w:r>
      <w:r w:rsidRPr="007007C9">
        <w:rPr>
          <w:rFonts w:ascii="Century Gothic" w:hAnsi="Century Gothic"/>
        </w:rPr>
        <w:t>es collect</w:t>
      </w:r>
      <w:r w:rsidRPr="007007C9">
        <w:rPr>
          <w:rFonts w:ascii="Century Gothic" w:hAnsi="Century Gothic" w:cs="Century Gothic"/>
        </w:rPr>
        <w:t>é</w:t>
      </w:r>
      <w:r w:rsidRPr="007007C9">
        <w:rPr>
          <w:rFonts w:ascii="Century Gothic" w:hAnsi="Century Gothic"/>
        </w:rPr>
        <w:t>es, le Cabinet fera ressortir :</w:t>
      </w:r>
    </w:p>
    <w:p w14:paraId="1016E971" w14:textId="281594EB"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Des points d’analyses fondés sur des dimensions culturelles, sociétales, organisationnelles, structurelles et techniques qui pourront expliquer les résultats, déclarations ou attitudes ;</w:t>
      </w:r>
    </w:p>
    <w:p w14:paraId="5A064BCC" w14:textId="6C9A8016"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La corrélation entre les volets du projet qui pourrait expliquer certains résultats ;</w:t>
      </w:r>
    </w:p>
    <w:p w14:paraId="3E96B058" w14:textId="2F394161"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D’autres contributions qui ne sont pas liées directement au projet.</w:t>
      </w:r>
    </w:p>
    <w:p w14:paraId="5E411857" w14:textId="67759049" w:rsidR="00A149E7"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Dans un objectif de transparence, il faut signaler que la méthodologie de cette évaluation finale sera conçue de manière à couvrir tous les volets du projet en accord avec les entités des Nations Unies</w:t>
      </w:r>
      <w:r w:rsidR="00A149E7">
        <w:t xml:space="preserve"> </w:t>
      </w:r>
      <w:r w:rsidR="00A149E7" w:rsidRPr="007007C9">
        <w:t>concernées (ONU Femmes et ONUDC). De nature participative, elle impliquera toutes les parties prenantes du projet et portera sur tous les volets du projet.</w:t>
      </w:r>
    </w:p>
    <w:p w14:paraId="024FB539"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Avec des outils conçus pour collecter des données qualitatives et quantitatives, l’équipe de l’évaluation touchera toutes les zones retenues ayant bénéficié du projet (au Mali et au Niger).</w:t>
      </w:r>
    </w:p>
    <w:p w14:paraId="46E80999" w14:textId="77777777" w:rsidR="00A149E7" w:rsidRPr="00A149E7" w:rsidRDefault="00A149E7" w:rsidP="00A149E7">
      <w:pPr>
        <w:rPr>
          <w:rFonts w:ascii="Times New Roman" w:hAnsi="Times New Roman" w:cs="Times New Roman"/>
          <w:b/>
        </w:rPr>
      </w:pPr>
    </w:p>
    <w:p w14:paraId="4EC50DC6" w14:textId="77777777" w:rsidR="00A149E7" w:rsidRPr="007007C9" w:rsidRDefault="00A149E7" w:rsidP="00A149E7">
      <w:pPr>
        <w:rPr>
          <w:rFonts w:cs="Times New Roman"/>
          <w:b/>
        </w:rPr>
      </w:pPr>
      <w:r w:rsidRPr="007007C9">
        <w:rPr>
          <w:rFonts w:cs="Times New Roman"/>
          <w:b/>
        </w:rPr>
        <w:t>4.2</w:t>
      </w:r>
      <w:r w:rsidRPr="007007C9">
        <w:rPr>
          <w:rFonts w:cs="Times New Roman"/>
          <w:b/>
        </w:rPr>
        <w:tab/>
        <w:t>Critères et questions clés de l’évaluation</w:t>
      </w:r>
    </w:p>
    <w:p w14:paraId="78AE3194" w14:textId="17E8BEB8"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L’évaluation utilisera les critères de pertinence, d’efficacité, d’efficience, de durabilité, d’impact ainsi que celui d’égalité des sexes et des droits humains propre à l’approche programmatique d’ONU femmes. En plus de ces critères, des questions spécifiques relatives au handicap et aux leçons apprises devront être prise en compte. L’évaluation cherchera ainsi à répondre aux questions et sous</w:t>
      </w:r>
      <w:r w:rsidRPr="007007C9">
        <w:rPr>
          <w:rFonts w:ascii="Cambria Math" w:hAnsi="Cambria Math" w:cs="Cambria Math"/>
        </w:rPr>
        <w:t>‐</w:t>
      </w:r>
      <w:r w:rsidRPr="007007C9">
        <w:rPr>
          <w:rFonts w:ascii="Century Gothic" w:hAnsi="Century Gothic"/>
        </w:rPr>
        <w:t>questions cl</w:t>
      </w:r>
      <w:r w:rsidRPr="007007C9">
        <w:rPr>
          <w:rFonts w:ascii="Century Gothic" w:hAnsi="Century Gothic" w:cs="Century Gothic"/>
        </w:rPr>
        <w:t>é</w:t>
      </w:r>
      <w:r w:rsidRPr="007007C9">
        <w:rPr>
          <w:rFonts w:ascii="Century Gothic" w:hAnsi="Century Gothic"/>
        </w:rPr>
        <w:t>s suivantes :</w:t>
      </w:r>
    </w:p>
    <w:p w14:paraId="062E72E0" w14:textId="096B4D41" w:rsidR="00A149E7" w:rsidRDefault="00A149E7" w:rsidP="009F5BDE">
      <w:pPr>
        <w:shd w:val="clear" w:color="auto" w:fill="FFF2CC"/>
        <w:jc w:val="left"/>
        <w:rPr>
          <w:rFonts w:ascii="Times New Roman" w:hAnsi="Times New Roman" w:cs="Times New Roman"/>
          <w:b/>
        </w:rPr>
      </w:pPr>
      <w:r w:rsidRPr="00A149E7">
        <w:rPr>
          <w:rFonts w:ascii="Times New Roman" w:hAnsi="Times New Roman" w:cs="Times New Roman"/>
          <w:b/>
        </w:rPr>
        <w:t>Pertinence</w:t>
      </w:r>
    </w:p>
    <w:p w14:paraId="4DB0F400" w14:textId="13BAF3FA"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La pertinence repose sur la mesure selon laquelle les objectifs envisagés par le projet sont en adéquation avec les problèmes identifiés, les besoins réels et priorités des groupes cibles et bénéficiaires en tenant compte de l’évolution du contexte politique, économique, social, environnemental et institutionnel. A cet effet, les questions suivantes sous</w:t>
      </w:r>
      <w:r w:rsidRPr="007007C9">
        <w:rPr>
          <w:rFonts w:ascii="Cambria Math" w:hAnsi="Cambria Math" w:cs="Cambria Math"/>
        </w:rPr>
        <w:t>‐</w:t>
      </w:r>
      <w:r w:rsidRPr="007007C9">
        <w:rPr>
          <w:rFonts w:ascii="Century Gothic" w:hAnsi="Century Gothic"/>
        </w:rPr>
        <w:t>tendent cette analyse :</w:t>
      </w:r>
    </w:p>
    <w:p w14:paraId="188D79F2" w14:textId="13CF8818" w:rsidR="00A149E7" w:rsidRPr="007007C9" w:rsidRDefault="00A149E7" w:rsidP="00FB2B45">
      <w:pPr>
        <w:pStyle w:val="Paragraphedeliste"/>
        <w:numPr>
          <w:ilvl w:val="0"/>
          <w:numId w:val="28"/>
        </w:numPr>
        <w:spacing w:line="276" w:lineRule="auto"/>
        <w:rPr>
          <w:rFonts w:cs="Times New Roman"/>
          <w:bCs/>
        </w:rPr>
      </w:pPr>
      <w:r w:rsidRPr="00563B2B">
        <w:rPr>
          <w:rFonts w:cs="Times New Roman"/>
          <w:bCs/>
        </w:rPr>
        <w:t>Dans</w:t>
      </w:r>
      <w:r w:rsidRPr="00ED7B5D">
        <w:rPr>
          <w:rFonts w:cs="Times New Roman"/>
          <w:bCs/>
        </w:rPr>
        <w:t xml:space="preserve"> quelle mesure l’appui apporté par le projet était</w:t>
      </w:r>
      <w:r w:rsidRPr="007007C9">
        <w:rPr>
          <w:rFonts w:ascii="Cambria Math" w:hAnsi="Cambria Math" w:cs="Cambria Math"/>
          <w:bCs/>
        </w:rPr>
        <w:t>‐</w:t>
      </w:r>
      <w:r w:rsidRPr="00563B2B">
        <w:rPr>
          <w:rFonts w:cs="Times New Roman"/>
          <w:bCs/>
        </w:rPr>
        <w:t>il (i) adapt</w:t>
      </w:r>
      <w:r w:rsidRPr="00ED7B5D">
        <w:rPr>
          <w:rFonts w:cs="Century Gothic"/>
          <w:bCs/>
        </w:rPr>
        <w:t>é</w:t>
      </w:r>
      <w:r w:rsidRPr="00B10B10">
        <w:rPr>
          <w:rFonts w:cs="Times New Roman"/>
          <w:bCs/>
        </w:rPr>
        <w:t xml:space="preserve"> aux besoins des populations cibles concern</w:t>
      </w:r>
      <w:r w:rsidRPr="003551E4">
        <w:rPr>
          <w:rFonts w:cs="Century Gothic"/>
          <w:bCs/>
        </w:rPr>
        <w:t>é</w:t>
      </w:r>
      <w:r w:rsidRPr="003551E4">
        <w:rPr>
          <w:rFonts w:cs="Times New Roman"/>
          <w:bCs/>
        </w:rPr>
        <w:t xml:space="preserve">es ? (ii) Quelle </w:t>
      </w:r>
      <w:r w:rsidRPr="003551E4">
        <w:rPr>
          <w:rFonts w:cs="Century Gothic"/>
          <w:bCs/>
        </w:rPr>
        <w:t>é</w:t>
      </w:r>
      <w:r w:rsidRPr="003551E4">
        <w:rPr>
          <w:rFonts w:cs="Times New Roman"/>
          <w:bCs/>
        </w:rPr>
        <w:t>tait la qualit</w:t>
      </w:r>
      <w:r w:rsidRPr="003551E4">
        <w:rPr>
          <w:rFonts w:cs="Century Gothic"/>
          <w:bCs/>
        </w:rPr>
        <w:t>é</w:t>
      </w:r>
      <w:r w:rsidRPr="007A6136">
        <w:rPr>
          <w:rFonts w:cs="Times New Roman"/>
          <w:bCs/>
        </w:rPr>
        <w:t xml:space="preserve"> de la r</w:t>
      </w:r>
      <w:r w:rsidRPr="007A6136">
        <w:rPr>
          <w:rFonts w:cs="Century Gothic"/>
          <w:bCs/>
        </w:rPr>
        <w:t>é</w:t>
      </w:r>
      <w:r w:rsidRPr="005D2985">
        <w:rPr>
          <w:rFonts w:cs="Times New Roman"/>
          <w:bCs/>
        </w:rPr>
        <w:t>ponse ? (Rapidit</w:t>
      </w:r>
      <w:r w:rsidRPr="005D2985">
        <w:rPr>
          <w:rFonts w:cs="Century Gothic"/>
          <w:bCs/>
        </w:rPr>
        <w:t>é</w:t>
      </w:r>
      <w:r w:rsidRPr="007007C9">
        <w:rPr>
          <w:rFonts w:cs="Times New Roman"/>
          <w:bCs/>
        </w:rPr>
        <w:t xml:space="preserve"> et pertinence de la réponse, équilibre entre humanitaire (court terme) et objectifs de développement (moyen et long termes)</w:t>
      </w:r>
    </w:p>
    <w:p w14:paraId="068BF982" w14:textId="02552451" w:rsidR="00A149E7" w:rsidRPr="005D2985" w:rsidRDefault="00A149E7" w:rsidP="00FB2B45">
      <w:pPr>
        <w:pStyle w:val="Paragraphedeliste"/>
        <w:numPr>
          <w:ilvl w:val="0"/>
          <w:numId w:val="28"/>
        </w:numPr>
        <w:spacing w:line="276" w:lineRule="auto"/>
        <w:rPr>
          <w:rFonts w:cs="Times New Roman"/>
          <w:bCs/>
        </w:rPr>
      </w:pPr>
      <w:r w:rsidRPr="007007C9">
        <w:rPr>
          <w:rFonts w:cs="Times New Roman"/>
          <w:bCs/>
        </w:rPr>
        <w:t>Est</w:t>
      </w:r>
      <w:r w:rsidRPr="007007C9">
        <w:rPr>
          <w:rFonts w:ascii="Cambria Math" w:hAnsi="Cambria Math" w:cs="Cambria Math"/>
          <w:bCs/>
        </w:rPr>
        <w:t>‐</w:t>
      </w:r>
      <w:r w:rsidRPr="00563B2B">
        <w:rPr>
          <w:rFonts w:cs="Times New Roman"/>
          <w:bCs/>
        </w:rPr>
        <w:t>ce que le choix des activit</w:t>
      </w:r>
      <w:r w:rsidRPr="00ED7B5D">
        <w:rPr>
          <w:rFonts w:cs="Century Gothic"/>
          <w:bCs/>
        </w:rPr>
        <w:t>é</w:t>
      </w:r>
      <w:r w:rsidRPr="00B10B10">
        <w:rPr>
          <w:rFonts w:cs="Times New Roman"/>
          <w:bCs/>
        </w:rPr>
        <w:t>s du projet est li</w:t>
      </w:r>
      <w:r w:rsidRPr="003551E4">
        <w:rPr>
          <w:rFonts w:cs="Century Gothic"/>
          <w:bCs/>
        </w:rPr>
        <w:t>é</w:t>
      </w:r>
      <w:r w:rsidRPr="003551E4">
        <w:rPr>
          <w:rFonts w:cs="Times New Roman"/>
          <w:bCs/>
        </w:rPr>
        <w:t xml:space="preserve"> aux probl</w:t>
      </w:r>
      <w:r w:rsidRPr="003551E4">
        <w:rPr>
          <w:rFonts w:cs="Century Gothic"/>
          <w:bCs/>
        </w:rPr>
        <w:t>è</w:t>
      </w:r>
      <w:r w:rsidRPr="003551E4">
        <w:rPr>
          <w:rFonts w:cs="Times New Roman"/>
          <w:bCs/>
        </w:rPr>
        <w:t>mes de genre et de droits humains identifi</w:t>
      </w:r>
      <w:r w:rsidRPr="007A6136">
        <w:rPr>
          <w:rFonts w:cs="Century Gothic"/>
          <w:bCs/>
        </w:rPr>
        <w:t>é</w:t>
      </w:r>
      <w:r w:rsidRPr="007A6136">
        <w:rPr>
          <w:rFonts w:cs="Times New Roman"/>
          <w:bCs/>
        </w:rPr>
        <w:t>s dans le contexte programmatique de ce projet ?</w:t>
      </w:r>
    </w:p>
    <w:p w14:paraId="42EF935E" w14:textId="42D984DD" w:rsidR="00A149E7" w:rsidRPr="003551E4" w:rsidRDefault="00A149E7" w:rsidP="00FB2B45">
      <w:pPr>
        <w:pStyle w:val="Paragraphedeliste"/>
        <w:numPr>
          <w:ilvl w:val="0"/>
          <w:numId w:val="28"/>
        </w:numPr>
        <w:spacing w:line="276" w:lineRule="auto"/>
        <w:rPr>
          <w:rFonts w:cs="Times New Roman"/>
          <w:bCs/>
        </w:rPr>
      </w:pPr>
      <w:r w:rsidRPr="005D2985">
        <w:rPr>
          <w:rFonts w:cs="Times New Roman"/>
          <w:bCs/>
        </w:rPr>
        <w:t>Est</w:t>
      </w:r>
      <w:r w:rsidRPr="007007C9">
        <w:rPr>
          <w:rFonts w:ascii="Cambria Math" w:hAnsi="Cambria Math" w:cs="Cambria Math"/>
          <w:bCs/>
        </w:rPr>
        <w:t>‐</w:t>
      </w:r>
      <w:r w:rsidRPr="00563B2B">
        <w:rPr>
          <w:rFonts w:cs="Times New Roman"/>
          <w:bCs/>
        </w:rPr>
        <w:t>ce que les cibles identifi</w:t>
      </w:r>
      <w:r w:rsidRPr="00ED7B5D">
        <w:rPr>
          <w:rFonts w:cs="Century Gothic"/>
          <w:bCs/>
        </w:rPr>
        <w:t>é</w:t>
      </w:r>
      <w:r w:rsidRPr="00B10B10">
        <w:rPr>
          <w:rFonts w:cs="Times New Roman"/>
          <w:bCs/>
        </w:rPr>
        <w:t>es sont les plus pertinentes ?</w:t>
      </w:r>
    </w:p>
    <w:p w14:paraId="7BF55E41" w14:textId="10ED514E" w:rsidR="00A149E7" w:rsidRPr="00ED7B5D" w:rsidRDefault="00A149E7" w:rsidP="00FB2B45">
      <w:pPr>
        <w:pStyle w:val="Paragraphedeliste"/>
        <w:numPr>
          <w:ilvl w:val="0"/>
          <w:numId w:val="28"/>
        </w:numPr>
        <w:spacing w:line="276" w:lineRule="auto"/>
        <w:rPr>
          <w:rFonts w:cs="Times New Roman"/>
          <w:bCs/>
        </w:rPr>
      </w:pPr>
      <w:r w:rsidRPr="003551E4">
        <w:rPr>
          <w:rFonts w:cs="Times New Roman"/>
          <w:bCs/>
        </w:rPr>
        <w:t>Les besoins et les problèmes identifiés au départ sont</w:t>
      </w:r>
      <w:r w:rsidRPr="007007C9">
        <w:rPr>
          <w:rFonts w:ascii="Cambria Math" w:hAnsi="Cambria Math" w:cs="Cambria Math"/>
          <w:bCs/>
        </w:rPr>
        <w:t>‐</w:t>
      </w:r>
      <w:r w:rsidRPr="00563B2B">
        <w:rPr>
          <w:rFonts w:cs="Times New Roman"/>
          <w:bCs/>
        </w:rPr>
        <w:t>ils rest</w:t>
      </w:r>
      <w:r w:rsidRPr="00ED7B5D">
        <w:rPr>
          <w:rFonts w:cs="Century Gothic"/>
          <w:bCs/>
        </w:rPr>
        <w:t>é</w:t>
      </w:r>
      <w:r w:rsidRPr="00B10B10">
        <w:rPr>
          <w:rFonts w:cs="Times New Roman"/>
          <w:bCs/>
        </w:rPr>
        <w:t>s les m</w:t>
      </w:r>
      <w:r w:rsidRPr="003551E4">
        <w:rPr>
          <w:rFonts w:cs="Century Gothic"/>
          <w:bCs/>
        </w:rPr>
        <w:t>ê</w:t>
      </w:r>
      <w:r w:rsidRPr="003551E4">
        <w:rPr>
          <w:rFonts w:cs="Times New Roman"/>
          <w:bCs/>
        </w:rPr>
        <w:t xml:space="preserve">mes au cours de la mise en </w:t>
      </w:r>
      <w:r w:rsidRPr="003551E4">
        <w:rPr>
          <w:rFonts w:cs="Century Gothic"/>
          <w:bCs/>
        </w:rPr>
        <w:t>œ</w:t>
      </w:r>
      <w:r w:rsidRPr="003551E4">
        <w:rPr>
          <w:rFonts w:cs="Times New Roman"/>
          <w:bCs/>
        </w:rPr>
        <w:t>uvre du projet ou ont</w:t>
      </w:r>
      <w:r w:rsidRPr="007007C9">
        <w:rPr>
          <w:rFonts w:ascii="Cambria Math" w:hAnsi="Cambria Math" w:cs="Cambria Math"/>
          <w:bCs/>
        </w:rPr>
        <w:t>‐</w:t>
      </w:r>
      <w:r w:rsidRPr="00563B2B">
        <w:rPr>
          <w:rFonts w:cs="Times New Roman"/>
          <w:bCs/>
        </w:rPr>
        <w:t xml:space="preserve">ils connu une </w:t>
      </w:r>
      <w:r w:rsidRPr="00ED7B5D">
        <w:rPr>
          <w:rFonts w:cs="Century Gothic"/>
          <w:bCs/>
        </w:rPr>
        <w:t>é</w:t>
      </w:r>
      <w:r w:rsidRPr="00B10B10">
        <w:rPr>
          <w:rFonts w:cs="Times New Roman"/>
          <w:bCs/>
        </w:rPr>
        <w:t>volution ? En cas d</w:t>
      </w:r>
      <w:r w:rsidRPr="003551E4">
        <w:rPr>
          <w:rFonts w:cs="Century Gothic"/>
          <w:bCs/>
        </w:rPr>
        <w:t>’é</w:t>
      </w:r>
      <w:r w:rsidRPr="003551E4">
        <w:rPr>
          <w:rFonts w:cs="Times New Roman"/>
          <w:bCs/>
        </w:rPr>
        <w:t>volution de ces derniers, quelle a été la capacité de réactivité du projet face aux changements et l’émergence d’autres besoins et priorités ? La théorie de changement est</w:t>
      </w:r>
      <w:r w:rsidRPr="007007C9">
        <w:rPr>
          <w:rFonts w:ascii="Cambria Math" w:hAnsi="Cambria Math" w:cs="Cambria Math"/>
          <w:bCs/>
        </w:rPr>
        <w:t>‐</w:t>
      </w:r>
      <w:r w:rsidRPr="00563B2B">
        <w:rPr>
          <w:rFonts w:cs="Times New Roman"/>
          <w:bCs/>
        </w:rPr>
        <w:t>elle valide ?</w:t>
      </w:r>
    </w:p>
    <w:p w14:paraId="0F2DCD0A" w14:textId="3C99A1B6" w:rsidR="00A149E7" w:rsidRPr="003551E4" w:rsidRDefault="00A149E7" w:rsidP="00FB2B45">
      <w:pPr>
        <w:pStyle w:val="Paragraphedeliste"/>
        <w:numPr>
          <w:ilvl w:val="0"/>
          <w:numId w:val="28"/>
        </w:numPr>
        <w:spacing w:line="276" w:lineRule="auto"/>
        <w:rPr>
          <w:rFonts w:cs="Times New Roman"/>
          <w:bCs/>
        </w:rPr>
      </w:pPr>
      <w:r w:rsidRPr="00B10B10">
        <w:rPr>
          <w:rFonts w:cs="Times New Roman"/>
          <w:bCs/>
        </w:rPr>
        <w:t>Les activités et les résultats du projet sont – ils compatibles avec les objectifs nationaux (au Mali et au Niger) et la réalisation de ces objectifs ?</w:t>
      </w:r>
    </w:p>
    <w:p w14:paraId="6B1FC1FC" w14:textId="5B50C276" w:rsidR="00A149E7" w:rsidRPr="003551E4" w:rsidRDefault="00A149E7" w:rsidP="00FB2B45">
      <w:pPr>
        <w:pStyle w:val="Paragraphedeliste"/>
        <w:numPr>
          <w:ilvl w:val="0"/>
          <w:numId w:val="28"/>
        </w:numPr>
        <w:spacing w:line="276" w:lineRule="auto"/>
        <w:rPr>
          <w:rFonts w:cs="Times New Roman"/>
          <w:bCs/>
        </w:rPr>
      </w:pPr>
      <w:r w:rsidRPr="003551E4">
        <w:rPr>
          <w:rFonts w:cs="Times New Roman"/>
          <w:bCs/>
        </w:rPr>
        <w:t>La définition du but et des résultats est</w:t>
      </w:r>
      <w:r w:rsidRPr="007007C9">
        <w:rPr>
          <w:rFonts w:ascii="Cambria Math" w:hAnsi="Cambria Math" w:cs="Cambria Math"/>
          <w:bCs/>
        </w:rPr>
        <w:t>‐</w:t>
      </w:r>
      <w:r w:rsidRPr="00563B2B">
        <w:rPr>
          <w:rFonts w:cs="Times New Roman"/>
          <w:bCs/>
        </w:rPr>
        <w:t>elle clairement articul</w:t>
      </w:r>
      <w:r w:rsidRPr="00ED7B5D">
        <w:rPr>
          <w:rFonts w:cs="Century Gothic"/>
          <w:bCs/>
        </w:rPr>
        <w:t>é</w:t>
      </w:r>
      <w:r w:rsidRPr="00B10B10">
        <w:rPr>
          <w:rFonts w:cs="Times New Roman"/>
          <w:bCs/>
        </w:rPr>
        <w:t>e ?</w:t>
      </w:r>
    </w:p>
    <w:p w14:paraId="3C61DA15" w14:textId="6DC0A764" w:rsidR="00A149E7" w:rsidRPr="007A6136" w:rsidRDefault="00A149E7" w:rsidP="00FB2B45">
      <w:pPr>
        <w:pStyle w:val="Paragraphedeliste"/>
        <w:numPr>
          <w:ilvl w:val="0"/>
          <w:numId w:val="28"/>
        </w:numPr>
        <w:spacing w:line="276" w:lineRule="auto"/>
        <w:rPr>
          <w:rFonts w:cs="Times New Roman"/>
          <w:bCs/>
        </w:rPr>
      </w:pPr>
      <w:r w:rsidRPr="003551E4">
        <w:rPr>
          <w:rFonts w:cs="Times New Roman"/>
          <w:bCs/>
        </w:rPr>
        <w:t>Est</w:t>
      </w:r>
      <w:r w:rsidRPr="007007C9">
        <w:rPr>
          <w:rFonts w:ascii="Cambria Math" w:hAnsi="Cambria Math" w:cs="Cambria Math"/>
          <w:bCs/>
        </w:rPr>
        <w:t>‐</w:t>
      </w:r>
      <w:r w:rsidRPr="00563B2B">
        <w:rPr>
          <w:rFonts w:cs="Times New Roman"/>
          <w:bCs/>
        </w:rPr>
        <w:t>ce que les communaut</w:t>
      </w:r>
      <w:r w:rsidRPr="00ED7B5D">
        <w:rPr>
          <w:rFonts w:cs="Century Gothic"/>
          <w:bCs/>
        </w:rPr>
        <w:t>é</w:t>
      </w:r>
      <w:r w:rsidRPr="00B10B10">
        <w:rPr>
          <w:rFonts w:cs="Times New Roman"/>
          <w:bCs/>
        </w:rPr>
        <w:t>s transfrontali</w:t>
      </w:r>
      <w:r w:rsidRPr="003551E4">
        <w:rPr>
          <w:rFonts w:cs="Century Gothic"/>
          <w:bCs/>
        </w:rPr>
        <w:t>è</w:t>
      </w:r>
      <w:r w:rsidRPr="003551E4">
        <w:rPr>
          <w:rFonts w:cs="Times New Roman"/>
          <w:bCs/>
        </w:rPr>
        <w:t>res du Mali et du Niger ont appr</w:t>
      </w:r>
      <w:r w:rsidRPr="003551E4">
        <w:rPr>
          <w:rFonts w:cs="Century Gothic"/>
          <w:bCs/>
        </w:rPr>
        <w:t>é</w:t>
      </w:r>
      <w:r w:rsidRPr="003551E4">
        <w:rPr>
          <w:rFonts w:cs="Times New Roman"/>
          <w:bCs/>
        </w:rPr>
        <w:t>ci</w:t>
      </w:r>
      <w:r w:rsidRPr="003551E4">
        <w:rPr>
          <w:rFonts w:cs="Century Gothic"/>
          <w:bCs/>
        </w:rPr>
        <w:t>é</w:t>
      </w:r>
      <w:r w:rsidRPr="007A6136">
        <w:rPr>
          <w:rFonts w:cs="Times New Roman"/>
          <w:bCs/>
        </w:rPr>
        <w:t xml:space="preserve"> positivement les actions du projet ?</w:t>
      </w:r>
    </w:p>
    <w:p w14:paraId="10F82316" w14:textId="77777777" w:rsidR="00A149E7" w:rsidRPr="007007C9" w:rsidRDefault="00A149E7" w:rsidP="009F5BDE">
      <w:pPr>
        <w:shd w:val="clear" w:color="auto" w:fill="FFF2CC"/>
        <w:jc w:val="left"/>
        <w:rPr>
          <w:rFonts w:cs="Times New Roman"/>
          <w:b/>
        </w:rPr>
      </w:pPr>
      <w:r w:rsidRPr="007007C9">
        <w:rPr>
          <w:rFonts w:cs="Times New Roman"/>
          <w:b/>
        </w:rPr>
        <w:t xml:space="preserve"> Efficacité</w:t>
      </w:r>
      <w:r w:rsidRPr="007007C9">
        <w:rPr>
          <w:rFonts w:cs="Times New Roman"/>
          <w:b/>
        </w:rPr>
        <w:tab/>
      </w:r>
    </w:p>
    <w:p w14:paraId="7E57CC02" w14:textId="6502A1BB"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xml:space="preserve"> Le critère d’efficacité établit une comparaison entre les objectifs fixés au départ et les résultats atteints. L’intérêt étant de mesurer les écarts et de pouvoir les analyser. A ce titre, les points suivants sont à investiguer :</w:t>
      </w:r>
    </w:p>
    <w:p w14:paraId="093A72D3" w14:textId="1BE3217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résultats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permis de r</w:t>
      </w:r>
      <w:r w:rsidRPr="007007C9">
        <w:rPr>
          <w:rFonts w:cs="Century Gothic"/>
          <w:bCs/>
        </w:rPr>
        <w:t>é</w:t>
      </w:r>
      <w:r w:rsidRPr="007007C9">
        <w:rPr>
          <w:rFonts w:cs="Times New Roman"/>
          <w:bCs/>
        </w:rPr>
        <w:t>aliser ? Quelles sont les valeurs actuelles des indicateurs de produits du projet ?</w:t>
      </w:r>
    </w:p>
    <w:p w14:paraId="2253B324" w14:textId="554C1F0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L’accord de partenariat et la coopération avec les autres organisations du système des Nations Unies pour réaliser conjointement les objectifs du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facilit</w:t>
      </w:r>
      <w:r w:rsidRPr="007007C9">
        <w:rPr>
          <w:rFonts w:cs="Century Gothic"/>
          <w:bCs/>
        </w:rPr>
        <w:t>é</w:t>
      </w:r>
      <w:r w:rsidRPr="007007C9">
        <w:rPr>
          <w:rFonts w:cs="Times New Roman"/>
          <w:bCs/>
        </w:rPr>
        <w:t xml:space="preserve"> l</w:t>
      </w:r>
      <w:r w:rsidRPr="007007C9">
        <w:rPr>
          <w:rFonts w:cs="Century Gothic"/>
          <w:bCs/>
        </w:rPr>
        <w:t>’</w:t>
      </w:r>
      <w:r w:rsidRPr="007007C9">
        <w:rPr>
          <w:rFonts w:cs="Times New Roman"/>
          <w:bCs/>
        </w:rPr>
        <w:t>atteinte des r</w:t>
      </w:r>
      <w:r w:rsidRPr="007007C9">
        <w:rPr>
          <w:rFonts w:cs="Century Gothic"/>
          <w:bCs/>
        </w:rPr>
        <w:t>é</w:t>
      </w:r>
      <w:r w:rsidRPr="007007C9">
        <w:rPr>
          <w:rFonts w:cs="Times New Roman"/>
          <w:bCs/>
        </w:rPr>
        <w:t>sultats ?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occasionn</w:t>
      </w:r>
      <w:r w:rsidRPr="007007C9">
        <w:rPr>
          <w:rFonts w:cs="Century Gothic"/>
          <w:bCs/>
        </w:rPr>
        <w:t>é</w:t>
      </w:r>
      <w:r w:rsidRPr="007007C9">
        <w:rPr>
          <w:rFonts w:cs="Times New Roman"/>
          <w:bCs/>
        </w:rPr>
        <w:t xml:space="preserve"> des obstacles ? Le syst</w:t>
      </w:r>
      <w:r w:rsidRPr="007007C9">
        <w:rPr>
          <w:rFonts w:cs="Century Gothic"/>
          <w:bCs/>
        </w:rPr>
        <w:t>è</w:t>
      </w:r>
      <w:r w:rsidRPr="007007C9">
        <w:rPr>
          <w:rFonts w:cs="Times New Roman"/>
          <w:bCs/>
        </w:rPr>
        <w:t>me de planification, suivi et rapportage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fonctionn</w:t>
      </w:r>
      <w:r w:rsidRPr="007007C9">
        <w:rPr>
          <w:rFonts w:cs="Century Gothic"/>
          <w:bCs/>
        </w:rPr>
        <w:t>é</w:t>
      </w:r>
      <w:r w:rsidRPr="007007C9">
        <w:rPr>
          <w:rFonts w:cs="Times New Roman"/>
          <w:bCs/>
        </w:rPr>
        <w:t xml:space="preserve"> et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la prise de d</w:t>
      </w:r>
      <w:r w:rsidRPr="007007C9">
        <w:rPr>
          <w:rFonts w:cs="Century Gothic"/>
          <w:bCs/>
        </w:rPr>
        <w:t>é</w:t>
      </w:r>
      <w:r w:rsidRPr="007007C9">
        <w:rPr>
          <w:rFonts w:cs="Times New Roman"/>
          <w:bCs/>
        </w:rPr>
        <w:t>cision appliqu</w:t>
      </w:r>
      <w:r w:rsidRPr="007007C9">
        <w:rPr>
          <w:rFonts w:cs="Century Gothic"/>
          <w:bCs/>
        </w:rPr>
        <w:t>é</w:t>
      </w:r>
      <w:r w:rsidRPr="007007C9">
        <w:rPr>
          <w:rFonts w:cs="Times New Roman"/>
          <w:bCs/>
        </w:rPr>
        <w:t>es ?</w:t>
      </w:r>
    </w:p>
    <w:p w14:paraId="000C1F2F" w14:textId="08E7E18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Des résultats satisfaisants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atteints par rapport aux objectifs fixés ? Quelles sont les causes de la réalisation et de la non</w:t>
      </w:r>
      <w:r w:rsidRPr="007007C9">
        <w:rPr>
          <w:rFonts w:ascii="Cambria Math" w:hAnsi="Cambria Math" w:cs="Cambria Math"/>
          <w:bCs/>
        </w:rPr>
        <w:t>‐</w:t>
      </w:r>
      <w:r w:rsidRPr="007007C9">
        <w:rPr>
          <w:rFonts w:cs="Times New Roman"/>
          <w:bCs/>
        </w:rPr>
        <w:t>r</w:t>
      </w:r>
      <w:r w:rsidRPr="007007C9">
        <w:rPr>
          <w:rFonts w:cs="Century Gothic"/>
          <w:bCs/>
        </w:rPr>
        <w:t>é</w:t>
      </w:r>
      <w:r w:rsidRPr="007007C9">
        <w:rPr>
          <w:rFonts w:cs="Times New Roman"/>
          <w:bCs/>
        </w:rPr>
        <w:t>alisation des r</w:t>
      </w:r>
      <w:r w:rsidRPr="007007C9">
        <w:rPr>
          <w:rFonts w:cs="Century Gothic"/>
          <w:bCs/>
        </w:rPr>
        <w:t>é</w:t>
      </w:r>
      <w:r w:rsidRPr="007007C9">
        <w:rPr>
          <w:rFonts w:cs="Times New Roman"/>
          <w:bCs/>
        </w:rPr>
        <w:t>sultats escompt</w:t>
      </w:r>
      <w:r w:rsidRPr="007007C9">
        <w:rPr>
          <w:rFonts w:cs="Century Gothic"/>
          <w:bCs/>
        </w:rPr>
        <w:t>é</w:t>
      </w:r>
      <w:r w:rsidRPr="007007C9">
        <w:rPr>
          <w:rFonts w:cs="Times New Roman"/>
          <w:bCs/>
        </w:rPr>
        <w:t>s ?</w:t>
      </w:r>
    </w:p>
    <w:p w14:paraId="6C14FCE7" w14:textId="234900D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changements ou les progrès réalisés peuvent</w:t>
      </w:r>
      <w:r w:rsidRPr="007007C9">
        <w:rPr>
          <w:rFonts w:ascii="Cambria Math" w:hAnsi="Cambria Math" w:cs="Cambria Math"/>
          <w:bCs/>
        </w:rPr>
        <w:t>‐</w:t>
      </w:r>
      <w:r w:rsidRPr="007007C9">
        <w:rPr>
          <w:rFonts w:cs="Times New Roman"/>
          <w:bCs/>
        </w:rPr>
        <w:t xml:space="preserve">ils </w:t>
      </w:r>
      <w:r w:rsidRPr="007007C9">
        <w:rPr>
          <w:rFonts w:cs="Century Gothic"/>
          <w:bCs/>
        </w:rPr>
        <w:t>ê</w:t>
      </w:r>
      <w:r w:rsidRPr="007007C9">
        <w:rPr>
          <w:rFonts w:cs="Times New Roman"/>
          <w:bCs/>
        </w:rPr>
        <w:t>tre attribu</w:t>
      </w:r>
      <w:r w:rsidRPr="007007C9">
        <w:rPr>
          <w:rFonts w:cs="Century Gothic"/>
          <w:bCs/>
        </w:rPr>
        <w:t>é</w:t>
      </w:r>
      <w:r w:rsidRPr="007007C9">
        <w:rPr>
          <w:rFonts w:cs="Times New Roman"/>
          <w:bCs/>
        </w:rPr>
        <w:t>s au projet ?</w:t>
      </w:r>
    </w:p>
    <w:p w14:paraId="7C3717E9" w14:textId="6E19791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ressources et les risques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g</w:t>
      </w:r>
      <w:r w:rsidRPr="007007C9">
        <w:rPr>
          <w:rFonts w:cs="Century Gothic"/>
          <w:bCs/>
        </w:rPr>
        <w:t>é</w:t>
      </w:r>
      <w:r w:rsidRPr="007007C9">
        <w:rPr>
          <w:rFonts w:cs="Times New Roman"/>
          <w:bCs/>
        </w:rPr>
        <w:t>r</w:t>
      </w:r>
      <w:r w:rsidRPr="007007C9">
        <w:rPr>
          <w:rFonts w:cs="Century Gothic"/>
          <w:bCs/>
        </w:rPr>
        <w:t>é</w:t>
      </w:r>
      <w:r w:rsidRPr="007007C9">
        <w:rPr>
          <w:rFonts w:cs="Times New Roman"/>
          <w:bCs/>
        </w:rPr>
        <w:t>s pour atteindre les r</w:t>
      </w:r>
      <w:r w:rsidRPr="007007C9">
        <w:rPr>
          <w:rFonts w:cs="Century Gothic"/>
          <w:bCs/>
        </w:rPr>
        <w:t>é</w:t>
      </w:r>
      <w:r w:rsidRPr="007007C9">
        <w:rPr>
          <w:rFonts w:cs="Times New Roman"/>
          <w:bCs/>
        </w:rPr>
        <w:t>sultats ?</w:t>
      </w:r>
    </w:p>
    <w:p w14:paraId="689D4625" w14:textId="4ABF2C8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Un système de gestion axée sur les résultats (GAR)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 xml:space="preserve">il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w:t>
      </w:r>
      <w:r w:rsidRPr="007007C9">
        <w:rPr>
          <w:rFonts w:cs="Century Gothic"/>
          <w:bCs/>
        </w:rPr>
        <w:t>é</w:t>
      </w:r>
      <w:r w:rsidRPr="007007C9">
        <w:rPr>
          <w:rFonts w:cs="Times New Roman"/>
          <w:bCs/>
        </w:rPr>
        <w:t xml:space="preserve">tabli et mis en </w:t>
      </w:r>
      <w:r w:rsidRPr="007007C9">
        <w:rPr>
          <w:rFonts w:cs="Century Gothic"/>
          <w:bCs/>
        </w:rPr>
        <w:t>œ</w:t>
      </w:r>
      <w:r w:rsidRPr="007007C9">
        <w:rPr>
          <w:rFonts w:cs="Times New Roman"/>
          <w:bCs/>
        </w:rPr>
        <w:t>uvre en lien avec les syst</w:t>
      </w:r>
      <w:r w:rsidRPr="007007C9">
        <w:rPr>
          <w:rFonts w:cs="Century Gothic"/>
          <w:bCs/>
        </w:rPr>
        <w:t>è</w:t>
      </w:r>
      <w:r w:rsidRPr="007007C9">
        <w:rPr>
          <w:rFonts w:cs="Times New Roman"/>
          <w:bCs/>
        </w:rPr>
        <w:t>mes de (GAR) globaux des bureaux pays au Mali et au Niger ?</w:t>
      </w:r>
    </w:p>
    <w:p w14:paraId="7498E70F" w14:textId="4E2410E2" w:rsidR="00A149E7" w:rsidRDefault="00A149E7" w:rsidP="00FB2B45">
      <w:pPr>
        <w:pStyle w:val="Paragraphedeliste"/>
        <w:numPr>
          <w:ilvl w:val="0"/>
          <w:numId w:val="28"/>
        </w:numPr>
        <w:spacing w:line="276" w:lineRule="auto"/>
        <w:rPr>
          <w:rFonts w:cs="Times New Roman"/>
          <w:bCs/>
        </w:rPr>
      </w:pPr>
      <w:r w:rsidRPr="007007C9">
        <w:rPr>
          <w:rFonts w:cs="Times New Roman"/>
          <w:bCs/>
        </w:rPr>
        <w:t xml:space="preserve">Quelles sont les retombées de l'intervention </w:t>
      </w:r>
      <w:r w:rsidRPr="007007C9">
        <w:rPr>
          <w:rFonts w:ascii="Cambria Math" w:hAnsi="Cambria Math" w:cs="Cambria Math"/>
          <w:bCs/>
        </w:rPr>
        <w:t>‐</w:t>
      </w:r>
      <w:r w:rsidRPr="007007C9">
        <w:rPr>
          <w:rFonts w:cs="Times New Roman"/>
          <w:bCs/>
        </w:rPr>
        <w:t xml:space="preserve"> pr</w:t>
      </w:r>
      <w:r w:rsidRPr="007007C9">
        <w:rPr>
          <w:rFonts w:cs="Century Gothic"/>
          <w:bCs/>
        </w:rPr>
        <w:t>é</w:t>
      </w:r>
      <w:r w:rsidRPr="007007C9">
        <w:rPr>
          <w:rFonts w:cs="Times New Roman"/>
          <w:bCs/>
        </w:rPr>
        <w:t>vues et impr</w:t>
      </w:r>
      <w:r w:rsidRPr="007007C9">
        <w:rPr>
          <w:rFonts w:cs="Century Gothic"/>
          <w:bCs/>
        </w:rPr>
        <w:t>é</w:t>
      </w:r>
      <w:r w:rsidRPr="007007C9">
        <w:rPr>
          <w:rFonts w:cs="Times New Roman"/>
          <w:bCs/>
        </w:rPr>
        <w:t>vues, positives et n</w:t>
      </w:r>
      <w:r w:rsidRPr="007007C9">
        <w:rPr>
          <w:rFonts w:cs="Century Gothic"/>
          <w:bCs/>
        </w:rPr>
        <w:t>é</w:t>
      </w:r>
      <w:r w:rsidRPr="007007C9">
        <w:rPr>
          <w:rFonts w:cs="Times New Roman"/>
          <w:bCs/>
        </w:rPr>
        <w:t xml:space="preserve">gatives </w:t>
      </w:r>
      <w:r w:rsidRPr="007007C9">
        <w:rPr>
          <w:rFonts w:ascii="Cambria Math" w:hAnsi="Cambria Math" w:cs="Cambria Math"/>
          <w:bCs/>
        </w:rPr>
        <w:t>‐</w:t>
      </w:r>
      <w:r w:rsidRPr="007007C9">
        <w:rPr>
          <w:rFonts w:cs="Times New Roman"/>
          <w:bCs/>
        </w:rPr>
        <w:t xml:space="preserve"> y compris les effets sociaux, </w:t>
      </w:r>
      <w:r w:rsidRPr="007007C9">
        <w:rPr>
          <w:rFonts w:cs="Century Gothic"/>
          <w:bCs/>
        </w:rPr>
        <w:t>é</w:t>
      </w:r>
      <w:r w:rsidRPr="007007C9">
        <w:rPr>
          <w:rFonts w:cs="Times New Roman"/>
          <w:bCs/>
        </w:rPr>
        <w:t>conomiques, environnementaux ?</w:t>
      </w:r>
    </w:p>
    <w:p w14:paraId="77FCF732" w14:textId="3EA43D30" w:rsidR="00A149E7" w:rsidRPr="007007C9" w:rsidRDefault="00A149E7" w:rsidP="009F5BDE">
      <w:pPr>
        <w:shd w:val="clear" w:color="auto" w:fill="FFF2CC"/>
        <w:jc w:val="left"/>
        <w:rPr>
          <w:rFonts w:cs="Times New Roman"/>
          <w:b/>
        </w:rPr>
      </w:pPr>
      <w:r w:rsidRPr="007007C9">
        <w:rPr>
          <w:rFonts w:cs="Times New Roman"/>
          <w:b/>
        </w:rPr>
        <w:t>Efficience</w:t>
      </w:r>
      <w:r w:rsidRPr="007007C9">
        <w:rPr>
          <w:rFonts w:cs="Times New Roman"/>
          <w:b/>
        </w:rPr>
        <w:tab/>
      </w:r>
    </w:p>
    <w:p w14:paraId="28E520B0" w14:textId="5854763D"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xml:space="preserve"> L’efficience concerne</w:t>
      </w:r>
      <w:r w:rsidR="007068E8">
        <w:rPr>
          <w:rFonts w:ascii="Century Gothic" w:hAnsi="Century Gothic"/>
        </w:rPr>
        <w:t xml:space="preserve"> </w:t>
      </w:r>
      <w:r w:rsidRPr="007007C9">
        <w:rPr>
          <w:rFonts w:ascii="Century Gothic" w:hAnsi="Century Gothic"/>
        </w:rPr>
        <w:t>la</w:t>
      </w:r>
      <w:r w:rsidR="007068E8">
        <w:rPr>
          <w:rFonts w:ascii="Century Gothic" w:hAnsi="Century Gothic"/>
        </w:rPr>
        <w:t xml:space="preserve"> </w:t>
      </w:r>
      <w:r w:rsidRPr="007007C9">
        <w:rPr>
          <w:rFonts w:ascii="Century Gothic" w:hAnsi="Century Gothic"/>
        </w:rPr>
        <w:t>manière</w:t>
      </w:r>
      <w:r w:rsidR="007068E8">
        <w:rPr>
          <w:rFonts w:ascii="Century Gothic" w:hAnsi="Century Gothic"/>
        </w:rPr>
        <w:t xml:space="preserve"> </w:t>
      </w:r>
      <w:r w:rsidRPr="007007C9">
        <w:rPr>
          <w:rFonts w:ascii="Century Gothic" w:hAnsi="Century Gothic"/>
        </w:rPr>
        <w:t>dont</w:t>
      </w:r>
      <w:r w:rsidR="007068E8">
        <w:rPr>
          <w:rFonts w:ascii="Century Gothic" w:hAnsi="Century Gothic"/>
        </w:rPr>
        <w:t xml:space="preserve"> </w:t>
      </w:r>
      <w:r w:rsidRPr="007007C9">
        <w:rPr>
          <w:rFonts w:ascii="Century Gothic" w:hAnsi="Century Gothic"/>
        </w:rPr>
        <w:t>les</w:t>
      </w:r>
      <w:r w:rsidR="007068E8">
        <w:rPr>
          <w:rFonts w:ascii="Century Gothic" w:hAnsi="Century Gothic"/>
        </w:rPr>
        <w:t xml:space="preserve"> </w:t>
      </w:r>
      <w:r w:rsidRPr="007007C9">
        <w:rPr>
          <w:rFonts w:ascii="Century Gothic" w:hAnsi="Century Gothic"/>
        </w:rPr>
        <w:t>ressources</w:t>
      </w:r>
      <w:r w:rsidR="007068E8">
        <w:rPr>
          <w:rFonts w:ascii="Century Gothic" w:hAnsi="Century Gothic"/>
        </w:rPr>
        <w:t xml:space="preserve"> </w:t>
      </w:r>
      <w:r w:rsidRPr="007007C9">
        <w:rPr>
          <w:rFonts w:ascii="Century Gothic" w:hAnsi="Century Gothic"/>
        </w:rPr>
        <w:t>/</w:t>
      </w:r>
      <w:r w:rsidR="007068E8">
        <w:rPr>
          <w:rFonts w:ascii="Century Gothic" w:hAnsi="Century Gothic"/>
        </w:rPr>
        <w:t xml:space="preserve"> </w:t>
      </w:r>
      <w:r w:rsidRPr="007007C9">
        <w:rPr>
          <w:rFonts w:ascii="Century Gothic" w:hAnsi="Century Gothic"/>
        </w:rPr>
        <w:t>intrants</w:t>
      </w:r>
      <w:r w:rsidR="007068E8">
        <w:rPr>
          <w:rFonts w:ascii="Century Gothic" w:hAnsi="Century Gothic"/>
        </w:rPr>
        <w:t xml:space="preserve"> </w:t>
      </w:r>
      <w:r w:rsidRPr="007007C9">
        <w:rPr>
          <w:rFonts w:ascii="Century Gothic" w:hAnsi="Century Gothic"/>
        </w:rPr>
        <w:t>(fonds,</w:t>
      </w:r>
      <w:r w:rsidR="007068E8">
        <w:rPr>
          <w:rFonts w:ascii="Century Gothic" w:hAnsi="Century Gothic"/>
        </w:rPr>
        <w:t xml:space="preserve"> </w:t>
      </w:r>
      <w:r w:rsidRPr="007007C9">
        <w:rPr>
          <w:rFonts w:ascii="Century Gothic" w:hAnsi="Century Gothic"/>
        </w:rPr>
        <w:t>expertise,</w:t>
      </w:r>
      <w:r w:rsidR="007068E8">
        <w:rPr>
          <w:rFonts w:ascii="Century Gothic" w:hAnsi="Century Gothic"/>
        </w:rPr>
        <w:t xml:space="preserve"> </w:t>
      </w:r>
      <w:r w:rsidRPr="007007C9">
        <w:rPr>
          <w:rFonts w:ascii="Century Gothic" w:hAnsi="Century Gothic"/>
        </w:rPr>
        <w:t>temps, etc.) sont converties de façon économe en résultats. C’est un terme économique qui signifie que le projet utilise les ressources les moins coûteuses possibles afin d'atteindre les résultats souhaités. Cela nécessite généralement de comparer des approches alternatives pour atteindre les mêmes résultats et de voir si le processus le plus efficace a été adopté.</w:t>
      </w:r>
    </w:p>
    <w:p w14:paraId="7923CBB0" w14:textId="46E9EF2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mécanismes d'intervention (instruments de financement, cadre réglementaire administratif, personnel, calendrier et procédures) ont</w:t>
      </w:r>
      <w:r w:rsidRPr="007007C9">
        <w:rPr>
          <w:rFonts w:ascii="Cambria Math" w:hAnsi="Cambria Math" w:cs="Cambria Math"/>
          <w:bCs/>
        </w:rPr>
        <w:t>‐</w:t>
      </w:r>
      <w:r w:rsidRPr="007007C9">
        <w:rPr>
          <w:rFonts w:cs="Times New Roman"/>
          <w:bCs/>
        </w:rPr>
        <w:t>ils favoris</w:t>
      </w:r>
      <w:r w:rsidRPr="007007C9">
        <w:rPr>
          <w:rFonts w:cs="Century Gothic"/>
          <w:bCs/>
        </w:rPr>
        <w:t>é</w:t>
      </w:r>
      <w:r w:rsidRPr="007007C9">
        <w:rPr>
          <w:rFonts w:cs="Times New Roman"/>
          <w:bCs/>
        </w:rPr>
        <w:t xml:space="preserve"> ou entrav</w:t>
      </w:r>
      <w:r w:rsidRPr="007007C9">
        <w:rPr>
          <w:rFonts w:cs="Century Gothic"/>
          <w:bCs/>
        </w:rPr>
        <w:t>é</w:t>
      </w:r>
      <w:r w:rsidRPr="007007C9">
        <w:rPr>
          <w:rFonts w:cs="Times New Roman"/>
          <w:bCs/>
        </w:rPr>
        <w:t xml:space="preserve"> la r</w:t>
      </w:r>
      <w:r w:rsidRPr="007007C9">
        <w:rPr>
          <w:rFonts w:cs="Century Gothic"/>
          <w:bCs/>
        </w:rPr>
        <w:t>é</w:t>
      </w:r>
      <w:r w:rsidRPr="007007C9">
        <w:rPr>
          <w:rFonts w:cs="Times New Roman"/>
          <w:bCs/>
        </w:rPr>
        <w:t>alisation des r</w:t>
      </w:r>
      <w:r w:rsidRPr="007007C9">
        <w:rPr>
          <w:rFonts w:cs="Century Gothic"/>
          <w:bCs/>
        </w:rPr>
        <w:t>é</w:t>
      </w:r>
      <w:r w:rsidRPr="007007C9">
        <w:rPr>
          <w:rFonts w:cs="Times New Roman"/>
          <w:bCs/>
        </w:rPr>
        <w:t>sultats du projet ?</w:t>
      </w:r>
    </w:p>
    <w:p w14:paraId="6D4A1147" w14:textId="7C22930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résultats obtenus sont</w:t>
      </w:r>
      <w:r w:rsidRPr="007007C9">
        <w:rPr>
          <w:rFonts w:ascii="Cambria Math" w:hAnsi="Cambria Math" w:cs="Cambria Math"/>
          <w:bCs/>
        </w:rPr>
        <w:t>‐</w:t>
      </w:r>
      <w:r w:rsidRPr="007007C9">
        <w:rPr>
          <w:rFonts w:cs="Times New Roman"/>
          <w:bCs/>
        </w:rPr>
        <w:t xml:space="preserve">ils </w:t>
      </w:r>
      <w:r w:rsidRPr="007007C9">
        <w:rPr>
          <w:rFonts w:cs="Century Gothic"/>
          <w:bCs/>
        </w:rPr>
        <w:t>à</w:t>
      </w:r>
      <w:r w:rsidRPr="007007C9">
        <w:rPr>
          <w:rFonts w:cs="Times New Roman"/>
          <w:bCs/>
        </w:rPr>
        <w:t xml:space="preserve"> la hauteur des montants et autres moyens engag</w:t>
      </w:r>
      <w:r w:rsidRPr="007007C9">
        <w:rPr>
          <w:rFonts w:cs="Century Gothic"/>
          <w:bCs/>
        </w:rPr>
        <w:t>é</w:t>
      </w:r>
      <w:r w:rsidRPr="007007C9">
        <w:rPr>
          <w:rFonts w:cs="Times New Roman"/>
          <w:bCs/>
        </w:rPr>
        <w:t>s (fonds, comp</w:t>
      </w:r>
      <w:r w:rsidRPr="007007C9">
        <w:rPr>
          <w:rFonts w:cs="Century Gothic"/>
          <w:bCs/>
        </w:rPr>
        <w:t>é</w:t>
      </w:r>
      <w:r w:rsidRPr="007007C9">
        <w:rPr>
          <w:rFonts w:cs="Times New Roman"/>
          <w:bCs/>
        </w:rPr>
        <w:t xml:space="preserve">tences, temps </w:t>
      </w:r>
      <w:r w:rsidRPr="007007C9">
        <w:rPr>
          <w:rFonts w:cs="Century Gothic"/>
          <w:bCs/>
        </w:rPr>
        <w:t>…</w:t>
      </w:r>
      <w:r w:rsidRPr="007007C9">
        <w:rPr>
          <w:rFonts w:cs="Times New Roman"/>
          <w:bCs/>
        </w:rPr>
        <w:t>) ?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r</w:t>
      </w:r>
      <w:r w:rsidRPr="007007C9">
        <w:rPr>
          <w:rFonts w:cs="Century Gothic"/>
          <w:bCs/>
        </w:rPr>
        <w:t>é</w:t>
      </w:r>
      <w:r w:rsidRPr="007007C9">
        <w:rPr>
          <w:rFonts w:cs="Times New Roman"/>
          <w:bCs/>
        </w:rPr>
        <w:t>alis</w:t>
      </w:r>
      <w:r w:rsidRPr="007007C9">
        <w:rPr>
          <w:rFonts w:cs="Century Gothic"/>
          <w:bCs/>
        </w:rPr>
        <w:t>é</w:t>
      </w:r>
      <w:r w:rsidRPr="007007C9">
        <w:rPr>
          <w:rFonts w:cs="Times New Roman"/>
          <w:bCs/>
        </w:rPr>
        <w:t xml:space="preserve"> syst</w:t>
      </w:r>
      <w:r w:rsidRPr="007007C9">
        <w:rPr>
          <w:rFonts w:cs="Century Gothic"/>
          <w:bCs/>
        </w:rPr>
        <w:t>é</w:t>
      </w:r>
      <w:r w:rsidRPr="007007C9">
        <w:rPr>
          <w:rFonts w:cs="Times New Roman"/>
          <w:bCs/>
        </w:rPr>
        <w:t xml:space="preserve">matiquement les </w:t>
      </w:r>
      <w:r w:rsidRPr="007007C9">
        <w:rPr>
          <w:rFonts w:cs="Century Gothic"/>
          <w:bCs/>
        </w:rPr>
        <w:t>é</w:t>
      </w:r>
      <w:r w:rsidRPr="007007C9">
        <w:rPr>
          <w:rFonts w:cs="Times New Roman"/>
          <w:bCs/>
        </w:rPr>
        <w:t>conomies d</w:t>
      </w:r>
      <w:r w:rsidRPr="007007C9">
        <w:rPr>
          <w:rFonts w:cs="Century Gothic"/>
          <w:bCs/>
        </w:rPr>
        <w:t>’é</w:t>
      </w:r>
      <w:r w:rsidRPr="007007C9">
        <w:rPr>
          <w:rFonts w:cs="Times New Roman"/>
          <w:bCs/>
        </w:rPr>
        <w:t>chelles possibles ?</w:t>
      </w:r>
    </w:p>
    <w:p w14:paraId="4D85B1D3" w14:textId="187E343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mécanismes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utilis</w:t>
      </w:r>
      <w:r w:rsidRPr="007007C9">
        <w:rPr>
          <w:rFonts w:cs="Century Gothic"/>
          <w:bCs/>
        </w:rPr>
        <w:t>é</w:t>
      </w:r>
      <w:r w:rsidRPr="007007C9">
        <w:rPr>
          <w:rFonts w:cs="Times New Roman"/>
          <w:bCs/>
        </w:rPr>
        <w:t xml:space="preserve">s par les partenaires de mise en </w:t>
      </w:r>
      <w:r w:rsidRPr="007007C9">
        <w:rPr>
          <w:rFonts w:cs="Century Gothic"/>
          <w:bCs/>
        </w:rPr>
        <w:t>œ</w:t>
      </w:r>
      <w:r w:rsidRPr="007007C9">
        <w:rPr>
          <w:rFonts w:cs="Times New Roman"/>
          <w:bCs/>
        </w:rPr>
        <w:t>uvre pour la synergie de leurs actions ? Dans quelle mesure ces m</w:t>
      </w:r>
      <w:r w:rsidRPr="007007C9">
        <w:rPr>
          <w:rFonts w:cs="Century Gothic"/>
          <w:bCs/>
        </w:rPr>
        <w:t>é</w:t>
      </w:r>
      <w:r w:rsidRPr="007007C9">
        <w:rPr>
          <w:rFonts w:cs="Times New Roman"/>
          <w:bCs/>
        </w:rPr>
        <w:t>canismes ont</w:t>
      </w:r>
      <w:r w:rsidRPr="007007C9">
        <w:rPr>
          <w:rFonts w:ascii="Cambria Math" w:hAnsi="Cambria Math" w:cs="Cambria Math"/>
          <w:bCs/>
        </w:rPr>
        <w:t>‐</w:t>
      </w:r>
      <w:r w:rsidRPr="007007C9">
        <w:rPr>
          <w:rFonts w:cs="Times New Roman"/>
          <w:bCs/>
        </w:rPr>
        <w:t>ils produit des impacts crois</w:t>
      </w:r>
      <w:r w:rsidRPr="007007C9">
        <w:rPr>
          <w:rFonts w:cs="Century Gothic"/>
          <w:bCs/>
        </w:rPr>
        <w:t>é</w:t>
      </w:r>
      <w:r w:rsidRPr="007007C9">
        <w:rPr>
          <w:rFonts w:cs="Times New Roman"/>
          <w:bCs/>
        </w:rPr>
        <w:t>s ?</w:t>
      </w:r>
    </w:p>
    <w:p w14:paraId="1D03CE2F" w14:textId="59DB5B08"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utilis</w:t>
      </w:r>
      <w:r w:rsidRPr="007007C9">
        <w:rPr>
          <w:rFonts w:cs="Century Gothic"/>
          <w:bCs/>
        </w:rPr>
        <w:t>é</w:t>
      </w:r>
      <w:r w:rsidRPr="007007C9">
        <w:rPr>
          <w:rFonts w:cs="Times New Roman"/>
          <w:bCs/>
        </w:rPr>
        <w:t xml:space="preserve"> les ressources (financières, humaines, techniques) de la manière la plus économe possible pour atteindre ses objectifs ?</w:t>
      </w:r>
    </w:p>
    <w:p w14:paraId="06F8DE96" w14:textId="5176BA8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 xml:space="preserv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 xml:space="preserve">il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mis en </w:t>
      </w:r>
      <w:r w:rsidRPr="007007C9">
        <w:rPr>
          <w:rFonts w:cs="Century Gothic"/>
          <w:bCs/>
        </w:rPr>
        <w:t>œ</w:t>
      </w:r>
      <w:r w:rsidRPr="007007C9">
        <w:rPr>
          <w:rFonts w:cs="Times New Roman"/>
          <w:bCs/>
        </w:rPr>
        <w:t>uvre de la mani</w:t>
      </w:r>
      <w:r w:rsidRPr="007007C9">
        <w:rPr>
          <w:rFonts w:cs="Century Gothic"/>
          <w:bCs/>
        </w:rPr>
        <w:t>è</w:t>
      </w:r>
      <w:r w:rsidRPr="007007C9">
        <w:rPr>
          <w:rFonts w:cs="Times New Roman"/>
          <w:bCs/>
        </w:rPr>
        <w:t>re la plus optimale par rapport aux alternatives ?</w:t>
      </w:r>
    </w:p>
    <w:p w14:paraId="147FD35F" w14:textId="4985C8F8"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mécanismes de coordination mis en place pour la mise en œuvre du projet ont</w:t>
      </w:r>
      <w:r w:rsidRPr="007007C9">
        <w:rPr>
          <w:rFonts w:ascii="Cambria Math" w:hAnsi="Cambria Math" w:cs="Cambria Math"/>
          <w:bCs/>
        </w:rPr>
        <w:t>‐</w:t>
      </w:r>
      <w:r w:rsidRPr="007007C9">
        <w:rPr>
          <w:rFonts w:cs="Times New Roman"/>
          <w:bCs/>
        </w:rPr>
        <w:t>ils permis de promouvoir l'utilisation efficace des ressources financi</w:t>
      </w:r>
      <w:r w:rsidRPr="007007C9">
        <w:rPr>
          <w:rFonts w:cs="Century Gothic"/>
          <w:bCs/>
        </w:rPr>
        <w:t>è</w:t>
      </w:r>
      <w:r w:rsidRPr="007007C9">
        <w:rPr>
          <w:rFonts w:cs="Times New Roman"/>
          <w:bCs/>
        </w:rPr>
        <w:t>res et humaines ?</w:t>
      </w:r>
    </w:p>
    <w:p w14:paraId="06DCA3CE" w14:textId="5775098D"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peuvent être les propositions de stratégies plus efficaces pour une utilisation optimale des ressources ?</w:t>
      </w:r>
    </w:p>
    <w:p w14:paraId="0D1920B6" w14:textId="2F5BC0A3" w:rsidR="00264B66" w:rsidRPr="00563B2B" w:rsidRDefault="00A149E7" w:rsidP="009F5BDE">
      <w:pPr>
        <w:shd w:val="clear" w:color="auto" w:fill="FFF2CC"/>
        <w:jc w:val="left"/>
        <w:rPr>
          <w:rFonts w:cs="Times New Roman"/>
          <w:bCs/>
        </w:rPr>
      </w:pPr>
      <w:r w:rsidRPr="007007C9">
        <w:rPr>
          <w:rFonts w:cs="Times New Roman"/>
          <w:b/>
        </w:rPr>
        <w:t>La durabilité</w:t>
      </w:r>
      <w:r w:rsidRPr="007007C9">
        <w:rPr>
          <w:rFonts w:cs="Times New Roman"/>
          <w:b/>
        </w:rPr>
        <w:tab/>
      </w:r>
      <w:r w:rsidRPr="007007C9">
        <w:rPr>
          <w:rFonts w:cs="Times New Roman"/>
          <w:bCs/>
        </w:rPr>
        <w:t xml:space="preserve"> </w:t>
      </w:r>
    </w:p>
    <w:p w14:paraId="5984C377" w14:textId="522268BE" w:rsidR="00A149E7" w:rsidRPr="007007C9" w:rsidRDefault="00A149E7" w:rsidP="007007C9">
      <w:pPr>
        <w:spacing w:line="276" w:lineRule="auto"/>
        <w:ind w:left="140"/>
        <w:rPr>
          <w:rFonts w:cs="Times New Roman"/>
          <w:bCs/>
        </w:rPr>
      </w:pPr>
      <w:r w:rsidRPr="007007C9">
        <w:rPr>
          <w:rFonts w:cs="Times New Roman"/>
          <w:bCs/>
        </w:rPr>
        <w:t>Les initiatives de développement (projets/programmes) visent à transférer aux communautés des acquis, des capacités et des attitudes. Les bénéficiaires sont donc appelés à poursuivre la pérennisation des acquis à travers des actions individuelles. Pour cela, il s’agira de répertorier tout ce qui a été fait dans le sens de la continuité du projet à la fin du financement.</w:t>
      </w:r>
    </w:p>
    <w:p w14:paraId="554B9DD2" w14:textId="5F40655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l’approche d’intervention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elle permis de renforcer les capacit</w:t>
      </w:r>
      <w:r w:rsidRPr="007007C9">
        <w:rPr>
          <w:rFonts w:cs="Century Gothic"/>
          <w:bCs/>
        </w:rPr>
        <w:t>é</w:t>
      </w:r>
      <w:r w:rsidRPr="007007C9">
        <w:rPr>
          <w:rFonts w:cs="Times New Roman"/>
          <w:bCs/>
        </w:rPr>
        <w:t>s techniques et op</w:t>
      </w:r>
      <w:r w:rsidRPr="007007C9">
        <w:rPr>
          <w:rFonts w:cs="Century Gothic"/>
          <w:bCs/>
        </w:rPr>
        <w:t>é</w:t>
      </w:r>
      <w:r w:rsidRPr="007007C9">
        <w:rPr>
          <w:rFonts w:cs="Times New Roman"/>
          <w:bCs/>
        </w:rPr>
        <w:t>rationnelles du Gouvernement (au Mali et au Niger), garantissant les résultats attendus du projet ? A</w:t>
      </w:r>
      <w:r w:rsidRPr="007007C9">
        <w:rPr>
          <w:rFonts w:ascii="Cambria Math" w:hAnsi="Cambria Math" w:cs="Cambria Math"/>
          <w:bCs/>
        </w:rPr>
        <w:t>‐</w:t>
      </w:r>
      <w:r w:rsidRPr="007007C9">
        <w:rPr>
          <w:rFonts w:cs="Times New Roman"/>
          <w:bCs/>
        </w:rPr>
        <w:t xml:space="preserve"> t</w:t>
      </w:r>
      <w:r w:rsidRPr="007007C9">
        <w:rPr>
          <w:rFonts w:ascii="Cambria Math" w:hAnsi="Cambria Math" w:cs="Cambria Math"/>
          <w:bCs/>
        </w:rPr>
        <w:t>‐</w:t>
      </w:r>
      <w:r w:rsidRPr="007007C9">
        <w:rPr>
          <w:rFonts w:cs="Times New Roman"/>
          <w:bCs/>
        </w:rPr>
        <w:t xml:space="preserve">elle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inclusive et formative, favorisant l</w:t>
      </w:r>
      <w:r w:rsidRPr="007007C9">
        <w:rPr>
          <w:rFonts w:cs="Century Gothic"/>
          <w:bCs/>
        </w:rPr>
        <w:t>’</w:t>
      </w:r>
      <w:r w:rsidRPr="007007C9">
        <w:rPr>
          <w:rFonts w:cs="Times New Roman"/>
          <w:bCs/>
        </w:rPr>
        <w:t>appropriation par les acteurs concern</w:t>
      </w:r>
      <w:r w:rsidRPr="007007C9">
        <w:rPr>
          <w:rFonts w:cs="Century Gothic"/>
          <w:bCs/>
        </w:rPr>
        <w:t>é</w:t>
      </w:r>
      <w:r w:rsidRPr="007007C9">
        <w:rPr>
          <w:rFonts w:cs="Times New Roman"/>
          <w:bCs/>
        </w:rPr>
        <w:t>s, la fourniture continue des services ?</w:t>
      </w:r>
    </w:p>
    <w:p w14:paraId="7EBB3A58" w14:textId="2FAB1B2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capacités des femmes et des jeunes filles ont</w:t>
      </w:r>
      <w:r w:rsidRPr="007007C9">
        <w:rPr>
          <w:rFonts w:ascii="Cambria Math" w:hAnsi="Cambria Math" w:cs="Cambria Math"/>
          <w:bCs/>
        </w:rPr>
        <w:t>‐</w:t>
      </w:r>
      <w:r w:rsidRPr="007007C9">
        <w:rPr>
          <w:rFonts w:cs="Times New Roman"/>
          <w:bCs/>
        </w:rPr>
        <w:t xml:space="preserve">elles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renforc</w:t>
      </w:r>
      <w:r w:rsidRPr="007007C9">
        <w:rPr>
          <w:rFonts w:cs="Century Gothic"/>
          <w:bCs/>
        </w:rPr>
        <w:t>é</w:t>
      </w:r>
      <w:r w:rsidRPr="007007C9">
        <w:rPr>
          <w:rFonts w:cs="Times New Roman"/>
          <w:bCs/>
        </w:rPr>
        <w:t>es ?</w:t>
      </w:r>
      <w:r w:rsidR="00383B84">
        <w:rPr>
          <w:rFonts w:cs="Times New Roman"/>
          <w:bCs/>
        </w:rPr>
        <w:t xml:space="preserve"> </w:t>
      </w:r>
      <w:r w:rsidRPr="007007C9">
        <w:rPr>
          <w:rFonts w:cs="Times New Roman"/>
          <w:bCs/>
        </w:rPr>
        <w:t>Les activités du projet sont</w:t>
      </w:r>
      <w:r w:rsidRPr="007007C9">
        <w:rPr>
          <w:rFonts w:ascii="Cambria Math" w:hAnsi="Cambria Math" w:cs="Cambria Math"/>
          <w:bCs/>
        </w:rPr>
        <w:t>‐</w:t>
      </w:r>
      <w:r w:rsidRPr="007007C9">
        <w:rPr>
          <w:rFonts w:cs="Times New Roman"/>
          <w:bCs/>
        </w:rPr>
        <w:t>elles int</w:t>
      </w:r>
      <w:r w:rsidRPr="007007C9">
        <w:rPr>
          <w:rFonts w:cs="Century Gothic"/>
          <w:bCs/>
        </w:rPr>
        <w:t>é</w:t>
      </w:r>
      <w:r w:rsidRPr="007007C9">
        <w:rPr>
          <w:rFonts w:cs="Times New Roman"/>
          <w:bCs/>
        </w:rPr>
        <w:t>gr</w:t>
      </w:r>
      <w:r w:rsidRPr="007007C9">
        <w:rPr>
          <w:rFonts w:cs="Century Gothic"/>
          <w:bCs/>
        </w:rPr>
        <w:t>é</w:t>
      </w:r>
      <w:r w:rsidRPr="007007C9">
        <w:rPr>
          <w:rFonts w:cs="Times New Roman"/>
          <w:bCs/>
        </w:rPr>
        <w:t>es aux pratiques des institutions partenaires notamment nationales? Quelle est la probabilit</w:t>
      </w:r>
      <w:r w:rsidRPr="007007C9">
        <w:rPr>
          <w:rFonts w:cs="Century Gothic"/>
          <w:bCs/>
        </w:rPr>
        <w:t>é</w:t>
      </w:r>
      <w:r w:rsidRPr="007007C9">
        <w:rPr>
          <w:rFonts w:cs="Times New Roman"/>
          <w:bCs/>
        </w:rPr>
        <w:t xml:space="preserve"> que les avantages du projet soient maintenus sur le long terme apr</w:t>
      </w:r>
      <w:r w:rsidRPr="007007C9">
        <w:rPr>
          <w:rFonts w:cs="Century Gothic"/>
          <w:bCs/>
        </w:rPr>
        <w:t>è</w:t>
      </w:r>
      <w:r w:rsidRPr="007007C9">
        <w:rPr>
          <w:rFonts w:cs="Times New Roman"/>
          <w:bCs/>
        </w:rPr>
        <w:t>s que le projet est terminé ?</w:t>
      </w:r>
    </w:p>
    <w:p w14:paraId="6FBA3A3A" w14:textId="76B862E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nouveaux acquis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permis de transf</w:t>
      </w:r>
      <w:r w:rsidRPr="007007C9">
        <w:rPr>
          <w:rFonts w:cs="Century Gothic"/>
          <w:bCs/>
        </w:rPr>
        <w:t>é</w:t>
      </w:r>
      <w:r w:rsidRPr="007007C9">
        <w:rPr>
          <w:rFonts w:cs="Times New Roman"/>
          <w:bCs/>
        </w:rPr>
        <w:t>rer aux communaut</w:t>
      </w:r>
      <w:r w:rsidRPr="007007C9">
        <w:rPr>
          <w:rFonts w:cs="Century Gothic"/>
          <w:bCs/>
        </w:rPr>
        <w:t>é</w:t>
      </w:r>
      <w:r w:rsidRPr="007007C9">
        <w:rPr>
          <w:rFonts w:cs="Times New Roman"/>
          <w:bCs/>
        </w:rPr>
        <w:t>s (capacit</w:t>
      </w:r>
      <w:r w:rsidRPr="007007C9">
        <w:rPr>
          <w:rFonts w:cs="Century Gothic"/>
          <w:bCs/>
        </w:rPr>
        <w:t>é</w:t>
      </w:r>
      <w:r w:rsidRPr="007007C9">
        <w:rPr>
          <w:rFonts w:cs="Times New Roman"/>
          <w:bCs/>
        </w:rPr>
        <w:t>s, attitudes</w:t>
      </w:r>
      <w:r w:rsidRPr="007007C9">
        <w:rPr>
          <w:rFonts w:cs="Century Gothic"/>
          <w:bCs/>
        </w:rPr>
        <w:t>…</w:t>
      </w:r>
      <w:r w:rsidRPr="007007C9">
        <w:rPr>
          <w:rFonts w:cs="Times New Roman"/>
          <w:bCs/>
        </w:rPr>
        <w:t xml:space="preserve">) ; Quels ont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les principaux changements de la perception du r</w:t>
      </w:r>
      <w:r w:rsidRPr="007007C9">
        <w:rPr>
          <w:rFonts w:cs="Century Gothic"/>
          <w:bCs/>
        </w:rPr>
        <w:t>ô</w:t>
      </w:r>
      <w:r w:rsidRPr="007007C9">
        <w:rPr>
          <w:rFonts w:cs="Times New Roman"/>
          <w:bCs/>
        </w:rPr>
        <w:t>le des femmes dans la pr</w:t>
      </w:r>
      <w:r w:rsidRPr="007007C9">
        <w:rPr>
          <w:rFonts w:cs="Century Gothic"/>
          <w:bCs/>
        </w:rPr>
        <w:t>é</w:t>
      </w:r>
      <w:r w:rsidRPr="007007C9">
        <w:rPr>
          <w:rFonts w:cs="Times New Roman"/>
          <w:bCs/>
        </w:rPr>
        <w:t>vention et la gestion de conflits ?</w:t>
      </w:r>
    </w:p>
    <w:p w14:paraId="5658B170" w14:textId="1F3BDFD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nouvelles questions qui ont émergé au niveau des acteurs de mise en œuvre du projet ? Ces acteurs sont</w:t>
      </w:r>
      <w:r w:rsidRPr="007007C9">
        <w:rPr>
          <w:rFonts w:ascii="Cambria Math" w:hAnsi="Cambria Math" w:cs="Cambria Math"/>
          <w:bCs/>
        </w:rPr>
        <w:t>‐</w:t>
      </w:r>
      <w:r w:rsidRPr="007007C9">
        <w:rPr>
          <w:rFonts w:cs="Times New Roman"/>
          <w:bCs/>
        </w:rPr>
        <w:t>ils en train de trouver par eux</w:t>
      </w:r>
      <w:r w:rsidRPr="007007C9">
        <w:rPr>
          <w:rFonts w:ascii="Cambria Math" w:hAnsi="Cambria Math" w:cs="Cambria Math"/>
          <w:bCs/>
        </w:rPr>
        <w:t>‐</w:t>
      </w:r>
      <w:r w:rsidRPr="007007C9">
        <w:rPr>
          <w:rFonts w:cs="Times New Roman"/>
          <w:bCs/>
        </w:rPr>
        <w:t>m</w:t>
      </w:r>
      <w:r w:rsidRPr="007007C9">
        <w:rPr>
          <w:rFonts w:cs="Century Gothic"/>
          <w:bCs/>
        </w:rPr>
        <w:t>ê</w:t>
      </w:r>
      <w:r w:rsidRPr="007007C9">
        <w:rPr>
          <w:rFonts w:cs="Times New Roman"/>
          <w:bCs/>
        </w:rPr>
        <w:t>mes des r</w:t>
      </w:r>
      <w:r w:rsidRPr="007007C9">
        <w:rPr>
          <w:rFonts w:cs="Century Gothic"/>
          <w:bCs/>
        </w:rPr>
        <w:t>é</w:t>
      </w:r>
      <w:r w:rsidRPr="007007C9">
        <w:rPr>
          <w:rFonts w:cs="Times New Roman"/>
          <w:bCs/>
        </w:rPr>
        <w:t xml:space="preserve">ponses/solutions </w:t>
      </w:r>
      <w:r w:rsidRPr="007007C9">
        <w:rPr>
          <w:rFonts w:cs="Century Gothic"/>
          <w:bCs/>
        </w:rPr>
        <w:t>à</w:t>
      </w:r>
      <w:r w:rsidRPr="007007C9">
        <w:rPr>
          <w:rFonts w:cs="Times New Roman"/>
          <w:bCs/>
        </w:rPr>
        <w:t xml:space="preserve"> ces questions ?</w:t>
      </w:r>
    </w:p>
    <w:p w14:paraId="239C04F5" w14:textId="5AFCC2E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est</w:t>
      </w:r>
      <w:r w:rsidRPr="007007C9">
        <w:rPr>
          <w:rFonts w:ascii="Cambria Math" w:hAnsi="Cambria Math" w:cs="Cambria Math"/>
          <w:bCs/>
        </w:rPr>
        <w:t>‐</w:t>
      </w:r>
      <w:r w:rsidRPr="007007C9">
        <w:rPr>
          <w:rFonts w:cs="Times New Roman"/>
          <w:bCs/>
        </w:rPr>
        <w:t>il possible de proc</w:t>
      </w:r>
      <w:r w:rsidRPr="007007C9">
        <w:rPr>
          <w:rFonts w:cs="Century Gothic"/>
          <w:bCs/>
        </w:rPr>
        <w:t>é</w:t>
      </w:r>
      <w:r w:rsidRPr="007007C9">
        <w:rPr>
          <w:rFonts w:cs="Times New Roman"/>
          <w:bCs/>
        </w:rPr>
        <w:t xml:space="preserve">der </w:t>
      </w:r>
      <w:r w:rsidRPr="007007C9">
        <w:rPr>
          <w:rFonts w:cs="Century Gothic"/>
          <w:bCs/>
        </w:rPr>
        <w:t>à</w:t>
      </w:r>
      <w:r w:rsidRPr="007007C9">
        <w:rPr>
          <w:rFonts w:cs="Times New Roman"/>
          <w:bCs/>
        </w:rPr>
        <w:t xml:space="preserve"> un passage </w:t>
      </w:r>
      <w:r w:rsidRPr="007007C9">
        <w:rPr>
          <w:rFonts w:cs="Century Gothic"/>
          <w:bCs/>
        </w:rPr>
        <w:t>à</w:t>
      </w:r>
      <w:r w:rsidRPr="007007C9">
        <w:rPr>
          <w:rFonts w:cs="Times New Roman"/>
          <w:bCs/>
        </w:rPr>
        <w:t xml:space="preserve"> l’échelle des stratégies et résultats du projet</w:t>
      </w:r>
      <w:r w:rsidR="00F40C45">
        <w:rPr>
          <w:rFonts w:cs="Times New Roman"/>
          <w:bCs/>
        </w:rPr>
        <w:t xml:space="preserve"> </w:t>
      </w:r>
      <w:r w:rsidRPr="007007C9">
        <w:rPr>
          <w:rFonts w:cs="Times New Roman"/>
          <w:bCs/>
        </w:rPr>
        <w:t>?</w:t>
      </w:r>
    </w:p>
    <w:p w14:paraId="3F197ED7" w14:textId="0E3A3372" w:rsidR="00264B66" w:rsidRPr="007007C9" w:rsidRDefault="00A149E7" w:rsidP="009F5BDE">
      <w:pPr>
        <w:shd w:val="clear" w:color="auto" w:fill="FFF2CC"/>
        <w:jc w:val="left"/>
        <w:rPr>
          <w:rFonts w:cs="Times New Roman"/>
          <w:b/>
        </w:rPr>
      </w:pPr>
      <w:r w:rsidRPr="007007C9">
        <w:rPr>
          <w:rFonts w:cs="Times New Roman"/>
          <w:b/>
        </w:rPr>
        <w:t>Impact</w:t>
      </w:r>
      <w:r w:rsidRPr="007007C9">
        <w:rPr>
          <w:rFonts w:cs="Times New Roman"/>
          <w:b/>
        </w:rPr>
        <w:tab/>
      </w:r>
    </w:p>
    <w:p w14:paraId="3376FABB" w14:textId="019EAB2D" w:rsidR="00A149E7" w:rsidRPr="007007C9" w:rsidRDefault="00A149E7" w:rsidP="007007C9">
      <w:pPr>
        <w:spacing w:line="276" w:lineRule="auto"/>
        <w:ind w:left="140"/>
        <w:rPr>
          <w:rFonts w:cs="Times New Roman"/>
          <w:bCs/>
        </w:rPr>
      </w:pPr>
      <w:r w:rsidRPr="007007C9">
        <w:rPr>
          <w:rFonts w:cs="Times New Roman"/>
          <w:bCs/>
        </w:rPr>
        <w:t xml:space="preserve"> Effets à long terme positifs et négatifs, primaires et secondaires produits par le projet directement ou indirectement. L’évaluation ne sera pas en mesure d’évaluer pleinement l’impact du projet compte tenu de sa durée. Mais elle répondra aux questions suivantes, qui permettront d’identifier les effets immédiats du projet, qui détermineront l’impact sur le long terme.</w:t>
      </w:r>
    </w:p>
    <w:p w14:paraId="767D9599" w14:textId="6EDD50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sont les effets intentionnels et non intentionnels, positifs et négatifs pendant la durée du projet, particulièrement sur les communautés transfrontalières, les femmes et les jeunes ?</w:t>
      </w:r>
    </w:p>
    <w:p w14:paraId="0F824C6E" w14:textId="79402EB9" w:rsidR="00A149E7" w:rsidRPr="007007C9" w:rsidRDefault="007068E8" w:rsidP="009F5BDE">
      <w:pPr>
        <w:shd w:val="clear" w:color="auto" w:fill="FFF2CC"/>
        <w:jc w:val="left"/>
        <w:rPr>
          <w:rFonts w:cs="Times New Roman"/>
          <w:b/>
        </w:rPr>
      </w:pPr>
      <w:r>
        <w:rPr>
          <w:rFonts w:cs="Times New Roman"/>
          <w:b/>
        </w:rPr>
        <w:t xml:space="preserve"> </w:t>
      </w:r>
      <w:r w:rsidR="00A149E7" w:rsidRPr="007007C9">
        <w:rPr>
          <w:rFonts w:cs="Times New Roman"/>
          <w:b/>
        </w:rPr>
        <w:t>Égalité des Sexes et droits humains</w:t>
      </w:r>
      <w:r w:rsidR="00A149E7" w:rsidRPr="007007C9">
        <w:rPr>
          <w:rFonts w:cs="Times New Roman"/>
          <w:b/>
        </w:rPr>
        <w:tab/>
        <w:t xml:space="preserve"> </w:t>
      </w:r>
    </w:p>
    <w:p w14:paraId="4FA657F8" w14:textId="6BAF4134"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Ce critère est un principe général, mettant l’accent sur la coordination, la cohérence et</w:t>
      </w:r>
      <w:r w:rsidR="007068E8">
        <w:rPr>
          <w:rFonts w:ascii="Century Gothic" w:hAnsi="Century Gothic"/>
        </w:rPr>
        <w:t xml:space="preserve"> </w:t>
      </w:r>
      <w:r w:rsidRPr="007007C9">
        <w:rPr>
          <w:rFonts w:ascii="Century Gothic" w:hAnsi="Century Gothic"/>
        </w:rPr>
        <w:t>la responsabilité en matière d'égalité des sexes et d'autonomisation des femmes. Il permet l’examen de la conception, la mise en œuvre de l'intervention, et l'évaluation des résultats de l'intégration de la perspective des droits de l'homme et l'égalité des sexes.</w:t>
      </w:r>
    </w:p>
    <w:p w14:paraId="3B899C63" w14:textId="2A5377E3"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 composition de l’équipe de gestion du programme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elle tenu compte de l</w:t>
      </w:r>
      <w:r w:rsidRPr="007007C9">
        <w:rPr>
          <w:rFonts w:cs="Century Gothic"/>
          <w:bCs/>
        </w:rPr>
        <w:t>’é</w:t>
      </w:r>
      <w:r w:rsidRPr="007007C9">
        <w:rPr>
          <w:rFonts w:cs="Times New Roman"/>
          <w:bCs/>
        </w:rPr>
        <w:t>quilibre de genre ?</w:t>
      </w:r>
    </w:p>
    <w:p w14:paraId="29414CE5" w14:textId="7493C4C2"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rapports de suivi du projet montrent</w:t>
      </w:r>
      <w:r w:rsidRPr="007007C9">
        <w:rPr>
          <w:rFonts w:ascii="Cambria Math" w:hAnsi="Cambria Math" w:cs="Cambria Math"/>
          <w:bCs/>
        </w:rPr>
        <w:t>‐</w:t>
      </w:r>
      <w:r w:rsidRPr="007007C9">
        <w:rPr>
          <w:rFonts w:cs="Times New Roman"/>
          <w:bCs/>
        </w:rPr>
        <w:t>ils clairement les r</w:t>
      </w:r>
      <w:r w:rsidRPr="007007C9">
        <w:rPr>
          <w:rFonts w:cs="Century Gothic"/>
          <w:bCs/>
        </w:rPr>
        <w:t>é</w:t>
      </w:r>
      <w:r w:rsidRPr="007007C9">
        <w:rPr>
          <w:rFonts w:cs="Times New Roman"/>
          <w:bCs/>
        </w:rPr>
        <w:t>sultats sp</w:t>
      </w:r>
      <w:r w:rsidRPr="007007C9">
        <w:rPr>
          <w:rFonts w:cs="Century Gothic"/>
          <w:bCs/>
        </w:rPr>
        <w:t>é</w:t>
      </w:r>
      <w:r w:rsidRPr="007007C9">
        <w:rPr>
          <w:rFonts w:cs="Times New Roman"/>
          <w:bCs/>
        </w:rPr>
        <w:t>cifiques sur les femmes et les hommes ?</w:t>
      </w:r>
    </w:p>
    <w:p w14:paraId="492FB93E" w14:textId="1B13AC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ont été les principaux progrès en faveur de l’intégration des femmes et des jeunes dans les mécanismes communautaires de prévention et gestion de conflits locaux et transfrontaliers ?</w:t>
      </w:r>
    </w:p>
    <w:p w14:paraId="46E26760" w14:textId="7C01D82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progrès spécifiques au bénéfice des femmes peut</w:t>
      </w:r>
      <w:r w:rsidRPr="007007C9">
        <w:rPr>
          <w:rFonts w:ascii="Cambria Math" w:hAnsi="Cambria Math" w:cs="Cambria Math"/>
          <w:bCs/>
        </w:rPr>
        <w:t>‐</w:t>
      </w:r>
      <w:r w:rsidRPr="007007C9">
        <w:rPr>
          <w:rFonts w:cs="Times New Roman"/>
          <w:bCs/>
        </w:rPr>
        <w:t xml:space="preserve">on mettre en </w:t>
      </w:r>
      <w:r w:rsidRPr="007007C9">
        <w:rPr>
          <w:rFonts w:cs="Century Gothic"/>
          <w:bCs/>
        </w:rPr>
        <w:t>é</w:t>
      </w:r>
      <w:r w:rsidRPr="007007C9">
        <w:rPr>
          <w:rFonts w:cs="Times New Roman"/>
          <w:bCs/>
        </w:rPr>
        <w:t>vidence dans le cadre de la coop</w:t>
      </w:r>
      <w:r w:rsidRPr="007007C9">
        <w:rPr>
          <w:rFonts w:cs="Century Gothic"/>
          <w:bCs/>
        </w:rPr>
        <w:t>é</w:t>
      </w:r>
      <w:r w:rsidRPr="007007C9">
        <w:rPr>
          <w:rFonts w:cs="Times New Roman"/>
          <w:bCs/>
        </w:rPr>
        <w:t>ration transfrontali</w:t>
      </w:r>
      <w:r w:rsidRPr="007007C9">
        <w:rPr>
          <w:rFonts w:cs="Century Gothic"/>
          <w:bCs/>
        </w:rPr>
        <w:t>è</w:t>
      </w:r>
      <w:r w:rsidRPr="007007C9">
        <w:rPr>
          <w:rFonts w:cs="Times New Roman"/>
          <w:bCs/>
        </w:rPr>
        <w:t>re entre le Mali et le Niger ?</w:t>
      </w:r>
    </w:p>
    <w:p w14:paraId="76A49E45" w14:textId="468500D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principales initiatives menées par les autorités du Mali et du Niger pour accompagner les initiatives communautaires inclusives de paix et de cohésion sociale ;</w:t>
      </w:r>
    </w:p>
    <w:p w14:paraId="2458B973" w14:textId="64F9D06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principales réalisations des comités locaux de prévention et gestion de conflits ?</w:t>
      </w:r>
    </w:p>
    <w:p w14:paraId="7ACF3855" w14:textId="58C8E06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 a été le rôle des femmes affectées par les conflits dans les initiatives communautaires de paix ?</w:t>
      </w:r>
    </w:p>
    <w:p w14:paraId="7AB1009F" w14:textId="7EE1EF1E"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une prise en compte des priorit</w:t>
      </w:r>
      <w:r w:rsidRPr="007007C9">
        <w:rPr>
          <w:rFonts w:cs="Century Gothic"/>
          <w:bCs/>
        </w:rPr>
        <w:t>é</w:t>
      </w:r>
      <w:r w:rsidRPr="007007C9">
        <w:rPr>
          <w:rFonts w:cs="Times New Roman"/>
          <w:bCs/>
        </w:rPr>
        <w:t>s des femmes et des jeunes dans les m</w:t>
      </w:r>
      <w:r w:rsidRPr="007007C9">
        <w:rPr>
          <w:rFonts w:cs="Century Gothic"/>
          <w:bCs/>
        </w:rPr>
        <w:t>é</w:t>
      </w:r>
      <w:r w:rsidRPr="007007C9">
        <w:rPr>
          <w:rFonts w:cs="Times New Roman"/>
          <w:bCs/>
        </w:rPr>
        <w:t>canismes communautaires ?</w:t>
      </w:r>
    </w:p>
    <w:p w14:paraId="7371DBC1" w14:textId="6AF0BA1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femmes et les jeunes ont participé dans le processus de règlement des conflits?</w:t>
      </w:r>
    </w:p>
    <w:p w14:paraId="72086F06" w14:textId="04CFBC0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autorités du Mali et du Niger ont intégré les besoins et intérêts des femmes dans les plans locaux de sécurité et de protection ?</w:t>
      </w:r>
    </w:p>
    <w:p w14:paraId="48983962" w14:textId="0C4609D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considérations de genre et de droits de l'homme ont</w:t>
      </w:r>
      <w:r w:rsidRPr="007007C9">
        <w:rPr>
          <w:rFonts w:ascii="Cambria Math" w:hAnsi="Cambria Math" w:cs="Cambria Math"/>
          <w:bCs/>
        </w:rPr>
        <w:t>‐</w:t>
      </w:r>
      <w:r w:rsidRPr="007007C9">
        <w:rPr>
          <w:rFonts w:cs="Times New Roman"/>
          <w:bCs/>
        </w:rPr>
        <w:t xml:space="preserve">elles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int</w:t>
      </w:r>
      <w:r w:rsidRPr="007007C9">
        <w:rPr>
          <w:rFonts w:cs="Century Gothic"/>
          <w:bCs/>
        </w:rPr>
        <w:t>é</w:t>
      </w:r>
      <w:r w:rsidRPr="007007C9">
        <w:rPr>
          <w:rFonts w:cs="Times New Roman"/>
          <w:bCs/>
        </w:rPr>
        <w:t>gr</w:t>
      </w:r>
      <w:r w:rsidRPr="007007C9">
        <w:rPr>
          <w:rFonts w:cs="Century Gothic"/>
          <w:bCs/>
        </w:rPr>
        <w:t>é</w:t>
      </w:r>
      <w:r w:rsidRPr="007007C9">
        <w:rPr>
          <w:rFonts w:cs="Times New Roman"/>
          <w:bCs/>
        </w:rPr>
        <w:t xml:space="preserve">es dans la conception et la mise en </w:t>
      </w:r>
      <w:r w:rsidRPr="007007C9">
        <w:rPr>
          <w:rFonts w:cs="Century Gothic"/>
          <w:bCs/>
        </w:rPr>
        <w:t>œ</w:t>
      </w:r>
      <w:r w:rsidRPr="007007C9">
        <w:rPr>
          <w:rFonts w:cs="Times New Roman"/>
          <w:bCs/>
        </w:rPr>
        <w:t>uvre du projet ?</w:t>
      </w:r>
    </w:p>
    <w:p w14:paraId="12DE365A" w14:textId="176772C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contraintes ou avantages pour l’implication des femmes et leur leadership dans la prévention et la gestion des conflits ? Quels efforts ont été déployés pour surmonter les difficultés ?</w:t>
      </w:r>
    </w:p>
    <w:p w14:paraId="71D7D4B0" w14:textId="3D839E93"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 participation et le leadership des femmes dans ce projet leur ont</w:t>
      </w:r>
      <w:r w:rsidRPr="007007C9">
        <w:rPr>
          <w:rFonts w:ascii="Cambria Math" w:hAnsi="Cambria Math" w:cs="Cambria Math"/>
          <w:bCs/>
        </w:rPr>
        <w:t>‐</w:t>
      </w:r>
      <w:r w:rsidRPr="007007C9">
        <w:rPr>
          <w:rFonts w:cs="Times New Roman"/>
          <w:bCs/>
        </w:rPr>
        <w:t>elles permis l</w:t>
      </w:r>
      <w:r w:rsidRPr="007007C9">
        <w:rPr>
          <w:rFonts w:cs="Century Gothic"/>
          <w:bCs/>
        </w:rPr>
        <w:t>’</w:t>
      </w:r>
      <w:r w:rsidRPr="007007C9">
        <w:rPr>
          <w:rFonts w:cs="Times New Roman"/>
          <w:bCs/>
        </w:rPr>
        <w:t>acquisition et/ou le renforcement de pouvoir d</w:t>
      </w:r>
      <w:r w:rsidRPr="007007C9">
        <w:rPr>
          <w:rFonts w:cs="Century Gothic"/>
          <w:bCs/>
        </w:rPr>
        <w:t>é</w:t>
      </w:r>
      <w:r w:rsidRPr="007007C9">
        <w:rPr>
          <w:rFonts w:cs="Times New Roman"/>
          <w:bCs/>
        </w:rPr>
        <w:t>cisionnel et d</w:t>
      </w:r>
      <w:r w:rsidRPr="007007C9">
        <w:rPr>
          <w:rFonts w:cs="Century Gothic"/>
          <w:bCs/>
        </w:rPr>
        <w:t>’</w:t>
      </w:r>
      <w:r w:rsidRPr="007007C9">
        <w:rPr>
          <w:rFonts w:cs="Times New Roman"/>
          <w:bCs/>
        </w:rPr>
        <w:t>auto</w:t>
      </w:r>
      <w:r w:rsidRPr="007007C9">
        <w:rPr>
          <w:rFonts w:ascii="Cambria Math" w:hAnsi="Cambria Math" w:cs="Cambria Math"/>
          <w:bCs/>
        </w:rPr>
        <w:t>‐</w:t>
      </w:r>
      <w:r w:rsidRPr="007007C9">
        <w:rPr>
          <w:rFonts w:cs="Times New Roman"/>
          <w:bCs/>
        </w:rPr>
        <w:t>promotion ?</w:t>
      </w:r>
    </w:p>
    <w:p w14:paraId="00075469" w14:textId="41F93A8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façon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 changement de perception ou de mentalit</w:t>
      </w:r>
      <w:r w:rsidRPr="007007C9">
        <w:rPr>
          <w:rFonts w:cs="Century Gothic"/>
          <w:bCs/>
        </w:rPr>
        <w:t>é</w:t>
      </w:r>
      <w:r w:rsidRPr="007007C9">
        <w:rPr>
          <w:rFonts w:cs="Times New Roman"/>
          <w:bCs/>
        </w:rPr>
        <w:t xml:space="preserve"> sur le r</w:t>
      </w:r>
      <w:r w:rsidRPr="007007C9">
        <w:rPr>
          <w:rFonts w:cs="Century Gothic"/>
          <w:bCs/>
        </w:rPr>
        <w:t>ô</w:t>
      </w:r>
      <w:r w:rsidRPr="007007C9">
        <w:rPr>
          <w:rFonts w:cs="Times New Roman"/>
          <w:bCs/>
        </w:rPr>
        <w:t>le des femmes dans la pr</w:t>
      </w:r>
      <w:r w:rsidRPr="007007C9">
        <w:rPr>
          <w:rFonts w:cs="Century Gothic"/>
          <w:bCs/>
        </w:rPr>
        <w:t>é</w:t>
      </w:r>
      <w:r w:rsidRPr="007007C9">
        <w:rPr>
          <w:rFonts w:cs="Times New Roman"/>
          <w:bCs/>
        </w:rPr>
        <w:t>vention et la gestion des conflits ?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une prise en compte de la perspective genre dans le processus de paix au Mali ?</w:t>
      </w:r>
    </w:p>
    <w:p w14:paraId="343DE5FC" w14:textId="67250D89" w:rsidR="00A149E7" w:rsidRDefault="00A149E7" w:rsidP="00FB2B45">
      <w:pPr>
        <w:pStyle w:val="Paragraphedeliste"/>
        <w:numPr>
          <w:ilvl w:val="0"/>
          <w:numId w:val="28"/>
        </w:numPr>
        <w:spacing w:line="276" w:lineRule="auto"/>
        <w:rPr>
          <w:rFonts w:cs="Times New Roman"/>
          <w:bCs/>
        </w:rPr>
      </w:pPr>
      <w:r w:rsidRPr="007007C9">
        <w:rPr>
          <w:rFonts w:cs="Times New Roman"/>
          <w:bCs/>
        </w:rPr>
        <w:t>Quelle a été la principale valeur ajoutée de ce projet dans un changement de qualité de vie des femmes et des femmes victimes ?</w:t>
      </w:r>
    </w:p>
    <w:p w14:paraId="13852148" w14:textId="77777777" w:rsidR="00264B66" w:rsidRPr="007007C9" w:rsidRDefault="00264B66" w:rsidP="007007C9">
      <w:pPr>
        <w:pStyle w:val="Paragraphedeliste"/>
        <w:spacing w:line="276" w:lineRule="auto"/>
        <w:ind w:left="500"/>
        <w:rPr>
          <w:rFonts w:cs="Times New Roman"/>
          <w:bCs/>
        </w:rPr>
      </w:pPr>
    </w:p>
    <w:p w14:paraId="45ACC3F9" w14:textId="7B26D703" w:rsidR="00A149E7" w:rsidRPr="00A149E7" w:rsidRDefault="00A149E7" w:rsidP="009F5BDE">
      <w:pPr>
        <w:shd w:val="clear" w:color="auto" w:fill="FFF2CC"/>
        <w:rPr>
          <w:rFonts w:ascii="Times New Roman" w:hAnsi="Times New Roman" w:cs="Times New Roman"/>
          <w:b/>
        </w:rPr>
      </w:pPr>
      <w:r w:rsidRPr="00A149E7">
        <w:rPr>
          <w:rFonts w:ascii="Times New Roman" w:hAnsi="Times New Roman" w:cs="Times New Roman"/>
          <w:b/>
        </w:rPr>
        <w:t xml:space="preserve"> </w:t>
      </w:r>
      <w:r w:rsidR="00264B66" w:rsidRPr="00264B66">
        <w:rPr>
          <w:rFonts w:cs="Times New Roman"/>
          <w:b/>
        </w:rPr>
        <w:t>lnclusion du handicap</w:t>
      </w:r>
      <w:r w:rsidR="00264B66" w:rsidRPr="00D623BF">
        <w:rPr>
          <w:rFonts w:cs="Times New Roman"/>
          <w:b/>
        </w:rPr>
        <w:tab/>
      </w:r>
    </w:p>
    <w:p w14:paraId="0F03577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Concernant l’inclusion du handicap, la stratégie des Nations Unies accorde une place importante à la prise en compte de questions portant sur le handicap dans les évaluations de projet afin d’avoir une appréciation plus complète de leur mise en œuvre. A cet effet, l’évaluation cherchera à répondre aux questions suivantes :</w:t>
      </w:r>
    </w:p>
    <w:p w14:paraId="170483D2" w14:textId="58BFA71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 xml:space="preserve">Les personnes handicapées, </w:t>
      </w:r>
      <w:r w:rsidR="00264B66" w:rsidRPr="00383B84">
        <w:rPr>
          <w:rFonts w:cs="Times New Roman"/>
          <w:bCs/>
        </w:rPr>
        <w:t>ont</w:t>
      </w:r>
      <w:r w:rsidR="00264B66" w:rsidRPr="00383B84">
        <w:rPr>
          <w:rFonts w:ascii="Cambria Math" w:hAnsi="Cambria Math" w:cs="Cambria Math"/>
          <w:bCs/>
        </w:rPr>
        <w:t>-elles</w:t>
      </w:r>
      <w:r w:rsidRPr="007007C9">
        <w:rPr>
          <w:rFonts w:cs="Times New Roman"/>
          <w:bCs/>
        </w:rPr>
        <w:t xml:space="preserve">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impliquées dans la conception et la mise en œuvre du projet ?</w:t>
      </w:r>
      <w:r w:rsidR="00383B84">
        <w:rPr>
          <w:rFonts w:cs="Times New Roman"/>
          <w:bCs/>
        </w:rPr>
        <w:t xml:space="preserve"> </w:t>
      </w:r>
      <w:r w:rsidRPr="007007C9">
        <w:rPr>
          <w:rFonts w:cs="Times New Roman"/>
          <w:bCs/>
        </w:rPr>
        <w:t>Y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des personnes handicap</w:t>
      </w:r>
      <w:r w:rsidRPr="007007C9">
        <w:rPr>
          <w:rFonts w:cs="Century Gothic"/>
          <w:bCs/>
        </w:rPr>
        <w:t>é</w:t>
      </w:r>
      <w:r w:rsidRPr="007007C9">
        <w:rPr>
          <w:rFonts w:cs="Times New Roman"/>
          <w:bCs/>
        </w:rPr>
        <w:t>es parmi les b</w:t>
      </w:r>
      <w:r w:rsidRPr="007007C9">
        <w:rPr>
          <w:rFonts w:cs="Century Gothic"/>
          <w:bCs/>
        </w:rPr>
        <w:t>é</w:t>
      </w:r>
      <w:r w:rsidRPr="007007C9">
        <w:rPr>
          <w:rFonts w:cs="Times New Roman"/>
          <w:bCs/>
        </w:rPr>
        <w:t>n</w:t>
      </w:r>
      <w:r w:rsidRPr="007007C9">
        <w:rPr>
          <w:rFonts w:cs="Century Gothic"/>
          <w:bCs/>
        </w:rPr>
        <w:t>é</w:t>
      </w:r>
      <w:r w:rsidRPr="007007C9">
        <w:rPr>
          <w:rFonts w:cs="Times New Roman"/>
          <w:bCs/>
        </w:rPr>
        <w:t>ficiaires du projet ?</w:t>
      </w:r>
    </w:p>
    <w:p w14:paraId="2341DB6B" w14:textId="4E86E06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barrières auxquelles les personnes handicapées ont dû faire face ?</w:t>
      </w:r>
    </w:p>
    <w:p w14:paraId="308B6054" w14:textId="5CB24D5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contribué à une prise en compte des priorités des personnes handicapées ?</w:t>
      </w:r>
    </w:p>
    <w:p w14:paraId="6DFB42CA" w14:textId="2DB258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autorités du Mali et du Niger ont intégré les besoins et intérêts des personnes handicapées dans les plans locaux de sécurité et de protection ?</w:t>
      </w:r>
    </w:p>
    <w:p w14:paraId="5B3E3C23" w14:textId="6749168D"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 a été la principale valeur ajoutée de ce projet dans un changement de qualité de vie des personnes handicapées ?</w:t>
      </w:r>
    </w:p>
    <w:p w14:paraId="7CEC108B" w14:textId="77777777" w:rsidR="00A149E7" w:rsidRPr="007007C9" w:rsidRDefault="00A149E7" w:rsidP="007007C9">
      <w:pPr>
        <w:spacing w:line="276" w:lineRule="auto"/>
        <w:rPr>
          <w:rFonts w:cs="Times New Roman"/>
          <w:bCs/>
        </w:rPr>
      </w:pPr>
      <w:r w:rsidRPr="007007C9">
        <w:rPr>
          <w:rFonts w:cs="Times New Roman"/>
          <w:bCs/>
        </w:rPr>
        <w:t>Afin d’apporter une contribution aux domaines prioritaires de la future programmation, l’équipe d’évaluation posera également des questions relatives aux leçons apprises :</w:t>
      </w:r>
    </w:p>
    <w:p w14:paraId="0743AA19" w14:textId="17AC032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principales leçons apprises du projet – qu’est</w:t>
      </w:r>
      <w:r w:rsidRPr="007007C9">
        <w:rPr>
          <w:rFonts w:ascii="Cambria Math" w:hAnsi="Cambria Math" w:cs="Cambria Math"/>
          <w:bCs/>
        </w:rPr>
        <w:t>‐</w:t>
      </w:r>
      <w:r w:rsidRPr="007007C9">
        <w:rPr>
          <w:rFonts w:cs="Times New Roman"/>
          <w:bCs/>
        </w:rPr>
        <w:t>ce qui a march</w:t>
      </w:r>
      <w:r w:rsidRPr="007007C9">
        <w:rPr>
          <w:rFonts w:cs="Century Gothic"/>
          <w:bCs/>
        </w:rPr>
        <w:t>é</w:t>
      </w:r>
      <w:r w:rsidRPr="007007C9">
        <w:rPr>
          <w:rFonts w:cs="Times New Roman"/>
          <w:bCs/>
        </w:rPr>
        <w:t>, qu’est</w:t>
      </w:r>
      <w:r w:rsidRPr="007007C9">
        <w:rPr>
          <w:rFonts w:ascii="Cambria Math" w:hAnsi="Cambria Math" w:cs="Cambria Math"/>
          <w:bCs/>
        </w:rPr>
        <w:t>‐</w:t>
      </w:r>
      <w:r w:rsidRPr="007007C9">
        <w:rPr>
          <w:rFonts w:cs="Times New Roman"/>
          <w:bCs/>
        </w:rPr>
        <w:t>ce qui n</w:t>
      </w:r>
      <w:r w:rsidRPr="007007C9">
        <w:rPr>
          <w:rFonts w:cs="Century Gothic"/>
          <w:bCs/>
        </w:rPr>
        <w:t>’</w:t>
      </w:r>
      <w:r w:rsidRPr="007007C9">
        <w:rPr>
          <w:rFonts w:cs="Times New Roman"/>
          <w:bCs/>
        </w:rPr>
        <w:t>a pas march</w:t>
      </w:r>
      <w:r w:rsidRPr="007007C9">
        <w:rPr>
          <w:rFonts w:cs="Century Gothic"/>
          <w:bCs/>
        </w:rPr>
        <w:t>é</w:t>
      </w:r>
      <w:r w:rsidRPr="007007C9">
        <w:rPr>
          <w:rFonts w:cs="Times New Roman"/>
          <w:bCs/>
        </w:rPr>
        <w:t xml:space="preserve"> et pourquoi ?</w:t>
      </w:r>
    </w:p>
    <w:p w14:paraId="49E12F76" w14:textId="5B88AF7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sont les principaux facteurs qui ont influencé l’atteinte ou la non</w:t>
      </w:r>
      <w:r w:rsidRPr="007007C9">
        <w:rPr>
          <w:rFonts w:ascii="Cambria Math" w:hAnsi="Cambria Math" w:cs="Cambria Math"/>
          <w:bCs/>
        </w:rPr>
        <w:t>‐</w:t>
      </w:r>
      <w:r w:rsidRPr="007007C9">
        <w:rPr>
          <w:rFonts w:cs="Times New Roman"/>
          <w:bCs/>
        </w:rPr>
        <w:t>atteinte des r</w:t>
      </w:r>
      <w:r w:rsidRPr="007007C9">
        <w:rPr>
          <w:rFonts w:cs="Century Gothic"/>
          <w:bCs/>
        </w:rPr>
        <w:t>é</w:t>
      </w:r>
      <w:r w:rsidRPr="007007C9">
        <w:rPr>
          <w:rFonts w:cs="Times New Roman"/>
          <w:bCs/>
        </w:rPr>
        <w:t>sultats escompt</w:t>
      </w:r>
      <w:r w:rsidRPr="007007C9">
        <w:rPr>
          <w:rFonts w:cs="Century Gothic"/>
          <w:bCs/>
        </w:rPr>
        <w:t>é</w:t>
      </w:r>
      <w:r w:rsidRPr="007007C9">
        <w:rPr>
          <w:rFonts w:cs="Times New Roman"/>
          <w:bCs/>
        </w:rPr>
        <w:t xml:space="preserve">s ? Quels sont les </w:t>
      </w:r>
      <w:r w:rsidRPr="007007C9">
        <w:rPr>
          <w:rFonts w:cs="Century Gothic"/>
          <w:bCs/>
        </w:rPr>
        <w:t>é</w:t>
      </w:r>
      <w:r w:rsidRPr="007007C9">
        <w:rPr>
          <w:rFonts w:cs="Times New Roman"/>
          <w:bCs/>
        </w:rPr>
        <w:t>l</w:t>
      </w:r>
      <w:r w:rsidRPr="007007C9">
        <w:rPr>
          <w:rFonts w:cs="Century Gothic"/>
          <w:bCs/>
        </w:rPr>
        <w:t>é</w:t>
      </w:r>
      <w:r w:rsidRPr="007007C9">
        <w:rPr>
          <w:rFonts w:cs="Times New Roman"/>
          <w:bCs/>
        </w:rPr>
        <w:t>ments de succ</w:t>
      </w:r>
      <w:r w:rsidRPr="007007C9">
        <w:rPr>
          <w:rFonts w:cs="Century Gothic"/>
          <w:bCs/>
        </w:rPr>
        <w:t>è</w:t>
      </w:r>
      <w:r w:rsidRPr="007007C9">
        <w:rPr>
          <w:rFonts w:cs="Times New Roman"/>
          <w:bCs/>
        </w:rPr>
        <w:t>s ou d</w:t>
      </w:r>
      <w:r w:rsidRPr="007007C9">
        <w:rPr>
          <w:rFonts w:cs="Century Gothic"/>
          <w:bCs/>
        </w:rPr>
        <w:t>’é</w:t>
      </w:r>
      <w:r w:rsidRPr="007007C9">
        <w:rPr>
          <w:rFonts w:cs="Times New Roman"/>
          <w:bCs/>
        </w:rPr>
        <w:t>chec ?</w:t>
      </w:r>
    </w:p>
    <w:p w14:paraId="5EE6AC6A"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Les questions proposées sont indicatives. L'évaluateur sélectionné pourra affiner ces interrogations en étroite consultation avec les principales parties prenantes pour que des réponses appropriées soient apportées à des questions</w:t>
      </w:r>
      <w:r w:rsidRPr="007007C9">
        <w:rPr>
          <w:rFonts w:ascii="Cambria Math" w:hAnsi="Cambria Math" w:cs="Cambria Math"/>
        </w:rPr>
        <w:t>‐</w:t>
      </w:r>
      <w:r w:rsidRPr="007007C9">
        <w:rPr>
          <w:rFonts w:ascii="Century Gothic" w:hAnsi="Century Gothic"/>
        </w:rPr>
        <w:t>cl</w:t>
      </w:r>
      <w:r w:rsidRPr="007007C9">
        <w:rPr>
          <w:rFonts w:ascii="Century Gothic" w:hAnsi="Century Gothic" w:cs="Century Gothic"/>
        </w:rPr>
        <w:t>é</w:t>
      </w:r>
      <w:r w:rsidRPr="007007C9">
        <w:rPr>
          <w:rFonts w:ascii="Century Gothic" w:hAnsi="Century Gothic"/>
        </w:rPr>
        <w:t>s en mati</w:t>
      </w:r>
      <w:r w:rsidRPr="007007C9">
        <w:rPr>
          <w:rFonts w:ascii="Century Gothic" w:hAnsi="Century Gothic" w:cs="Century Gothic"/>
        </w:rPr>
        <w:t>è</w:t>
      </w:r>
      <w:r w:rsidRPr="007007C9">
        <w:rPr>
          <w:rFonts w:ascii="Century Gothic" w:hAnsi="Century Gothic"/>
        </w:rPr>
        <w:t>re d</w:t>
      </w:r>
      <w:r w:rsidRPr="007007C9">
        <w:rPr>
          <w:rFonts w:ascii="Century Gothic" w:hAnsi="Century Gothic" w:cs="Century Gothic"/>
        </w:rPr>
        <w:t>’é</w:t>
      </w:r>
      <w:r w:rsidRPr="007007C9">
        <w:rPr>
          <w:rFonts w:ascii="Century Gothic" w:hAnsi="Century Gothic"/>
        </w:rPr>
        <w:t>valuation. Sur la base de ces consultations, l'</w:t>
      </w:r>
      <w:r w:rsidRPr="007007C9">
        <w:rPr>
          <w:rFonts w:ascii="Century Gothic" w:hAnsi="Century Gothic" w:cs="Century Gothic"/>
        </w:rPr>
        <w:t>é</w:t>
      </w:r>
      <w:r w:rsidRPr="007007C9">
        <w:rPr>
          <w:rFonts w:ascii="Century Gothic" w:hAnsi="Century Gothic"/>
        </w:rPr>
        <w:t>quipe d'</w:t>
      </w:r>
      <w:r w:rsidRPr="007007C9">
        <w:rPr>
          <w:rFonts w:ascii="Century Gothic" w:hAnsi="Century Gothic" w:cs="Century Gothic"/>
        </w:rPr>
        <w:t>é</w:t>
      </w:r>
      <w:r w:rsidRPr="007007C9">
        <w:rPr>
          <w:rFonts w:ascii="Century Gothic" w:hAnsi="Century Gothic"/>
        </w:rPr>
        <w:t>valuation élaborera une matrice d'évaluation qui comprendra les questions</w:t>
      </w:r>
      <w:r w:rsidRPr="007007C9">
        <w:rPr>
          <w:rFonts w:ascii="Cambria Math" w:hAnsi="Cambria Math" w:cs="Cambria Math"/>
        </w:rPr>
        <w:t>‐</w:t>
      </w:r>
      <w:r w:rsidRPr="007007C9">
        <w:rPr>
          <w:rFonts w:ascii="Century Gothic" w:hAnsi="Century Gothic"/>
        </w:rPr>
        <w:t>cl</w:t>
      </w:r>
      <w:r w:rsidRPr="007007C9">
        <w:rPr>
          <w:rFonts w:ascii="Century Gothic" w:hAnsi="Century Gothic" w:cs="Century Gothic"/>
        </w:rPr>
        <w:t>é</w:t>
      </w:r>
      <w:r w:rsidRPr="007007C9">
        <w:rPr>
          <w:rFonts w:ascii="Century Gothic" w:hAnsi="Century Gothic"/>
        </w:rPr>
        <w:t>s, les crit</w:t>
      </w:r>
      <w:r w:rsidRPr="007007C9">
        <w:rPr>
          <w:rFonts w:ascii="Century Gothic" w:hAnsi="Century Gothic" w:cs="Century Gothic"/>
        </w:rPr>
        <w:t>è</w:t>
      </w:r>
      <w:r w:rsidRPr="007007C9">
        <w:rPr>
          <w:rFonts w:ascii="Century Gothic" w:hAnsi="Century Gothic"/>
        </w:rPr>
        <w:t>res d'</w:t>
      </w:r>
      <w:r w:rsidRPr="007007C9">
        <w:rPr>
          <w:rFonts w:ascii="Century Gothic" w:hAnsi="Century Gothic" w:cs="Century Gothic"/>
        </w:rPr>
        <w:t>é</w:t>
      </w:r>
      <w:r w:rsidRPr="007007C9">
        <w:rPr>
          <w:rFonts w:ascii="Century Gothic" w:hAnsi="Century Gothic"/>
        </w:rPr>
        <w:t xml:space="preserve">valuation, les indicateurs, les sources d'information </w:t>
      </w:r>
      <w:r w:rsidRPr="007007C9">
        <w:rPr>
          <w:rFonts w:ascii="Century Gothic" w:hAnsi="Century Gothic" w:cs="Century Gothic"/>
        </w:rPr>
        <w:t>à</w:t>
      </w:r>
      <w:r w:rsidRPr="007007C9">
        <w:rPr>
          <w:rFonts w:ascii="Century Gothic" w:hAnsi="Century Gothic"/>
        </w:rPr>
        <w:t xml:space="preserve"> utiliser ainsi que les moyens de contre</w:t>
      </w:r>
      <w:r w:rsidRPr="007007C9">
        <w:rPr>
          <w:rFonts w:ascii="Cambria Math" w:hAnsi="Cambria Math" w:cs="Cambria Math"/>
        </w:rPr>
        <w:t>‐</w:t>
      </w:r>
      <w:r w:rsidRPr="007007C9">
        <w:rPr>
          <w:rFonts w:ascii="Century Gothic" w:hAnsi="Century Gothic"/>
        </w:rPr>
        <w:t>r</w:t>
      </w:r>
      <w:r w:rsidRPr="007007C9">
        <w:rPr>
          <w:rFonts w:ascii="Century Gothic" w:hAnsi="Century Gothic" w:cs="Century Gothic"/>
        </w:rPr>
        <w:t>é</w:t>
      </w:r>
      <w:r w:rsidRPr="007007C9">
        <w:rPr>
          <w:rFonts w:ascii="Century Gothic" w:hAnsi="Century Gothic"/>
        </w:rPr>
        <w:t>f</w:t>
      </w:r>
      <w:r w:rsidRPr="007007C9">
        <w:rPr>
          <w:rFonts w:ascii="Century Gothic" w:hAnsi="Century Gothic" w:cs="Century Gothic"/>
        </w:rPr>
        <w:t>é</w:t>
      </w:r>
      <w:r w:rsidRPr="007007C9">
        <w:rPr>
          <w:rFonts w:ascii="Century Gothic" w:hAnsi="Century Gothic"/>
        </w:rPr>
        <w:t>rence. Compte tenu des conclusions de l'</w:t>
      </w:r>
      <w:r w:rsidRPr="007007C9">
        <w:rPr>
          <w:rFonts w:ascii="Century Gothic" w:hAnsi="Century Gothic" w:cs="Century Gothic"/>
        </w:rPr>
        <w:t>é</w:t>
      </w:r>
      <w:r w:rsidRPr="007007C9">
        <w:rPr>
          <w:rFonts w:ascii="Century Gothic" w:hAnsi="Century Gothic"/>
        </w:rPr>
        <w:t>valuation dans les domaines susmentionnés, l'évaluation devrait fournir des recommandations spécifiques sur les domaines prioritaires à prendre en compte dans les actions futures concernant la participation des femmes et des jeunes dans la prévention et la gestion des conflits.</w:t>
      </w:r>
    </w:p>
    <w:p w14:paraId="52714396" w14:textId="77777777" w:rsidR="00A149E7" w:rsidRPr="00A149E7" w:rsidRDefault="00A149E7" w:rsidP="00A149E7">
      <w:pPr>
        <w:rPr>
          <w:rFonts w:ascii="Times New Roman" w:hAnsi="Times New Roman" w:cs="Times New Roman"/>
          <w:b/>
        </w:rPr>
      </w:pPr>
      <w:r w:rsidRPr="00A149E7">
        <w:rPr>
          <w:rFonts w:ascii="Times New Roman" w:hAnsi="Times New Roman" w:cs="Times New Roman"/>
          <w:b/>
        </w:rPr>
        <w:t xml:space="preserve"> </w:t>
      </w:r>
    </w:p>
    <w:p w14:paraId="727ADBC0" w14:textId="6585E048" w:rsidR="00A149E7" w:rsidRPr="007007C9" w:rsidRDefault="00A149E7"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Gestion de l’évaluation</w:t>
      </w:r>
    </w:p>
    <w:p w14:paraId="6E4D4FB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gestion et le groupe de référence sont les deux structures de gestion de cette évaluation. Le processus d'évaluation sera dirigé par le Groupe de gestion de l'Évaluation qui fournit l’orientation globale et les conseils relatifs à la conduite de l'évaluation. Le Gestionnaire des tâches de l'évaluation sera responsable de la supervision quotidienne de l'évaluation pour la production d’un rapport de bonne qualité et en vue de minimiser les risques éventuels, qui pourraient survenir au cours du processus d'évaluation.</w:t>
      </w:r>
    </w:p>
    <w:p w14:paraId="26F7AF71"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Cabinet chargé de la présente évaluation est responsable en toute indépendance de la réalisation de l’évaluation et de la qualité des rapports en reference aux critères d’examen de GERAAS. Il adresse les produits de l’évaluation directement au gestionnaire des tâches d'évaluation qui assure la bonne gestion de la qualité de chaque produit avec l’appui du Spécialiste Evaluation du bureau régional d’ONU Femmes.</w:t>
      </w:r>
    </w:p>
    <w:p w14:paraId="0712500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Les aspects logistiques de l'évaluation (espace de bureau, soutien administratif et de secrétariat, télécommunications, photocopies de la documentation, voyages, …) ainsi que la conception et la diffusion des outils de collecte de données seront sous la responsabilité de l’évaluateur.</w:t>
      </w:r>
    </w:p>
    <w:p w14:paraId="6495DFE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ONU Femmes Mali prendra en charge directement l’organisation des différentes rencontres envisagées au cours du processus d’évaluation (validation, vulgarisation …).</w:t>
      </w:r>
    </w:p>
    <w:p w14:paraId="64BCAC2A" w14:textId="77777777" w:rsidR="00A149E7" w:rsidRPr="007007C9" w:rsidRDefault="00A149E7" w:rsidP="007007C9">
      <w:pPr>
        <w:pStyle w:val="Corpsdetexte"/>
        <w:ind w:left="140" w:right="139" w:hanging="1"/>
        <w:rPr>
          <w:rFonts w:ascii="Century Gothic" w:hAnsi="Century Gothic"/>
          <w:b/>
          <w:bCs/>
        </w:rPr>
      </w:pPr>
      <w:r w:rsidRPr="007007C9">
        <w:rPr>
          <w:rFonts w:ascii="Century Gothic" w:hAnsi="Century Gothic"/>
          <w:b/>
          <w:bCs/>
        </w:rPr>
        <w:t>Le groupe de gestion de l’évaluation :</w:t>
      </w:r>
    </w:p>
    <w:p w14:paraId="3525A70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Il fonctionne Sous la direction de la Représentante adjointe d’ONU Femmes Mali (Deputy Country Representative). Il supervise la gestion de l’évaluation et prend les décisions clés afin de s’assurer de la qualité des différents résultats de l’évaluation. Il est composé des bureaux d’ONU Femmes et d’ONUDC (Mali, Niger), du Spécialiste régional Evaluation d’ONU Femmes, de l’équipe M&amp;E et des principaux responsables du projet (Mali, Niger).</w:t>
      </w:r>
    </w:p>
    <w:p w14:paraId="0085238B"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gestionnaire de l’évaluation assurera la gestion journalière du processus et entamera des consultations avec le groupe de gestion concernant les questions clés du projet. Les contributions des membres du groupe de gestion vont renforcer la qualité et la crédibilité de l’évaluation.</w:t>
      </w:r>
    </w:p>
    <w:p w14:paraId="0EB12BD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Plus précisément, les membres de l’équipe de gestion devront :</w:t>
      </w:r>
    </w:p>
    <w:p w14:paraId="3DECA91C" w14:textId="3609C5E9"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à toutes les réunions de l’équipe de gestion, réunions virtuelles dans le contexte COVID</w:t>
      </w:r>
      <w:r w:rsidRPr="007007C9">
        <w:rPr>
          <w:rFonts w:ascii="Cambria Math" w:hAnsi="Cambria Math" w:cs="Cambria Math"/>
        </w:rPr>
        <w:t>‐</w:t>
      </w:r>
      <w:r w:rsidRPr="007007C9">
        <w:rPr>
          <w:rFonts w:ascii="Century Gothic" w:hAnsi="Century Gothic"/>
        </w:rPr>
        <w:t>19</w:t>
      </w:r>
    </w:p>
    <w:p w14:paraId="3B2064C3" w14:textId="2F9A7FA5"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Approuver le cabinet de consultants choisi pour mener l</w:t>
      </w:r>
      <w:r w:rsidRPr="007007C9">
        <w:rPr>
          <w:rFonts w:ascii="Century Gothic" w:hAnsi="Century Gothic" w:cs="Century Gothic"/>
        </w:rPr>
        <w:t>’é</w:t>
      </w:r>
      <w:r w:rsidRPr="007007C9">
        <w:rPr>
          <w:rFonts w:ascii="Century Gothic" w:hAnsi="Century Gothic"/>
        </w:rPr>
        <w:t>valuation</w:t>
      </w:r>
    </w:p>
    <w:p w14:paraId="64C656DE" w14:textId="3BE7D18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toute r</w:t>
      </w:r>
      <w:r w:rsidRPr="007007C9">
        <w:rPr>
          <w:rFonts w:ascii="Century Gothic" w:hAnsi="Century Gothic" w:cs="Century Gothic"/>
        </w:rPr>
        <w:t>é</w:t>
      </w:r>
      <w:r w:rsidRPr="007007C9">
        <w:rPr>
          <w:rFonts w:ascii="Century Gothic" w:hAnsi="Century Gothic"/>
        </w:rPr>
        <w:t>union organis</w:t>
      </w:r>
      <w:r w:rsidRPr="007007C9">
        <w:rPr>
          <w:rFonts w:ascii="Century Gothic" w:hAnsi="Century Gothic" w:cs="Century Gothic"/>
        </w:rPr>
        <w:t>é</w:t>
      </w:r>
      <w:r w:rsidRPr="007007C9">
        <w:rPr>
          <w:rFonts w:ascii="Century Gothic" w:hAnsi="Century Gothic"/>
        </w:rPr>
        <w:t>e durant la phase de conception initiale de l</w:t>
      </w:r>
      <w:r w:rsidRPr="007007C9">
        <w:rPr>
          <w:rFonts w:ascii="Century Gothic" w:hAnsi="Century Gothic" w:cs="Century Gothic"/>
        </w:rPr>
        <w:t>’é</w:t>
      </w:r>
      <w:r w:rsidRPr="007007C9">
        <w:rPr>
          <w:rFonts w:ascii="Century Gothic" w:hAnsi="Century Gothic"/>
        </w:rPr>
        <w:t>valuation et garantir la qualit</w:t>
      </w:r>
      <w:r w:rsidRPr="007007C9">
        <w:rPr>
          <w:rFonts w:ascii="Century Gothic" w:hAnsi="Century Gothic" w:cs="Century Gothic"/>
        </w:rPr>
        <w:t>é</w:t>
      </w:r>
      <w:r w:rsidRPr="007007C9">
        <w:rPr>
          <w:rFonts w:ascii="Century Gothic" w:hAnsi="Century Gothic"/>
        </w:rPr>
        <w:t xml:space="preserve"> du rapport qui en découlera</w:t>
      </w:r>
    </w:p>
    <w:p w14:paraId="27FF6E2C" w14:textId="6345CF1C"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Faciliter l</w:t>
      </w:r>
      <w:r w:rsidRPr="007007C9">
        <w:rPr>
          <w:rFonts w:ascii="Century Gothic" w:hAnsi="Century Gothic" w:cs="Century Gothic"/>
        </w:rPr>
        <w:t>’</w:t>
      </w:r>
      <w:r w:rsidRPr="007007C9">
        <w:rPr>
          <w:rFonts w:ascii="Century Gothic" w:hAnsi="Century Gothic"/>
        </w:rPr>
        <w:t>acc</w:t>
      </w:r>
      <w:r w:rsidRPr="007007C9">
        <w:rPr>
          <w:rFonts w:ascii="Century Gothic" w:hAnsi="Century Gothic" w:cs="Century Gothic"/>
        </w:rPr>
        <w:t>è</w:t>
      </w:r>
      <w:r w:rsidRPr="007007C9">
        <w:rPr>
          <w:rFonts w:ascii="Century Gothic" w:hAnsi="Century Gothic"/>
        </w:rPr>
        <w:t xml:space="preserve">s </w:t>
      </w:r>
      <w:r w:rsidRPr="007007C9">
        <w:rPr>
          <w:rFonts w:ascii="Century Gothic" w:hAnsi="Century Gothic" w:cs="Century Gothic"/>
        </w:rPr>
        <w:t>à</w:t>
      </w:r>
      <w:r w:rsidRPr="007007C9">
        <w:rPr>
          <w:rFonts w:ascii="Century Gothic" w:hAnsi="Century Gothic"/>
        </w:rPr>
        <w:t xml:space="preserve"> l</w:t>
      </w:r>
      <w:r w:rsidRPr="007007C9">
        <w:rPr>
          <w:rFonts w:ascii="Century Gothic" w:hAnsi="Century Gothic" w:cs="Century Gothic"/>
        </w:rPr>
        <w:t>’</w:t>
      </w:r>
      <w:r w:rsidRPr="007007C9">
        <w:rPr>
          <w:rFonts w:ascii="Century Gothic" w:hAnsi="Century Gothic"/>
        </w:rPr>
        <w:t>information au b</w:t>
      </w:r>
      <w:r w:rsidRPr="007007C9">
        <w:rPr>
          <w:rFonts w:ascii="Century Gothic" w:hAnsi="Century Gothic" w:cs="Century Gothic"/>
        </w:rPr>
        <w:t>é</w:t>
      </w:r>
      <w:r w:rsidRPr="007007C9">
        <w:rPr>
          <w:rFonts w:ascii="Century Gothic" w:hAnsi="Century Gothic"/>
        </w:rPr>
        <w:t>n</w:t>
      </w:r>
      <w:r w:rsidRPr="007007C9">
        <w:rPr>
          <w:rFonts w:ascii="Century Gothic" w:hAnsi="Century Gothic" w:cs="Century Gothic"/>
        </w:rPr>
        <w:t>é</w:t>
      </w:r>
      <w:r w:rsidRPr="007007C9">
        <w:rPr>
          <w:rFonts w:ascii="Century Gothic" w:hAnsi="Century Gothic"/>
        </w:rPr>
        <w:t>fice de l</w:t>
      </w:r>
      <w:r w:rsidRPr="007007C9">
        <w:rPr>
          <w:rFonts w:ascii="Century Gothic" w:hAnsi="Century Gothic" w:cs="Century Gothic"/>
        </w:rPr>
        <w:t>’é</w:t>
      </w:r>
      <w:r w:rsidRPr="007007C9">
        <w:rPr>
          <w:rFonts w:ascii="Century Gothic" w:hAnsi="Century Gothic"/>
        </w:rPr>
        <w:t>quipe d</w:t>
      </w:r>
      <w:r w:rsidRPr="007007C9">
        <w:rPr>
          <w:rFonts w:ascii="Century Gothic" w:hAnsi="Century Gothic" w:cs="Century Gothic"/>
        </w:rPr>
        <w:t>’é</w:t>
      </w:r>
      <w:r w:rsidRPr="007007C9">
        <w:rPr>
          <w:rFonts w:ascii="Century Gothic" w:hAnsi="Century Gothic"/>
        </w:rPr>
        <w:t>valuation</w:t>
      </w:r>
    </w:p>
    <w:p w14:paraId="3FCCA1E5" w14:textId="65867DCD"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Examiner et assurer la qualit</w:t>
      </w:r>
      <w:r w:rsidRPr="007007C9">
        <w:rPr>
          <w:rFonts w:ascii="Century Gothic" w:hAnsi="Century Gothic" w:cs="Century Gothic"/>
        </w:rPr>
        <w:t>é</w:t>
      </w:r>
      <w:r w:rsidRPr="007007C9">
        <w:rPr>
          <w:rFonts w:ascii="Century Gothic" w:hAnsi="Century Gothic"/>
        </w:rPr>
        <w:t xml:space="preserve"> du pr</w:t>
      </w:r>
      <w:r w:rsidRPr="007007C9">
        <w:rPr>
          <w:rFonts w:ascii="Century Gothic" w:hAnsi="Century Gothic" w:cs="Century Gothic"/>
        </w:rPr>
        <w:t>é</w:t>
      </w:r>
      <w:r w:rsidRPr="007007C9">
        <w:rPr>
          <w:rFonts w:ascii="Cambria Math" w:hAnsi="Cambria Math" w:cs="Cambria Math"/>
        </w:rPr>
        <w:t>‐</w:t>
      </w:r>
      <w:r w:rsidRPr="007007C9">
        <w:rPr>
          <w:rFonts w:ascii="Century Gothic" w:hAnsi="Century Gothic"/>
        </w:rPr>
        <w:t>rapport d</w:t>
      </w:r>
      <w:r w:rsidRPr="007007C9">
        <w:rPr>
          <w:rFonts w:ascii="Century Gothic" w:hAnsi="Century Gothic" w:cs="Century Gothic"/>
        </w:rPr>
        <w:t>’é</w:t>
      </w:r>
      <w:r w:rsidRPr="007007C9">
        <w:rPr>
          <w:rFonts w:ascii="Century Gothic" w:hAnsi="Century Gothic"/>
        </w:rPr>
        <w:t>valuation</w:t>
      </w:r>
    </w:p>
    <w:p w14:paraId="286BA6D5" w14:textId="3998EE46"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Diffuser et promouvoir l</w:t>
      </w:r>
      <w:r w:rsidRPr="007007C9">
        <w:rPr>
          <w:rFonts w:ascii="Century Gothic" w:hAnsi="Century Gothic" w:cs="Century Gothic"/>
        </w:rPr>
        <w:t>’</w:t>
      </w:r>
      <w:r w:rsidRPr="007007C9">
        <w:rPr>
          <w:rFonts w:ascii="Century Gothic" w:hAnsi="Century Gothic"/>
        </w:rPr>
        <w:t>utilisation des conclusions et recommandations de l</w:t>
      </w:r>
      <w:r w:rsidRPr="007007C9">
        <w:rPr>
          <w:rFonts w:ascii="Century Gothic" w:hAnsi="Century Gothic" w:cs="Century Gothic"/>
        </w:rPr>
        <w:t>’é</w:t>
      </w:r>
      <w:r w:rsidRPr="007007C9">
        <w:rPr>
          <w:rFonts w:ascii="Century Gothic" w:hAnsi="Century Gothic"/>
        </w:rPr>
        <w:t>valuation.</w:t>
      </w:r>
    </w:p>
    <w:p w14:paraId="44EC0EA6" w14:textId="77777777" w:rsidR="00A149E7" w:rsidRPr="007007C9" w:rsidRDefault="00A149E7" w:rsidP="007007C9">
      <w:pPr>
        <w:pStyle w:val="Corpsdetexte"/>
        <w:ind w:left="140" w:right="139" w:hanging="1"/>
        <w:rPr>
          <w:rFonts w:ascii="Century Gothic" w:hAnsi="Century Gothic"/>
          <w:b/>
          <w:bCs/>
        </w:rPr>
      </w:pPr>
      <w:r w:rsidRPr="007007C9">
        <w:rPr>
          <w:rFonts w:ascii="Century Gothic" w:hAnsi="Century Gothic"/>
          <w:b/>
          <w:bCs/>
        </w:rPr>
        <w:t>Le groupe de référence de l’évaluation</w:t>
      </w:r>
    </w:p>
    <w:p w14:paraId="2EFAC4E8"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référence est partie intégrante de la structure de gestion de l’évaluation et il est mis en place dans le but de faciliter l’inclusion des parties prenantes dans la conception et la définition du champ de l’évaluation, la contribution sur les différents besoins en informations, la qualité du travail tout au long du processus et la diffusion des résultats de l’évaluation. Il sera composé des parties prenantes clés, acteurs du projet à évaluer : les gestionnaires du projet, les représentants des donateurs, les représentants du système des Nations Unies, les représentants d’organisations non gouvernementales, les représentants des structures étatiques partenaires, etc.</w:t>
      </w:r>
    </w:p>
    <w:p w14:paraId="6560C083" w14:textId="77777777" w:rsidR="00A149E7" w:rsidRPr="007007C9" w:rsidRDefault="00A149E7" w:rsidP="007007C9">
      <w:pPr>
        <w:pStyle w:val="Corpsdetexte"/>
        <w:spacing w:before="0" w:after="0"/>
        <w:ind w:left="140" w:right="139" w:hanging="1"/>
        <w:rPr>
          <w:rFonts w:ascii="Century Gothic" w:hAnsi="Century Gothic"/>
        </w:rPr>
      </w:pPr>
      <w:r w:rsidRPr="007007C9">
        <w:rPr>
          <w:rFonts w:ascii="Century Gothic" w:hAnsi="Century Gothic"/>
        </w:rPr>
        <w:t>Les membres du groupe de référence devront :</w:t>
      </w:r>
    </w:p>
    <w:p w14:paraId="4BC63F53" w14:textId="39A1935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Agir en tant que source de connaissances pour l’évaluation</w:t>
      </w:r>
    </w:p>
    <w:p w14:paraId="0F7835E9" w14:textId="61CB5777"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Agir comme informateurs durant le processus d</w:t>
      </w:r>
      <w:r w:rsidRPr="007007C9">
        <w:rPr>
          <w:rFonts w:ascii="Century Gothic" w:hAnsi="Century Gothic" w:cs="Century Gothic"/>
        </w:rPr>
        <w:t>’é</w:t>
      </w:r>
      <w:r w:rsidRPr="007007C9">
        <w:rPr>
          <w:rFonts w:ascii="Century Gothic" w:hAnsi="Century Gothic"/>
        </w:rPr>
        <w:t>valuation</w:t>
      </w:r>
    </w:p>
    <w:p w14:paraId="11B8EE8F" w14:textId="55E0316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la collecte d</w:t>
      </w:r>
      <w:r w:rsidRPr="007007C9">
        <w:rPr>
          <w:rFonts w:ascii="Century Gothic" w:hAnsi="Century Gothic" w:cs="Century Gothic"/>
        </w:rPr>
        <w:t>’</w:t>
      </w:r>
      <w:r w:rsidRPr="007007C9">
        <w:rPr>
          <w:rFonts w:ascii="Century Gothic" w:hAnsi="Century Gothic"/>
        </w:rPr>
        <w:t>informations et de documents pertinents</w:t>
      </w:r>
    </w:p>
    <w:p w14:paraId="7EA49F4A" w14:textId="14642E9A"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Aider </w:t>
      </w:r>
      <w:r w:rsidRPr="007007C9">
        <w:rPr>
          <w:rFonts w:ascii="Century Gothic" w:hAnsi="Century Gothic" w:cs="Century Gothic"/>
        </w:rPr>
        <w:t>à</w:t>
      </w:r>
      <w:r w:rsidRPr="007007C9">
        <w:rPr>
          <w:rFonts w:ascii="Century Gothic" w:hAnsi="Century Gothic"/>
        </w:rPr>
        <w:t xml:space="preserve"> identifier les parties prenantes externes </w:t>
      </w:r>
      <w:r w:rsidRPr="007007C9">
        <w:rPr>
          <w:rFonts w:ascii="Century Gothic" w:hAnsi="Century Gothic" w:cs="Century Gothic"/>
        </w:rPr>
        <w:t>à</w:t>
      </w:r>
      <w:r w:rsidRPr="007007C9">
        <w:rPr>
          <w:rFonts w:ascii="Century Gothic" w:hAnsi="Century Gothic"/>
        </w:rPr>
        <w:t xml:space="preserve"> consulter au cours du processus</w:t>
      </w:r>
    </w:p>
    <w:p w14:paraId="0C7FD4B2" w14:textId="106CD39C"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Jouer un r</w:t>
      </w:r>
      <w:r w:rsidRPr="007007C9">
        <w:rPr>
          <w:rFonts w:ascii="Century Gothic" w:hAnsi="Century Gothic" w:cs="Century Gothic"/>
        </w:rPr>
        <w:t>ô</w:t>
      </w:r>
      <w:r w:rsidRPr="007007C9">
        <w:rPr>
          <w:rFonts w:ascii="Century Gothic" w:hAnsi="Century Gothic"/>
        </w:rPr>
        <w:t>le pr</w:t>
      </w:r>
      <w:r w:rsidRPr="007007C9">
        <w:rPr>
          <w:rFonts w:ascii="Century Gothic" w:hAnsi="Century Gothic" w:cs="Century Gothic"/>
        </w:rPr>
        <w:t>é</w:t>
      </w:r>
      <w:r w:rsidRPr="007007C9">
        <w:rPr>
          <w:rFonts w:ascii="Century Gothic" w:hAnsi="Century Gothic"/>
        </w:rPr>
        <w:t>pond</w:t>
      </w:r>
      <w:r w:rsidRPr="007007C9">
        <w:rPr>
          <w:rFonts w:ascii="Century Gothic" w:hAnsi="Century Gothic" w:cs="Century Gothic"/>
        </w:rPr>
        <w:t>é</w:t>
      </w:r>
      <w:r w:rsidRPr="007007C9">
        <w:rPr>
          <w:rFonts w:ascii="Century Gothic" w:hAnsi="Century Gothic"/>
        </w:rPr>
        <w:t>rant dans la diffusion des r</w:t>
      </w:r>
      <w:r w:rsidRPr="007007C9">
        <w:rPr>
          <w:rFonts w:ascii="Century Gothic" w:hAnsi="Century Gothic" w:cs="Century Gothic"/>
        </w:rPr>
        <w:t>é</w:t>
      </w:r>
      <w:r w:rsidRPr="007007C9">
        <w:rPr>
          <w:rFonts w:ascii="Century Gothic" w:hAnsi="Century Gothic"/>
        </w:rPr>
        <w:t>sultats de l</w:t>
      </w:r>
      <w:r w:rsidRPr="007007C9">
        <w:rPr>
          <w:rFonts w:ascii="Century Gothic" w:hAnsi="Century Gothic" w:cs="Century Gothic"/>
        </w:rPr>
        <w:t>’é</w:t>
      </w:r>
      <w:r w:rsidRPr="007007C9">
        <w:rPr>
          <w:rFonts w:ascii="Century Gothic" w:hAnsi="Century Gothic"/>
        </w:rPr>
        <w:t xml:space="preserve">valuation et dans la mise en </w:t>
      </w:r>
      <w:r w:rsidRPr="007007C9">
        <w:rPr>
          <w:rFonts w:ascii="Century Gothic" w:hAnsi="Century Gothic" w:cs="Century Gothic"/>
        </w:rPr>
        <w:t>œ</w:t>
      </w:r>
      <w:r w:rsidRPr="007007C9">
        <w:rPr>
          <w:rFonts w:ascii="Century Gothic" w:hAnsi="Century Gothic"/>
        </w:rPr>
        <w:t>uvre de la réponse managériale</w:t>
      </w:r>
    </w:p>
    <w:p w14:paraId="1F0F590E" w14:textId="7CA08F80"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aux r</w:t>
      </w:r>
      <w:r w:rsidRPr="007007C9">
        <w:rPr>
          <w:rFonts w:ascii="Century Gothic" w:hAnsi="Century Gothic" w:cs="Century Gothic"/>
        </w:rPr>
        <w:t>é</w:t>
      </w:r>
      <w:r w:rsidRPr="007007C9">
        <w:rPr>
          <w:rFonts w:ascii="Century Gothic" w:hAnsi="Century Gothic"/>
        </w:rPr>
        <w:t>unions du groupe de r</w:t>
      </w:r>
      <w:r w:rsidRPr="007007C9">
        <w:rPr>
          <w:rFonts w:ascii="Century Gothic" w:hAnsi="Century Gothic" w:cs="Century Gothic"/>
        </w:rPr>
        <w:t>é</w:t>
      </w:r>
      <w:r w:rsidRPr="007007C9">
        <w:rPr>
          <w:rFonts w:ascii="Century Gothic" w:hAnsi="Century Gothic"/>
        </w:rPr>
        <w:t>f</w:t>
      </w:r>
      <w:r w:rsidRPr="007007C9">
        <w:rPr>
          <w:rFonts w:ascii="Century Gothic" w:hAnsi="Century Gothic" w:cs="Century Gothic"/>
        </w:rPr>
        <w:t>é</w:t>
      </w:r>
      <w:r w:rsidRPr="007007C9">
        <w:rPr>
          <w:rFonts w:ascii="Century Gothic" w:hAnsi="Century Gothic"/>
        </w:rPr>
        <w:t>rence</w:t>
      </w:r>
    </w:p>
    <w:p w14:paraId="2AD81DE4" w14:textId="4E89C801"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Fournir des apports significatifs et garantir la qualit</w:t>
      </w:r>
      <w:r w:rsidRPr="007007C9">
        <w:rPr>
          <w:rFonts w:ascii="Century Gothic" w:hAnsi="Century Gothic" w:cs="Century Gothic"/>
        </w:rPr>
        <w:t>é</w:t>
      </w:r>
      <w:r w:rsidRPr="007007C9">
        <w:rPr>
          <w:rFonts w:ascii="Century Gothic" w:hAnsi="Century Gothic"/>
        </w:rPr>
        <w:t xml:space="preserve"> des principaux produits d</w:t>
      </w:r>
      <w:r w:rsidRPr="007007C9">
        <w:rPr>
          <w:rFonts w:ascii="Century Gothic" w:hAnsi="Century Gothic" w:cs="Century Gothic"/>
        </w:rPr>
        <w:t>’é</w:t>
      </w:r>
      <w:r w:rsidRPr="007007C9">
        <w:rPr>
          <w:rFonts w:ascii="Century Gothic" w:hAnsi="Century Gothic"/>
        </w:rPr>
        <w:t>valuation (TdR, rapport de conception initiale et rapport d</w:t>
      </w:r>
      <w:r w:rsidRPr="007007C9">
        <w:rPr>
          <w:rFonts w:ascii="Century Gothic" w:hAnsi="Century Gothic" w:cs="Century Gothic"/>
        </w:rPr>
        <w:t>’é</w:t>
      </w:r>
      <w:r w:rsidRPr="007007C9">
        <w:rPr>
          <w:rFonts w:ascii="Century Gothic" w:hAnsi="Century Gothic"/>
        </w:rPr>
        <w:t>valuation provisoire)</w:t>
      </w:r>
    </w:p>
    <w:p w14:paraId="3FFF8952" w14:textId="7AA32207"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à la réunion de validation du rapport d’évaluation final</w:t>
      </w:r>
    </w:p>
    <w:p w14:paraId="4943F24B" w14:textId="1EFECAC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des activit</w:t>
      </w:r>
      <w:r w:rsidRPr="007007C9">
        <w:rPr>
          <w:rFonts w:ascii="Century Gothic" w:hAnsi="Century Gothic" w:cs="Century Gothic"/>
        </w:rPr>
        <w:t>é</w:t>
      </w:r>
      <w:r w:rsidRPr="007007C9">
        <w:rPr>
          <w:rFonts w:ascii="Century Gothic" w:hAnsi="Century Gothic"/>
        </w:rPr>
        <w:t>s d</w:t>
      </w:r>
      <w:r w:rsidRPr="007007C9">
        <w:rPr>
          <w:rFonts w:ascii="Century Gothic" w:hAnsi="Century Gothic" w:cs="Century Gothic"/>
        </w:rPr>
        <w:t>’</w:t>
      </w:r>
      <w:r w:rsidRPr="007007C9">
        <w:rPr>
          <w:rFonts w:ascii="Century Gothic" w:hAnsi="Century Gothic"/>
        </w:rPr>
        <w:t>apprentissage li</w:t>
      </w:r>
      <w:r w:rsidRPr="007007C9">
        <w:rPr>
          <w:rFonts w:ascii="Century Gothic" w:hAnsi="Century Gothic" w:cs="Century Gothic"/>
        </w:rPr>
        <w:t>é</w:t>
      </w:r>
      <w:r w:rsidRPr="007007C9">
        <w:rPr>
          <w:rFonts w:ascii="Century Gothic" w:hAnsi="Century Gothic"/>
        </w:rPr>
        <w:t>es au rapport d</w:t>
      </w:r>
      <w:r w:rsidRPr="007007C9">
        <w:rPr>
          <w:rFonts w:ascii="Century Gothic" w:hAnsi="Century Gothic" w:cs="Century Gothic"/>
        </w:rPr>
        <w:t>’é</w:t>
      </w:r>
      <w:r w:rsidRPr="007007C9">
        <w:rPr>
          <w:rFonts w:ascii="Century Gothic" w:hAnsi="Century Gothic"/>
        </w:rPr>
        <w:t>valuation</w:t>
      </w:r>
    </w:p>
    <w:p w14:paraId="4EB3097A"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Référence consultatif examinera le projet de rapport d'évaluation et fournira des commentaires substantiels pour assurer la qualité et l'intégralité du rapport et participera à la réunion de validation du rapport d'évaluation final.</w:t>
      </w:r>
    </w:p>
    <w:p w14:paraId="457F6C2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Dans les six semaines qui suivent l'achèvement de l'évaluation, ONU Femmes Mali a la responsabilité de préparer une réponse de la direction qui aborde les résultats et les recommandations afin d'assurer l'apprentissage futur et d'informer la mise en œuvre des projets pertinents.</w:t>
      </w:r>
    </w:p>
    <w:p w14:paraId="5B396C20" w14:textId="77777777" w:rsidR="00383B84" w:rsidRDefault="00383B84" w:rsidP="00A149E7">
      <w:pPr>
        <w:rPr>
          <w:rFonts w:ascii="Times New Roman" w:hAnsi="Times New Roman" w:cs="Times New Roman"/>
          <w:b/>
        </w:rPr>
      </w:pPr>
    </w:p>
    <w:p w14:paraId="170A87BE" w14:textId="5A36FEA0" w:rsidR="00A149E7" w:rsidRPr="007007C9" w:rsidRDefault="00A149E7"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ab/>
        <w:t>Livrables</w:t>
      </w:r>
    </w:p>
    <w:p w14:paraId="73D0B598" w14:textId="3B2570CF"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rapport d’évaluation devra être conforme aux critères GERAAS en termes de structure et de contenu ainsi qu’aux standards de qualité d’évaluation sensible au genre. La liste de contrôle de qualité du rapport</w:t>
      </w:r>
      <w:r w:rsidR="00264B66">
        <w:rPr>
          <w:rFonts w:ascii="Century Gothic" w:hAnsi="Century Gothic"/>
        </w:rPr>
        <w:t xml:space="preserve"> </w:t>
      </w:r>
      <w:r w:rsidRPr="007007C9">
        <w:rPr>
          <w:rFonts w:ascii="Century Gothic" w:hAnsi="Century Gothic"/>
        </w:rPr>
        <w:t>d’évaluation du GERAAS servira de référence pour s’assurer de la conformité et garantir la qualité des livrables attendus.</w:t>
      </w:r>
    </w:p>
    <w:p w14:paraId="28D38C9E" w14:textId="0F94D775"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de conception initial</w:t>
      </w:r>
    </w:p>
    <w:p w14:paraId="56C661BD"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L'évaluateur proposera une méthodologie avec une matrice de l’évaluation et des instruments de collecte de données et un plan d'évaluation dans le cadre du rapport de conception initial. Ce dernier précisera la part qui revient à la revue documentaire, à l’observation, aux entrevues et discussions de groupe, sans oublier la participation des parties prenantes concernées. Un plan de travail et un calendrier de mise en œuvre seront également inclus dans le rapport. Le rapport de conception initial sera examiné et approuvé par le groupe de gestion et le groupe de référence de l’évaluation. Chaque groupe dispose de cinq jours ouvrables pour formulers et transmettre ces commentaires qui devront être pris en compte par l’évaluateur de façon satisfaisante avant la validation du document.</w:t>
      </w:r>
    </w:p>
    <w:p w14:paraId="13A06F6C" w14:textId="2EC33E3F" w:rsidR="00A149E7" w:rsidRPr="00A149E7" w:rsidRDefault="00A149E7" w:rsidP="00FB2B45">
      <w:pPr>
        <w:pStyle w:val="Corpsdetexte"/>
        <w:numPr>
          <w:ilvl w:val="0"/>
          <w:numId w:val="31"/>
        </w:numPr>
        <w:ind w:right="139"/>
        <w:rPr>
          <w:rFonts w:ascii="Times New Roman" w:hAnsi="Times New Roman"/>
          <w:b/>
        </w:rPr>
      </w:pPr>
      <w:r w:rsidRPr="007007C9">
        <w:rPr>
          <w:rFonts w:ascii="Century Gothic" w:hAnsi="Century Gothic"/>
          <w:b/>
          <w:bCs/>
        </w:rPr>
        <w:t>Présentation des conclusions préliminaires et le pré</w:t>
      </w:r>
      <w:r w:rsidRPr="007007C9">
        <w:rPr>
          <w:rFonts w:ascii="Cambria Math" w:hAnsi="Cambria Math" w:cs="Cambria Math"/>
          <w:b/>
          <w:bCs/>
        </w:rPr>
        <w:t>‐</w:t>
      </w:r>
      <w:r w:rsidRPr="007007C9">
        <w:rPr>
          <w:rFonts w:ascii="Century Gothic" w:hAnsi="Century Gothic"/>
          <w:b/>
          <w:bCs/>
        </w:rPr>
        <w:t>rapport</w:t>
      </w:r>
    </w:p>
    <w:p w14:paraId="0CDF3AF5"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L'évaluateur animera une séance de présentation des résultats préliminaires, à la suite de la phase de collecte et d’analyse préliminaire de données. Ainsi, les constatations et tendances générales feront l’objet d’examen et d’échanges avec les membres du groupe de référence. Cette séance permet à ce stade de gagner en informations, commentaires et orientations avant d’approfondir et finaliser l’analyse de données et entamer la rédaction du rapport d’évaluation.</w:t>
      </w:r>
    </w:p>
    <w:p w14:paraId="6AE58FBC" w14:textId="263808E0"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provisoire</w:t>
      </w:r>
    </w:p>
    <w:p w14:paraId="25630BD7" w14:textId="67CCBF48" w:rsidR="00A149E7" w:rsidRPr="00A149E7" w:rsidRDefault="00A149E7" w:rsidP="007007C9">
      <w:pPr>
        <w:pStyle w:val="Corpsdetexte"/>
        <w:ind w:left="140" w:right="139" w:hanging="1"/>
        <w:rPr>
          <w:rFonts w:ascii="Times New Roman" w:hAnsi="Times New Roman"/>
          <w:b/>
        </w:rPr>
      </w:pPr>
      <w:r w:rsidRPr="007007C9">
        <w:rPr>
          <w:rFonts w:ascii="Century Gothic" w:hAnsi="Century Gothic"/>
        </w:rPr>
        <w:t>Il s’agit de la production et la mise à disposition de la première mouture de rapport complet d'évaluation, comprenant des constats, conclusions et recommandations énumérées selon un ordre de priorités et un lien logique, tout en faisant référence à la méthodologie, à la démarche de collecte et d’analyse de données. Ce rapport sera soumis pour examen et commentaires au groupe de gestion de l’évaluation qui dispose à cet effet de 5 jours ouvrables. Ces commentaires devront être pris en compte de façon satisfaisante par l’évaluateur avant la soumission du rapport au groupe de reference. Les contributions de Celui</w:t>
      </w:r>
      <w:r w:rsidRPr="007007C9">
        <w:rPr>
          <w:rFonts w:ascii="Cambria Math" w:hAnsi="Cambria Math" w:cs="Cambria Math"/>
        </w:rPr>
        <w:t>‐</w:t>
      </w:r>
      <w:r w:rsidRPr="007007C9">
        <w:rPr>
          <w:rFonts w:ascii="Century Gothic" w:hAnsi="Century Gothic"/>
        </w:rPr>
        <w:t>ci sont pris en compte dans les mêmes conditions que celle décrites ci</w:t>
      </w:r>
      <w:r w:rsidRPr="007007C9">
        <w:rPr>
          <w:rFonts w:ascii="Cambria Math" w:hAnsi="Cambria Math" w:cs="Cambria Math"/>
        </w:rPr>
        <w:t>‐</w:t>
      </w:r>
      <w:r w:rsidRPr="007007C9">
        <w:rPr>
          <w:rFonts w:ascii="Century Gothic" w:hAnsi="Century Gothic"/>
        </w:rPr>
        <w:t>dessus pour le groupe de</w:t>
      </w:r>
      <w:r w:rsidR="00264B66">
        <w:rPr>
          <w:rFonts w:ascii="Century Gothic" w:hAnsi="Century Gothic"/>
        </w:rPr>
        <w:t xml:space="preserve"> </w:t>
      </w:r>
      <w:r w:rsidRPr="007007C9">
        <w:rPr>
          <w:rFonts w:ascii="Century Gothic" w:hAnsi="Century Gothic"/>
        </w:rPr>
        <w:t>gestion. Les commentaires d’amélioration sont faits au regard du contenu attendu et des critères de qualité.</w:t>
      </w:r>
    </w:p>
    <w:p w14:paraId="63CA0208" w14:textId="6BB6DD47"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final d’évaluation</w:t>
      </w:r>
    </w:p>
    <w:p w14:paraId="57BCDF52" w14:textId="77777777" w:rsidR="00A149E7" w:rsidRPr="007007C9" w:rsidRDefault="00A149E7" w:rsidP="007007C9">
      <w:pPr>
        <w:pStyle w:val="Corpsdetexte"/>
        <w:spacing w:before="0" w:after="0"/>
        <w:ind w:left="140" w:right="139" w:hanging="1"/>
        <w:rPr>
          <w:rFonts w:ascii="Century Gothic" w:hAnsi="Century Gothic"/>
        </w:rPr>
      </w:pPr>
      <w:r w:rsidRPr="007007C9">
        <w:rPr>
          <w:rFonts w:ascii="Century Gothic" w:hAnsi="Century Gothic"/>
        </w:rPr>
        <w:t>Le Rapport final d'évaluation, rédigé en langue française, sera considéré comme tel lorsqu’il aura pris en compte tous les commentaires reçus du Groupe de gestion et du groupe de Référence. Il devra être conforme à la structure de rapport final de ONU Femmes et accompagné par les annexes tels que :</w:t>
      </w:r>
    </w:p>
    <w:p w14:paraId="03D034A5" w14:textId="7D524D30"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Les termes de référence de l’évaluation ;</w:t>
      </w:r>
    </w:p>
    <w:p w14:paraId="658047F9" w14:textId="4FEE4A4F"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Les outils de collecte des donn</w:t>
      </w:r>
      <w:r w:rsidRPr="007007C9">
        <w:rPr>
          <w:rFonts w:ascii="Century Gothic" w:hAnsi="Century Gothic" w:cs="Century Gothic"/>
        </w:rPr>
        <w:t>é</w:t>
      </w:r>
      <w:r w:rsidRPr="007007C9">
        <w:rPr>
          <w:rFonts w:ascii="Century Gothic" w:hAnsi="Century Gothic"/>
        </w:rPr>
        <w:t>es (guides d</w:t>
      </w:r>
      <w:r w:rsidRPr="007007C9">
        <w:rPr>
          <w:rFonts w:ascii="Century Gothic" w:hAnsi="Century Gothic" w:cs="Century Gothic"/>
        </w:rPr>
        <w:t>’</w:t>
      </w:r>
      <w:r w:rsidRPr="007007C9">
        <w:rPr>
          <w:rFonts w:ascii="Century Gothic" w:hAnsi="Century Gothic"/>
        </w:rPr>
        <w:t>entretien, questionnaires) ;</w:t>
      </w:r>
    </w:p>
    <w:p w14:paraId="055617D8" w14:textId="05ADDEDF"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liste de r</w:t>
      </w:r>
      <w:r w:rsidRPr="007007C9">
        <w:rPr>
          <w:rFonts w:ascii="Century Gothic" w:hAnsi="Century Gothic" w:cs="Century Gothic"/>
        </w:rPr>
        <w:t>é</w:t>
      </w:r>
      <w:r w:rsidRPr="007007C9">
        <w:rPr>
          <w:rFonts w:ascii="Century Gothic" w:hAnsi="Century Gothic"/>
        </w:rPr>
        <w:t>unions/consultations auxquelles le cabinet a assist</w:t>
      </w:r>
      <w:r w:rsidRPr="007007C9">
        <w:rPr>
          <w:rFonts w:ascii="Century Gothic" w:hAnsi="Century Gothic" w:cs="Century Gothic"/>
        </w:rPr>
        <w:t>é</w:t>
      </w:r>
      <w:r w:rsidRPr="007007C9">
        <w:rPr>
          <w:rFonts w:ascii="Century Gothic" w:hAnsi="Century Gothic"/>
        </w:rPr>
        <w:t xml:space="preserve"> ;</w:t>
      </w:r>
    </w:p>
    <w:p w14:paraId="52DD5AA9" w14:textId="499AEB9D"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liste de personnes ou organisations avec lesquelles le cabinet s</w:t>
      </w:r>
      <w:r w:rsidRPr="007007C9">
        <w:rPr>
          <w:rFonts w:ascii="Century Gothic" w:hAnsi="Century Gothic" w:cs="Century Gothic"/>
        </w:rPr>
        <w:t>’</w:t>
      </w:r>
      <w:r w:rsidRPr="007007C9">
        <w:rPr>
          <w:rFonts w:ascii="Century Gothic" w:hAnsi="Century Gothic"/>
        </w:rPr>
        <w:t>est entretenu ;</w:t>
      </w:r>
    </w:p>
    <w:p w14:paraId="10EBF125" w14:textId="5DACBBB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bibliographie des sources d</w:t>
      </w:r>
      <w:r w:rsidRPr="007007C9">
        <w:rPr>
          <w:rFonts w:ascii="Century Gothic" w:hAnsi="Century Gothic" w:cs="Century Gothic"/>
        </w:rPr>
        <w:t>’</w:t>
      </w:r>
      <w:r w:rsidRPr="007007C9">
        <w:rPr>
          <w:rFonts w:ascii="Century Gothic" w:hAnsi="Century Gothic"/>
        </w:rPr>
        <w:t>informations utilis</w:t>
      </w:r>
      <w:r w:rsidRPr="007007C9">
        <w:rPr>
          <w:rFonts w:ascii="Century Gothic" w:hAnsi="Century Gothic" w:cs="Century Gothic"/>
        </w:rPr>
        <w:t>é</w:t>
      </w:r>
      <w:r w:rsidRPr="007007C9">
        <w:rPr>
          <w:rFonts w:ascii="Century Gothic" w:hAnsi="Century Gothic"/>
        </w:rPr>
        <w:t>es ;</w:t>
      </w:r>
    </w:p>
    <w:p w14:paraId="468ED38F" w14:textId="76120B3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Toute autre information que l</w:t>
      </w:r>
      <w:r w:rsidRPr="007007C9">
        <w:rPr>
          <w:rFonts w:ascii="Century Gothic" w:hAnsi="Century Gothic" w:cs="Century Gothic"/>
        </w:rPr>
        <w:t>’é</w:t>
      </w:r>
      <w:r w:rsidRPr="007007C9">
        <w:rPr>
          <w:rFonts w:ascii="Century Gothic" w:hAnsi="Century Gothic"/>
        </w:rPr>
        <w:t xml:space="preserve">quipe de consultants jugera utile pourra aussi </w:t>
      </w:r>
      <w:r w:rsidRPr="007007C9">
        <w:rPr>
          <w:rFonts w:ascii="Century Gothic" w:hAnsi="Century Gothic" w:cs="Century Gothic"/>
        </w:rPr>
        <w:t>ê</w:t>
      </w:r>
      <w:r w:rsidRPr="007007C9">
        <w:rPr>
          <w:rFonts w:ascii="Century Gothic" w:hAnsi="Century Gothic"/>
        </w:rPr>
        <w:t>tre ajout</w:t>
      </w:r>
      <w:r w:rsidRPr="007007C9">
        <w:rPr>
          <w:rFonts w:ascii="Century Gothic" w:hAnsi="Century Gothic" w:cs="Century Gothic"/>
        </w:rPr>
        <w:t>é</w:t>
      </w:r>
      <w:r w:rsidRPr="007007C9">
        <w:rPr>
          <w:rFonts w:ascii="Century Gothic" w:hAnsi="Century Gothic"/>
        </w:rPr>
        <w:t>e.</w:t>
      </w:r>
    </w:p>
    <w:p w14:paraId="7056FAD9" w14:textId="20781DA7"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Atelier de dissémination du rapport</w:t>
      </w:r>
    </w:p>
    <w:p w14:paraId="53E2583B" w14:textId="77777777" w:rsidR="00A149E7" w:rsidRPr="007007C9" w:rsidRDefault="00A149E7" w:rsidP="007007C9">
      <w:pPr>
        <w:pStyle w:val="Corpsdetexte"/>
        <w:ind w:right="139"/>
        <w:rPr>
          <w:rFonts w:ascii="Century Gothic" w:hAnsi="Century Gothic"/>
        </w:rPr>
      </w:pPr>
      <w:r w:rsidRPr="007007C9">
        <w:rPr>
          <w:rFonts w:ascii="Century Gothic" w:hAnsi="Century Gothic"/>
        </w:rPr>
        <w:t>Un atelier sera organisé avec tous les acteurs du projet en vue de présenter les résultats de l’évaluation.</w:t>
      </w:r>
    </w:p>
    <w:p w14:paraId="581BC227" w14:textId="6E2B8E4B" w:rsidR="00A149E7" w:rsidRPr="007007C9" w:rsidRDefault="00A149E7" w:rsidP="00FB2B45">
      <w:pPr>
        <w:pStyle w:val="Paragraphedeliste"/>
        <w:widowControl w:val="0"/>
        <w:numPr>
          <w:ilvl w:val="0"/>
          <w:numId w:val="26"/>
        </w:numPr>
        <w:tabs>
          <w:tab w:val="left" w:pos="425"/>
        </w:tabs>
        <w:autoSpaceDE w:val="0"/>
        <w:autoSpaceDN w:val="0"/>
        <w:spacing w:before="240" w:after="0" w:line="276" w:lineRule="auto"/>
        <w:contextualSpacing w:val="0"/>
        <w:jc w:val="both"/>
        <w:rPr>
          <w:b/>
        </w:rPr>
      </w:pPr>
      <w:r w:rsidRPr="007007C9">
        <w:rPr>
          <w:b/>
        </w:rPr>
        <w:t>Durée et calendrier de l’évaluation</w:t>
      </w:r>
    </w:p>
    <w:p w14:paraId="1C84444A" w14:textId="33D63A6F" w:rsidR="0070509E" w:rsidRDefault="00A149E7" w:rsidP="00264B66">
      <w:pPr>
        <w:pStyle w:val="Corpsdetexte"/>
        <w:ind w:right="139"/>
        <w:rPr>
          <w:rFonts w:ascii="Century Gothic" w:hAnsi="Century Gothic"/>
        </w:rPr>
      </w:pPr>
      <w:r w:rsidRPr="007007C9">
        <w:rPr>
          <w:rFonts w:ascii="Century Gothic" w:hAnsi="Century Gothic"/>
        </w:rPr>
        <w:t>La durée du contrat s’étend sur une période de sept mois à compter de sa date de signature. Les jours ouvrables de travail qui seront facturées sont cependant de 45 jours. Aussi il attendu que le contrat soit exécuté selon le calendrier d’évaluation validé pour terminer plutôt le contrat. Le calendrier ci-dessous est indicatif et devra être ajusté à la signature du contrat: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0"/>
        <w:gridCol w:w="5028"/>
        <w:gridCol w:w="2974"/>
      </w:tblGrid>
      <w:tr w:rsidR="00383B84" w:rsidRPr="00164BF4" w14:paraId="2DAE3475" w14:textId="77777777" w:rsidTr="009F5BDE">
        <w:trPr>
          <w:trHeight w:val="20"/>
        </w:trPr>
        <w:tc>
          <w:tcPr>
            <w:tcW w:w="585" w:type="pct"/>
            <w:shd w:val="clear" w:color="auto" w:fill="auto"/>
          </w:tcPr>
          <w:p w14:paraId="0E8030F5" w14:textId="77777777" w:rsidR="00383B84" w:rsidRPr="00164BF4" w:rsidRDefault="00383B84" w:rsidP="009E2DEE">
            <w:pPr>
              <w:pStyle w:val="TableParagraph"/>
              <w:spacing w:line="276" w:lineRule="auto"/>
              <w:rPr>
                <w:rFonts w:ascii="Century Gothic" w:hAnsi="Century Gothic"/>
                <w:b/>
              </w:rPr>
            </w:pPr>
            <w:r w:rsidRPr="00164BF4">
              <w:rPr>
                <w:rFonts w:ascii="Century Gothic" w:hAnsi="Century Gothic"/>
                <w:b/>
              </w:rPr>
              <w:t>Délais</w:t>
            </w:r>
          </w:p>
        </w:tc>
        <w:tc>
          <w:tcPr>
            <w:tcW w:w="2774" w:type="pct"/>
            <w:shd w:val="clear" w:color="auto" w:fill="auto"/>
          </w:tcPr>
          <w:p w14:paraId="66E2CCC4" w14:textId="77777777" w:rsidR="00383B84" w:rsidRPr="00164BF4" w:rsidRDefault="00383B84" w:rsidP="009E2DEE">
            <w:pPr>
              <w:pStyle w:val="TableParagraph"/>
              <w:spacing w:line="276" w:lineRule="auto"/>
              <w:rPr>
                <w:rFonts w:ascii="Century Gothic" w:hAnsi="Century Gothic"/>
                <w:b/>
              </w:rPr>
            </w:pPr>
            <w:r w:rsidRPr="00164BF4">
              <w:rPr>
                <w:rFonts w:ascii="Century Gothic" w:hAnsi="Century Gothic"/>
                <w:b/>
              </w:rPr>
              <w:t>Activités</w:t>
            </w:r>
          </w:p>
        </w:tc>
        <w:tc>
          <w:tcPr>
            <w:tcW w:w="1641" w:type="pct"/>
            <w:shd w:val="clear" w:color="auto" w:fill="auto"/>
          </w:tcPr>
          <w:p w14:paraId="25D66A06" w14:textId="77777777" w:rsidR="00383B84" w:rsidRPr="00164BF4" w:rsidRDefault="00383B84" w:rsidP="009E2DEE">
            <w:pPr>
              <w:pStyle w:val="TableParagraph"/>
              <w:spacing w:line="276" w:lineRule="auto"/>
              <w:ind w:left="101"/>
              <w:rPr>
                <w:rFonts w:ascii="Century Gothic" w:hAnsi="Century Gothic"/>
                <w:b/>
              </w:rPr>
            </w:pPr>
            <w:r w:rsidRPr="00164BF4">
              <w:rPr>
                <w:rFonts w:ascii="Century Gothic" w:hAnsi="Century Gothic"/>
                <w:b/>
              </w:rPr>
              <w:t>Livrables</w:t>
            </w:r>
          </w:p>
        </w:tc>
      </w:tr>
      <w:tr w:rsidR="00383B84" w:rsidRPr="00164BF4" w14:paraId="138FF1FF" w14:textId="77777777" w:rsidTr="009F5BDE">
        <w:trPr>
          <w:trHeight w:val="20"/>
        </w:trPr>
        <w:tc>
          <w:tcPr>
            <w:tcW w:w="585" w:type="pct"/>
            <w:shd w:val="clear" w:color="auto" w:fill="auto"/>
          </w:tcPr>
          <w:p w14:paraId="0F1F42E6"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w:t>
            </w:r>
            <w:r w:rsidRPr="00164BF4">
              <w:rPr>
                <w:rFonts w:ascii="Century Gothic" w:hAnsi="Century Gothic"/>
                <w:position w:val="8"/>
              </w:rPr>
              <w:t xml:space="preserve">er </w:t>
            </w:r>
            <w:r w:rsidRPr="00164BF4">
              <w:rPr>
                <w:rFonts w:ascii="Century Gothic" w:hAnsi="Century Gothic"/>
              </w:rPr>
              <w:t>mars</w:t>
            </w:r>
          </w:p>
        </w:tc>
        <w:tc>
          <w:tcPr>
            <w:tcW w:w="2774" w:type="pct"/>
            <w:shd w:val="clear" w:color="auto" w:fill="auto"/>
          </w:tcPr>
          <w:p w14:paraId="3D563597"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Signature du contrat et lancement</w:t>
            </w:r>
          </w:p>
        </w:tc>
        <w:tc>
          <w:tcPr>
            <w:tcW w:w="1641" w:type="pct"/>
            <w:shd w:val="clear" w:color="auto" w:fill="auto"/>
          </w:tcPr>
          <w:p w14:paraId="2F52B900" w14:textId="77777777" w:rsidR="00383B84" w:rsidRPr="00164BF4" w:rsidRDefault="00383B84" w:rsidP="009E2DEE">
            <w:pPr>
              <w:pStyle w:val="TableParagraph"/>
              <w:spacing w:line="276" w:lineRule="auto"/>
              <w:ind w:left="101"/>
              <w:rPr>
                <w:rFonts w:ascii="Century Gothic" w:hAnsi="Century Gothic"/>
              </w:rPr>
            </w:pPr>
            <w:r w:rsidRPr="00164BF4">
              <w:rPr>
                <w:rFonts w:ascii="Cambria Math" w:hAnsi="Cambria Math" w:cs="Cambria Math"/>
                <w:w w:val="99"/>
              </w:rPr>
              <w:t>‐</w:t>
            </w:r>
          </w:p>
        </w:tc>
      </w:tr>
      <w:tr w:rsidR="00383B84" w:rsidRPr="00164BF4" w14:paraId="0565083E" w14:textId="77777777" w:rsidTr="009F5BDE">
        <w:trPr>
          <w:trHeight w:val="20"/>
        </w:trPr>
        <w:tc>
          <w:tcPr>
            <w:tcW w:w="585" w:type="pct"/>
            <w:shd w:val="clear" w:color="auto" w:fill="auto"/>
          </w:tcPr>
          <w:p w14:paraId="14437192"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mars</w:t>
            </w:r>
          </w:p>
        </w:tc>
        <w:tc>
          <w:tcPr>
            <w:tcW w:w="2774" w:type="pct"/>
            <w:shd w:val="clear" w:color="auto" w:fill="auto"/>
          </w:tcPr>
          <w:p w14:paraId="7A68AEC6" w14:textId="77777777" w:rsidR="00383B84" w:rsidRPr="00164BF4" w:rsidRDefault="00383B84" w:rsidP="009E2DEE">
            <w:pPr>
              <w:pStyle w:val="TableParagraph"/>
              <w:spacing w:line="276" w:lineRule="auto"/>
              <w:ind w:right="101"/>
              <w:jc w:val="both"/>
              <w:rPr>
                <w:rFonts w:ascii="Century Gothic" w:hAnsi="Century Gothic"/>
                <w:lang w:val="fr-FR"/>
              </w:rPr>
            </w:pPr>
            <w:r w:rsidRPr="00164BF4">
              <w:rPr>
                <w:rFonts w:ascii="Century Gothic" w:hAnsi="Century Gothic"/>
                <w:lang w:val="fr-FR"/>
              </w:rPr>
              <w:t>Proposition de rapport de conception initial (document méthodologique, outils de collecte de données, plan de travail)</w:t>
            </w:r>
          </w:p>
        </w:tc>
        <w:tc>
          <w:tcPr>
            <w:tcW w:w="1641" w:type="pct"/>
            <w:shd w:val="clear" w:color="auto" w:fill="auto"/>
          </w:tcPr>
          <w:p w14:paraId="1D05DFBD" w14:textId="77777777" w:rsidR="00383B84" w:rsidRPr="00164BF4" w:rsidRDefault="00383B84" w:rsidP="009E2DEE">
            <w:pPr>
              <w:pStyle w:val="TableParagraph"/>
              <w:spacing w:line="276" w:lineRule="auto"/>
              <w:ind w:left="101"/>
              <w:rPr>
                <w:rFonts w:ascii="Century Gothic" w:hAnsi="Century Gothic"/>
                <w:lang w:val="fr-FR"/>
              </w:rPr>
            </w:pPr>
            <w:r w:rsidRPr="00164BF4">
              <w:rPr>
                <w:rFonts w:ascii="Century Gothic" w:hAnsi="Century Gothic"/>
                <w:lang w:val="fr-FR"/>
              </w:rPr>
              <w:t>Rapport provisoire de conception initial</w:t>
            </w:r>
          </w:p>
        </w:tc>
      </w:tr>
      <w:tr w:rsidR="00383B84" w:rsidRPr="00164BF4" w14:paraId="5CD3C0D8" w14:textId="77777777" w:rsidTr="009F5BDE">
        <w:trPr>
          <w:trHeight w:val="20"/>
        </w:trPr>
        <w:tc>
          <w:tcPr>
            <w:tcW w:w="585" w:type="pct"/>
            <w:shd w:val="clear" w:color="auto" w:fill="auto"/>
          </w:tcPr>
          <w:p w14:paraId="0FF9D6F1"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mars</w:t>
            </w:r>
          </w:p>
        </w:tc>
        <w:tc>
          <w:tcPr>
            <w:tcW w:w="2774" w:type="pct"/>
            <w:shd w:val="clear" w:color="auto" w:fill="auto"/>
          </w:tcPr>
          <w:p w14:paraId="7EB799AA" w14:textId="77777777" w:rsidR="00383B84" w:rsidRPr="00164BF4" w:rsidRDefault="00383B84" w:rsidP="009E2DEE">
            <w:pPr>
              <w:pStyle w:val="TableParagraph"/>
              <w:spacing w:line="276" w:lineRule="auto"/>
              <w:ind w:right="101"/>
              <w:jc w:val="both"/>
              <w:rPr>
                <w:rFonts w:ascii="Century Gothic" w:hAnsi="Century Gothic"/>
                <w:lang w:val="fr-FR"/>
              </w:rPr>
            </w:pPr>
            <w:r w:rsidRPr="00164BF4">
              <w:rPr>
                <w:rFonts w:ascii="Century Gothic" w:hAnsi="Century Gothic"/>
                <w:lang w:val="fr-FR"/>
              </w:rPr>
              <w:t>Rencontres de cadrage avec le groupe de gestion et le groupe de référence de l’évaluation sur le rapport de conception</w:t>
            </w:r>
          </w:p>
        </w:tc>
        <w:tc>
          <w:tcPr>
            <w:tcW w:w="1641" w:type="pct"/>
            <w:shd w:val="clear" w:color="auto" w:fill="auto"/>
          </w:tcPr>
          <w:p w14:paraId="648EFED9" w14:textId="77777777" w:rsidR="00383B84" w:rsidRPr="00164BF4" w:rsidRDefault="00383B84" w:rsidP="009E2DEE">
            <w:pPr>
              <w:pStyle w:val="TableParagraph"/>
              <w:spacing w:line="276" w:lineRule="auto"/>
              <w:ind w:left="101"/>
              <w:rPr>
                <w:rFonts w:ascii="Century Gothic" w:hAnsi="Century Gothic"/>
              </w:rPr>
            </w:pPr>
            <w:r w:rsidRPr="00164BF4">
              <w:rPr>
                <w:rFonts w:ascii="Cambria Math" w:hAnsi="Cambria Math" w:cs="Cambria Math"/>
                <w:w w:val="99"/>
              </w:rPr>
              <w:t>‐</w:t>
            </w:r>
          </w:p>
        </w:tc>
      </w:tr>
      <w:tr w:rsidR="00383B84" w:rsidRPr="00164BF4" w14:paraId="581B45DC" w14:textId="77777777" w:rsidTr="009F5BDE">
        <w:trPr>
          <w:trHeight w:val="20"/>
        </w:trPr>
        <w:tc>
          <w:tcPr>
            <w:tcW w:w="585" w:type="pct"/>
            <w:shd w:val="clear" w:color="auto" w:fill="auto"/>
          </w:tcPr>
          <w:p w14:paraId="4299FB88"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avril</w:t>
            </w:r>
          </w:p>
        </w:tc>
        <w:tc>
          <w:tcPr>
            <w:tcW w:w="2774" w:type="pct"/>
            <w:shd w:val="clear" w:color="auto" w:fill="auto"/>
          </w:tcPr>
          <w:p w14:paraId="28535AD0"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Finalisation du rapport de conception initial</w:t>
            </w:r>
          </w:p>
        </w:tc>
        <w:tc>
          <w:tcPr>
            <w:tcW w:w="1641" w:type="pct"/>
            <w:shd w:val="clear" w:color="auto" w:fill="auto"/>
          </w:tcPr>
          <w:p w14:paraId="20CF9F34" w14:textId="77777777" w:rsidR="00383B84" w:rsidRPr="00164BF4" w:rsidRDefault="00383B84" w:rsidP="009E2DEE">
            <w:pPr>
              <w:pStyle w:val="TableParagraph"/>
              <w:spacing w:line="276" w:lineRule="auto"/>
              <w:ind w:left="102"/>
              <w:rPr>
                <w:rFonts w:ascii="Century Gothic" w:hAnsi="Century Gothic"/>
                <w:lang w:val="fr-FR"/>
              </w:rPr>
            </w:pPr>
            <w:r w:rsidRPr="00164BF4">
              <w:rPr>
                <w:rFonts w:ascii="Century Gothic" w:hAnsi="Century Gothic"/>
                <w:lang w:val="fr-FR"/>
              </w:rPr>
              <w:t>Rapport de conception validé par le groupe de gestion (paiement 1ère tranche)</w:t>
            </w:r>
          </w:p>
        </w:tc>
      </w:tr>
      <w:tr w:rsidR="00383B84" w:rsidRPr="00164BF4" w14:paraId="3E53F895" w14:textId="77777777" w:rsidTr="009F5BDE">
        <w:trPr>
          <w:trHeight w:val="20"/>
        </w:trPr>
        <w:tc>
          <w:tcPr>
            <w:tcW w:w="585" w:type="pct"/>
            <w:shd w:val="clear" w:color="auto" w:fill="auto"/>
          </w:tcPr>
          <w:p w14:paraId="2953FD10"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mai</w:t>
            </w:r>
          </w:p>
        </w:tc>
        <w:tc>
          <w:tcPr>
            <w:tcW w:w="2774" w:type="pct"/>
            <w:shd w:val="clear" w:color="auto" w:fill="auto"/>
          </w:tcPr>
          <w:p w14:paraId="1620171F"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Phase terrain (collecte de données)</w:t>
            </w:r>
          </w:p>
        </w:tc>
        <w:tc>
          <w:tcPr>
            <w:tcW w:w="1641" w:type="pct"/>
            <w:shd w:val="clear" w:color="auto" w:fill="auto"/>
          </w:tcPr>
          <w:p w14:paraId="6823BE9A" w14:textId="77777777" w:rsidR="00383B84" w:rsidRPr="00164BF4" w:rsidRDefault="00383B84" w:rsidP="009E2DEE">
            <w:pPr>
              <w:pStyle w:val="TableParagraph"/>
              <w:spacing w:line="276" w:lineRule="auto"/>
              <w:ind w:left="102"/>
              <w:rPr>
                <w:rFonts w:ascii="Century Gothic" w:hAnsi="Century Gothic"/>
              </w:rPr>
            </w:pPr>
            <w:r w:rsidRPr="00164BF4">
              <w:rPr>
                <w:rFonts w:ascii="Cambria Math" w:hAnsi="Cambria Math" w:cs="Cambria Math"/>
                <w:w w:val="99"/>
              </w:rPr>
              <w:t>‐</w:t>
            </w:r>
          </w:p>
        </w:tc>
      </w:tr>
      <w:tr w:rsidR="00383B84" w:rsidRPr="00164BF4" w14:paraId="27CA0C6A" w14:textId="77777777" w:rsidTr="009F5BDE">
        <w:trPr>
          <w:trHeight w:val="20"/>
        </w:trPr>
        <w:tc>
          <w:tcPr>
            <w:tcW w:w="585" w:type="pct"/>
            <w:shd w:val="clear" w:color="auto" w:fill="auto"/>
          </w:tcPr>
          <w:p w14:paraId="36742F6A"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mai</w:t>
            </w:r>
          </w:p>
        </w:tc>
        <w:tc>
          <w:tcPr>
            <w:tcW w:w="2774" w:type="pct"/>
            <w:shd w:val="clear" w:color="auto" w:fill="auto"/>
          </w:tcPr>
          <w:p w14:paraId="224BD3B2"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Présentation des résultats préliminaires</w:t>
            </w:r>
          </w:p>
        </w:tc>
        <w:tc>
          <w:tcPr>
            <w:tcW w:w="1641" w:type="pct"/>
            <w:shd w:val="clear" w:color="auto" w:fill="auto"/>
          </w:tcPr>
          <w:p w14:paraId="52051381" w14:textId="77777777" w:rsidR="00383B84" w:rsidRPr="00164BF4" w:rsidRDefault="00383B84" w:rsidP="009E2DEE">
            <w:pPr>
              <w:pStyle w:val="TableParagraph"/>
              <w:spacing w:line="276" w:lineRule="auto"/>
              <w:ind w:left="101"/>
              <w:rPr>
                <w:rFonts w:ascii="Century Gothic" w:hAnsi="Century Gothic"/>
              </w:rPr>
            </w:pPr>
            <w:r w:rsidRPr="00164BF4">
              <w:rPr>
                <w:rFonts w:ascii="Century Gothic" w:hAnsi="Century Gothic"/>
              </w:rPr>
              <w:t>Pré</w:t>
            </w:r>
            <w:r w:rsidRPr="00164BF4">
              <w:rPr>
                <w:rFonts w:ascii="Cambria Math" w:hAnsi="Cambria Math" w:cs="Cambria Math"/>
              </w:rPr>
              <w:t>‐</w:t>
            </w:r>
            <w:r w:rsidRPr="00164BF4">
              <w:rPr>
                <w:rFonts w:ascii="Century Gothic" w:hAnsi="Century Gothic"/>
              </w:rPr>
              <w:t>rapport (pr</w:t>
            </w:r>
            <w:r w:rsidRPr="00164BF4">
              <w:rPr>
                <w:rFonts w:ascii="Century Gothic" w:hAnsi="Century Gothic" w:cs="Century Gothic"/>
              </w:rPr>
              <w:t>é</w:t>
            </w:r>
            <w:r w:rsidRPr="00164BF4">
              <w:rPr>
                <w:rFonts w:ascii="Century Gothic" w:hAnsi="Century Gothic"/>
              </w:rPr>
              <w:t>sentation PowerPoint)</w:t>
            </w:r>
          </w:p>
        </w:tc>
      </w:tr>
      <w:tr w:rsidR="00383B84" w:rsidRPr="00164BF4" w14:paraId="25A320E6" w14:textId="77777777" w:rsidTr="009F5BDE">
        <w:trPr>
          <w:trHeight w:val="20"/>
        </w:trPr>
        <w:tc>
          <w:tcPr>
            <w:tcW w:w="585" w:type="pct"/>
            <w:shd w:val="clear" w:color="auto" w:fill="auto"/>
          </w:tcPr>
          <w:p w14:paraId="0D4AFC1A"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juin</w:t>
            </w:r>
          </w:p>
        </w:tc>
        <w:tc>
          <w:tcPr>
            <w:tcW w:w="2774" w:type="pct"/>
            <w:shd w:val="clear" w:color="auto" w:fill="auto"/>
          </w:tcPr>
          <w:p w14:paraId="10B630C3"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Rédaction et soumission du 1</w:t>
            </w:r>
            <w:r w:rsidRPr="00164BF4">
              <w:rPr>
                <w:rFonts w:ascii="Century Gothic" w:hAnsi="Century Gothic"/>
                <w:position w:val="8"/>
                <w:lang w:val="fr-FR"/>
              </w:rPr>
              <w:t xml:space="preserve">er </w:t>
            </w:r>
            <w:r w:rsidRPr="00164BF4">
              <w:rPr>
                <w:rFonts w:ascii="Century Gothic" w:hAnsi="Century Gothic"/>
                <w:lang w:val="fr-FR"/>
              </w:rPr>
              <w:t>draft</w:t>
            </w:r>
          </w:p>
        </w:tc>
        <w:tc>
          <w:tcPr>
            <w:tcW w:w="1641" w:type="pct"/>
            <w:shd w:val="clear" w:color="auto" w:fill="auto"/>
          </w:tcPr>
          <w:p w14:paraId="38796EF9" w14:textId="77777777" w:rsidR="00383B84" w:rsidRPr="00164BF4" w:rsidRDefault="00383B84" w:rsidP="009E2DEE">
            <w:pPr>
              <w:pStyle w:val="TableParagraph"/>
              <w:spacing w:line="276" w:lineRule="auto"/>
              <w:ind w:left="102" w:right="102" w:hanging="1"/>
              <w:jc w:val="both"/>
              <w:rPr>
                <w:rFonts w:ascii="Century Gothic" w:hAnsi="Century Gothic"/>
                <w:lang w:val="fr-FR"/>
              </w:rPr>
            </w:pPr>
            <w:r w:rsidRPr="00164BF4">
              <w:rPr>
                <w:rFonts w:ascii="Century Gothic" w:hAnsi="Century Gothic"/>
                <w:lang w:val="fr-FR"/>
              </w:rPr>
              <w:t>Rapport provisoire de l’évaluation (paiement</w:t>
            </w:r>
            <w:r w:rsidRPr="00164BF4">
              <w:rPr>
                <w:rFonts w:ascii="Century Gothic" w:hAnsi="Century Gothic"/>
                <w:spacing w:val="-12"/>
                <w:lang w:val="fr-FR"/>
              </w:rPr>
              <w:t xml:space="preserve"> </w:t>
            </w:r>
            <w:r w:rsidRPr="00164BF4">
              <w:rPr>
                <w:rFonts w:ascii="Century Gothic" w:hAnsi="Century Gothic"/>
                <w:lang w:val="fr-FR"/>
              </w:rPr>
              <w:t>2ème</w:t>
            </w:r>
            <w:r w:rsidRPr="00164BF4">
              <w:rPr>
                <w:rFonts w:ascii="Century Gothic" w:hAnsi="Century Gothic"/>
                <w:spacing w:val="-13"/>
                <w:lang w:val="fr-FR"/>
              </w:rPr>
              <w:t xml:space="preserve"> </w:t>
            </w:r>
            <w:r w:rsidRPr="00164BF4">
              <w:rPr>
                <w:rFonts w:ascii="Century Gothic" w:hAnsi="Century Gothic"/>
                <w:lang w:val="fr-FR"/>
              </w:rPr>
              <w:t>tranche</w:t>
            </w:r>
            <w:r w:rsidRPr="00164BF4">
              <w:rPr>
                <w:rFonts w:ascii="Century Gothic" w:hAnsi="Century Gothic"/>
                <w:spacing w:val="-13"/>
                <w:lang w:val="fr-FR"/>
              </w:rPr>
              <w:t xml:space="preserve"> </w:t>
            </w:r>
            <w:r w:rsidRPr="00164BF4">
              <w:rPr>
                <w:rFonts w:ascii="Century Gothic" w:hAnsi="Century Gothic"/>
                <w:lang w:val="fr-FR"/>
              </w:rPr>
              <w:t>si</w:t>
            </w:r>
            <w:r w:rsidRPr="00164BF4">
              <w:rPr>
                <w:rFonts w:ascii="Century Gothic" w:hAnsi="Century Gothic"/>
                <w:spacing w:val="-14"/>
                <w:lang w:val="fr-FR"/>
              </w:rPr>
              <w:t xml:space="preserve"> </w:t>
            </w:r>
            <w:r w:rsidRPr="00164BF4">
              <w:rPr>
                <w:rFonts w:ascii="Century Gothic" w:hAnsi="Century Gothic"/>
                <w:lang w:val="fr-FR"/>
              </w:rPr>
              <w:t>accepté</w:t>
            </w:r>
            <w:r w:rsidRPr="00164BF4">
              <w:rPr>
                <w:rFonts w:ascii="Century Gothic" w:hAnsi="Century Gothic"/>
                <w:spacing w:val="-14"/>
                <w:lang w:val="fr-FR"/>
              </w:rPr>
              <w:t xml:space="preserve"> </w:t>
            </w:r>
            <w:r w:rsidRPr="00164BF4">
              <w:rPr>
                <w:rFonts w:ascii="Century Gothic" w:hAnsi="Century Gothic"/>
                <w:lang w:val="fr-FR"/>
              </w:rPr>
              <w:t>par</w:t>
            </w:r>
            <w:r w:rsidRPr="00164BF4">
              <w:rPr>
                <w:rFonts w:ascii="Century Gothic" w:hAnsi="Century Gothic"/>
                <w:spacing w:val="-12"/>
                <w:lang w:val="fr-FR"/>
              </w:rPr>
              <w:t xml:space="preserve"> </w:t>
            </w:r>
            <w:r w:rsidRPr="00164BF4">
              <w:rPr>
                <w:rFonts w:ascii="Century Gothic" w:hAnsi="Century Gothic"/>
                <w:lang w:val="fr-FR"/>
              </w:rPr>
              <w:t>ONU Femmes)</w:t>
            </w:r>
          </w:p>
        </w:tc>
      </w:tr>
      <w:tr w:rsidR="00383B84" w:rsidRPr="00164BF4" w14:paraId="0109DB92" w14:textId="77777777" w:rsidTr="009F5BDE">
        <w:trPr>
          <w:trHeight w:val="20"/>
        </w:trPr>
        <w:tc>
          <w:tcPr>
            <w:tcW w:w="585" w:type="pct"/>
            <w:shd w:val="clear" w:color="auto" w:fill="auto"/>
          </w:tcPr>
          <w:p w14:paraId="7E31D43E"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10 juillet</w:t>
            </w:r>
          </w:p>
        </w:tc>
        <w:tc>
          <w:tcPr>
            <w:tcW w:w="2774" w:type="pct"/>
            <w:shd w:val="clear" w:color="auto" w:fill="auto"/>
          </w:tcPr>
          <w:p w14:paraId="58A853AB"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Rencontres avec le groupe de gestion et le groupe de référence de l’évaluation et feedbacks sur le rapport provisoire</w:t>
            </w:r>
          </w:p>
        </w:tc>
        <w:tc>
          <w:tcPr>
            <w:tcW w:w="1641" w:type="pct"/>
            <w:shd w:val="clear" w:color="auto" w:fill="auto"/>
          </w:tcPr>
          <w:p w14:paraId="4C9EBEC8" w14:textId="77777777" w:rsidR="00383B84" w:rsidRPr="00164BF4" w:rsidRDefault="00383B84" w:rsidP="009E2DEE">
            <w:pPr>
              <w:pStyle w:val="TableParagraph"/>
              <w:spacing w:line="276" w:lineRule="auto"/>
              <w:ind w:left="102" w:right="102" w:hanging="1"/>
              <w:jc w:val="both"/>
              <w:rPr>
                <w:rFonts w:ascii="Century Gothic" w:hAnsi="Century Gothic"/>
                <w:lang w:val="fr-FR"/>
              </w:rPr>
            </w:pPr>
            <w:r w:rsidRPr="00164BF4">
              <w:rPr>
                <w:rFonts w:ascii="Cambria Math" w:hAnsi="Cambria Math" w:cs="Cambria Math"/>
                <w:w w:val="99"/>
              </w:rPr>
              <w:t>‐</w:t>
            </w:r>
          </w:p>
        </w:tc>
      </w:tr>
      <w:tr w:rsidR="00383B84" w:rsidRPr="00164BF4" w14:paraId="38565198" w14:textId="77777777" w:rsidTr="009F5BDE">
        <w:trPr>
          <w:trHeight w:val="20"/>
        </w:trPr>
        <w:tc>
          <w:tcPr>
            <w:tcW w:w="585" w:type="pct"/>
            <w:shd w:val="clear" w:color="auto" w:fill="auto"/>
          </w:tcPr>
          <w:p w14:paraId="72392C81"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juillet</w:t>
            </w:r>
          </w:p>
        </w:tc>
        <w:tc>
          <w:tcPr>
            <w:tcW w:w="2774" w:type="pct"/>
            <w:shd w:val="clear" w:color="auto" w:fill="auto"/>
          </w:tcPr>
          <w:p w14:paraId="166D411C"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Finalisation et soumission du rapport final</w:t>
            </w:r>
          </w:p>
        </w:tc>
        <w:tc>
          <w:tcPr>
            <w:tcW w:w="1641" w:type="pct"/>
            <w:shd w:val="clear" w:color="auto" w:fill="auto"/>
          </w:tcPr>
          <w:p w14:paraId="786791EE" w14:textId="77777777" w:rsidR="00383B84" w:rsidRPr="00164BF4" w:rsidRDefault="00383B84" w:rsidP="009E2DEE">
            <w:pPr>
              <w:pStyle w:val="TableParagraph"/>
              <w:spacing w:line="276" w:lineRule="auto"/>
              <w:ind w:left="102" w:right="102" w:hanging="1"/>
              <w:jc w:val="both"/>
              <w:rPr>
                <w:rFonts w:ascii="Century Gothic" w:hAnsi="Century Gothic"/>
                <w:w w:val="99"/>
                <w:lang w:val="fr-FR"/>
              </w:rPr>
            </w:pPr>
            <w:r w:rsidRPr="00164BF4">
              <w:rPr>
                <w:rFonts w:ascii="Century Gothic" w:hAnsi="Century Gothic"/>
                <w:lang w:val="fr-FR"/>
              </w:rPr>
              <w:t>Rapport final de l’évaluation validé par le groupe de gestion (paiement 3ème tranche)</w:t>
            </w:r>
          </w:p>
        </w:tc>
      </w:tr>
    </w:tbl>
    <w:p w14:paraId="3C8C86BF" w14:textId="761A1FBB" w:rsidR="00264B66" w:rsidRDefault="00264B66" w:rsidP="00264B66">
      <w:pPr>
        <w:pStyle w:val="Corpsdetexte"/>
        <w:ind w:right="139"/>
        <w:rPr>
          <w:rFonts w:ascii="Century Gothic" w:hAnsi="Century Gothic"/>
        </w:rPr>
      </w:pPr>
    </w:p>
    <w:p w14:paraId="21C8F767" w14:textId="77777777" w:rsidR="00383B84" w:rsidRPr="00383B84" w:rsidRDefault="00383B84" w:rsidP="00383B84">
      <w:pPr>
        <w:pStyle w:val="Corpsdetexte"/>
        <w:ind w:right="139"/>
        <w:rPr>
          <w:rFonts w:ascii="Century Gothic" w:hAnsi="Century Gothic"/>
        </w:rPr>
      </w:pPr>
      <w:r w:rsidRPr="00383B84">
        <w:rPr>
          <w:rFonts w:ascii="Century Gothic" w:hAnsi="Century Gothic"/>
        </w:rPr>
        <w:t>Tout paiement aura lieu après l’approbation des livrables par le groupe de gestion, qui en appréciera la qualité conformément aux paramètres GERAAS http://www.unwomen.org/en/about</w:t>
      </w:r>
      <w:r w:rsidRPr="00383B84">
        <w:rPr>
          <w:rFonts w:ascii="Cambria Math" w:hAnsi="Cambria Math" w:cs="Cambria Math"/>
        </w:rPr>
        <w:t>‐</w:t>
      </w:r>
      <w:r w:rsidRPr="00383B84">
        <w:rPr>
          <w:rFonts w:ascii="Century Gothic" w:hAnsi="Century Gothic"/>
        </w:rPr>
        <w:t>us/evaluation/decentralized</w:t>
      </w:r>
      <w:r w:rsidRPr="00383B84">
        <w:rPr>
          <w:rFonts w:ascii="Cambria Math" w:hAnsi="Cambria Math" w:cs="Cambria Math"/>
        </w:rPr>
        <w:t>‐</w:t>
      </w:r>
      <w:r w:rsidRPr="00383B84">
        <w:rPr>
          <w:rFonts w:ascii="Century Gothic" w:hAnsi="Century Gothic"/>
        </w:rPr>
        <w:t>evaluations</w:t>
      </w:r>
    </w:p>
    <w:p w14:paraId="54699462" w14:textId="77777777" w:rsidR="00383B84" w:rsidRPr="00383B84" w:rsidRDefault="00383B84" w:rsidP="00383B84">
      <w:pPr>
        <w:pStyle w:val="Corpsdetexte"/>
        <w:ind w:right="139"/>
        <w:rPr>
          <w:rFonts w:ascii="Century Gothic" w:hAnsi="Century Gothic"/>
        </w:rPr>
      </w:pPr>
      <w:r w:rsidRPr="00383B84">
        <w:rPr>
          <w:rFonts w:ascii="Century Gothic" w:hAnsi="Century Gothic"/>
        </w:rPr>
        <w:t>Les tranches sont prévues comme suit :</w:t>
      </w:r>
    </w:p>
    <w:p w14:paraId="716E49C4" w14:textId="6C5B2AF8" w:rsidR="00383B84" w:rsidRPr="00383B84" w:rsidRDefault="00383B84" w:rsidP="00FB2B45">
      <w:pPr>
        <w:pStyle w:val="Corpsdetexte"/>
        <w:numPr>
          <w:ilvl w:val="0"/>
          <w:numId w:val="30"/>
        </w:numPr>
        <w:ind w:right="139"/>
        <w:rPr>
          <w:rFonts w:ascii="Century Gothic" w:hAnsi="Century Gothic"/>
        </w:rPr>
      </w:pPr>
      <w:r w:rsidRPr="00383B84">
        <w:rPr>
          <w:rFonts w:ascii="Century Gothic" w:hAnsi="Century Gothic"/>
        </w:rPr>
        <w:t>20 % : apr</w:t>
      </w:r>
      <w:r w:rsidRPr="00383B84">
        <w:rPr>
          <w:rFonts w:ascii="Century Gothic" w:hAnsi="Century Gothic" w:cs="Century Gothic"/>
        </w:rPr>
        <w:t>è</w:t>
      </w:r>
      <w:r w:rsidRPr="00383B84">
        <w:rPr>
          <w:rFonts w:ascii="Century Gothic" w:hAnsi="Century Gothic"/>
        </w:rPr>
        <w:t>s la validation du rapport initial</w:t>
      </w:r>
    </w:p>
    <w:p w14:paraId="2F10E010" w14:textId="008C5E24" w:rsidR="00383B84" w:rsidRPr="00383B84" w:rsidRDefault="00383B84" w:rsidP="00FB2B45">
      <w:pPr>
        <w:pStyle w:val="Corpsdetexte"/>
        <w:numPr>
          <w:ilvl w:val="0"/>
          <w:numId w:val="30"/>
        </w:numPr>
        <w:ind w:right="139"/>
        <w:rPr>
          <w:rFonts w:ascii="Century Gothic" w:hAnsi="Century Gothic"/>
        </w:rPr>
      </w:pPr>
      <w:r w:rsidRPr="00383B84">
        <w:rPr>
          <w:rFonts w:ascii="Century Gothic" w:hAnsi="Century Gothic"/>
        </w:rPr>
        <w:t>30% : apr</w:t>
      </w:r>
      <w:r w:rsidRPr="00383B84">
        <w:rPr>
          <w:rFonts w:ascii="Century Gothic" w:hAnsi="Century Gothic" w:cs="Century Gothic"/>
        </w:rPr>
        <w:t>è</w:t>
      </w:r>
      <w:r w:rsidRPr="00383B84">
        <w:rPr>
          <w:rFonts w:ascii="Century Gothic" w:hAnsi="Century Gothic"/>
        </w:rPr>
        <w:t>s la validation du Rapport provisoire de l</w:t>
      </w:r>
      <w:r w:rsidRPr="00383B84">
        <w:rPr>
          <w:rFonts w:ascii="Century Gothic" w:hAnsi="Century Gothic" w:cs="Century Gothic"/>
        </w:rPr>
        <w:t>’é</w:t>
      </w:r>
      <w:r w:rsidRPr="00383B84">
        <w:rPr>
          <w:rFonts w:ascii="Century Gothic" w:hAnsi="Century Gothic"/>
        </w:rPr>
        <w:t>valuation</w:t>
      </w:r>
    </w:p>
    <w:p w14:paraId="5659BB32" w14:textId="240429E0" w:rsidR="00264B66" w:rsidRDefault="00383B84" w:rsidP="00FB2B45">
      <w:pPr>
        <w:pStyle w:val="Corpsdetexte"/>
        <w:numPr>
          <w:ilvl w:val="0"/>
          <w:numId w:val="30"/>
        </w:numPr>
        <w:ind w:right="139"/>
        <w:rPr>
          <w:rFonts w:ascii="Century Gothic" w:hAnsi="Century Gothic"/>
        </w:rPr>
      </w:pPr>
      <w:r w:rsidRPr="00383B84">
        <w:rPr>
          <w:rFonts w:ascii="Century Gothic" w:hAnsi="Century Gothic"/>
        </w:rPr>
        <w:t>50 % : apr</w:t>
      </w:r>
      <w:r w:rsidRPr="00383B84">
        <w:rPr>
          <w:rFonts w:ascii="Century Gothic" w:hAnsi="Century Gothic" w:cs="Century Gothic"/>
        </w:rPr>
        <w:t>è</w:t>
      </w:r>
      <w:r w:rsidRPr="00383B84">
        <w:rPr>
          <w:rFonts w:ascii="Century Gothic" w:hAnsi="Century Gothic"/>
        </w:rPr>
        <w:t>s la validation du rapport final d'</w:t>
      </w:r>
      <w:r w:rsidRPr="00383B84">
        <w:rPr>
          <w:rFonts w:ascii="Century Gothic" w:hAnsi="Century Gothic" w:cs="Century Gothic"/>
        </w:rPr>
        <w:t>é</w:t>
      </w:r>
      <w:r w:rsidRPr="00383B84">
        <w:rPr>
          <w:rFonts w:ascii="Century Gothic" w:hAnsi="Century Gothic"/>
        </w:rPr>
        <w:t>valuation</w:t>
      </w:r>
    </w:p>
    <w:p w14:paraId="0A735B77" w14:textId="77777777" w:rsidR="00264B66" w:rsidRPr="007007C9" w:rsidRDefault="00264B66" w:rsidP="007007C9">
      <w:pPr>
        <w:pStyle w:val="Corpsdetexte"/>
        <w:ind w:right="139"/>
        <w:rPr>
          <w:rFonts w:ascii="Century Gothic" w:hAnsi="Century Gothic"/>
        </w:rPr>
      </w:pPr>
    </w:p>
    <w:p w14:paraId="113933BB" w14:textId="77777777" w:rsidR="00383B84" w:rsidRDefault="00383B84">
      <w:pPr>
        <w:spacing w:before="0" w:after="160" w:line="259" w:lineRule="auto"/>
        <w:jc w:val="left"/>
        <w:rPr>
          <w:rFonts w:eastAsiaTheme="majorEastAsia" w:cstheme="majorBidi"/>
          <w:b/>
          <w:smallCaps/>
          <w:color w:val="0070C0"/>
          <w:szCs w:val="26"/>
        </w:rPr>
      </w:pPr>
      <w:r>
        <w:br w:type="page"/>
      </w:r>
    </w:p>
    <w:p w14:paraId="3E50B2BF" w14:textId="59066E5D" w:rsidR="00360446" w:rsidRPr="007007C9" w:rsidRDefault="0070509E" w:rsidP="003A3323">
      <w:pPr>
        <w:pStyle w:val="Titre2"/>
        <w:numPr>
          <w:ilvl w:val="0"/>
          <w:numId w:val="0"/>
        </w:numPr>
        <w:ind w:left="720" w:hanging="720"/>
      </w:pPr>
      <w:bookmarkStart w:id="1011" w:name="_Toc95451887"/>
      <w:r>
        <w:t xml:space="preserve">Annexe </w:t>
      </w:r>
      <w:r w:rsidR="00711328">
        <w:t>8</w:t>
      </w:r>
      <w:r>
        <w:t xml:space="preserve"> : </w:t>
      </w:r>
      <w:r w:rsidRPr="007007C9">
        <w:t>Liste des membres du groupe de gestion de l’évaluation</w:t>
      </w:r>
      <w:bookmarkEnd w:id="1011"/>
      <w:r w:rsidRPr="007007C9">
        <w:t xml:space="preserve">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0"/>
        <w:gridCol w:w="2768"/>
        <w:gridCol w:w="3043"/>
        <w:gridCol w:w="2731"/>
      </w:tblGrid>
      <w:tr w:rsidR="00C62F7E" w:rsidRPr="008266F5" w14:paraId="76E1C683" w14:textId="77777777" w:rsidTr="00A40F72">
        <w:trPr>
          <w:trHeight w:val="397"/>
          <w:tblHeader/>
          <w:jc w:val="center"/>
        </w:trPr>
        <w:tc>
          <w:tcPr>
            <w:tcW w:w="287" w:type="pct"/>
            <w:shd w:val="clear" w:color="auto" w:fill="auto"/>
            <w:vAlign w:val="center"/>
          </w:tcPr>
          <w:p w14:paraId="38E61BCF"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N°</w:t>
            </w:r>
          </w:p>
        </w:tc>
        <w:tc>
          <w:tcPr>
            <w:tcW w:w="1527" w:type="pct"/>
            <w:shd w:val="clear" w:color="auto" w:fill="auto"/>
            <w:vAlign w:val="center"/>
          </w:tcPr>
          <w:p w14:paraId="6EC5A68B"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Prénoms et Noms</w:t>
            </w:r>
          </w:p>
        </w:tc>
        <w:tc>
          <w:tcPr>
            <w:tcW w:w="1679" w:type="pct"/>
            <w:shd w:val="clear" w:color="auto" w:fill="auto"/>
            <w:vAlign w:val="center"/>
          </w:tcPr>
          <w:p w14:paraId="2F93143D" w14:textId="12342215" w:rsidR="00360446" w:rsidRPr="008266F5" w:rsidRDefault="00360446" w:rsidP="007007C9">
            <w:pPr>
              <w:spacing w:before="0" w:after="0" w:line="276" w:lineRule="auto"/>
              <w:contextualSpacing/>
              <w:jc w:val="left"/>
              <w:rPr>
                <w:rFonts w:cstheme="minorHAnsi"/>
                <w:b/>
              </w:rPr>
            </w:pPr>
            <w:r w:rsidRPr="008266F5">
              <w:rPr>
                <w:rFonts w:cstheme="minorHAnsi"/>
                <w:b/>
              </w:rPr>
              <w:t>Titre</w:t>
            </w:r>
          </w:p>
        </w:tc>
        <w:tc>
          <w:tcPr>
            <w:tcW w:w="1507" w:type="pct"/>
            <w:shd w:val="clear" w:color="auto" w:fill="auto"/>
            <w:vAlign w:val="center"/>
          </w:tcPr>
          <w:p w14:paraId="387C37CF"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Structures</w:t>
            </w:r>
          </w:p>
        </w:tc>
      </w:tr>
      <w:tr w:rsidR="0070509E" w:rsidRPr="008266F5" w14:paraId="2B9419E8" w14:textId="77777777" w:rsidTr="009F5BDE">
        <w:trPr>
          <w:trHeight w:val="397"/>
          <w:jc w:val="center"/>
        </w:trPr>
        <w:tc>
          <w:tcPr>
            <w:tcW w:w="287" w:type="pct"/>
            <w:shd w:val="clear" w:color="auto" w:fill="auto"/>
            <w:vAlign w:val="center"/>
          </w:tcPr>
          <w:p w14:paraId="4E8983BA"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0C8F6565"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Raymond Berthé </w:t>
            </w:r>
          </w:p>
        </w:tc>
        <w:tc>
          <w:tcPr>
            <w:tcW w:w="1679" w:type="pct"/>
            <w:shd w:val="clear" w:color="auto" w:fill="auto"/>
            <w:vAlign w:val="center"/>
          </w:tcPr>
          <w:p w14:paraId="7431799A" w14:textId="77777777" w:rsidR="00360446" w:rsidRPr="008266F5" w:rsidRDefault="00360446" w:rsidP="007007C9">
            <w:pPr>
              <w:spacing w:before="0" w:after="0" w:line="276" w:lineRule="auto"/>
              <w:contextualSpacing/>
              <w:jc w:val="left"/>
              <w:rPr>
                <w:rFonts w:eastAsia="Times New Roman" w:cstheme="minorHAnsi"/>
              </w:rPr>
            </w:pPr>
            <w:r>
              <w:rPr>
                <w:rFonts w:eastAsia="Times New Roman" w:cstheme="minorHAnsi"/>
              </w:rPr>
              <w:t>Spécialiste</w:t>
            </w:r>
            <w:r w:rsidRPr="008266F5">
              <w:rPr>
                <w:rFonts w:eastAsia="Times New Roman" w:cstheme="minorHAnsi"/>
              </w:rPr>
              <w:t xml:space="preserve"> S</w:t>
            </w:r>
            <w:r w:rsidRPr="008266F5">
              <w:rPr>
                <w:rFonts w:cstheme="minorHAnsi"/>
              </w:rPr>
              <w:t xml:space="preserve">uivi Evaluation </w:t>
            </w:r>
          </w:p>
        </w:tc>
        <w:tc>
          <w:tcPr>
            <w:tcW w:w="1507" w:type="pct"/>
            <w:shd w:val="clear" w:color="auto" w:fill="auto"/>
            <w:vAlign w:val="center"/>
          </w:tcPr>
          <w:p w14:paraId="291305B4"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E63B2A" w14:paraId="7EF3C321" w14:textId="77777777" w:rsidTr="009F5BDE">
        <w:trPr>
          <w:trHeight w:val="397"/>
          <w:jc w:val="center"/>
        </w:trPr>
        <w:tc>
          <w:tcPr>
            <w:tcW w:w="287" w:type="pct"/>
            <w:shd w:val="clear" w:color="auto" w:fill="auto"/>
            <w:vAlign w:val="center"/>
          </w:tcPr>
          <w:p w14:paraId="6BB2ADF3"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40C826DB" w14:textId="77777777" w:rsidR="00360446" w:rsidRPr="008266F5" w:rsidRDefault="00360446" w:rsidP="007007C9">
            <w:pPr>
              <w:spacing w:before="0" w:after="0" w:line="276" w:lineRule="auto"/>
              <w:contextualSpacing/>
              <w:jc w:val="left"/>
              <w:rPr>
                <w:rFonts w:cstheme="minorHAnsi"/>
              </w:rPr>
            </w:pPr>
            <w:r>
              <w:rPr>
                <w:rFonts w:cstheme="minorHAnsi"/>
              </w:rPr>
              <w:t>Raky Chaupin</w:t>
            </w:r>
          </w:p>
        </w:tc>
        <w:tc>
          <w:tcPr>
            <w:tcW w:w="1679" w:type="pct"/>
            <w:shd w:val="clear" w:color="auto" w:fill="auto"/>
            <w:vAlign w:val="center"/>
          </w:tcPr>
          <w:p w14:paraId="598788D5" w14:textId="77777777" w:rsidR="00360446" w:rsidRDefault="00360446" w:rsidP="007007C9">
            <w:pPr>
              <w:spacing w:before="0" w:after="0" w:line="276" w:lineRule="auto"/>
              <w:contextualSpacing/>
              <w:jc w:val="left"/>
              <w:rPr>
                <w:rFonts w:eastAsia="Times New Roman" w:cstheme="minorHAnsi"/>
              </w:rPr>
            </w:pPr>
            <w:r>
              <w:rPr>
                <w:rFonts w:eastAsia="Times New Roman" w:cstheme="minorHAnsi"/>
              </w:rPr>
              <w:t>Deputy representative</w:t>
            </w:r>
          </w:p>
        </w:tc>
        <w:tc>
          <w:tcPr>
            <w:tcW w:w="1507" w:type="pct"/>
            <w:shd w:val="clear" w:color="auto" w:fill="auto"/>
            <w:vAlign w:val="center"/>
          </w:tcPr>
          <w:p w14:paraId="3F993516" w14:textId="77777777" w:rsidR="00360446" w:rsidRPr="008266F5" w:rsidRDefault="00360446" w:rsidP="007007C9">
            <w:pPr>
              <w:spacing w:before="0" w:after="0" w:line="276" w:lineRule="auto"/>
              <w:contextualSpacing/>
              <w:jc w:val="left"/>
              <w:rPr>
                <w:rFonts w:cstheme="minorHAnsi"/>
              </w:rPr>
            </w:pPr>
            <w:r>
              <w:rPr>
                <w:rFonts w:eastAsia="Times New Roman" w:cstheme="minorHAnsi"/>
              </w:rPr>
              <w:t>ONU Femmes Mali</w:t>
            </w:r>
          </w:p>
        </w:tc>
      </w:tr>
      <w:tr w:rsidR="0070509E" w:rsidRPr="008266F5" w14:paraId="274CDD5C" w14:textId="77777777" w:rsidTr="009F5BDE">
        <w:trPr>
          <w:trHeight w:val="397"/>
          <w:jc w:val="center"/>
        </w:trPr>
        <w:tc>
          <w:tcPr>
            <w:tcW w:w="287" w:type="pct"/>
            <w:shd w:val="clear" w:color="auto" w:fill="auto"/>
            <w:vAlign w:val="center"/>
          </w:tcPr>
          <w:p w14:paraId="6891D6FA"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3DF116C1" w14:textId="77777777" w:rsidR="00360446" w:rsidRPr="008266F5" w:rsidRDefault="00360446" w:rsidP="007007C9">
            <w:pPr>
              <w:spacing w:before="0" w:after="0" w:line="276" w:lineRule="auto"/>
              <w:contextualSpacing/>
              <w:jc w:val="left"/>
              <w:rPr>
                <w:rFonts w:cstheme="minorHAnsi"/>
              </w:rPr>
            </w:pPr>
            <w:r w:rsidRPr="008266F5">
              <w:rPr>
                <w:rFonts w:cstheme="minorHAnsi"/>
              </w:rPr>
              <w:t>Wanalher Ag Alwaly</w:t>
            </w:r>
          </w:p>
        </w:tc>
        <w:tc>
          <w:tcPr>
            <w:tcW w:w="1679" w:type="pct"/>
            <w:shd w:val="clear" w:color="auto" w:fill="auto"/>
            <w:vAlign w:val="center"/>
          </w:tcPr>
          <w:p w14:paraId="6502AD19" w14:textId="77777777" w:rsidR="00360446" w:rsidRPr="008266F5" w:rsidRDefault="00360446" w:rsidP="007007C9">
            <w:pPr>
              <w:spacing w:before="0" w:after="0" w:line="276" w:lineRule="auto"/>
              <w:contextualSpacing/>
              <w:jc w:val="left"/>
              <w:rPr>
                <w:rFonts w:cstheme="minorHAnsi"/>
              </w:rPr>
            </w:pPr>
            <w:r w:rsidRPr="008266F5">
              <w:rPr>
                <w:rFonts w:eastAsia="Times New Roman" w:cstheme="minorHAnsi"/>
              </w:rPr>
              <w:t>Program manager</w:t>
            </w:r>
          </w:p>
        </w:tc>
        <w:tc>
          <w:tcPr>
            <w:tcW w:w="1507" w:type="pct"/>
            <w:shd w:val="clear" w:color="auto" w:fill="auto"/>
            <w:vAlign w:val="center"/>
          </w:tcPr>
          <w:p w14:paraId="32B780C2" w14:textId="77777777" w:rsidR="00360446" w:rsidRPr="008266F5" w:rsidRDefault="00360446" w:rsidP="007007C9">
            <w:pPr>
              <w:spacing w:before="0" w:after="0" w:line="276" w:lineRule="auto"/>
              <w:contextualSpacing/>
              <w:jc w:val="left"/>
              <w:rPr>
                <w:rFonts w:cstheme="minorHAnsi"/>
                <w:lang w:val="en-US"/>
              </w:rPr>
            </w:pPr>
            <w:r w:rsidRPr="008266F5">
              <w:rPr>
                <w:rFonts w:cstheme="minorHAnsi"/>
              </w:rPr>
              <w:t xml:space="preserve">ONU Femmes Mali </w:t>
            </w:r>
          </w:p>
        </w:tc>
      </w:tr>
      <w:tr w:rsidR="0070509E" w:rsidRPr="008266F5" w14:paraId="6B074007" w14:textId="77777777" w:rsidTr="009F5BDE">
        <w:trPr>
          <w:trHeight w:val="397"/>
          <w:jc w:val="center"/>
        </w:trPr>
        <w:tc>
          <w:tcPr>
            <w:tcW w:w="287" w:type="pct"/>
            <w:shd w:val="clear" w:color="auto" w:fill="auto"/>
            <w:vAlign w:val="center"/>
          </w:tcPr>
          <w:p w14:paraId="4AD4D795"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625F3BB4" w14:textId="77777777" w:rsidR="00360446" w:rsidRPr="008266F5" w:rsidRDefault="00360446" w:rsidP="007007C9">
            <w:pPr>
              <w:spacing w:before="0" w:after="0" w:line="276" w:lineRule="auto"/>
              <w:contextualSpacing/>
              <w:jc w:val="left"/>
              <w:rPr>
                <w:rFonts w:cstheme="minorHAnsi"/>
              </w:rPr>
            </w:pPr>
            <w:r w:rsidRPr="008266F5">
              <w:rPr>
                <w:rFonts w:cstheme="minorHAnsi"/>
              </w:rPr>
              <w:t>Kassim Dabitao</w:t>
            </w:r>
          </w:p>
        </w:tc>
        <w:tc>
          <w:tcPr>
            <w:tcW w:w="1679" w:type="pct"/>
            <w:shd w:val="clear" w:color="auto" w:fill="auto"/>
            <w:vAlign w:val="center"/>
          </w:tcPr>
          <w:p w14:paraId="7A825AA7"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Chargé Suivi Evaluation </w:t>
            </w:r>
          </w:p>
        </w:tc>
        <w:tc>
          <w:tcPr>
            <w:tcW w:w="1507" w:type="pct"/>
            <w:shd w:val="clear" w:color="auto" w:fill="auto"/>
            <w:vAlign w:val="center"/>
          </w:tcPr>
          <w:p w14:paraId="75DCB8F1"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6D054D02" w14:textId="77777777" w:rsidTr="009F5BDE">
        <w:trPr>
          <w:trHeight w:val="397"/>
          <w:jc w:val="center"/>
        </w:trPr>
        <w:tc>
          <w:tcPr>
            <w:tcW w:w="287" w:type="pct"/>
            <w:shd w:val="clear" w:color="auto" w:fill="auto"/>
            <w:vAlign w:val="center"/>
          </w:tcPr>
          <w:p w14:paraId="10303705"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24BB72A4" w14:textId="77777777" w:rsidR="00360446" w:rsidRPr="008266F5" w:rsidRDefault="00360446" w:rsidP="007007C9">
            <w:pPr>
              <w:spacing w:before="0" w:after="0" w:line="276" w:lineRule="auto"/>
              <w:contextualSpacing/>
              <w:jc w:val="left"/>
              <w:rPr>
                <w:rFonts w:cstheme="minorHAnsi"/>
              </w:rPr>
            </w:pPr>
            <w:r w:rsidRPr="008266F5">
              <w:rPr>
                <w:rFonts w:cstheme="minorHAnsi"/>
              </w:rPr>
              <w:t>Juliette De Montmollin</w:t>
            </w:r>
          </w:p>
        </w:tc>
        <w:tc>
          <w:tcPr>
            <w:tcW w:w="1679" w:type="pct"/>
            <w:shd w:val="clear" w:color="auto" w:fill="auto"/>
            <w:vAlign w:val="center"/>
          </w:tcPr>
          <w:p w14:paraId="4629BD6B"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Assistante Suivi Evaluation </w:t>
            </w:r>
          </w:p>
        </w:tc>
        <w:tc>
          <w:tcPr>
            <w:tcW w:w="1507" w:type="pct"/>
            <w:shd w:val="clear" w:color="auto" w:fill="auto"/>
            <w:vAlign w:val="center"/>
          </w:tcPr>
          <w:p w14:paraId="4A54826B" w14:textId="77777777" w:rsidR="00360446" w:rsidRPr="008266F5" w:rsidRDefault="00360446" w:rsidP="007007C9">
            <w:pPr>
              <w:spacing w:before="0" w:after="0" w:line="276" w:lineRule="auto"/>
              <w:contextualSpacing/>
              <w:jc w:val="left"/>
              <w:rPr>
                <w:rFonts w:cstheme="minorHAnsi"/>
              </w:rPr>
            </w:pPr>
            <w:r w:rsidRPr="008266F5">
              <w:rPr>
                <w:rFonts w:cstheme="minorHAnsi"/>
              </w:rPr>
              <w:t>ONU Femmes Mali</w:t>
            </w:r>
          </w:p>
        </w:tc>
      </w:tr>
      <w:tr w:rsidR="0070509E" w:rsidRPr="00855512" w14:paraId="7A2657FF" w14:textId="77777777" w:rsidTr="009F5BDE">
        <w:trPr>
          <w:trHeight w:val="397"/>
          <w:jc w:val="center"/>
        </w:trPr>
        <w:tc>
          <w:tcPr>
            <w:tcW w:w="287" w:type="pct"/>
            <w:shd w:val="clear" w:color="auto" w:fill="auto"/>
            <w:vAlign w:val="center"/>
          </w:tcPr>
          <w:p w14:paraId="7F684686"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5E668C2C" w14:textId="77777777" w:rsidR="00360446" w:rsidRPr="008266F5" w:rsidRDefault="00360446" w:rsidP="007007C9">
            <w:pPr>
              <w:spacing w:before="0" w:after="0" w:line="276" w:lineRule="auto"/>
              <w:contextualSpacing/>
              <w:jc w:val="left"/>
              <w:rPr>
                <w:rFonts w:cstheme="minorHAnsi"/>
              </w:rPr>
            </w:pPr>
            <w:r>
              <w:rPr>
                <w:rFonts w:cstheme="minorHAnsi"/>
              </w:rPr>
              <w:t>Cyuma Mbayiha</w:t>
            </w:r>
          </w:p>
        </w:tc>
        <w:tc>
          <w:tcPr>
            <w:tcW w:w="1679" w:type="pct"/>
            <w:shd w:val="clear" w:color="auto" w:fill="auto"/>
            <w:vAlign w:val="center"/>
          </w:tcPr>
          <w:p w14:paraId="1F1C59D0" w14:textId="77777777" w:rsidR="00360446" w:rsidRPr="008266F5" w:rsidRDefault="00360446" w:rsidP="007007C9">
            <w:pPr>
              <w:spacing w:before="0" w:after="0" w:line="276" w:lineRule="auto"/>
              <w:contextualSpacing/>
              <w:jc w:val="left"/>
              <w:rPr>
                <w:rFonts w:eastAsia="Times New Roman" w:cstheme="minorHAnsi"/>
              </w:rPr>
            </w:pPr>
            <w:r>
              <w:rPr>
                <w:rFonts w:eastAsia="Times New Roman" w:cstheme="minorHAnsi"/>
              </w:rPr>
              <w:t>Spécialiste Suivi Evaluation</w:t>
            </w:r>
          </w:p>
        </w:tc>
        <w:tc>
          <w:tcPr>
            <w:tcW w:w="1507" w:type="pct"/>
            <w:shd w:val="clear" w:color="auto" w:fill="auto"/>
            <w:vAlign w:val="center"/>
          </w:tcPr>
          <w:p w14:paraId="1DAE54A2"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1D78E46D" w14:textId="77777777" w:rsidTr="009F5BDE">
        <w:trPr>
          <w:trHeight w:val="397"/>
          <w:jc w:val="center"/>
        </w:trPr>
        <w:tc>
          <w:tcPr>
            <w:tcW w:w="287" w:type="pct"/>
            <w:shd w:val="clear" w:color="auto" w:fill="auto"/>
            <w:vAlign w:val="center"/>
          </w:tcPr>
          <w:p w14:paraId="2C0AC660"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34692AB7" w14:textId="77777777" w:rsidR="00360446" w:rsidRPr="008266F5" w:rsidRDefault="00360446" w:rsidP="007007C9">
            <w:pPr>
              <w:spacing w:before="0" w:after="0" w:line="276" w:lineRule="auto"/>
              <w:contextualSpacing/>
              <w:jc w:val="left"/>
              <w:rPr>
                <w:rFonts w:eastAsia="Times New Roman" w:cstheme="minorHAnsi"/>
                <w:lang w:eastAsia="fr-FR"/>
              </w:rPr>
            </w:pPr>
            <w:r w:rsidRPr="008266F5">
              <w:rPr>
                <w:rFonts w:cstheme="minorHAnsi"/>
              </w:rPr>
              <w:t>Lou Akusua De Giuli</w:t>
            </w:r>
          </w:p>
        </w:tc>
        <w:tc>
          <w:tcPr>
            <w:tcW w:w="1679" w:type="pct"/>
            <w:shd w:val="clear" w:color="auto" w:fill="auto"/>
            <w:vAlign w:val="center"/>
          </w:tcPr>
          <w:p w14:paraId="41988027" w14:textId="77777777" w:rsidR="00360446" w:rsidRPr="008266F5" w:rsidRDefault="00360446" w:rsidP="007007C9">
            <w:pPr>
              <w:spacing w:before="0" w:after="0" w:line="276" w:lineRule="auto"/>
              <w:contextualSpacing/>
              <w:jc w:val="left"/>
              <w:rPr>
                <w:rFonts w:eastAsia="Times New Roman" w:cstheme="minorHAnsi"/>
                <w:lang w:eastAsia="fr-FR"/>
              </w:rPr>
            </w:pPr>
            <w:r w:rsidRPr="008266F5">
              <w:rPr>
                <w:rFonts w:cstheme="minorHAnsi"/>
              </w:rPr>
              <w:t>Analyste Suivi-évaluation</w:t>
            </w:r>
          </w:p>
        </w:tc>
        <w:tc>
          <w:tcPr>
            <w:tcW w:w="1507" w:type="pct"/>
            <w:shd w:val="clear" w:color="auto" w:fill="auto"/>
            <w:vAlign w:val="center"/>
          </w:tcPr>
          <w:p w14:paraId="1279318F" w14:textId="77777777" w:rsidR="00360446" w:rsidRPr="00AC04A6" w:rsidRDefault="00360446"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2ECC9D9F" w14:textId="77777777" w:rsidTr="009F5BDE">
        <w:trPr>
          <w:trHeight w:val="397"/>
          <w:jc w:val="center"/>
        </w:trPr>
        <w:tc>
          <w:tcPr>
            <w:tcW w:w="287" w:type="pct"/>
            <w:shd w:val="clear" w:color="auto" w:fill="auto"/>
            <w:vAlign w:val="center"/>
          </w:tcPr>
          <w:p w14:paraId="41DFE41E"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453F276B" w14:textId="77777777" w:rsidR="00360446" w:rsidRPr="008266F5" w:rsidRDefault="00360446" w:rsidP="007007C9">
            <w:pPr>
              <w:spacing w:before="0" w:after="0" w:line="276" w:lineRule="auto"/>
              <w:jc w:val="left"/>
              <w:rPr>
                <w:rFonts w:eastAsia="Times New Roman" w:cstheme="minorHAnsi"/>
              </w:rPr>
            </w:pPr>
            <w:r w:rsidRPr="008266F5">
              <w:rPr>
                <w:rFonts w:eastAsia="Times New Roman" w:cstheme="minorHAnsi"/>
              </w:rPr>
              <w:t>Mamoudou Soumana</w:t>
            </w:r>
          </w:p>
        </w:tc>
        <w:tc>
          <w:tcPr>
            <w:tcW w:w="1679" w:type="pct"/>
            <w:shd w:val="clear" w:color="auto" w:fill="auto"/>
            <w:vAlign w:val="center"/>
          </w:tcPr>
          <w:p w14:paraId="22D80984" w14:textId="77777777" w:rsidR="00360446" w:rsidRPr="008266F5" w:rsidRDefault="00360446" w:rsidP="007007C9">
            <w:pPr>
              <w:spacing w:before="0" w:after="0" w:line="276" w:lineRule="auto"/>
              <w:contextualSpacing/>
              <w:jc w:val="left"/>
              <w:rPr>
                <w:rFonts w:eastAsia="Times New Roman" w:cstheme="minorHAnsi"/>
              </w:rPr>
            </w:pPr>
            <w:r w:rsidRPr="008266F5">
              <w:rPr>
                <w:rFonts w:eastAsia="Times New Roman" w:cstheme="minorHAnsi"/>
              </w:rPr>
              <w:t>Spécialiste M&amp;E</w:t>
            </w:r>
          </w:p>
        </w:tc>
        <w:tc>
          <w:tcPr>
            <w:tcW w:w="1507" w:type="pct"/>
            <w:shd w:val="clear" w:color="auto" w:fill="auto"/>
            <w:vAlign w:val="center"/>
          </w:tcPr>
          <w:p w14:paraId="54F1D808" w14:textId="77777777" w:rsidR="00360446" w:rsidRPr="008266F5" w:rsidRDefault="00360446" w:rsidP="007007C9">
            <w:pPr>
              <w:spacing w:before="0" w:after="0" w:line="276" w:lineRule="auto"/>
              <w:contextualSpacing/>
              <w:jc w:val="left"/>
              <w:rPr>
                <w:rFonts w:eastAsia="Times New Roman" w:cstheme="minorHAnsi"/>
              </w:rPr>
            </w:pPr>
            <w:r w:rsidRPr="008266F5">
              <w:rPr>
                <w:rFonts w:eastAsia="Times New Roman" w:cstheme="minorHAnsi"/>
              </w:rPr>
              <w:t>ONU Femmes Niger </w:t>
            </w:r>
          </w:p>
        </w:tc>
      </w:tr>
      <w:tr w:rsidR="00917B0A" w:rsidRPr="008266F5" w14:paraId="3EB071A1" w14:textId="77777777" w:rsidTr="009F5BDE">
        <w:trPr>
          <w:trHeight w:val="397"/>
          <w:jc w:val="center"/>
        </w:trPr>
        <w:tc>
          <w:tcPr>
            <w:tcW w:w="287" w:type="pct"/>
            <w:shd w:val="clear" w:color="auto" w:fill="auto"/>
            <w:vAlign w:val="center"/>
          </w:tcPr>
          <w:p w14:paraId="49F29F66" w14:textId="77777777" w:rsidR="00917B0A" w:rsidRPr="008266F5" w:rsidRDefault="00917B0A"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7BD9E61D" w14:textId="1203F187" w:rsidR="00917B0A" w:rsidRPr="008266F5" w:rsidRDefault="00917B0A" w:rsidP="007007C9">
            <w:pPr>
              <w:spacing w:before="0" w:after="0" w:line="276" w:lineRule="auto"/>
              <w:jc w:val="left"/>
              <w:rPr>
                <w:rFonts w:eastAsia="Times New Roman" w:cstheme="minorHAnsi"/>
              </w:rPr>
            </w:pPr>
            <w:r>
              <w:rPr>
                <w:rFonts w:eastAsia="Times New Roman" w:cstheme="minorHAnsi"/>
              </w:rPr>
              <w:t>Tiffany Laluce</w:t>
            </w:r>
          </w:p>
        </w:tc>
        <w:tc>
          <w:tcPr>
            <w:tcW w:w="1679" w:type="pct"/>
            <w:shd w:val="clear" w:color="auto" w:fill="auto"/>
            <w:vAlign w:val="center"/>
          </w:tcPr>
          <w:p w14:paraId="715DF379" w14:textId="495574CF" w:rsidR="00917B0A" w:rsidRPr="008266F5" w:rsidRDefault="00917B0A" w:rsidP="007007C9">
            <w:pPr>
              <w:spacing w:before="0" w:after="0" w:line="276" w:lineRule="auto"/>
              <w:contextualSpacing/>
              <w:jc w:val="left"/>
              <w:rPr>
                <w:rFonts w:eastAsia="Times New Roman" w:cstheme="minorHAnsi"/>
              </w:rPr>
            </w:pPr>
            <w:r>
              <w:rPr>
                <w:rFonts w:eastAsia="Times New Roman" w:cstheme="minorHAnsi"/>
              </w:rPr>
              <w:t>Chargé Planification &amp; Suivi</w:t>
            </w:r>
            <w:r w:rsidR="00161D81">
              <w:rPr>
                <w:rFonts w:eastAsia="Times New Roman" w:cstheme="minorHAnsi"/>
              </w:rPr>
              <w:t>, Programme Sahel</w:t>
            </w:r>
          </w:p>
        </w:tc>
        <w:tc>
          <w:tcPr>
            <w:tcW w:w="1507" w:type="pct"/>
            <w:shd w:val="clear" w:color="auto" w:fill="auto"/>
            <w:vAlign w:val="center"/>
          </w:tcPr>
          <w:p w14:paraId="3C525C6C" w14:textId="2FB57360" w:rsidR="00917B0A" w:rsidRPr="008266F5" w:rsidRDefault="00917B0A" w:rsidP="007007C9">
            <w:pPr>
              <w:spacing w:before="0" w:after="0" w:line="276" w:lineRule="auto"/>
              <w:contextualSpacing/>
              <w:jc w:val="left"/>
              <w:rPr>
                <w:rFonts w:eastAsia="Times New Roman" w:cstheme="minorHAnsi"/>
              </w:rPr>
            </w:pPr>
            <w:r>
              <w:rPr>
                <w:rFonts w:eastAsia="Times New Roman" w:cstheme="minorHAnsi"/>
              </w:rPr>
              <w:t>ONUDC bureau régional Dakar</w:t>
            </w:r>
          </w:p>
        </w:tc>
      </w:tr>
    </w:tbl>
    <w:p w14:paraId="3D52E241" w14:textId="2C4E0CB7" w:rsidR="00360446" w:rsidRDefault="00360446" w:rsidP="00405AC0">
      <w:pPr>
        <w:rPr>
          <w:rFonts w:ascii="Times New Roman" w:hAnsi="Times New Roman" w:cs="Times New Roman"/>
          <w:b/>
        </w:rPr>
      </w:pPr>
    </w:p>
    <w:p w14:paraId="4F2612C1" w14:textId="77446D01" w:rsidR="0070509E" w:rsidRPr="00D623BF" w:rsidRDefault="0070509E" w:rsidP="003A3323">
      <w:pPr>
        <w:pStyle w:val="Titre2"/>
        <w:numPr>
          <w:ilvl w:val="0"/>
          <w:numId w:val="0"/>
        </w:numPr>
        <w:ind w:left="720" w:hanging="720"/>
      </w:pPr>
      <w:bookmarkStart w:id="1012" w:name="_Toc95451888"/>
      <w:r>
        <w:t xml:space="preserve">Annexe </w:t>
      </w:r>
      <w:r w:rsidR="00711328">
        <w:t>9</w:t>
      </w:r>
      <w:r>
        <w:t xml:space="preserve"> : </w:t>
      </w:r>
      <w:r w:rsidRPr="00D623BF">
        <w:t xml:space="preserve">Liste des membres du groupe de </w:t>
      </w:r>
      <w:r w:rsidR="00383B84">
        <w:t>référence</w:t>
      </w:r>
      <w:r w:rsidRPr="00D623BF">
        <w:t xml:space="preserve"> de l’évaluation</w:t>
      </w:r>
      <w:bookmarkEnd w:id="1012"/>
      <w:r w:rsidRPr="00D623BF">
        <w:t xml:space="preserve">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8"/>
        <w:gridCol w:w="2550"/>
        <w:gridCol w:w="3315"/>
        <w:gridCol w:w="2729"/>
      </w:tblGrid>
      <w:tr w:rsidR="00C62F7E" w:rsidRPr="008266F5" w14:paraId="2CB4FF69" w14:textId="77777777" w:rsidTr="00A40F72">
        <w:trPr>
          <w:trHeight w:val="113"/>
          <w:tblHeader/>
          <w:jc w:val="center"/>
        </w:trPr>
        <w:tc>
          <w:tcPr>
            <w:tcW w:w="258" w:type="pct"/>
            <w:shd w:val="clear" w:color="auto" w:fill="auto"/>
            <w:vAlign w:val="center"/>
          </w:tcPr>
          <w:p w14:paraId="16E63028"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N°</w:t>
            </w:r>
          </w:p>
        </w:tc>
        <w:tc>
          <w:tcPr>
            <w:tcW w:w="1407" w:type="pct"/>
            <w:shd w:val="clear" w:color="auto" w:fill="auto"/>
            <w:vAlign w:val="center"/>
          </w:tcPr>
          <w:p w14:paraId="17D219C5"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Prénoms et Noms</w:t>
            </w:r>
          </w:p>
        </w:tc>
        <w:tc>
          <w:tcPr>
            <w:tcW w:w="1829" w:type="pct"/>
            <w:shd w:val="clear" w:color="auto" w:fill="auto"/>
            <w:vAlign w:val="center"/>
          </w:tcPr>
          <w:p w14:paraId="7233469F" w14:textId="5C6C1D99" w:rsidR="0070509E" w:rsidRPr="008266F5" w:rsidRDefault="0070509E" w:rsidP="007007C9">
            <w:pPr>
              <w:spacing w:before="0" w:after="0" w:line="276" w:lineRule="auto"/>
              <w:contextualSpacing/>
              <w:jc w:val="left"/>
              <w:rPr>
                <w:rFonts w:cstheme="minorHAnsi"/>
                <w:b/>
              </w:rPr>
            </w:pPr>
            <w:r w:rsidRPr="008266F5">
              <w:rPr>
                <w:rFonts w:cstheme="minorHAnsi"/>
                <w:b/>
              </w:rPr>
              <w:t>Titre</w:t>
            </w:r>
          </w:p>
        </w:tc>
        <w:tc>
          <w:tcPr>
            <w:tcW w:w="1506" w:type="pct"/>
            <w:shd w:val="clear" w:color="auto" w:fill="auto"/>
            <w:vAlign w:val="center"/>
          </w:tcPr>
          <w:p w14:paraId="34293A79"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Structures</w:t>
            </w:r>
          </w:p>
        </w:tc>
      </w:tr>
      <w:tr w:rsidR="0070509E" w:rsidRPr="008266F5" w14:paraId="17115CD5" w14:textId="77777777" w:rsidTr="0060123A">
        <w:trPr>
          <w:trHeight w:val="113"/>
          <w:jc w:val="center"/>
        </w:trPr>
        <w:tc>
          <w:tcPr>
            <w:tcW w:w="258" w:type="pct"/>
            <w:shd w:val="clear" w:color="auto" w:fill="auto"/>
            <w:vAlign w:val="center"/>
          </w:tcPr>
          <w:p w14:paraId="36B7359D"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D90930A"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Raymond Berthé </w:t>
            </w:r>
          </w:p>
        </w:tc>
        <w:tc>
          <w:tcPr>
            <w:tcW w:w="1829" w:type="pct"/>
            <w:shd w:val="clear" w:color="auto" w:fill="auto"/>
            <w:vAlign w:val="center"/>
          </w:tcPr>
          <w:p w14:paraId="1E65B9A8" w14:textId="77777777" w:rsidR="0070509E" w:rsidRPr="008266F5" w:rsidRDefault="0070509E" w:rsidP="007007C9">
            <w:pPr>
              <w:spacing w:before="0" w:after="0" w:line="276" w:lineRule="auto"/>
              <w:contextualSpacing/>
              <w:jc w:val="left"/>
              <w:rPr>
                <w:rFonts w:eastAsia="Times New Roman" w:cstheme="minorHAnsi"/>
              </w:rPr>
            </w:pPr>
            <w:r w:rsidRPr="008266F5">
              <w:rPr>
                <w:rFonts w:eastAsia="Times New Roman" w:cstheme="minorHAnsi"/>
              </w:rPr>
              <w:t>Responsable S</w:t>
            </w:r>
            <w:r w:rsidRPr="008266F5">
              <w:rPr>
                <w:rFonts w:cstheme="minorHAnsi"/>
              </w:rPr>
              <w:t xml:space="preserve">uivi Evaluation </w:t>
            </w:r>
          </w:p>
        </w:tc>
        <w:tc>
          <w:tcPr>
            <w:tcW w:w="1506" w:type="pct"/>
            <w:shd w:val="clear" w:color="auto" w:fill="auto"/>
            <w:vAlign w:val="center"/>
          </w:tcPr>
          <w:p w14:paraId="3F901F66"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2D9BD655" w14:textId="77777777" w:rsidTr="0060123A">
        <w:trPr>
          <w:trHeight w:val="113"/>
          <w:jc w:val="center"/>
        </w:trPr>
        <w:tc>
          <w:tcPr>
            <w:tcW w:w="258" w:type="pct"/>
            <w:shd w:val="clear" w:color="auto" w:fill="auto"/>
            <w:vAlign w:val="center"/>
          </w:tcPr>
          <w:p w14:paraId="10230384"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A4A91E8" w14:textId="77777777" w:rsidR="0070509E" w:rsidRPr="008266F5" w:rsidRDefault="0070509E" w:rsidP="007007C9">
            <w:pPr>
              <w:spacing w:before="0" w:after="0" w:line="276" w:lineRule="auto"/>
              <w:contextualSpacing/>
              <w:jc w:val="left"/>
              <w:rPr>
                <w:rFonts w:cstheme="minorHAnsi"/>
              </w:rPr>
            </w:pPr>
            <w:r>
              <w:rPr>
                <w:rFonts w:cstheme="minorHAnsi"/>
              </w:rPr>
              <w:t>Cyuma M Bayiha</w:t>
            </w:r>
          </w:p>
        </w:tc>
        <w:tc>
          <w:tcPr>
            <w:tcW w:w="1829" w:type="pct"/>
            <w:shd w:val="clear" w:color="auto" w:fill="auto"/>
            <w:vAlign w:val="center"/>
          </w:tcPr>
          <w:p w14:paraId="09CC388B" w14:textId="77777777" w:rsidR="0070509E" w:rsidRPr="008266F5" w:rsidRDefault="0070509E" w:rsidP="007007C9">
            <w:pPr>
              <w:spacing w:before="0" w:after="0" w:line="276" w:lineRule="auto"/>
              <w:contextualSpacing/>
              <w:jc w:val="left"/>
              <w:rPr>
                <w:rFonts w:eastAsia="Times New Roman" w:cstheme="minorHAnsi"/>
              </w:rPr>
            </w:pPr>
            <w:r>
              <w:rPr>
                <w:rFonts w:eastAsia="Times New Roman" w:cstheme="minorHAnsi"/>
              </w:rPr>
              <w:t>Spécialiste Suivi Evaluation</w:t>
            </w:r>
          </w:p>
        </w:tc>
        <w:tc>
          <w:tcPr>
            <w:tcW w:w="1506" w:type="pct"/>
            <w:shd w:val="clear" w:color="auto" w:fill="auto"/>
            <w:vAlign w:val="center"/>
          </w:tcPr>
          <w:p w14:paraId="7AA1D601"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AC04A6" w14:paraId="08D23A64" w14:textId="77777777" w:rsidTr="0060123A">
        <w:trPr>
          <w:trHeight w:val="113"/>
          <w:jc w:val="center"/>
        </w:trPr>
        <w:tc>
          <w:tcPr>
            <w:tcW w:w="258" w:type="pct"/>
            <w:shd w:val="clear" w:color="auto" w:fill="auto"/>
            <w:vAlign w:val="center"/>
          </w:tcPr>
          <w:p w14:paraId="4E7A38FE"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1E9585E" w14:textId="77777777" w:rsidR="0070509E" w:rsidRPr="008266F5" w:rsidRDefault="0070509E" w:rsidP="007007C9">
            <w:pPr>
              <w:spacing w:before="0" w:after="0" w:line="276" w:lineRule="auto"/>
              <w:contextualSpacing/>
              <w:jc w:val="left"/>
              <w:rPr>
                <w:rFonts w:eastAsia="Times New Roman" w:cstheme="minorHAnsi"/>
                <w:lang w:eastAsia="fr-FR"/>
              </w:rPr>
            </w:pPr>
            <w:r w:rsidRPr="008266F5">
              <w:rPr>
                <w:rFonts w:cstheme="minorHAnsi"/>
              </w:rPr>
              <w:t>Lou Akusua De Giuli</w:t>
            </w:r>
          </w:p>
        </w:tc>
        <w:tc>
          <w:tcPr>
            <w:tcW w:w="1829" w:type="pct"/>
            <w:shd w:val="clear" w:color="auto" w:fill="auto"/>
            <w:vAlign w:val="center"/>
          </w:tcPr>
          <w:p w14:paraId="2FEFDDCC" w14:textId="77777777" w:rsidR="0070509E" w:rsidRPr="008266F5" w:rsidRDefault="0070509E" w:rsidP="007007C9">
            <w:pPr>
              <w:spacing w:before="0" w:after="0" w:line="276" w:lineRule="auto"/>
              <w:contextualSpacing/>
              <w:jc w:val="left"/>
              <w:rPr>
                <w:rFonts w:eastAsia="Times New Roman" w:cstheme="minorHAnsi"/>
                <w:lang w:eastAsia="fr-FR"/>
              </w:rPr>
            </w:pPr>
            <w:r w:rsidRPr="008266F5">
              <w:rPr>
                <w:rFonts w:cstheme="minorHAnsi"/>
              </w:rPr>
              <w:t>Analyste Suivi-évaluation</w:t>
            </w:r>
          </w:p>
        </w:tc>
        <w:tc>
          <w:tcPr>
            <w:tcW w:w="1506" w:type="pct"/>
            <w:shd w:val="clear" w:color="auto" w:fill="auto"/>
            <w:vAlign w:val="center"/>
          </w:tcPr>
          <w:p w14:paraId="201CB82C" w14:textId="77777777" w:rsidR="0070509E" w:rsidRPr="00AC04A6" w:rsidRDefault="0070509E"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74672A5B" w14:textId="77777777" w:rsidTr="0060123A">
        <w:trPr>
          <w:trHeight w:val="113"/>
          <w:jc w:val="center"/>
        </w:trPr>
        <w:tc>
          <w:tcPr>
            <w:tcW w:w="258" w:type="pct"/>
            <w:shd w:val="clear" w:color="auto" w:fill="auto"/>
            <w:vAlign w:val="center"/>
          </w:tcPr>
          <w:p w14:paraId="0416CFF8"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7A351510" w14:textId="77777777" w:rsidR="0070509E" w:rsidRPr="008266F5" w:rsidRDefault="0070509E" w:rsidP="007007C9">
            <w:pPr>
              <w:spacing w:before="0" w:after="0" w:line="276" w:lineRule="auto"/>
              <w:contextualSpacing/>
              <w:jc w:val="left"/>
              <w:rPr>
                <w:rFonts w:cstheme="minorHAnsi"/>
              </w:rPr>
            </w:pPr>
            <w:r w:rsidRPr="008266F5">
              <w:rPr>
                <w:rFonts w:cstheme="minorHAnsi"/>
              </w:rPr>
              <w:t>Wanalher Ag Alwaly</w:t>
            </w:r>
          </w:p>
        </w:tc>
        <w:tc>
          <w:tcPr>
            <w:tcW w:w="1829" w:type="pct"/>
            <w:shd w:val="clear" w:color="auto" w:fill="auto"/>
            <w:vAlign w:val="center"/>
          </w:tcPr>
          <w:p w14:paraId="6175FAF3" w14:textId="77777777" w:rsidR="0070509E" w:rsidRPr="008266F5" w:rsidRDefault="0070509E" w:rsidP="007007C9">
            <w:pPr>
              <w:spacing w:before="0" w:after="0" w:line="276" w:lineRule="auto"/>
              <w:contextualSpacing/>
              <w:jc w:val="left"/>
              <w:rPr>
                <w:rFonts w:cstheme="minorHAnsi"/>
              </w:rPr>
            </w:pPr>
            <w:r w:rsidRPr="008266F5">
              <w:rPr>
                <w:rFonts w:eastAsia="Times New Roman" w:cstheme="minorHAnsi"/>
              </w:rPr>
              <w:t>Program manager</w:t>
            </w:r>
          </w:p>
        </w:tc>
        <w:tc>
          <w:tcPr>
            <w:tcW w:w="1506" w:type="pct"/>
            <w:shd w:val="clear" w:color="auto" w:fill="auto"/>
            <w:vAlign w:val="center"/>
          </w:tcPr>
          <w:p w14:paraId="06292B1A" w14:textId="77777777" w:rsidR="0070509E" w:rsidRPr="008266F5" w:rsidRDefault="0070509E" w:rsidP="007007C9">
            <w:pPr>
              <w:spacing w:before="0" w:after="0" w:line="276" w:lineRule="auto"/>
              <w:contextualSpacing/>
              <w:jc w:val="left"/>
              <w:rPr>
                <w:rFonts w:cstheme="minorHAnsi"/>
                <w:lang w:val="en-US"/>
              </w:rPr>
            </w:pPr>
            <w:r w:rsidRPr="008266F5">
              <w:rPr>
                <w:rFonts w:cstheme="minorHAnsi"/>
              </w:rPr>
              <w:t xml:space="preserve">ONU Femmes Mali </w:t>
            </w:r>
          </w:p>
        </w:tc>
      </w:tr>
      <w:tr w:rsidR="0070509E" w:rsidRPr="008266F5" w14:paraId="2F630CA1" w14:textId="77777777" w:rsidTr="0060123A">
        <w:trPr>
          <w:trHeight w:val="113"/>
          <w:jc w:val="center"/>
        </w:trPr>
        <w:tc>
          <w:tcPr>
            <w:tcW w:w="258" w:type="pct"/>
            <w:shd w:val="clear" w:color="auto" w:fill="auto"/>
            <w:vAlign w:val="center"/>
          </w:tcPr>
          <w:p w14:paraId="34D0E1D1"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C73D309" w14:textId="77777777" w:rsidR="0070509E" w:rsidRPr="008266F5" w:rsidRDefault="0070509E" w:rsidP="007007C9">
            <w:pPr>
              <w:spacing w:before="0" w:after="0" w:line="276" w:lineRule="auto"/>
              <w:contextualSpacing/>
              <w:jc w:val="left"/>
              <w:rPr>
                <w:rFonts w:cstheme="minorHAnsi"/>
              </w:rPr>
            </w:pPr>
            <w:r w:rsidRPr="008266F5">
              <w:rPr>
                <w:rFonts w:cstheme="minorHAnsi"/>
              </w:rPr>
              <w:t>Kassim Dabitao</w:t>
            </w:r>
          </w:p>
        </w:tc>
        <w:tc>
          <w:tcPr>
            <w:tcW w:w="1829" w:type="pct"/>
            <w:shd w:val="clear" w:color="auto" w:fill="auto"/>
            <w:vAlign w:val="center"/>
          </w:tcPr>
          <w:p w14:paraId="1273DE62"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Chargé Suivi Evaluation </w:t>
            </w:r>
          </w:p>
        </w:tc>
        <w:tc>
          <w:tcPr>
            <w:tcW w:w="1506" w:type="pct"/>
            <w:shd w:val="clear" w:color="auto" w:fill="auto"/>
            <w:vAlign w:val="center"/>
          </w:tcPr>
          <w:p w14:paraId="02270E7A"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52C16491" w14:textId="77777777" w:rsidTr="0060123A">
        <w:trPr>
          <w:trHeight w:val="113"/>
          <w:jc w:val="center"/>
        </w:trPr>
        <w:tc>
          <w:tcPr>
            <w:tcW w:w="258" w:type="pct"/>
            <w:shd w:val="clear" w:color="auto" w:fill="auto"/>
            <w:vAlign w:val="center"/>
          </w:tcPr>
          <w:p w14:paraId="05E839B6"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8FAAE98" w14:textId="77777777" w:rsidR="0070509E" w:rsidRPr="008266F5" w:rsidRDefault="0070509E" w:rsidP="007007C9">
            <w:pPr>
              <w:spacing w:before="0" w:after="0" w:line="276" w:lineRule="auto"/>
              <w:contextualSpacing/>
              <w:jc w:val="left"/>
              <w:rPr>
                <w:rFonts w:cstheme="minorHAnsi"/>
              </w:rPr>
            </w:pPr>
            <w:r w:rsidRPr="008266F5">
              <w:rPr>
                <w:rFonts w:cstheme="minorHAnsi"/>
              </w:rPr>
              <w:t>Juliette De Montmollin</w:t>
            </w:r>
          </w:p>
        </w:tc>
        <w:tc>
          <w:tcPr>
            <w:tcW w:w="1829" w:type="pct"/>
            <w:shd w:val="clear" w:color="auto" w:fill="auto"/>
            <w:vAlign w:val="center"/>
          </w:tcPr>
          <w:p w14:paraId="0408CEE5"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Assistante Suivi Evaluation </w:t>
            </w:r>
          </w:p>
        </w:tc>
        <w:tc>
          <w:tcPr>
            <w:tcW w:w="1506" w:type="pct"/>
            <w:shd w:val="clear" w:color="auto" w:fill="auto"/>
            <w:vAlign w:val="center"/>
          </w:tcPr>
          <w:p w14:paraId="60F5DA37" w14:textId="77777777" w:rsidR="0070509E" w:rsidRPr="008266F5" w:rsidRDefault="0070509E" w:rsidP="007007C9">
            <w:pPr>
              <w:spacing w:before="0" w:after="0" w:line="276" w:lineRule="auto"/>
              <w:contextualSpacing/>
              <w:jc w:val="left"/>
              <w:rPr>
                <w:rFonts w:cstheme="minorHAnsi"/>
              </w:rPr>
            </w:pPr>
            <w:r w:rsidRPr="008266F5">
              <w:rPr>
                <w:rFonts w:cstheme="minorHAnsi"/>
              </w:rPr>
              <w:t>ONU Femmes Mali</w:t>
            </w:r>
          </w:p>
        </w:tc>
      </w:tr>
      <w:tr w:rsidR="0070509E" w:rsidRPr="008266F5" w14:paraId="61DDB1E3" w14:textId="77777777" w:rsidTr="0060123A">
        <w:trPr>
          <w:trHeight w:val="113"/>
          <w:jc w:val="center"/>
        </w:trPr>
        <w:tc>
          <w:tcPr>
            <w:tcW w:w="258" w:type="pct"/>
            <w:shd w:val="clear" w:color="auto" w:fill="auto"/>
            <w:vAlign w:val="center"/>
          </w:tcPr>
          <w:p w14:paraId="603C00CA"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78F737B8"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Métanga Justin Dembélé </w:t>
            </w:r>
          </w:p>
        </w:tc>
        <w:tc>
          <w:tcPr>
            <w:tcW w:w="1829" w:type="pct"/>
            <w:shd w:val="clear" w:color="auto" w:fill="auto"/>
            <w:vAlign w:val="center"/>
          </w:tcPr>
          <w:p w14:paraId="3F219517" w14:textId="77777777" w:rsidR="0070509E" w:rsidRPr="008266F5" w:rsidRDefault="0070509E" w:rsidP="007007C9">
            <w:pPr>
              <w:spacing w:before="0" w:after="0" w:line="276" w:lineRule="auto"/>
              <w:contextualSpacing/>
              <w:jc w:val="left"/>
              <w:rPr>
                <w:rFonts w:cstheme="minorHAnsi"/>
              </w:rPr>
            </w:pPr>
            <w:r w:rsidRPr="008266F5">
              <w:rPr>
                <w:rFonts w:cstheme="minorHAnsi"/>
              </w:rPr>
              <w:t>Chargé Suivi Evaluation</w:t>
            </w:r>
          </w:p>
        </w:tc>
        <w:tc>
          <w:tcPr>
            <w:tcW w:w="1506" w:type="pct"/>
            <w:shd w:val="clear" w:color="auto" w:fill="auto"/>
            <w:vAlign w:val="center"/>
          </w:tcPr>
          <w:p w14:paraId="066167F4" w14:textId="77777777" w:rsidR="0070509E" w:rsidRPr="008266F5" w:rsidRDefault="0070509E" w:rsidP="007007C9">
            <w:pPr>
              <w:spacing w:before="0" w:after="0" w:line="276" w:lineRule="auto"/>
              <w:contextualSpacing/>
              <w:jc w:val="left"/>
              <w:rPr>
                <w:rFonts w:cstheme="minorHAnsi"/>
              </w:rPr>
            </w:pPr>
            <w:r w:rsidRPr="008266F5">
              <w:rPr>
                <w:rFonts w:cstheme="minorHAnsi"/>
              </w:rPr>
              <w:t>ONU Femmes Mali</w:t>
            </w:r>
          </w:p>
        </w:tc>
      </w:tr>
      <w:tr w:rsidR="0070509E" w:rsidRPr="008266F5" w14:paraId="5F5CC751" w14:textId="77777777" w:rsidTr="0060123A">
        <w:trPr>
          <w:trHeight w:val="113"/>
          <w:jc w:val="center"/>
        </w:trPr>
        <w:tc>
          <w:tcPr>
            <w:tcW w:w="258" w:type="pct"/>
            <w:shd w:val="clear" w:color="auto" w:fill="auto"/>
            <w:vAlign w:val="center"/>
          </w:tcPr>
          <w:p w14:paraId="10FE3ECA"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04BB7F63" w14:textId="77777777" w:rsidR="0070509E" w:rsidRPr="008266F5" w:rsidRDefault="0070509E" w:rsidP="007007C9">
            <w:pPr>
              <w:spacing w:before="0" w:after="0" w:line="276" w:lineRule="auto"/>
              <w:contextualSpacing/>
              <w:jc w:val="left"/>
              <w:rPr>
                <w:rFonts w:cstheme="minorHAnsi"/>
              </w:rPr>
            </w:pPr>
            <w:r w:rsidRPr="008266F5">
              <w:rPr>
                <w:rFonts w:eastAsia="Times New Roman"/>
              </w:rPr>
              <w:t>Kissima SYLLA </w:t>
            </w:r>
          </w:p>
        </w:tc>
        <w:tc>
          <w:tcPr>
            <w:tcW w:w="1829" w:type="pct"/>
            <w:shd w:val="clear" w:color="auto" w:fill="auto"/>
            <w:vAlign w:val="center"/>
          </w:tcPr>
          <w:p w14:paraId="2812AEB1" w14:textId="77777777" w:rsidR="0070509E" w:rsidRPr="008266F5" w:rsidRDefault="0070509E" w:rsidP="007007C9">
            <w:pPr>
              <w:spacing w:before="0" w:after="0" w:line="276" w:lineRule="auto"/>
              <w:contextualSpacing/>
              <w:jc w:val="left"/>
              <w:rPr>
                <w:rFonts w:cstheme="minorHAnsi"/>
              </w:rPr>
            </w:pPr>
            <w:r w:rsidRPr="008266F5">
              <w:rPr>
                <w:rFonts w:eastAsia="Times New Roman"/>
              </w:rPr>
              <w:t>Responsable donateur PBF </w:t>
            </w:r>
          </w:p>
        </w:tc>
        <w:tc>
          <w:tcPr>
            <w:tcW w:w="1506" w:type="pct"/>
            <w:shd w:val="clear" w:color="auto" w:fill="auto"/>
            <w:vAlign w:val="center"/>
          </w:tcPr>
          <w:p w14:paraId="6FC478D7" w14:textId="77777777" w:rsidR="0070509E" w:rsidRPr="008266F5" w:rsidRDefault="0070509E" w:rsidP="007007C9">
            <w:pPr>
              <w:spacing w:before="0" w:after="0" w:line="276" w:lineRule="auto"/>
              <w:contextualSpacing/>
              <w:jc w:val="left"/>
              <w:rPr>
                <w:rFonts w:cstheme="minorHAnsi"/>
              </w:rPr>
            </w:pPr>
            <w:r w:rsidRPr="008266F5">
              <w:rPr>
                <w:rFonts w:cstheme="minorHAnsi"/>
                <w:lang w:val="en-US"/>
              </w:rPr>
              <w:t>PBF Mali</w:t>
            </w:r>
          </w:p>
        </w:tc>
      </w:tr>
      <w:tr w:rsidR="0070509E" w:rsidRPr="008266F5" w14:paraId="0AA65848" w14:textId="77777777" w:rsidTr="0060123A">
        <w:trPr>
          <w:trHeight w:val="113"/>
          <w:jc w:val="center"/>
        </w:trPr>
        <w:tc>
          <w:tcPr>
            <w:tcW w:w="258" w:type="pct"/>
            <w:shd w:val="clear" w:color="auto" w:fill="auto"/>
            <w:vAlign w:val="center"/>
          </w:tcPr>
          <w:p w14:paraId="055747F8"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0070AAE5" w14:textId="77777777" w:rsidR="0070509E" w:rsidRPr="008266F5" w:rsidRDefault="0070509E" w:rsidP="007007C9">
            <w:pPr>
              <w:spacing w:before="0" w:after="0" w:line="276" w:lineRule="auto"/>
              <w:contextualSpacing/>
              <w:jc w:val="left"/>
              <w:rPr>
                <w:rFonts w:eastAsia="Times New Roman"/>
              </w:rPr>
            </w:pPr>
            <w:r>
              <w:rPr>
                <w:rFonts w:eastAsia="Times New Roman"/>
              </w:rPr>
              <w:t>Alfred Borbor</w:t>
            </w:r>
          </w:p>
        </w:tc>
        <w:tc>
          <w:tcPr>
            <w:tcW w:w="1829" w:type="pct"/>
            <w:shd w:val="clear" w:color="auto" w:fill="auto"/>
            <w:vAlign w:val="center"/>
          </w:tcPr>
          <w:p w14:paraId="7D58D6B3" w14:textId="77777777" w:rsidR="0070509E" w:rsidRPr="008266F5" w:rsidRDefault="0070509E" w:rsidP="007007C9">
            <w:pPr>
              <w:spacing w:before="0" w:after="0" w:line="276" w:lineRule="auto"/>
              <w:contextualSpacing/>
              <w:jc w:val="left"/>
              <w:rPr>
                <w:rFonts w:eastAsia="Times New Roman"/>
              </w:rPr>
            </w:pPr>
            <w:r>
              <w:rPr>
                <w:rFonts w:eastAsia="Times New Roman"/>
              </w:rPr>
              <w:t>Expert suivi-évaluation PBF</w:t>
            </w:r>
          </w:p>
        </w:tc>
        <w:tc>
          <w:tcPr>
            <w:tcW w:w="1506" w:type="pct"/>
            <w:shd w:val="clear" w:color="auto" w:fill="auto"/>
            <w:vAlign w:val="center"/>
          </w:tcPr>
          <w:p w14:paraId="5431841E" w14:textId="77777777" w:rsidR="0070509E" w:rsidRPr="008266F5" w:rsidRDefault="0070509E" w:rsidP="007007C9">
            <w:pPr>
              <w:spacing w:before="0" w:after="0" w:line="276" w:lineRule="auto"/>
              <w:contextualSpacing/>
              <w:jc w:val="left"/>
              <w:rPr>
                <w:rFonts w:cstheme="minorHAnsi"/>
                <w:lang w:val="en-US"/>
              </w:rPr>
            </w:pPr>
            <w:r>
              <w:rPr>
                <w:rFonts w:cstheme="minorHAnsi"/>
                <w:lang w:val="en-US"/>
              </w:rPr>
              <w:t>PBF Mali</w:t>
            </w:r>
          </w:p>
        </w:tc>
      </w:tr>
      <w:tr w:rsidR="008C5FD3" w:rsidRPr="008266F5" w14:paraId="2186BA44" w14:textId="77777777" w:rsidTr="0060123A">
        <w:trPr>
          <w:trHeight w:val="113"/>
          <w:jc w:val="center"/>
        </w:trPr>
        <w:tc>
          <w:tcPr>
            <w:tcW w:w="258" w:type="pct"/>
            <w:shd w:val="clear" w:color="auto" w:fill="auto"/>
            <w:vAlign w:val="center"/>
          </w:tcPr>
          <w:p w14:paraId="70987AB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tcPr>
          <w:p w14:paraId="24A86153" w14:textId="27437E2C" w:rsidR="008C5FD3" w:rsidRPr="008C5FD3" w:rsidRDefault="008C5FD3" w:rsidP="008C5FD3">
            <w:pPr>
              <w:contextualSpacing/>
              <w:rPr>
                <w:rFonts w:cstheme="minorHAnsi"/>
              </w:rPr>
            </w:pPr>
            <w:r w:rsidRPr="00C53A6F">
              <w:rPr>
                <w:rFonts w:cstheme="minorHAnsi"/>
              </w:rPr>
              <w:t>Abdoulaye M. Fily SISSOKO</w:t>
            </w:r>
          </w:p>
        </w:tc>
        <w:tc>
          <w:tcPr>
            <w:tcW w:w="1829" w:type="pct"/>
            <w:shd w:val="clear" w:color="auto" w:fill="auto"/>
          </w:tcPr>
          <w:p w14:paraId="6AAA7275" w14:textId="0A369D26" w:rsidR="008C5FD3" w:rsidRPr="008266F5" w:rsidRDefault="008C5FD3" w:rsidP="008C5FD3">
            <w:pPr>
              <w:spacing w:before="0" w:after="0" w:line="276" w:lineRule="auto"/>
              <w:contextualSpacing/>
              <w:jc w:val="left"/>
              <w:rPr>
                <w:rFonts w:eastAsia="Times New Roman"/>
              </w:rPr>
            </w:pPr>
            <w:r w:rsidRPr="00C53A6F">
              <w:rPr>
                <w:rFonts w:cstheme="minorHAnsi"/>
              </w:rPr>
              <w:t>Chargé des Projets et Programmes</w:t>
            </w:r>
          </w:p>
        </w:tc>
        <w:tc>
          <w:tcPr>
            <w:tcW w:w="1506" w:type="pct"/>
            <w:shd w:val="clear" w:color="auto" w:fill="auto"/>
            <w:vAlign w:val="center"/>
          </w:tcPr>
          <w:p w14:paraId="27F5F362" w14:textId="04A90E68" w:rsidR="008C5FD3" w:rsidRPr="008266F5" w:rsidRDefault="008C5FD3" w:rsidP="008C5FD3">
            <w:pPr>
              <w:spacing w:before="0" w:after="0" w:line="276" w:lineRule="auto"/>
              <w:contextualSpacing/>
              <w:jc w:val="left"/>
              <w:rPr>
                <w:rFonts w:eastAsia="Times New Roman"/>
              </w:rPr>
            </w:pPr>
            <w:r w:rsidRPr="00C53A6F">
              <w:rPr>
                <w:rFonts w:cstheme="minorHAnsi"/>
              </w:rPr>
              <w:t>ONG CARD</w:t>
            </w:r>
            <w:r>
              <w:rPr>
                <w:rFonts w:cstheme="minorHAnsi"/>
              </w:rPr>
              <w:t xml:space="preserve"> Mali </w:t>
            </w:r>
          </w:p>
        </w:tc>
      </w:tr>
      <w:tr w:rsidR="008C5FD3" w:rsidRPr="008266F5" w14:paraId="5B25F9DB" w14:textId="77777777" w:rsidTr="0060123A">
        <w:trPr>
          <w:trHeight w:val="113"/>
          <w:jc w:val="center"/>
        </w:trPr>
        <w:tc>
          <w:tcPr>
            <w:tcW w:w="258" w:type="pct"/>
            <w:shd w:val="clear" w:color="auto" w:fill="auto"/>
            <w:vAlign w:val="center"/>
          </w:tcPr>
          <w:p w14:paraId="6C3C935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tcPr>
          <w:p w14:paraId="6AED9525" w14:textId="66CE2DA4" w:rsidR="008C5FD3" w:rsidRPr="008266F5" w:rsidRDefault="008C5FD3" w:rsidP="008C5FD3">
            <w:pPr>
              <w:spacing w:before="0" w:after="0" w:line="276" w:lineRule="auto"/>
              <w:contextualSpacing/>
              <w:jc w:val="left"/>
              <w:rPr>
                <w:rFonts w:eastAsia="Times New Roman"/>
              </w:rPr>
            </w:pPr>
            <w:r w:rsidRPr="00C53A6F">
              <w:rPr>
                <w:rFonts w:cstheme="minorHAnsi"/>
              </w:rPr>
              <w:t xml:space="preserve">Soumeylou Soumaré </w:t>
            </w:r>
          </w:p>
        </w:tc>
        <w:tc>
          <w:tcPr>
            <w:tcW w:w="1829" w:type="pct"/>
            <w:shd w:val="clear" w:color="auto" w:fill="auto"/>
          </w:tcPr>
          <w:p w14:paraId="377FA826" w14:textId="0EB9DACD" w:rsidR="008C5FD3" w:rsidRPr="008266F5" w:rsidRDefault="008C5FD3" w:rsidP="008C5FD3">
            <w:pPr>
              <w:spacing w:before="0" w:after="0" w:line="276" w:lineRule="auto"/>
              <w:contextualSpacing/>
              <w:jc w:val="left"/>
              <w:rPr>
                <w:rFonts w:eastAsia="Times New Roman"/>
              </w:rPr>
            </w:pPr>
            <w:r w:rsidRPr="00C53A6F">
              <w:rPr>
                <w:rFonts w:cstheme="minorHAnsi"/>
              </w:rPr>
              <w:t xml:space="preserve">Coordinateur du projet </w:t>
            </w:r>
          </w:p>
        </w:tc>
        <w:tc>
          <w:tcPr>
            <w:tcW w:w="1506" w:type="pct"/>
            <w:shd w:val="clear" w:color="auto" w:fill="auto"/>
            <w:vAlign w:val="center"/>
          </w:tcPr>
          <w:p w14:paraId="37628F73" w14:textId="5B2180C9" w:rsidR="008C5FD3" w:rsidRPr="008266F5" w:rsidRDefault="008C5FD3" w:rsidP="008C5FD3">
            <w:pPr>
              <w:spacing w:before="0" w:after="0" w:line="276" w:lineRule="auto"/>
              <w:contextualSpacing/>
              <w:jc w:val="left"/>
              <w:rPr>
                <w:rFonts w:eastAsia="Times New Roman"/>
              </w:rPr>
            </w:pPr>
            <w:r>
              <w:rPr>
                <w:rFonts w:cstheme="minorHAnsi"/>
              </w:rPr>
              <w:t xml:space="preserve">ONG </w:t>
            </w:r>
            <w:r w:rsidRPr="00C53A6F">
              <w:rPr>
                <w:rFonts w:cstheme="minorHAnsi"/>
              </w:rPr>
              <w:t>CRADE</w:t>
            </w:r>
            <w:r>
              <w:rPr>
                <w:rFonts w:cstheme="minorHAnsi"/>
              </w:rPr>
              <w:t xml:space="preserve"> Mali </w:t>
            </w:r>
          </w:p>
        </w:tc>
      </w:tr>
      <w:tr w:rsidR="008C5FD3" w:rsidRPr="008266F5" w14:paraId="0CA60B93" w14:textId="77777777" w:rsidTr="0060123A">
        <w:trPr>
          <w:trHeight w:val="113"/>
          <w:jc w:val="center"/>
        </w:trPr>
        <w:tc>
          <w:tcPr>
            <w:tcW w:w="258" w:type="pct"/>
            <w:shd w:val="clear" w:color="auto" w:fill="auto"/>
            <w:vAlign w:val="center"/>
          </w:tcPr>
          <w:p w14:paraId="2A956C6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16D096E"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Moussa B. MAIGA </w:t>
            </w:r>
          </w:p>
        </w:tc>
        <w:tc>
          <w:tcPr>
            <w:tcW w:w="1829" w:type="pct"/>
            <w:shd w:val="clear" w:color="auto" w:fill="auto"/>
            <w:vAlign w:val="center"/>
          </w:tcPr>
          <w:p w14:paraId="0F0FA285"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 xml:space="preserve">Président </w:t>
            </w:r>
          </w:p>
        </w:tc>
        <w:tc>
          <w:tcPr>
            <w:tcW w:w="1506" w:type="pct"/>
            <w:shd w:val="clear" w:color="auto" w:fill="auto"/>
            <w:vAlign w:val="center"/>
          </w:tcPr>
          <w:p w14:paraId="65DA8ED2" w14:textId="77777777" w:rsidR="008C5FD3" w:rsidRPr="008266F5" w:rsidRDefault="008C5FD3" w:rsidP="008C5FD3">
            <w:pPr>
              <w:spacing w:before="0" w:after="0" w:line="276" w:lineRule="auto"/>
              <w:contextualSpacing/>
              <w:jc w:val="left"/>
              <w:rPr>
                <w:rFonts w:cstheme="minorHAnsi"/>
              </w:rPr>
            </w:pPr>
            <w:r w:rsidRPr="008266F5">
              <w:rPr>
                <w:rFonts w:eastAsia="Times New Roman"/>
              </w:rPr>
              <w:t>Conseil communal des jeunes de Gao</w:t>
            </w:r>
            <w:r>
              <w:rPr>
                <w:rFonts w:eastAsia="Times New Roman"/>
              </w:rPr>
              <w:t xml:space="preserve"> (Mali)</w:t>
            </w:r>
          </w:p>
        </w:tc>
      </w:tr>
      <w:tr w:rsidR="008C5FD3" w:rsidRPr="008266F5" w14:paraId="031D8C88" w14:textId="77777777" w:rsidTr="0060123A">
        <w:trPr>
          <w:trHeight w:val="113"/>
          <w:jc w:val="center"/>
        </w:trPr>
        <w:tc>
          <w:tcPr>
            <w:tcW w:w="258" w:type="pct"/>
            <w:shd w:val="clear" w:color="auto" w:fill="auto"/>
            <w:vAlign w:val="center"/>
          </w:tcPr>
          <w:p w14:paraId="5916AE7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630D211" w14:textId="77777777" w:rsidR="008C5FD3" w:rsidRPr="008266F5" w:rsidRDefault="008C5FD3" w:rsidP="008C5FD3">
            <w:pPr>
              <w:spacing w:before="0" w:after="0" w:line="276" w:lineRule="auto"/>
              <w:jc w:val="left"/>
              <w:rPr>
                <w:rFonts w:eastAsia="Times New Roman"/>
              </w:rPr>
            </w:pPr>
            <w:r w:rsidRPr="008266F5">
              <w:rPr>
                <w:rFonts w:eastAsia="Times New Roman"/>
              </w:rPr>
              <w:t>Drissa N’Golo COULIBALY</w:t>
            </w:r>
          </w:p>
        </w:tc>
        <w:tc>
          <w:tcPr>
            <w:tcW w:w="1829" w:type="pct"/>
            <w:shd w:val="clear" w:color="auto" w:fill="auto"/>
            <w:vAlign w:val="center"/>
          </w:tcPr>
          <w:p w14:paraId="29F7BC28"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Président</w:t>
            </w:r>
          </w:p>
        </w:tc>
        <w:tc>
          <w:tcPr>
            <w:tcW w:w="1506" w:type="pct"/>
            <w:shd w:val="clear" w:color="auto" w:fill="auto"/>
            <w:vAlign w:val="center"/>
          </w:tcPr>
          <w:p w14:paraId="55CBB64D" w14:textId="377CA40F" w:rsidR="008C5FD3" w:rsidRPr="007007C9" w:rsidRDefault="008C5FD3" w:rsidP="008C5FD3">
            <w:pPr>
              <w:spacing w:before="0" w:after="0" w:line="276" w:lineRule="auto"/>
              <w:jc w:val="left"/>
              <w:rPr>
                <w:rFonts w:eastAsia="Times New Roman"/>
              </w:rPr>
            </w:pPr>
            <w:r w:rsidRPr="008266F5">
              <w:rPr>
                <w:rFonts w:eastAsia="Times New Roman"/>
              </w:rPr>
              <w:t>Tribunal de grande Instance de Gao</w:t>
            </w:r>
            <w:r>
              <w:rPr>
                <w:rFonts w:eastAsia="Times New Roman"/>
              </w:rPr>
              <w:t xml:space="preserve"> (Mali)</w:t>
            </w:r>
          </w:p>
        </w:tc>
      </w:tr>
      <w:tr w:rsidR="008C5FD3" w:rsidRPr="005E6420" w14:paraId="25F23EA0" w14:textId="77777777" w:rsidTr="0060123A">
        <w:trPr>
          <w:trHeight w:val="113"/>
          <w:jc w:val="center"/>
        </w:trPr>
        <w:tc>
          <w:tcPr>
            <w:tcW w:w="258" w:type="pct"/>
            <w:shd w:val="clear" w:color="auto" w:fill="auto"/>
            <w:vAlign w:val="center"/>
          </w:tcPr>
          <w:p w14:paraId="1FA4E7BE"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45B2F8E" w14:textId="77777777" w:rsidR="008C5FD3" w:rsidRPr="008266F5" w:rsidRDefault="008C5FD3" w:rsidP="008C5FD3">
            <w:pPr>
              <w:spacing w:before="0" w:after="0" w:line="276" w:lineRule="auto"/>
              <w:jc w:val="left"/>
              <w:rPr>
                <w:rFonts w:eastAsia="Times New Roman"/>
              </w:rPr>
            </w:pPr>
            <w:r w:rsidRPr="008266F5">
              <w:rPr>
                <w:rFonts w:eastAsia="Times New Roman"/>
              </w:rPr>
              <w:t>Commissaire Principale Hawa COULIBALY </w:t>
            </w:r>
          </w:p>
        </w:tc>
        <w:tc>
          <w:tcPr>
            <w:tcW w:w="1829" w:type="pct"/>
            <w:shd w:val="clear" w:color="auto" w:fill="auto"/>
            <w:vAlign w:val="center"/>
          </w:tcPr>
          <w:p w14:paraId="093C28AA" w14:textId="77777777" w:rsidR="008C5FD3" w:rsidRPr="008266F5" w:rsidRDefault="008C5FD3" w:rsidP="008C5FD3">
            <w:pPr>
              <w:spacing w:before="0" w:after="0" w:line="276" w:lineRule="auto"/>
              <w:jc w:val="left"/>
              <w:rPr>
                <w:rFonts w:eastAsia="Times New Roman"/>
              </w:rPr>
            </w:pPr>
            <w:r w:rsidRPr="008266F5">
              <w:rPr>
                <w:rFonts w:eastAsia="Times New Roman"/>
              </w:rPr>
              <w:t xml:space="preserve">Responsable Genre </w:t>
            </w:r>
          </w:p>
        </w:tc>
        <w:tc>
          <w:tcPr>
            <w:tcW w:w="1506" w:type="pct"/>
            <w:shd w:val="clear" w:color="auto" w:fill="auto"/>
            <w:vAlign w:val="center"/>
          </w:tcPr>
          <w:p w14:paraId="63F0BF92" w14:textId="77777777" w:rsidR="008C5FD3" w:rsidRPr="005E6420" w:rsidRDefault="008C5FD3" w:rsidP="008C5FD3">
            <w:pPr>
              <w:spacing w:before="0" w:after="0" w:line="276" w:lineRule="auto"/>
              <w:jc w:val="left"/>
              <w:rPr>
                <w:rFonts w:eastAsia="Times New Roman"/>
              </w:rPr>
            </w:pPr>
            <w:r w:rsidRPr="008266F5">
              <w:rPr>
                <w:rFonts w:eastAsia="Times New Roman"/>
              </w:rPr>
              <w:t>Police Nationale</w:t>
            </w:r>
            <w:r>
              <w:rPr>
                <w:rFonts w:eastAsia="Times New Roman"/>
              </w:rPr>
              <w:t xml:space="preserve"> (Mali)</w:t>
            </w:r>
          </w:p>
        </w:tc>
      </w:tr>
      <w:tr w:rsidR="008C5FD3" w:rsidRPr="008266F5" w14:paraId="52F1106B" w14:textId="77777777" w:rsidTr="0060123A">
        <w:tblPrEx>
          <w:jc w:val="left"/>
        </w:tblPrEx>
        <w:trPr>
          <w:trHeight w:val="113"/>
        </w:trPr>
        <w:tc>
          <w:tcPr>
            <w:tcW w:w="258" w:type="pct"/>
            <w:shd w:val="clear" w:color="auto" w:fill="auto"/>
            <w:vAlign w:val="center"/>
          </w:tcPr>
          <w:p w14:paraId="595939E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F0EE1C1"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Paul Moussa</w:t>
            </w:r>
          </w:p>
        </w:tc>
        <w:tc>
          <w:tcPr>
            <w:tcW w:w="1829" w:type="pct"/>
            <w:shd w:val="clear" w:color="auto" w:fill="auto"/>
            <w:vAlign w:val="center"/>
          </w:tcPr>
          <w:p w14:paraId="08F7819B"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Program manager</w:t>
            </w:r>
          </w:p>
        </w:tc>
        <w:tc>
          <w:tcPr>
            <w:tcW w:w="1506" w:type="pct"/>
            <w:shd w:val="clear" w:color="auto" w:fill="auto"/>
            <w:vAlign w:val="center"/>
          </w:tcPr>
          <w:p w14:paraId="1A33DEA5"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ONU Femmes Niger </w:t>
            </w:r>
          </w:p>
        </w:tc>
      </w:tr>
      <w:tr w:rsidR="008C5FD3" w:rsidRPr="008266F5" w14:paraId="3E8D0ECE" w14:textId="77777777" w:rsidTr="0060123A">
        <w:tblPrEx>
          <w:jc w:val="left"/>
        </w:tblPrEx>
        <w:trPr>
          <w:trHeight w:val="113"/>
        </w:trPr>
        <w:tc>
          <w:tcPr>
            <w:tcW w:w="258" w:type="pct"/>
            <w:shd w:val="clear" w:color="auto" w:fill="auto"/>
            <w:vAlign w:val="center"/>
          </w:tcPr>
          <w:p w14:paraId="050FC6B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9473F42"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Achille Sommo</w:t>
            </w:r>
          </w:p>
        </w:tc>
        <w:tc>
          <w:tcPr>
            <w:tcW w:w="1829" w:type="pct"/>
            <w:shd w:val="clear" w:color="auto" w:fill="auto"/>
            <w:vAlign w:val="center"/>
          </w:tcPr>
          <w:p w14:paraId="4D52AC94"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Program specialist</w:t>
            </w:r>
          </w:p>
        </w:tc>
        <w:tc>
          <w:tcPr>
            <w:tcW w:w="1506" w:type="pct"/>
            <w:shd w:val="clear" w:color="auto" w:fill="auto"/>
            <w:vAlign w:val="center"/>
          </w:tcPr>
          <w:p w14:paraId="77B38F4A"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ONU Femmes Niger </w:t>
            </w:r>
          </w:p>
        </w:tc>
      </w:tr>
      <w:tr w:rsidR="008C5FD3" w:rsidRPr="008266F5" w14:paraId="0020B404" w14:textId="77777777" w:rsidTr="0060123A">
        <w:tblPrEx>
          <w:jc w:val="left"/>
        </w:tblPrEx>
        <w:trPr>
          <w:trHeight w:val="77"/>
        </w:trPr>
        <w:tc>
          <w:tcPr>
            <w:tcW w:w="258" w:type="pct"/>
            <w:shd w:val="clear" w:color="auto" w:fill="auto"/>
            <w:vAlign w:val="center"/>
          </w:tcPr>
          <w:p w14:paraId="447DD7A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AC78501"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Mamoudou Soumana </w:t>
            </w:r>
          </w:p>
          <w:p w14:paraId="43462E96" w14:textId="77777777" w:rsidR="008C5FD3" w:rsidRPr="008266F5" w:rsidRDefault="008C5FD3" w:rsidP="008C5FD3">
            <w:pPr>
              <w:spacing w:before="0" w:after="0" w:line="276" w:lineRule="auto"/>
              <w:jc w:val="left"/>
              <w:rPr>
                <w:rFonts w:eastAsia="Times New Roman" w:cstheme="minorHAnsi"/>
              </w:rPr>
            </w:pPr>
          </w:p>
        </w:tc>
        <w:tc>
          <w:tcPr>
            <w:tcW w:w="1829" w:type="pct"/>
            <w:shd w:val="clear" w:color="auto" w:fill="auto"/>
            <w:vAlign w:val="center"/>
          </w:tcPr>
          <w:p w14:paraId="7676054F"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Spécialiste M&amp;E</w:t>
            </w:r>
          </w:p>
        </w:tc>
        <w:tc>
          <w:tcPr>
            <w:tcW w:w="1506" w:type="pct"/>
            <w:shd w:val="clear" w:color="auto" w:fill="auto"/>
            <w:vAlign w:val="center"/>
          </w:tcPr>
          <w:p w14:paraId="28B69938"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ONU Femmes Niger </w:t>
            </w:r>
          </w:p>
        </w:tc>
      </w:tr>
      <w:tr w:rsidR="008C5FD3" w:rsidRPr="008266F5" w14:paraId="39CF5ADB" w14:textId="77777777" w:rsidTr="0060123A">
        <w:tblPrEx>
          <w:jc w:val="left"/>
        </w:tblPrEx>
        <w:trPr>
          <w:trHeight w:val="482"/>
        </w:trPr>
        <w:tc>
          <w:tcPr>
            <w:tcW w:w="258" w:type="pct"/>
            <w:shd w:val="clear" w:color="auto" w:fill="auto"/>
            <w:vAlign w:val="center"/>
          </w:tcPr>
          <w:p w14:paraId="01A6B98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6388CD8A" w14:textId="725B18EE"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Jean-claude Cigwerhe </w:t>
            </w:r>
          </w:p>
        </w:tc>
        <w:tc>
          <w:tcPr>
            <w:tcW w:w="1829" w:type="pct"/>
            <w:shd w:val="clear" w:color="auto" w:fill="auto"/>
            <w:vAlign w:val="center"/>
          </w:tcPr>
          <w:p w14:paraId="12421069" w14:textId="77777777" w:rsidR="008C5FD3" w:rsidRPr="008266F5" w:rsidRDefault="008C5FD3" w:rsidP="008C5FD3">
            <w:pPr>
              <w:spacing w:before="0" w:after="0" w:line="276" w:lineRule="auto"/>
              <w:contextualSpacing/>
              <w:jc w:val="left"/>
              <w:rPr>
                <w:rFonts w:eastAsia="Times New Roman" w:cstheme="minorHAnsi"/>
              </w:rPr>
            </w:pPr>
            <w:r w:rsidRPr="008266F5">
              <w:rPr>
                <w:rFonts w:cstheme="minorHAnsi"/>
              </w:rPr>
              <w:t>Coordonnateur International PBF</w:t>
            </w:r>
          </w:p>
        </w:tc>
        <w:tc>
          <w:tcPr>
            <w:tcW w:w="1506" w:type="pct"/>
            <w:shd w:val="clear" w:color="auto" w:fill="auto"/>
            <w:vAlign w:val="center"/>
          </w:tcPr>
          <w:p w14:paraId="0B7C477E"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 xml:space="preserve">PBF (Niger) </w:t>
            </w:r>
          </w:p>
        </w:tc>
      </w:tr>
      <w:tr w:rsidR="008C5FD3" w:rsidRPr="008266F5" w14:paraId="7BC43EFD" w14:textId="77777777" w:rsidTr="0060123A">
        <w:tblPrEx>
          <w:jc w:val="left"/>
        </w:tblPrEx>
        <w:trPr>
          <w:trHeight w:val="113"/>
        </w:trPr>
        <w:tc>
          <w:tcPr>
            <w:tcW w:w="258" w:type="pct"/>
            <w:shd w:val="clear" w:color="auto" w:fill="auto"/>
            <w:vAlign w:val="center"/>
          </w:tcPr>
          <w:p w14:paraId="62DD523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FA896FF"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 xml:space="preserve">Emmanuel Djounoumbi </w:t>
            </w:r>
          </w:p>
        </w:tc>
        <w:tc>
          <w:tcPr>
            <w:tcW w:w="1829" w:type="pct"/>
            <w:shd w:val="clear" w:color="auto" w:fill="auto"/>
            <w:vAlign w:val="center"/>
          </w:tcPr>
          <w:p w14:paraId="61B58E40" w14:textId="77777777" w:rsidR="008C5FD3" w:rsidRPr="008266F5" w:rsidRDefault="008C5FD3" w:rsidP="008C5FD3">
            <w:pPr>
              <w:spacing w:before="0" w:after="0" w:line="276" w:lineRule="auto"/>
              <w:contextualSpacing/>
              <w:jc w:val="left"/>
              <w:rPr>
                <w:rFonts w:cstheme="minorHAnsi"/>
              </w:rPr>
            </w:pPr>
            <w:r>
              <w:rPr>
                <w:rFonts w:cstheme="minorHAnsi"/>
              </w:rPr>
              <w:t>Spécialiste suivi-évaluation</w:t>
            </w:r>
          </w:p>
        </w:tc>
        <w:tc>
          <w:tcPr>
            <w:tcW w:w="1506" w:type="pct"/>
            <w:shd w:val="clear" w:color="auto" w:fill="auto"/>
            <w:vAlign w:val="center"/>
          </w:tcPr>
          <w:p w14:paraId="0D1F1062" w14:textId="77777777" w:rsidR="008C5FD3" w:rsidRPr="008266F5" w:rsidRDefault="008C5FD3" w:rsidP="008C5FD3">
            <w:pPr>
              <w:spacing w:before="0" w:after="0" w:line="276" w:lineRule="auto"/>
              <w:contextualSpacing/>
              <w:jc w:val="left"/>
              <w:rPr>
                <w:rFonts w:eastAsia="Times New Roman" w:cstheme="minorHAnsi"/>
              </w:rPr>
            </w:pPr>
            <w:r>
              <w:rPr>
                <w:rFonts w:eastAsia="Times New Roman" w:cstheme="minorHAnsi"/>
              </w:rPr>
              <w:t>PBF (Niger)</w:t>
            </w:r>
          </w:p>
        </w:tc>
      </w:tr>
      <w:tr w:rsidR="008C5FD3" w14:paraId="4DE9CCD9" w14:textId="77777777" w:rsidTr="0060123A">
        <w:tblPrEx>
          <w:jc w:val="left"/>
        </w:tblPrEx>
        <w:trPr>
          <w:trHeight w:val="113"/>
        </w:trPr>
        <w:tc>
          <w:tcPr>
            <w:tcW w:w="258" w:type="pct"/>
            <w:shd w:val="clear" w:color="auto" w:fill="auto"/>
            <w:vAlign w:val="center"/>
          </w:tcPr>
          <w:p w14:paraId="32B16360"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A3E3044" w14:textId="77777777" w:rsidR="008C5FD3" w:rsidRDefault="008C5FD3" w:rsidP="008C5FD3">
            <w:pPr>
              <w:spacing w:before="0" w:after="0" w:line="276" w:lineRule="auto"/>
              <w:jc w:val="left"/>
              <w:rPr>
                <w:rFonts w:eastAsia="Times New Roman" w:cstheme="minorHAnsi"/>
              </w:rPr>
            </w:pPr>
            <w:r>
              <w:rPr>
                <w:rFonts w:eastAsia="Times New Roman" w:cstheme="minorHAnsi"/>
              </w:rPr>
              <w:t>Habsatou Boubacar</w:t>
            </w:r>
          </w:p>
        </w:tc>
        <w:tc>
          <w:tcPr>
            <w:tcW w:w="1829" w:type="pct"/>
            <w:shd w:val="clear" w:color="auto" w:fill="auto"/>
            <w:vAlign w:val="center"/>
          </w:tcPr>
          <w:p w14:paraId="1ECE8B1B" w14:textId="77777777" w:rsidR="008C5FD3" w:rsidRDefault="008C5FD3" w:rsidP="008C5FD3">
            <w:pPr>
              <w:spacing w:before="0" w:after="0" w:line="276" w:lineRule="auto"/>
              <w:contextualSpacing/>
              <w:jc w:val="left"/>
              <w:rPr>
                <w:rFonts w:cstheme="minorHAnsi"/>
              </w:rPr>
            </w:pPr>
            <w:r>
              <w:rPr>
                <w:rFonts w:cstheme="minorHAnsi"/>
              </w:rPr>
              <w:t>Coordonnatrice nationale</w:t>
            </w:r>
          </w:p>
        </w:tc>
        <w:tc>
          <w:tcPr>
            <w:tcW w:w="1506" w:type="pct"/>
            <w:shd w:val="clear" w:color="auto" w:fill="auto"/>
            <w:vAlign w:val="center"/>
          </w:tcPr>
          <w:p w14:paraId="74BB3B96" w14:textId="77777777" w:rsidR="008C5FD3" w:rsidRDefault="008C5FD3" w:rsidP="008C5FD3">
            <w:pPr>
              <w:spacing w:before="0" w:after="0" w:line="276" w:lineRule="auto"/>
              <w:contextualSpacing/>
              <w:jc w:val="left"/>
              <w:rPr>
                <w:rFonts w:eastAsia="Times New Roman" w:cstheme="minorHAnsi"/>
              </w:rPr>
            </w:pPr>
            <w:r>
              <w:rPr>
                <w:rFonts w:eastAsia="Times New Roman" w:cstheme="minorHAnsi"/>
              </w:rPr>
              <w:t>PBF (Niger)</w:t>
            </w:r>
          </w:p>
        </w:tc>
      </w:tr>
      <w:tr w:rsidR="008C5FD3" w:rsidRPr="008266F5" w14:paraId="7AFB168C" w14:textId="77777777" w:rsidTr="0060123A">
        <w:tblPrEx>
          <w:jc w:val="left"/>
        </w:tblPrEx>
        <w:trPr>
          <w:trHeight w:val="113"/>
        </w:trPr>
        <w:tc>
          <w:tcPr>
            <w:tcW w:w="258" w:type="pct"/>
            <w:shd w:val="clear" w:color="auto" w:fill="auto"/>
            <w:vAlign w:val="center"/>
          </w:tcPr>
          <w:p w14:paraId="1D647547"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1F3F378" w14:textId="77777777" w:rsidR="008C5FD3" w:rsidRPr="008266F5" w:rsidRDefault="008C5FD3" w:rsidP="008C5FD3">
            <w:pPr>
              <w:spacing w:before="0" w:after="0" w:line="276" w:lineRule="auto"/>
              <w:jc w:val="left"/>
              <w:rPr>
                <w:rFonts w:cstheme="minorHAnsi"/>
              </w:rPr>
            </w:pPr>
            <w:r w:rsidRPr="008266F5">
              <w:rPr>
                <w:rFonts w:eastAsia="Times New Roman" w:cstheme="minorHAnsi"/>
              </w:rPr>
              <w:t>Omar Amadou</w:t>
            </w:r>
          </w:p>
        </w:tc>
        <w:tc>
          <w:tcPr>
            <w:tcW w:w="1829" w:type="pct"/>
            <w:shd w:val="clear" w:color="auto" w:fill="auto"/>
            <w:vAlign w:val="center"/>
          </w:tcPr>
          <w:p w14:paraId="76D011CA"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Administrateur </w:t>
            </w:r>
          </w:p>
        </w:tc>
        <w:tc>
          <w:tcPr>
            <w:tcW w:w="1506" w:type="pct"/>
            <w:shd w:val="clear" w:color="auto" w:fill="auto"/>
            <w:vAlign w:val="center"/>
          </w:tcPr>
          <w:p w14:paraId="2747725D"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ONG ADL (Niger) </w:t>
            </w:r>
          </w:p>
        </w:tc>
      </w:tr>
      <w:tr w:rsidR="008C5FD3" w:rsidRPr="008266F5" w14:paraId="342F78D6" w14:textId="77777777" w:rsidTr="0060123A">
        <w:tblPrEx>
          <w:jc w:val="left"/>
        </w:tblPrEx>
        <w:trPr>
          <w:trHeight w:val="113"/>
        </w:trPr>
        <w:tc>
          <w:tcPr>
            <w:tcW w:w="258" w:type="pct"/>
            <w:shd w:val="clear" w:color="auto" w:fill="auto"/>
            <w:vAlign w:val="center"/>
          </w:tcPr>
          <w:p w14:paraId="0D9D04F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BD4B812" w14:textId="77777777" w:rsidR="008C5FD3" w:rsidRPr="008266F5" w:rsidRDefault="008C5FD3" w:rsidP="008C5FD3">
            <w:pPr>
              <w:spacing w:before="0" w:after="0" w:line="276" w:lineRule="auto"/>
              <w:jc w:val="left"/>
              <w:rPr>
                <w:rFonts w:cstheme="minorHAnsi"/>
              </w:rPr>
            </w:pPr>
            <w:r w:rsidRPr="008266F5">
              <w:rPr>
                <w:rFonts w:eastAsia="Times New Roman" w:cstheme="minorHAnsi"/>
              </w:rPr>
              <w:t>Madame Bana Fatima</w:t>
            </w:r>
          </w:p>
        </w:tc>
        <w:tc>
          <w:tcPr>
            <w:tcW w:w="1829" w:type="pct"/>
            <w:shd w:val="clear" w:color="auto" w:fill="auto"/>
            <w:vAlign w:val="center"/>
          </w:tcPr>
          <w:p w14:paraId="0AA66ECC"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Présidente</w:t>
            </w:r>
          </w:p>
        </w:tc>
        <w:tc>
          <w:tcPr>
            <w:tcW w:w="1506" w:type="pct"/>
            <w:shd w:val="clear" w:color="auto" w:fill="auto"/>
            <w:vAlign w:val="center"/>
          </w:tcPr>
          <w:p w14:paraId="2DF53CEF"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REFPSECO (Niger) </w:t>
            </w:r>
          </w:p>
        </w:tc>
      </w:tr>
      <w:tr w:rsidR="008C5FD3" w:rsidRPr="008266F5" w14:paraId="0D933CAD" w14:textId="77777777" w:rsidTr="0060123A">
        <w:tblPrEx>
          <w:jc w:val="left"/>
        </w:tblPrEx>
        <w:trPr>
          <w:trHeight w:val="113"/>
        </w:trPr>
        <w:tc>
          <w:tcPr>
            <w:tcW w:w="258" w:type="pct"/>
            <w:shd w:val="clear" w:color="auto" w:fill="auto"/>
            <w:vAlign w:val="center"/>
          </w:tcPr>
          <w:p w14:paraId="1C3B85AF"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284392E"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Gremah Adji Kanta</w:t>
            </w:r>
          </w:p>
        </w:tc>
        <w:tc>
          <w:tcPr>
            <w:tcW w:w="1829" w:type="pct"/>
            <w:shd w:val="clear" w:color="auto" w:fill="auto"/>
            <w:vAlign w:val="center"/>
          </w:tcPr>
          <w:p w14:paraId="159272CE"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Responsable de Programme</w:t>
            </w:r>
          </w:p>
        </w:tc>
        <w:tc>
          <w:tcPr>
            <w:tcW w:w="1506" w:type="pct"/>
            <w:shd w:val="clear" w:color="auto" w:fill="auto"/>
            <w:vAlign w:val="center"/>
          </w:tcPr>
          <w:p w14:paraId="2E4AFB30"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Programme Promotion de la Femme et Genre/Ministère de la Promotion de la Femme et de la Protection de l'Enfant (Niger)</w:t>
            </w:r>
          </w:p>
        </w:tc>
      </w:tr>
      <w:tr w:rsidR="008C5FD3" w:rsidRPr="008266F5" w14:paraId="3D7F69BE" w14:textId="77777777" w:rsidTr="0060123A">
        <w:tblPrEx>
          <w:jc w:val="left"/>
        </w:tblPrEx>
        <w:trPr>
          <w:trHeight w:val="113"/>
        </w:trPr>
        <w:tc>
          <w:tcPr>
            <w:tcW w:w="258" w:type="pct"/>
            <w:shd w:val="clear" w:color="auto" w:fill="auto"/>
            <w:vAlign w:val="center"/>
          </w:tcPr>
          <w:p w14:paraId="648B8353"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739F61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Madame Tani Abdel Kader</w:t>
            </w:r>
          </w:p>
        </w:tc>
        <w:tc>
          <w:tcPr>
            <w:tcW w:w="1829" w:type="pct"/>
            <w:shd w:val="clear" w:color="auto" w:fill="auto"/>
            <w:vAlign w:val="center"/>
          </w:tcPr>
          <w:p w14:paraId="65A3DD79"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Coordinatrice </w:t>
            </w:r>
          </w:p>
        </w:tc>
        <w:tc>
          <w:tcPr>
            <w:tcW w:w="1506" w:type="pct"/>
            <w:shd w:val="clear" w:color="auto" w:fill="auto"/>
            <w:vAlign w:val="center"/>
          </w:tcPr>
          <w:p w14:paraId="5A745F78"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Plateforme des femmes du G5 Sahel (Niger)</w:t>
            </w:r>
          </w:p>
        </w:tc>
      </w:tr>
      <w:tr w:rsidR="008C5FD3" w:rsidRPr="008266F5" w14:paraId="6FEAB727" w14:textId="77777777" w:rsidTr="0060123A">
        <w:tblPrEx>
          <w:jc w:val="left"/>
        </w:tblPrEx>
        <w:trPr>
          <w:trHeight w:val="113"/>
        </w:trPr>
        <w:tc>
          <w:tcPr>
            <w:tcW w:w="258" w:type="pct"/>
            <w:shd w:val="clear" w:color="auto" w:fill="auto"/>
            <w:vAlign w:val="center"/>
          </w:tcPr>
          <w:p w14:paraId="5C086E1F"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A757BC5"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Blanche NIOUKY </w:t>
            </w:r>
          </w:p>
        </w:tc>
        <w:tc>
          <w:tcPr>
            <w:tcW w:w="1829" w:type="pct"/>
            <w:shd w:val="clear" w:color="auto" w:fill="auto"/>
            <w:vAlign w:val="center"/>
          </w:tcPr>
          <w:p w14:paraId="181A0C9C"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Gestionnaire de projet</w:t>
            </w:r>
          </w:p>
        </w:tc>
        <w:tc>
          <w:tcPr>
            <w:tcW w:w="1506" w:type="pct"/>
            <w:shd w:val="clear" w:color="auto" w:fill="auto"/>
            <w:vAlign w:val="center"/>
          </w:tcPr>
          <w:p w14:paraId="3A62808F" w14:textId="6FE3CFB8" w:rsidR="008C5FD3" w:rsidRPr="008266F5" w:rsidRDefault="00161D81" w:rsidP="008C5FD3">
            <w:pPr>
              <w:spacing w:before="0" w:after="0" w:line="276" w:lineRule="auto"/>
              <w:jc w:val="left"/>
              <w:rPr>
                <w:rFonts w:cstheme="minorHAnsi"/>
              </w:rPr>
            </w:pPr>
            <w:r>
              <w:rPr>
                <w:rFonts w:eastAsia="Times New Roman" w:cstheme="minorHAnsi"/>
              </w:rPr>
              <w:t>ONUDC bureau régional Dakar</w:t>
            </w:r>
          </w:p>
        </w:tc>
      </w:tr>
      <w:tr w:rsidR="008C5FD3" w:rsidRPr="008266F5" w14:paraId="3112FD86" w14:textId="77777777" w:rsidTr="0060123A">
        <w:tblPrEx>
          <w:jc w:val="left"/>
        </w:tblPrEx>
        <w:trPr>
          <w:trHeight w:val="113"/>
        </w:trPr>
        <w:tc>
          <w:tcPr>
            <w:tcW w:w="258" w:type="pct"/>
            <w:shd w:val="clear" w:color="auto" w:fill="auto"/>
            <w:vAlign w:val="center"/>
          </w:tcPr>
          <w:p w14:paraId="1A813EC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6B51B8B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Cristina IAMPIERI </w:t>
            </w:r>
          </w:p>
        </w:tc>
        <w:tc>
          <w:tcPr>
            <w:tcW w:w="1829" w:type="pct"/>
            <w:shd w:val="clear" w:color="auto" w:fill="auto"/>
            <w:vAlign w:val="center"/>
          </w:tcPr>
          <w:p w14:paraId="39296588" w14:textId="11A4AA53" w:rsidR="008C5FD3" w:rsidRPr="008266F5" w:rsidRDefault="00161D81" w:rsidP="008C5FD3">
            <w:pPr>
              <w:spacing w:before="0" w:after="0" w:line="276" w:lineRule="auto"/>
              <w:contextualSpacing/>
              <w:jc w:val="left"/>
              <w:rPr>
                <w:rFonts w:cstheme="minorHAnsi"/>
              </w:rPr>
            </w:pPr>
            <w:r>
              <w:rPr>
                <w:rFonts w:eastAsia="Times New Roman" w:cstheme="minorHAnsi"/>
              </w:rPr>
              <w:t>Coordinatrice régionale Programme Sahel</w:t>
            </w:r>
          </w:p>
        </w:tc>
        <w:tc>
          <w:tcPr>
            <w:tcW w:w="1506" w:type="pct"/>
            <w:shd w:val="clear" w:color="auto" w:fill="auto"/>
            <w:vAlign w:val="center"/>
          </w:tcPr>
          <w:p w14:paraId="0428ECD9" w14:textId="7526FBF4" w:rsidR="008C5FD3" w:rsidRPr="008266F5" w:rsidRDefault="00161D81" w:rsidP="008C5FD3">
            <w:pPr>
              <w:spacing w:before="0" w:after="0" w:line="276" w:lineRule="auto"/>
              <w:contextualSpacing/>
              <w:jc w:val="left"/>
              <w:rPr>
                <w:rFonts w:eastAsia="Times New Roman" w:cstheme="minorHAnsi"/>
              </w:rPr>
            </w:pPr>
            <w:r>
              <w:rPr>
                <w:rFonts w:eastAsia="Times New Roman" w:cstheme="minorHAnsi"/>
              </w:rPr>
              <w:t>ONUDC bureau régional Dakar</w:t>
            </w:r>
          </w:p>
        </w:tc>
      </w:tr>
      <w:tr w:rsidR="008C5FD3" w:rsidRPr="008266F5" w14:paraId="1D264BA3" w14:textId="77777777" w:rsidTr="0060123A">
        <w:tblPrEx>
          <w:jc w:val="left"/>
        </w:tblPrEx>
        <w:trPr>
          <w:trHeight w:val="113"/>
        </w:trPr>
        <w:tc>
          <w:tcPr>
            <w:tcW w:w="258" w:type="pct"/>
            <w:shd w:val="clear" w:color="auto" w:fill="auto"/>
            <w:vAlign w:val="center"/>
          </w:tcPr>
          <w:p w14:paraId="4094DC77"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9DA9274"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Brah Mamadou Ali</w:t>
            </w:r>
          </w:p>
        </w:tc>
        <w:tc>
          <w:tcPr>
            <w:tcW w:w="1829" w:type="pct"/>
            <w:shd w:val="clear" w:color="auto" w:fill="auto"/>
            <w:vAlign w:val="center"/>
          </w:tcPr>
          <w:p w14:paraId="41314215"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Secrétaire General de la CNDH</w:t>
            </w:r>
          </w:p>
        </w:tc>
        <w:tc>
          <w:tcPr>
            <w:tcW w:w="1506" w:type="pct"/>
            <w:shd w:val="clear" w:color="auto" w:fill="auto"/>
            <w:vAlign w:val="center"/>
          </w:tcPr>
          <w:p w14:paraId="19C10695"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CNDH (Niger)</w:t>
            </w:r>
          </w:p>
        </w:tc>
      </w:tr>
      <w:tr w:rsidR="008C5FD3" w:rsidRPr="008266F5" w14:paraId="58E44011" w14:textId="77777777" w:rsidTr="0060123A">
        <w:tblPrEx>
          <w:jc w:val="left"/>
        </w:tblPrEx>
        <w:trPr>
          <w:trHeight w:val="113"/>
        </w:trPr>
        <w:tc>
          <w:tcPr>
            <w:tcW w:w="258" w:type="pct"/>
            <w:shd w:val="clear" w:color="auto" w:fill="auto"/>
            <w:vAlign w:val="center"/>
          </w:tcPr>
          <w:p w14:paraId="613066F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8EAAE6E"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Commissaire ZOUHERA ASSANE</w:t>
            </w:r>
          </w:p>
        </w:tc>
        <w:tc>
          <w:tcPr>
            <w:tcW w:w="1829" w:type="pct"/>
            <w:shd w:val="clear" w:color="auto" w:fill="auto"/>
            <w:vAlign w:val="center"/>
          </w:tcPr>
          <w:p w14:paraId="7E327B3D"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Cheffe de la Division de la Protection des Mineurs et des Femmes à la Direction de la Sécurité Publique</w:t>
            </w:r>
          </w:p>
        </w:tc>
        <w:tc>
          <w:tcPr>
            <w:tcW w:w="1506" w:type="pct"/>
            <w:shd w:val="clear" w:color="auto" w:fill="auto"/>
            <w:vAlign w:val="center"/>
          </w:tcPr>
          <w:p w14:paraId="71AEC5B9"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Police Nationale (Niger)</w:t>
            </w:r>
          </w:p>
        </w:tc>
      </w:tr>
      <w:tr w:rsidR="008C5FD3" w:rsidRPr="008266F5" w14:paraId="0B38BA7F" w14:textId="77777777" w:rsidTr="0060123A">
        <w:tblPrEx>
          <w:jc w:val="left"/>
        </w:tblPrEx>
        <w:trPr>
          <w:trHeight w:val="113"/>
        </w:trPr>
        <w:tc>
          <w:tcPr>
            <w:tcW w:w="258" w:type="pct"/>
            <w:shd w:val="clear" w:color="auto" w:fill="auto"/>
            <w:vAlign w:val="center"/>
          </w:tcPr>
          <w:p w14:paraId="477AC1B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B674946"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Adamou</w:t>
            </w:r>
            <w:r w:rsidRPr="008266F5">
              <w:rPr>
                <w:rFonts w:eastAsia="Times New Roman" w:cstheme="minorHAnsi"/>
              </w:rPr>
              <w:t xml:space="preserve"> Harouna IBRAHIM</w:t>
            </w:r>
          </w:p>
        </w:tc>
        <w:tc>
          <w:tcPr>
            <w:tcW w:w="1829" w:type="pct"/>
            <w:shd w:val="clear" w:color="auto" w:fill="auto"/>
            <w:vAlign w:val="center"/>
          </w:tcPr>
          <w:p w14:paraId="5472E58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Directeur Régional de la Police de Tillabery</w:t>
            </w:r>
          </w:p>
        </w:tc>
        <w:tc>
          <w:tcPr>
            <w:tcW w:w="1506" w:type="pct"/>
            <w:shd w:val="clear" w:color="auto" w:fill="auto"/>
            <w:vAlign w:val="center"/>
          </w:tcPr>
          <w:p w14:paraId="56DD84B3"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Police Nationale (Niger) </w:t>
            </w:r>
          </w:p>
        </w:tc>
      </w:tr>
      <w:tr w:rsidR="008C5FD3" w:rsidRPr="008266F5" w14:paraId="301DD2C0" w14:textId="77777777" w:rsidTr="0060123A">
        <w:tblPrEx>
          <w:jc w:val="left"/>
        </w:tblPrEx>
        <w:trPr>
          <w:trHeight w:val="113"/>
        </w:trPr>
        <w:tc>
          <w:tcPr>
            <w:tcW w:w="258" w:type="pct"/>
            <w:shd w:val="clear" w:color="auto" w:fill="auto"/>
            <w:vAlign w:val="center"/>
          </w:tcPr>
          <w:p w14:paraId="1A574A1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1C237CA"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Illa Elhadji IBRAHIM</w:t>
            </w:r>
          </w:p>
          <w:p w14:paraId="32E2F549" w14:textId="77777777" w:rsidR="008C5FD3" w:rsidRPr="008266F5" w:rsidRDefault="008C5FD3" w:rsidP="008C5FD3">
            <w:pPr>
              <w:spacing w:before="0" w:after="0" w:line="276" w:lineRule="auto"/>
              <w:jc w:val="left"/>
              <w:rPr>
                <w:rFonts w:eastAsia="Times New Roman" w:cstheme="minorHAnsi"/>
              </w:rPr>
            </w:pPr>
          </w:p>
        </w:tc>
        <w:tc>
          <w:tcPr>
            <w:tcW w:w="1829" w:type="pct"/>
            <w:shd w:val="clear" w:color="auto" w:fill="auto"/>
            <w:vAlign w:val="center"/>
          </w:tcPr>
          <w:p w14:paraId="47E8AE23"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Président du Tribunal de grande Instance de Tera</w:t>
            </w:r>
          </w:p>
        </w:tc>
        <w:tc>
          <w:tcPr>
            <w:tcW w:w="1506" w:type="pct"/>
            <w:shd w:val="clear" w:color="auto" w:fill="auto"/>
            <w:vAlign w:val="center"/>
          </w:tcPr>
          <w:p w14:paraId="446D4C88"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 xml:space="preserve">Ministère de la Justice (Niger) </w:t>
            </w:r>
          </w:p>
        </w:tc>
      </w:tr>
      <w:tr w:rsidR="008C5FD3" w:rsidRPr="008266F5" w14:paraId="2A5B483E" w14:textId="77777777" w:rsidTr="0060123A">
        <w:tblPrEx>
          <w:jc w:val="left"/>
        </w:tblPrEx>
        <w:trPr>
          <w:trHeight w:val="113"/>
        </w:trPr>
        <w:tc>
          <w:tcPr>
            <w:tcW w:w="258" w:type="pct"/>
            <w:shd w:val="clear" w:color="auto" w:fill="auto"/>
            <w:vAlign w:val="center"/>
          </w:tcPr>
          <w:p w14:paraId="032AE552"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FAC3EE7" w14:textId="77FA6A9F"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Boubacar ABDOUL-FATA </w:t>
            </w:r>
          </w:p>
        </w:tc>
        <w:tc>
          <w:tcPr>
            <w:tcW w:w="1829" w:type="pct"/>
            <w:shd w:val="clear" w:color="auto" w:fill="auto"/>
            <w:vAlign w:val="center"/>
          </w:tcPr>
          <w:p w14:paraId="2DF5DBAB"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Commandant de la brigade de gendarmerie de Tillabery</w:t>
            </w:r>
          </w:p>
        </w:tc>
        <w:tc>
          <w:tcPr>
            <w:tcW w:w="1506" w:type="pct"/>
            <w:shd w:val="clear" w:color="auto" w:fill="auto"/>
            <w:vAlign w:val="center"/>
          </w:tcPr>
          <w:p w14:paraId="4BF8FEFF"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Gendarmerie Nationale (Niger)</w:t>
            </w:r>
          </w:p>
        </w:tc>
      </w:tr>
    </w:tbl>
    <w:p w14:paraId="5F1DE744" w14:textId="77777777" w:rsidR="00383B84" w:rsidRPr="007007C9" w:rsidRDefault="00383B84"/>
    <w:p w14:paraId="53F7B2AD" w14:textId="7D8153BF" w:rsidR="0061359F" w:rsidRDefault="0061359F" w:rsidP="003A3323">
      <w:pPr>
        <w:pStyle w:val="Titre2"/>
        <w:numPr>
          <w:ilvl w:val="0"/>
          <w:numId w:val="0"/>
        </w:numPr>
        <w:ind w:left="720" w:hanging="720"/>
      </w:pPr>
      <w:bookmarkStart w:id="1013" w:name="_Toc95451889"/>
      <w:bookmarkStart w:id="1014" w:name="_Toc39563204"/>
      <w:r>
        <w:t xml:space="preserve">Annexe </w:t>
      </w:r>
      <w:r w:rsidR="00711328">
        <w:t>10</w:t>
      </w:r>
      <w:r>
        <w:t> : Présentation de</w:t>
      </w:r>
      <w:r w:rsidR="0070509E">
        <w:t>s membres de l’</w:t>
      </w:r>
      <w:r>
        <w:t>équipe d’évaluation</w:t>
      </w:r>
      <w:bookmarkEnd w:id="1013"/>
      <w:r>
        <w:t xml:space="preserve"> </w:t>
      </w:r>
    </w:p>
    <w:p w14:paraId="2DF8BBA5" w14:textId="58715EF4" w:rsidR="00643743" w:rsidRPr="003551E4" w:rsidRDefault="004442DB" w:rsidP="007007C9">
      <w:r>
        <w:t xml:space="preserve">L’évaluation finale est réalisée par deux consultants dont une experte senior en Suivi-évaluation et un expert associé.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
        <w:gridCol w:w="2273"/>
        <w:gridCol w:w="2348"/>
        <w:gridCol w:w="1904"/>
        <w:gridCol w:w="2070"/>
      </w:tblGrid>
      <w:tr w:rsidR="00653EB1" w:rsidRPr="008266F5" w14:paraId="4E8093DE" w14:textId="77777777" w:rsidTr="0060123A">
        <w:trPr>
          <w:trHeight w:val="113"/>
          <w:tblHeader/>
          <w:jc w:val="center"/>
        </w:trPr>
        <w:tc>
          <w:tcPr>
            <w:tcW w:w="252" w:type="pct"/>
            <w:shd w:val="clear" w:color="auto" w:fill="auto"/>
            <w:vAlign w:val="center"/>
          </w:tcPr>
          <w:p w14:paraId="0044E5EA"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N°</w:t>
            </w:r>
          </w:p>
        </w:tc>
        <w:tc>
          <w:tcPr>
            <w:tcW w:w="1256" w:type="pct"/>
            <w:shd w:val="clear" w:color="auto" w:fill="auto"/>
            <w:vAlign w:val="center"/>
          </w:tcPr>
          <w:p w14:paraId="6E34DFE7"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Prénoms et Noms</w:t>
            </w:r>
          </w:p>
        </w:tc>
        <w:tc>
          <w:tcPr>
            <w:tcW w:w="1297" w:type="pct"/>
            <w:shd w:val="clear" w:color="auto" w:fill="auto"/>
            <w:vAlign w:val="center"/>
          </w:tcPr>
          <w:p w14:paraId="7D7E8CF6"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Titre</w:t>
            </w:r>
          </w:p>
        </w:tc>
        <w:tc>
          <w:tcPr>
            <w:tcW w:w="1052" w:type="pct"/>
            <w:shd w:val="clear" w:color="auto" w:fill="auto"/>
          </w:tcPr>
          <w:p w14:paraId="029904DC" w14:textId="45C1C40B" w:rsidR="00971FEE" w:rsidRPr="008266F5" w:rsidRDefault="00971FEE" w:rsidP="009E2DEE">
            <w:pPr>
              <w:spacing w:before="0" w:after="0" w:line="276" w:lineRule="auto"/>
              <w:contextualSpacing/>
              <w:jc w:val="left"/>
              <w:rPr>
                <w:rFonts w:cstheme="minorHAnsi"/>
                <w:b/>
              </w:rPr>
            </w:pPr>
            <w:r>
              <w:rPr>
                <w:rFonts w:cstheme="minorHAnsi"/>
                <w:b/>
              </w:rPr>
              <w:t>Expérience professionnelle</w:t>
            </w:r>
          </w:p>
        </w:tc>
        <w:tc>
          <w:tcPr>
            <w:tcW w:w="1143" w:type="pct"/>
            <w:shd w:val="clear" w:color="auto" w:fill="auto"/>
            <w:vAlign w:val="center"/>
          </w:tcPr>
          <w:p w14:paraId="7AF2C51B" w14:textId="492248F3" w:rsidR="00971FEE" w:rsidRPr="008266F5" w:rsidRDefault="00971FEE" w:rsidP="009E2DEE">
            <w:pPr>
              <w:spacing w:before="0" w:after="0" w:line="276" w:lineRule="auto"/>
              <w:contextualSpacing/>
              <w:jc w:val="left"/>
              <w:rPr>
                <w:rFonts w:cstheme="minorHAnsi"/>
                <w:b/>
              </w:rPr>
            </w:pPr>
            <w:r w:rsidRPr="008266F5">
              <w:rPr>
                <w:rFonts w:cstheme="minorHAnsi"/>
                <w:b/>
              </w:rPr>
              <w:t>Structure</w:t>
            </w:r>
          </w:p>
        </w:tc>
      </w:tr>
      <w:tr w:rsidR="00971FEE" w:rsidRPr="008266F5" w14:paraId="7EAA7990" w14:textId="77777777" w:rsidTr="0060123A">
        <w:trPr>
          <w:trHeight w:val="547"/>
          <w:jc w:val="center"/>
        </w:trPr>
        <w:tc>
          <w:tcPr>
            <w:tcW w:w="252" w:type="pct"/>
            <w:shd w:val="clear" w:color="auto" w:fill="auto"/>
            <w:vAlign w:val="center"/>
          </w:tcPr>
          <w:p w14:paraId="35B59D9E" w14:textId="77777777" w:rsidR="00971FEE" w:rsidRPr="008266F5" w:rsidRDefault="00971FEE" w:rsidP="00FB2B45">
            <w:pPr>
              <w:pStyle w:val="Paragraphedeliste"/>
              <w:numPr>
                <w:ilvl w:val="0"/>
                <w:numId w:val="33"/>
              </w:numPr>
              <w:spacing w:before="0" w:after="0" w:line="276" w:lineRule="auto"/>
              <w:jc w:val="left"/>
              <w:rPr>
                <w:rFonts w:cstheme="minorHAnsi"/>
                <w:b/>
              </w:rPr>
            </w:pPr>
          </w:p>
        </w:tc>
        <w:tc>
          <w:tcPr>
            <w:tcW w:w="1256" w:type="pct"/>
            <w:shd w:val="clear" w:color="auto" w:fill="auto"/>
            <w:vAlign w:val="center"/>
          </w:tcPr>
          <w:p w14:paraId="136C7471" w14:textId="4AED35B2" w:rsidR="00971FEE" w:rsidRPr="008266F5" w:rsidRDefault="00971FEE" w:rsidP="009E2DEE">
            <w:pPr>
              <w:spacing w:before="0" w:after="0" w:line="276" w:lineRule="auto"/>
              <w:contextualSpacing/>
              <w:jc w:val="left"/>
              <w:rPr>
                <w:rFonts w:cstheme="minorHAnsi"/>
              </w:rPr>
            </w:pPr>
            <w:r>
              <w:rPr>
                <w:rFonts w:cstheme="minorHAnsi"/>
              </w:rPr>
              <w:t>Aïssé Diarra</w:t>
            </w:r>
            <w:r w:rsidRPr="008266F5">
              <w:rPr>
                <w:rFonts w:cstheme="minorHAnsi"/>
              </w:rPr>
              <w:t xml:space="preserve"> </w:t>
            </w:r>
          </w:p>
        </w:tc>
        <w:tc>
          <w:tcPr>
            <w:tcW w:w="1297" w:type="pct"/>
            <w:shd w:val="clear" w:color="auto" w:fill="auto"/>
            <w:vAlign w:val="center"/>
          </w:tcPr>
          <w:p w14:paraId="42BBD5D0" w14:textId="4353908D" w:rsidR="00971FEE" w:rsidRPr="008266F5" w:rsidRDefault="00971FEE" w:rsidP="009E2DEE">
            <w:pPr>
              <w:spacing w:before="0" w:after="0" w:line="276" w:lineRule="auto"/>
              <w:contextualSpacing/>
              <w:jc w:val="left"/>
              <w:rPr>
                <w:rFonts w:eastAsia="Times New Roman" w:cstheme="minorHAnsi"/>
              </w:rPr>
            </w:pPr>
            <w:r>
              <w:rPr>
                <w:rFonts w:eastAsia="Times New Roman" w:cstheme="minorHAnsi"/>
              </w:rPr>
              <w:t>Expert</w:t>
            </w:r>
            <w:r w:rsidR="008C5FD3">
              <w:rPr>
                <w:rFonts w:eastAsia="Times New Roman" w:cstheme="minorHAnsi"/>
              </w:rPr>
              <w:t>e</w:t>
            </w:r>
            <w:r>
              <w:rPr>
                <w:rFonts w:eastAsia="Times New Roman" w:cstheme="minorHAnsi"/>
              </w:rPr>
              <w:t xml:space="preserve"> en S&amp;E, Chef</w:t>
            </w:r>
            <w:r w:rsidR="008C5FD3">
              <w:rPr>
                <w:rFonts w:eastAsia="Times New Roman" w:cstheme="minorHAnsi"/>
              </w:rPr>
              <w:t>fe</w:t>
            </w:r>
            <w:r>
              <w:rPr>
                <w:rFonts w:eastAsia="Times New Roman" w:cstheme="minorHAnsi"/>
              </w:rPr>
              <w:t xml:space="preserve"> de mission</w:t>
            </w:r>
          </w:p>
        </w:tc>
        <w:tc>
          <w:tcPr>
            <w:tcW w:w="1052" w:type="pct"/>
            <w:shd w:val="clear" w:color="auto" w:fill="auto"/>
            <w:vAlign w:val="center"/>
          </w:tcPr>
          <w:p w14:paraId="4294820E" w14:textId="1A49B591" w:rsidR="00971FEE" w:rsidRPr="008266F5" w:rsidRDefault="004442DB" w:rsidP="007007C9">
            <w:pPr>
              <w:spacing w:before="0" w:after="0" w:line="276" w:lineRule="auto"/>
              <w:contextualSpacing/>
              <w:jc w:val="center"/>
              <w:rPr>
                <w:rFonts w:cstheme="minorHAnsi"/>
              </w:rPr>
            </w:pPr>
            <w:r>
              <w:rPr>
                <w:rFonts w:cstheme="minorHAnsi"/>
              </w:rPr>
              <w:t>27 ans</w:t>
            </w:r>
          </w:p>
        </w:tc>
        <w:tc>
          <w:tcPr>
            <w:tcW w:w="1143" w:type="pct"/>
            <w:shd w:val="clear" w:color="auto" w:fill="auto"/>
            <w:vAlign w:val="center"/>
          </w:tcPr>
          <w:p w14:paraId="3B066055" w14:textId="1A79AE59" w:rsidR="00971FEE" w:rsidRPr="008266F5" w:rsidRDefault="004442DB" w:rsidP="007007C9">
            <w:pPr>
              <w:spacing w:before="0" w:after="0" w:line="276" w:lineRule="auto"/>
              <w:contextualSpacing/>
              <w:rPr>
                <w:rFonts w:cstheme="minorHAnsi"/>
              </w:rPr>
            </w:pPr>
            <w:r>
              <w:rPr>
                <w:rFonts w:cstheme="minorHAnsi"/>
              </w:rPr>
              <w:t>AMD International</w:t>
            </w:r>
          </w:p>
        </w:tc>
      </w:tr>
      <w:tr w:rsidR="00971FEE" w:rsidRPr="008266F5" w14:paraId="66DF55D5" w14:textId="77777777" w:rsidTr="0060123A">
        <w:trPr>
          <w:trHeight w:val="202"/>
          <w:jc w:val="center"/>
        </w:trPr>
        <w:tc>
          <w:tcPr>
            <w:tcW w:w="252" w:type="pct"/>
            <w:shd w:val="clear" w:color="auto" w:fill="auto"/>
            <w:vAlign w:val="center"/>
          </w:tcPr>
          <w:p w14:paraId="6D067D99" w14:textId="77777777" w:rsidR="00971FEE" w:rsidRPr="008266F5" w:rsidRDefault="00971FEE" w:rsidP="00FB2B45">
            <w:pPr>
              <w:pStyle w:val="Paragraphedeliste"/>
              <w:numPr>
                <w:ilvl w:val="0"/>
                <w:numId w:val="33"/>
              </w:numPr>
              <w:spacing w:before="0" w:after="0" w:line="276" w:lineRule="auto"/>
              <w:jc w:val="left"/>
              <w:rPr>
                <w:rFonts w:cstheme="minorHAnsi"/>
                <w:b/>
              </w:rPr>
            </w:pPr>
          </w:p>
        </w:tc>
        <w:tc>
          <w:tcPr>
            <w:tcW w:w="1256" w:type="pct"/>
            <w:shd w:val="clear" w:color="auto" w:fill="auto"/>
            <w:vAlign w:val="center"/>
          </w:tcPr>
          <w:p w14:paraId="2D0D5330" w14:textId="4D21F621" w:rsidR="00971FEE" w:rsidRPr="008266F5" w:rsidRDefault="00971FEE" w:rsidP="009E2DEE">
            <w:pPr>
              <w:spacing w:before="0" w:after="0" w:line="276" w:lineRule="auto"/>
              <w:contextualSpacing/>
              <w:jc w:val="left"/>
              <w:rPr>
                <w:rFonts w:cstheme="minorHAnsi"/>
              </w:rPr>
            </w:pPr>
            <w:r>
              <w:rPr>
                <w:rFonts w:cstheme="minorHAnsi"/>
              </w:rPr>
              <w:t>ZOUNGRANA Benjamin</w:t>
            </w:r>
          </w:p>
        </w:tc>
        <w:tc>
          <w:tcPr>
            <w:tcW w:w="1297" w:type="pct"/>
            <w:shd w:val="clear" w:color="auto" w:fill="auto"/>
            <w:vAlign w:val="center"/>
          </w:tcPr>
          <w:p w14:paraId="733D34F9" w14:textId="11A25B91" w:rsidR="00971FEE" w:rsidRPr="008266F5" w:rsidRDefault="00971FEE" w:rsidP="009E2DEE">
            <w:pPr>
              <w:spacing w:before="0" w:after="0" w:line="276" w:lineRule="auto"/>
              <w:contextualSpacing/>
              <w:jc w:val="left"/>
              <w:rPr>
                <w:rFonts w:eastAsia="Times New Roman" w:cstheme="minorHAnsi"/>
              </w:rPr>
            </w:pPr>
            <w:r>
              <w:rPr>
                <w:rFonts w:eastAsia="Times New Roman" w:cstheme="minorHAnsi"/>
              </w:rPr>
              <w:t xml:space="preserve">Expert en S&amp;E, </w:t>
            </w:r>
            <w:r w:rsidR="00FF6426">
              <w:rPr>
                <w:rFonts w:eastAsia="Times New Roman" w:cstheme="minorHAnsi"/>
              </w:rPr>
              <w:t>Expert</w:t>
            </w:r>
            <w:r>
              <w:rPr>
                <w:rFonts w:eastAsia="Times New Roman" w:cstheme="minorHAnsi"/>
              </w:rPr>
              <w:t xml:space="preserve"> associé</w:t>
            </w:r>
          </w:p>
        </w:tc>
        <w:tc>
          <w:tcPr>
            <w:tcW w:w="1052" w:type="pct"/>
            <w:shd w:val="clear" w:color="auto" w:fill="auto"/>
            <w:vAlign w:val="center"/>
          </w:tcPr>
          <w:p w14:paraId="0DD10C49" w14:textId="579446EB" w:rsidR="00971FEE" w:rsidRPr="008266F5" w:rsidRDefault="00971FEE" w:rsidP="007007C9">
            <w:pPr>
              <w:spacing w:before="0" w:after="0" w:line="276" w:lineRule="auto"/>
              <w:contextualSpacing/>
              <w:jc w:val="center"/>
              <w:rPr>
                <w:rFonts w:cstheme="minorHAnsi"/>
              </w:rPr>
            </w:pPr>
            <w:r>
              <w:rPr>
                <w:rFonts w:cstheme="minorHAnsi"/>
              </w:rPr>
              <w:t>09 ans</w:t>
            </w:r>
          </w:p>
        </w:tc>
        <w:tc>
          <w:tcPr>
            <w:tcW w:w="1143" w:type="pct"/>
            <w:shd w:val="clear" w:color="auto" w:fill="auto"/>
            <w:vAlign w:val="center"/>
          </w:tcPr>
          <w:p w14:paraId="0E261AD0" w14:textId="4A74010A" w:rsidR="00971FEE" w:rsidRPr="008266F5" w:rsidRDefault="00971FEE" w:rsidP="009E2DEE">
            <w:pPr>
              <w:spacing w:before="0" w:after="0" w:line="276" w:lineRule="auto"/>
              <w:contextualSpacing/>
              <w:jc w:val="left"/>
              <w:rPr>
                <w:rFonts w:cstheme="minorHAnsi"/>
              </w:rPr>
            </w:pPr>
            <w:r>
              <w:rPr>
                <w:rFonts w:cstheme="minorHAnsi"/>
              </w:rPr>
              <w:t>AMD International</w:t>
            </w:r>
          </w:p>
        </w:tc>
      </w:tr>
    </w:tbl>
    <w:p w14:paraId="48342467" w14:textId="745EDB9B" w:rsidR="00643743" w:rsidRPr="004442DB" w:rsidRDefault="00643743" w:rsidP="00643743"/>
    <w:p w14:paraId="5A949AAB" w14:textId="76BB71D5" w:rsidR="00643743" w:rsidRPr="007007C9" w:rsidRDefault="00643743" w:rsidP="0060123A">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CV DE Mme Aïssé Diarra, Expert</w:t>
      </w:r>
      <w:r w:rsidR="008C5FD3">
        <w:rPr>
          <w:rFonts w:cs="Times New Roman"/>
          <w:b/>
          <w:bCs/>
          <w:color w:val="0070C0"/>
          <w:sz w:val="24"/>
          <w:szCs w:val="24"/>
        </w:rPr>
        <w:t>e</w:t>
      </w:r>
      <w:r w:rsidRPr="007007C9">
        <w:rPr>
          <w:rFonts w:cs="Times New Roman"/>
          <w:b/>
          <w:bCs/>
          <w:color w:val="0070C0"/>
          <w:sz w:val="24"/>
          <w:szCs w:val="24"/>
        </w:rPr>
        <w:t xml:space="preserve"> sénior S&amp;E, Chef</w:t>
      </w:r>
      <w:r w:rsidR="008C5FD3">
        <w:rPr>
          <w:rFonts w:cs="Times New Roman"/>
          <w:b/>
          <w:bCs/>
          <w:color w:val="0070C0"/>
          <w:sz w:val="24"/>
          <w:szCs w:val="24"/>
        </w:rPr>
        <w:t>fe</w:t>
      </w:r>
      <w:r w:rsidRPr="007007C9">
        <w:rPr>
          <w:rFonts w:cs="Times New Roman"/>
          <w:b/>
          <w:bCs/>
          <w:color w:val="0070C0"/>
          <w:sz w:val="24"/>
          <w:szCs w:val="24"/>
        </w:rPr>
        <w:t xml:space="preserve"> de mission</w:t>
      </w:r>
    </w:p>
    <w:p w14:paraId="761BC2C4" w14:textId="77777777" w:rsidR="00643743" w:rsidRDefault="00643743" w:rsidP="006437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932"/>
        <w:gridCol w:w="855"/>
        <w:gridCol w:w="810"/>
        <w:gridCol w:w="4614"/>
      </w:tblGrid>
      <w:tr w:rsidR="00450713" w:rsidRPr="00ED211F" w14:paraId="29116F85" w14:textId="77777777" w:rsidTr="0060123A">
        <w:tc>
          <w:tcPr>
            <w:tcW w:w="2007" w:type="pct"/>
            <w:gridSpan w:val="3"/>
            <w:shd w:val="clear" w:color="auto" w:fill="auto"/>
          </w:tcPr>
          <w:p w14:paraId="14EB5843" w14:textId="77777777" w:rsidR="00450713" w:rsidRPr="00ED211F" w:rsidRDefault="00450713" w:rsidP="007007C9">
            <w:pPr>
              <w:spacing w:before="0" w:after="0"/>
              <w:rPr>
                <w:sz w:val="20"/>
                <w:szCs w:val="20"/>
              </w:rPr>
            </w:pPr>
            <w:r w:rsidRPr="00ED211F">
              <w:rPr>
                <w:sz w:val="20"/>
                <w:szCs w:val="20"/>
              </w:rPr>
              <w:t>Nom et Prénom :</w:t>
            </w:r>
          </w:p>
        </w:tc>
        <w:tc>
          <w:tcPr>
            <w:tcW w:w="2993" w:type="pct"/>
            <w:gridSpan w:val="2"/>
            <w:shd w:val="clear" w:color="auto" w:fill="auto"/>
          </w:tcPr>
          <w:p w14:paraId="23A5C208" w14:textId="77777777" w:rsidR="00450713" w:rsidRPr="00ED211F" w:rsidRDefault="00450713" w:rsidP="007007C9">
            <w:pPr>
              <w:spacing w:before="0" w:after="0"/>
              <w:rPr>
                <w:sz w:val="20"/>
                <w:szCs w:val="20"/>
              </w:rPr>
            </w:pPr>
            <w:r w:rsidRPr="00ED211F">
              <w:rPr>
                <w:sz w:val="20"/>
                <w:szCs w:val="20"/>
              </w:rPr>
              <w:t>DIARRA Aïssé Kouyaté</w:t>
            </w:r>
          </w:p>
        </w:tc>
      </w:tr>
      <w:tr w:rsidR="00450713" w:rsidRPr="008A3758" w14:paraId="59CDF679" w14:textId="77777777" w:rsidTr="0060123A">
        <w:tc>
          <w:tcPr>
            <w:tcW w:w="2007" w:type="pct"/>
            <w:gridSpan w:val="3"/>
            <w:shd w:val="clear" w:color="auto" w:fill="auto"/>
          </w:tcPr>
          <w:p w14:paraId="1CF00727" w14:textId="77777777" w:rsidR="00450713" w:rsidRPr="00ED211F" w:rsidRDefault="00450713" w:rsidP="007007C9">
            <w:pPr>
              <w:spacing w:before="0" w:after="0"/>
              <w:rPr>
                <w:sz w:val="20"/>
                <w:szCs w:val="20"/>
              </w:rPr>
            </w:pPr>
            <w:r w:rsidRPr="00ED211F">
              <w:rPr>
                <w:sz w:val="20"/>
                <w:szCs w:val="20"/>
              </w:rPr>
              <w:t>Poste pour cette tâche :</w:t>
            </w:r>
          </w:p>
        </w:tc>
        <w:tc>
          <w:tcPr>
            <w:tcW w:w="2993" w:type="pct"/>
            <w:gridSpan w:val="2"/>
            <w:shd w:val="clear" w:color="auto" w:fill="auto"/>
          </w:tcPr>
          <w:p w14:paraId="3F4F21BC" w14:textId="77777777" w:rsidR="00450713" w:rsidRPr="00ED211F" w:rsidRDefault="00450713" w:rsidP="007007C9">
            <w:pPr>
              <w:spacing w:before="0" w:after="0"/>
              <w:rPr>
                <w:sz w:val="20"/>
                <w:szCs w:val="20"/>
              </w:rPr>
            </w:pPr>
            <w:r w:rsidRPr="00ED211F">
              <w:rPr>
                <w:sz w:val="20"/>
                <w:szCs w:val="20"/>
              </w:rPr>
              <w:t>Chef de Mission</w:t>
            </w:r>
            <w:r>
              <w:rPr>
                <w:sz w:val="20"/>
                <w:szCs w:val="20"/>
              </w:rPr>
              <w:t>, Expert senior en évaluation de projets et programmes</w:t>
            </w:r>
          </w:p>
        </w:tc>
      </w:tr>
      <w:tr w:rsidR="00450713" w:rsidRPr="00ED211F" w14:paraId="161EB105" w14:textId="77777777" w:rsidTr="0060123A">
        <w:tc>
          <w:tcPr>
            <w:tcW w:w="2007" w:type="pct"/>
            <w:gridSpan w:val="3"/>
            <w:shd w:val="clear" w:color="auto" w:fill="auto"/>
          </w:tcPr>
          <w:p w14:paraId="4D755D3E" w14:textId="77777777" w:rsidR="00450713" w:rsidRPr="00ED211F" w:rsidRDefault="00450713" w:rsidP="007007C9">
            <w:pPr>
              <w:spacing w:before="0" w:after="0"/>
              <w:rPr>
                <w:sz w:val="20"/>
                <w:szCs w:val="20"/>
              </w:rPr>
            </w:pPr>
            <w:r w:rsidRPr="00ED211F">
              <w:rPr>
                <w:sz w:val="20"/>
                <w:szCs w:val="20"/>
              </w:rPr>
              <w:t>Nationalité :</w:t>
            </w:r>
          </w:p>
        </w:tc>
        <w:tc>
          <w:tcPr>
            <w:tcW w:w="2993" w:type="pct"/>
            <w:gridSpan w:val="2"/>
            <w:shd w:val="clear" w:color="auto" w:fill="auto"/>
          </w:tcPr>
          <w:p w14:paraId="2A86F2D5" w14:textId="77777777" w:rsidR="00450713" w:rsidRPr="00ED211F" w:rsidRDefault="00450713" w:rsidP="007007C9">
            <w:pPr>
              <w:spacing w:before="0" w:after="0"/>
              <w:rPr>
                <w:sz w:val="20"/>
                <w:szCs w:val="20"/>
              </w:rPr>
            </w:pPr>
            <w:r w:rsidRPr="00ED211F">
              <w:rPr>
                <w:sz w:val="20"/>
                <w:szCs w:val="20"/>
              </w:rPr>
              <w:t>Malienne</w:t>
            </w:r>
          </w:p>
        </w:tc>
      </w:tr>
      <w:tr w:rsidR="00450713" w:rsidRPr="008A3758" w14:paraId="7A17919A" w14:textId="77777777" w:rsidTr="0060123A">
        <w:tc>
          <w:tcPr>
            <w:tcW w:w="2007" w:type="pct"/>
            <w:gridSpan w:val="3"/>
            <w:shd w:val="clear" w:color="auto" w:fill="auto"/>
          </w:tcPr>
          <w:p w14:paraId="3279C5EA" w14:textId="77777777" w:rsidR="00450713" w:rsidRPr="00ED211F" w:rsidRDefault="00450713" w:rsidP="007007C9">
            <w:pPr>
              <w:spacing w:before="0" w:after="0"/>
              <w:rPr>
                <w:sz w:val="20"/>
                <w:szCs w:val="20"/>
              </w:rPr>
            </w:pPr>
            <w:r w:rsidRPr="00ED211F">
              <w:rPr>
                <w:sz w:val="20"/>
                <w:szCs w:val="20"/>
              </w:rPr>
              <w:t>Compétences linguistiques :</w:t>
            </w:r>
          </w:p>
        </w:tc>
        <w:tc>
          <w:tcPr>
            <w:tcW w:w="2993" w:type="pct"/>
            <w:gridSpan w:val="2"/>
            <w:shd w:val="clear" w:color="auto" w:fill="auto"/>
          </w:tcPr>
          <w:p w14:paraId="04AA6539" w14:textId="77777777" w:rsidR="00450713" w:rsidRPr="00ED211F" w:rsidRDefault="00450713" w:rsidP="00FB2B45">
            <w:pPr>
              <w:pStyle w:val="Paragraphedeliste"/>
              <w:numPr>
                <w:ilvl w:val="0"/>
                <w:numId w:val="57"/>
              </w:numPr>
              <w:spacing w:before="0" w:after="0" w:line="240" w:lineRule="auto"/>
              <w:contextualSpacing w:val="0"/>
              <w:jc w:val="left"/>
            </w:pPr>
            <w:r w:rsidRPr="00ED211F">
              <w:t>Français : Très Bien (Lu ; Parlé et Ecrit)</w:t>
            </w:r>
          </w:p>
          <w:p w14:paraId="17F9EC90" w14:textId="77777777" w:rsidR="00450713" w:rsidRPr="00ED211F" w:rsidRDefault="00450713" w:rsidP="00FB2B45">
            <w:pPr>
              <w:pStyle w:val="Paragraphedeliste"/>
              <w:numPr>
                <w:ilvl w:val="0"/>
                <w:numId w:val="57"/>
              </w:numPr>
              <w:spacing w:before="0" w:after="0" w:line="240" w:lineRule="auto"/>
              <w:contextualSpacing w:val="0"/>
              <w:jc w:val="left"/>
            </w:pPr>
            <w:r w:rsidRPr="00ED211F">
              <w:t>Bamanan : Bon (Lu ; Parlé et Ecrit)</w:t>
            </w:r>
          </w:p>
          <w:p w14:paraId="69F51445" w14:textId="77777777" w:rsidR="00450713" w:rsidRPr="00ED211F" w:rsidRDefault="00450713" w:rsidP="00FB2B45">
            <w:pPr>
              <w:pStyle w:val="Paragraphedeliste"/>
              <w:numPr>
                <w:ilvl w:val="0"/>
                <w:numId w:val="57"/>
              </w:numPr>
              <w:spacing w:before="0" w:after="0" w:line="240" w:lineRule="auto"/>
              <w:contextualSpacing w:val="0"/>
              <w:jc w:val="left"/>
            </w:pPr>
            <w:r w:rsidRPr="00ED211F">
              <w:t>Anglais : Bon (Lu ; Parlé et Ecrit)</w:t>
            </w:r>
          </w:p>
        </w:tc>
      </w:tr>
      <w:tr w:rsidR="00450713" w:rsidRPr="008A3758" w14:paraId="676F9830" w14:textId="77777777" w:rsidTr="0060123A">
        <w:tc>
          <w:tcPr>
            <w:tcW w:w="2007" w:type="pct"/>
            <w:gridSpan w:val="3"/>
            <w:shd w:val="clear" w:color="auto" w:fill="auto"/>
          </w:tcPr>
          <w:p w14:paraId="7539A86B" w14:textId="77777777" w:rsidR="00450713" w:rsidRPr="00ED211F" w:rsidRDefault="00450713" w:rsidP="007007C9">
            <w:pPr>
              <w:spacing w:before="0" w:after="0"/>
              <w:rPr>
                <w:sz w:val="20"/>
                <w:szCs w:val="20"/>
              </w:rPr>
            </w:pPr>
            <w:r w:rsidRPr="00ED211F">
              <w:rPr>
                <w:sz w:val="20"/>
                <w:szCs w:val="20"/>
              </w:rPr>
              <w:t>Éducation et autres qualifications</w:t>
            </w:r>
            <w:r w:rsidRPr="00ED211F">
              <w:rPr>
                <w:sz w:val="20"/>
                <w:szCs w:val="20"/>
                <w:highlight w:val="green"/>
              </w:rPr>
              <w:t xml:space="preserve"> </w:t>
            </w:r>
          </w:p>
        </w:tc>
        <w:tc>
          <w:tcPr>
            <w:tcW w:w="2993" w:type="pct"/>
            <w:gridSpan w:val="2"/>
            <w:shd w:val="clear" w:color="auto" w:fill="auto"/>
          </w:tcPr>
          <w:p w14:paraId="3FFF0B3B" w14:textId="77777777" w:rsidR="00450713" w:rsidRPr="00ED211F" w:rsidRDefault="00450713" w:rsidP="00FB2B45">
            <w:pPr>
              <w:pStyle w:val="Paragraphedeliste"/>
              <w:numPr>
                <w:ilvl w:val="0"/>
                <w:numId w:val="55"/>
              </w:numPr>
              <w:spacing w:before="0" w:after="0" w:line="240" w:lineRule="auto"/>
              <w:contextualSpacing w:val="0"/>
              <w:jc w:val="left"/>
            </w:pPr>
            <w:r w:rsidRPr="00ED211F">
              <w:t xml:space="preserve">Septembre 1990 - août 1994 : Master en Sociologie Rurale Université de Lexington, KY, USfA – </w:t>
            </w:r>
          </w:p>
          <w:p w14:paraId="365EA1BD" w14:textId="77777777" w:rsidR="00450713" w:rsidRPr="00ED211F" w:rsidRDefault="00450713" w:rsidP="00FB2B45">
            <w:pPr>
              <w:pStyle w:val="Paragraphedeliste"/>
              <w:numPr>
                <w:ilvl w:val="0"/>
                <w:numId w:val="55"/>
              </w:numPr>
              <w:spacing w:before="0" w:after="0" w:line="240" w:lineRule="auto"/>
              <w:contextualSpacing w:val="0"/>
              <w:jc w:val="left"/>
            </w:pPr>
            <w:r w:rsidRPr="00ED211F">
              <w:t xml:space="preserve">Octobre 1972 - juin 1976 : Licence en Histoire Géographie Ecole Normale Supérieure de Bamako, Mali </w:t>
            </w:r>
          </w:p>
        </w:tc>
      </w:tr>
      <w:tr w:rsidR="00450713" w:rsidRPr="008A3758" w14:paraId="719A95A1" w14:textId="77777777" w:rsidTr="0060123A">
        <w:trPr>
          <w:trHeight w:val="70"/>
        </w:trPr>
        <w:tc>
          <w:tcPr>
            <w:tcW w:w="5000" w:type="pct"/>
            <w:gridSpan w:val="5"/>
            <w:shd w:val="clear" w:color="auto" w:fill="00B0F0"/>
          </w:tcPr>
          <w:p w14:paraId="3F2E630C" w14:textId="77777777" w:rsidR="00450713" w:rsidRPr="00ED211F" w:rsidRDefault="00450713">
            <w:pPr>
              <w:pStyle w:val="BodyText21"/>
              <w:tabs>
                <w:tab w:val="right" w:pos="3060"/>
                <w:tab w:val="right" w:pos="4320"/>
              </w:tabs>
              <w:spacing w:after="0" w:line="240" w:lineRule="auto"/>
              <w:ind w:left="360" w:hanging="450"/>
              <w:rPr>
                <w:rFonts w:ascii="Century Gothic" w:hAnsi="Century Gothic"/>
                <w:color w:val="auto"/>
                <w:lang w:val="fr-FR"/>
              </w:rPr>
            </w:pPr>
          </w:p>
        </w:tc>
      </w:tr>
      <w:tr w:rsidR="00450713" w:rsidRPr="0029506C" w14:paraId="748DDA08" w14:textId="77777777" w:rsidTr="0060123A">
        <w:tc>
          <w:tcPr>
            <w:tcW w:w="5000" w:type="pct"/>
            <w:gridSpan w:val="5"/>
            <w:shd w:val="clear" w:color="auto" w:fill="auto"/>
          </w:tcPr>
          <w:p w14:paraId="526B2C43" w14:textId="77777777" w:rsidR="00450713" w:rsidRPr="0029506C" w:rsidRDefault="00450713" w:rsidP="007007C9">
            <w:pPr>
              <w:spacing w:before="0" w:after="0"/>
              <w:rPr>
                <w:b/>
                <w:bCs/>
                <w:sz w:val="20"/>
                <w:szCs w:val="20"/>
                <w:u w:val="single"/>
              </w:rPr>
            </w:pPr>
            <w:r w:rsidRPr="0029506C">
              <w:rPr>
                <w:b/>
                <w:bCs/>
                <w:u w:val="single"/>
              </w:rPr>
              <w:t xml:space="preserve">Parcours professionnel </w:t>
            </w:r>
            <w:r>
              <w:rPr>
                <w:b/>
                <w:bCs/>
                <w:u w:val="single"/>
              </w:rPr>
              <w:t xml:space="preserve">&amp; </w:t>
            </w:r>
            <w:r w:rsidRPr="0029506C">
              <w:rPr>
                <w:rFonts w:eastAsia="ヒラギノ角ゴ Pro W3" w:cs="Times New Roman"/>
                <w:b/>
                <w:bCs/>
                <w:sz w:val="20"/>
                <w:szCs w:val="20"/>
                <w:u w:val="single"/>
                <w:lang w:eastAsia="da-DK"/>
              </w:rPr>
              <w:t>Expérience pertinente</w:t>
            </w:r>
          </w:p>
        </w:tc>
      </w:tr>
      <w:tr w:rsidR="00450713" w:rsidRPr="008A3758" w14:paraId="2A95E589" w14:textId="77777777" w:rsidTr="0060123A">
        <w:tc>
          <w:tcPr>
            <w:tcW w:w="1021" w:type="pct"/>
            <w:shd w:val="clear" w:color="auto" w:fill="auto"/>
          </w:tcPr>
          <w:p w14:paraId="00F260FE" w14:textId="77777777" w:rsidR="00450713" w:rsidRPr="00ED211F" w:rsidRDefault="00450713" w:rsidP="007007C9">
            <w:pPr>
              <w:spacing w:before="0" w:after="0"/>
              <w:rPr>
                <w:sz w:val="20"/>
                <w:szCs w:val="20"/>
              </w:rPr>
            </w:pPr>
            <w:r w:rsidRPr="00ED211F">
              <w:rPr>
                <w:sz w:val="20"/>
                <w:szCs w:val="20"/>
              </w:rPr>
              <w:t>Période : De – À</w:t>
            </w:r>
          </w:p>
        </w:tc>
        <w:tc>
          <w:tcPr>
            <w:tcW w:w="1433" w:type="pct"/>
            <w:gridSpan w:val="3"/>
            <w:shd w:val="clear" w:color="auto" w:fill="auto"/>
          </w:tcPr>
          <w:p w14:paraId="6D7F9BF4" w14:textId="67C5FB82" w:rsidR="00450713" w:rsidRPr="00ED211F" w:rsidRDefault="00450713" w:rsidP="007007C9">
            <w:pPr>
              <w:spacing w:before="0" w:after="0"/>
              <w:rPr>
                <w:sz w:val="20"/>
                <w:szCs w:val="20"/>
              </w:rPr>
            </w:pPr>
            <w:r w:rsidRPr="00ED211F">
              <w:rPr>
                <w:sz w:val="20"/>
                <w:szCs w:val="20"/>
              </w:rPr>
              <w:t>Nom de</w:t>
            </w:r>
            <w:r w:rsidR="007068E8">
              <w:rPr>
                <w:sz w:val="20"/>
                <w:szCs w:val="20"/>
              </w:rPr>
              <w:t xml:space="preserve"> </w:t>
            </w:r>
            <w:r w:rsidRPr="00ED211F">
              <w:rPr>
                <w:sz w:val="20"/>
                <w:szCs w:val="20"/>
              </w:rPr>
              <w:t>Projet / organisme :</w:t>
            </w:r>
          </w:p>
        </w:tc>
        <w:tc>
          <w:tcPr>
            <w:tcW w:w="2546" w:type="pct"/>
            <w:shd w:val="clear" w:color="auto" w:fill="auto"/>
          </w:tcPr>
          <w:p w14:paraId="538EDBDF" w14:textId="77777777" w:rsidR="00450713" w:rsidRPr="00ED211F" w:rsidRDefault="00450713" w:rsidP="007007C9">
            <w:pPr>
              <w:spacing w:before="0" w:after="0"/>
              <w:rPr>
                <w:sz w:val="20"/>
                <w:szCs w:val="20"/>
              </w:rPr>
            </w:pPr>
            <w:r w:rsidRPr="00ED211F">
              <w:rPr>
                <w:sz w:val="20"/>
                <w:szCs w:val="20"/>
              </w:rPr>
              <w:t>Titre du poste, les principales caractéristiques du projet, et les activités réalisées</w:t>
            </w:r>
          </w:p>
        </w:tc>
      </w:tr>
      <w:tr w:rsidR="00450713" w:rsidRPr="008A3758" w14:paraId="6816DBBE" w14:textId="77777777" w:rsidTr="0060123A">
        <w:tc>
          <w:tcPr>
            <w:tcW w:w="1021" w:type="pct"/>
            <w:shd w:val="clear" w:color="auto" w:fill="auto"/>
          </w:tcPr>
          <w:p w14:paraId="53938558" w14:textId="77777777" w:rsidR="00450713" w:rsidRPr="00ED211F" w:rsidRDefault="00450713" w:rsidP="007007C9">
            <w:pPr>
              <w:spacing w:before="0" w:after="0"/>
              <w:rPr>
                <w:sz w:val="20"/>
                <w:szCs w:val="20"/>
              </w:rPr>
            </w:pPr>
            <w:r w:rsidRPr="00ED211F">
              <w:rPr>
                <w:sz w:val="20"/>
                <w:szCs w:val="20"/>
              </w:rPr>
              <w:t>Octobre-Novembre 2020</w:t>
            </w:r>
          </w:p>
        </w:tc>
        <w:tc>
          <w:tcPr>
            <w:tcW w:w="1433" w:type="pct"/>
            <w:gridSpan w:val="3"/>
            <w:shd w:val="clear" w:color="auto" w:fill="auto"/>
          </w:tcPr>
          <w:p w14:paraId="5D6F733C" w14:textId="77777777" w:rsidR="00450713" w:rsidRPr="00ED211F" w:rsidRDefault="00450713" w:rsidP="007007C9">
            <w:pPr>
              <w:spacing w:before="0" w:after="0"/>
              <w:rPr>
                <w:sz w:val="20"/>
                <w:szCs w:val="20"/>
              </w:rPr>
            </w:pPr>
            <w:r w:rsidRPr="00ED211F">
              <w:rPr>
                <w:sz w:val="20"/>
                <w:szCs w:val="20"/>
              </w:rPr>
              <w:t>FNUAP-Ambassade Royale des Pays Bas</w:t>
            </w:r>
          </w:p>
        </w:tc>
        <w:tc>
          <w:tcPr>
            <w:tcW w:w="2546" w:type="pct"/>
            <w:shd w:val="clear" w:color="auto" w:fill="auto"/>
          </w:tcPr>
          <w:p w14:paraId="17A49EB7" w14:textId="77777777" w:rsidR="00450713" w:rsidRPr="00ED211F" w:rsidRDefault="00450713" w:rsidP="007007C9">
            <w:pPr>
              <w:spacing w:before="0" w:after="0"/>
              <w:rPr>
                <w:sz w:val="20"/>
                <w:szCs w:val="20"/>
              </w:rPr>
            </w:pPr>
            <w:r w:rsidRPr="00ED211F">
              <w:rPr>
                <w:sz w:val="20"/>
                <w:szCs w:val="20"/>
              </w:rPr>
              <w:t>Experte pour analyse des données qualitatives</w:t>
            </w:r>
          </w:p>
          <w:p w14:paraId="216984C2" w14:textId="77777777" w:rsidR="00450713" w:rsidRPr="00ED211F" w:rsidRDefault="00450713" w:rsidP="007007C9">
            <w:pPr>
              <w:spacing w:before="0" w:after="0"/>
              <w:rPr>
                <w:sz w:val="20"/>
                <w:szCs w:val="20"/>
              </w:rPr>
            </w:pPr>
            <w:r w:rsidRPr="00ED211F">
              <w:rPr>
                <w:sz w:val="20"/>
                <w:szCs w:val="20"/>
              </w:rPr>
              <w:t>Evaluation à mi parcours du projet « Atteindre le Dernier Kilomètre » Projet de santé de la reproduction dans les régions de Ségou et Mopti</w:t>
            </w:r>
          </w:p>
        </w:tc>
      </w:tr>
      <w:tr w:rsidR="00450713" w:rsidRPr="008A3758" w14:paraId="4EF52AB3" w14:textId="77777777" w:rsidTr="0060123A">
        <w:tc>
          <w:tcPr>
            <w:tcW w:w="1021" w:type="pct"/>
            <w:shd w:val="clear" w:color="auto" w:fill="auto"/>
          </w:tcPr>
          <w:p w14:paraId="4FF8FCFC" w14:textId="77777777" w:rsidR="00450713" w:rsidRPr="00ED211F" w:rsidRDefault="00450713" w:rsidP="007007C9">
            <w:pPr>
              <w:spacing w:before="0" w:after="0"/>
              <w:rPr>
                <w:sz w:val="20"/>
                <w:szCs w:val="20"/>
              </w:rPr>
            </w:pPr>
            <w:r w:rsidRPr="00ED211F">
              <w:rPr>
                <w:sz w:val="20"/>
                <w:szCs w:val="20"/>
              </w:rPr>
              <w:t>Janv-mars 2020</w:t>
            </w:r>
          </w:p>
        </w:tc>
        <w:tc>
          <w:tcPr>
            <w:tcW w:w="1433" w:type="pct"/>
            <w:gridSpan w:val="3"/>
            <w:shd w:val="clear" w:color="auto" w:fill="auto"/>
          </w:tcPr>
          <w:p w14:paraId="1E0E3E25" w14:textId="77777777" w:rsidR="00450713" w:rsidRPr="00ED211F" w:rsidRDefault="00450713" w:rsidP="007007C9">
            <w:pPr>
              <w:spacing w:before="0" w:after="0"/>
              <w:rPr>
                <w:sz w:val="20"/>
                <w:szCs w:val="20"/>
              </w:rPr>
            </w:pPr>
            <w:r w:rsidRPr="00ED211F">
              <w:rPr>
                <w:sz w:val="20"/>
                <w:szCs w:val="20"/>
              </w:rPr>
              <w:t>Projet Inclusif (Canada)</w:t>
            </w:r>
          </w:p>
        </w:tc>
        <w:tc>
          <w:tcPr>
            <w:tcW w:w="2546" w:type="pct"/>
            <w:shd w:val="clear" w:color="auto" w:fill="auto"/>
          </w:tcPr>
          <w:p w14:paraId="2372C8D1" w14:textId="77777777" w:rsidR="00450713" w:rsidRPr="00ED211F" w:rsidRDefault="00450713" w:rsidP="007007C9">
            <w:pPr>
              <w:spacing w:before="0" w:after="0"/>
              <w:rPr>
                <w:sz w:val="20"/>
                <w:szCs w:val="20"/>
              </w:rPr>
            </w:pPr>
            <w:r w:rsidRPr="00ED211F">
              <w:rPr>
                <w:sz w:val="20"/>
                <w:szCs w:val="20"/>
              </w:rPr>
              <w:t>Experte en analyse genre et élaboration de stratégie Genre</w:t>
            </w:r>
          </w:p>
          <w:p w14:paraId="058EB652" w14:textId="77777777" w:rsidR="00450713" w:rsidRPr="00ED211F" w:rsidRDefault="00450713" w:rsidP="007007C9">
            <w:pPr>
              <w:spacing w:before="0" w:after="0"/>
              <w:rPr>
                <w:sz w:val="20"/>
                <w:szCs w:val="20"/>
              </w:rPr>
            </w:pPr>
            <w:r w:rsidRPr="00ED211F">
              <w:rPr>
                <w:sz w:val="20"/>
                <w:szCs w:val="20"/>
              </w:rPr>
              <w:t>Réalisation de l’analyse pour l’intégration du genre dans le Projet Inclusif des filières agricoles et élaboration de stratégie genre suivi d’un plan d’action 2020-2024</w:t>
            </w:r>
          </w:p>
        </w:tc>
      </w:tr>
      <w:tr w:rsidR="00450713" w:rsidRPr="008A3758" w14:paraId="04CDF9B0" w14:textId="77777777" w:rsidTr="0060123A">
        <w:tc>
          <w:tcPr>
            <w:tcW w:w="1021" w:type="pct"/>
            <w:shd w:val="clear" w:color="auto" w:fill="auto"/>
          </w:tcPr>
          <w:p w14:paraId="2E73F6BC" w14:textId="77777777" w:rsidR="00450713" w:rsidRPr="00ED211F" w:rsidRDefault="00450713" w:rsidP="007007C9">
            <w:pPr>
              <w:spacing w:before="0" w:after="0"/>
              <w:rPr>
                <w:sz w:val="20"/>
                <w:szCs w:val="20"/>
              </w:rPr>
            </w:pPr>
            <w:r w:rsidRPr="00ED211F">
              <w:rPr>
                <w:sz w:val="20"/>
                <w:szCs w:val="20"/>
              </w:rPr>
              <w:t>Décembre 2019-janvier 2020</w:t>
            </w:r>
          </w:p>
        </w:tc>
        <w:tc>
          <w:tcPr>
            <w:tcW w:w="1433" w:type="pct"/>
            <w:gridSpan w:val="3"/>
            <w:shd w:val="clear" w:color="auto" w:fill="auto"/>
          </w:tcPr>
          <w:p w14:paraId="31CD5EBE" w14:textId="77777777" w:rsidR="00450713" w:rsidRPr="00ED211F" w:rsidRDefault="00450713" w:rsidP="007007C9">
            <w:pPr>
              <w:spacing w:before="0" w:after="0"/>
              <w:rPr>
                <w:sz w:val="20"/>
                <w:szCs w:val="20"/>
              </w:rPr>
            </w:pPr>
            <w:r w:rsidRPr="00ED211F">
              <w:rPr>
                <w:sz w:val="20"/>
                <w:szCs w:val="20"/>
              </w:rPr>
              <w:t>Daouna Development à Bamako</w:t>
            </w:r>
          </w:p>
        </w:tc>
        <w:tc>
          <w:tcPr>
            <w:tcW w:w="2546" w:type="pct"/>
            <w:shd w:val="clear" w:color="auto" w:fill="auto"/>
          </w:tcPr>
          <w:p w14:paraId="2EB86DB3" w14:textId="77777777" w:rsidR="00450713" w:rsidRPr="00ED211F" w:rsidRDefault="00450713" w:rsidP="007007C9">
            <w:pPr>
              <w:spacing w:before="0" w:after="0"/>
              <w:rPr>
                <w:sz w:val="20"/>
                <w:szCs w:val="20"/>
              </w:rPr>
            </w:pPr>
            <w:r w:rsidRPr="00ED211F">
              <w:rPr>
                <w:sz w:val="20"/>
                <w:szCs w:val="20"/>
              </w:rPr>
              <w:t>Consultante pour élaboration de la stratégie genre du Ministère de l’Environnement, Assainissement et Développement Durable (MEADD)</w:t>
            </w:r>
          </w:p>
          <w:p w14:paraId="74553B39" w14:textId="77777777" w:rsidR="00450713" w:rsidRPr="00ED211F" w:rsidRDefault="00450713" w:rsidP="007007C9">
            <w:pPr>
              <w:spacing w:before="0" w:after="0"/>
              <w:rPr>
                <w:sz w:val="20"/>
                <w:szCs w:val="20"/>
              </w:rPr>
            </w:pPr>
            <w:r w:rsidRPr="00ED211F">
              <w:rPr>
                <w:sz w:val="20"/>
                <w:szCs w:val="20"/>
              </w:rPr>
              <w:t>Elaboration d’un document de diagnostic suivi de la stratégie et du Plan d’Action 2020-2022 pour Ministère de l’Environnement, Assainissement et Développement Durable (MEADD)</w:t>
            </w:r>
          </w:p>
        </w:tc>
      </w:tr>
      <w:tr w:rsidR="00450713" w:rsidRPr="008A3758" w14:paraId="1C4B78C7" w14:textId="77777777" w:rsidTr="0060123A">
        <w:tc>
          <w:tcPr>
            <w:tcW w:w="1021" w:type="pct"/>
            <w:shd w:val="clear" w:color="auto" w:fill="auto"/>
          </w:tcPr>
          <w:p w14:paraId="6CF091B4" w14:textId="77777777" w:rsidR="00450713" w:rsidRPr="00ED211F" w:rsidRDefault="00450713" w:rsidP="007007C9">
            <w:pPr>
              <w:spacing w:before="0" w:after="0"/>
              <w:rPr>
                <w:sz w:val="20"/>
                <w:szCs w:val="20"/>
              </w:rPr>
            </w:pPr>
            <w:r w:rsidRPr="00ED211F">
              <w:rPr>
                <w:sz w:val="20"/>
                <w:szCs w:val="20"/>
              </w:rPr>
              <w:t>Novembre 2019-décembre 2019</w:t>
            </w:r>
          </w:p>
        </w:tc>
        <w:tc>
          <w:tcPr>
            <w:tcW w:w="1433" w:type="pct"/>
            <w:gridSpan w:val="3"/>
            <w:shd w:val="clear" w:color="auto" w:fill="auto"/>
          </w:tcPr>
          <w:p w14:paraId="64128C24" w14:textId="77777777" w:rsidR="00450713" w:rsidRPr="00ED211F" w:rsidRDefault="00450713" w:rsidP="007007C9">
            <w:pPr>
              <w:spacing w:before="0" w:after="0"/>
              <w:rPr>
                <w:sz w:val="20"/>
                <w:szCs w:val="20"/>
              </w:rPr>
            </w:pPr>
            <w:r w:rsidRPr="00ED211F">
              <w:rPr>
                <w:sz w:val="20"/>
                <w:szCs w:val="20"/>
              </w:rPr>
              <w:t>ONG APSEF à Bamako</w:t>
            </w:r>
          </w:p>
        </w:tc>
        <w:tc>
          <w:tcPr>
            <w:tcW w:w="2546" w:type="pct"/>
            <w:shd w:val="clear" w:color="auto" w:fill="auto"/>
          </w:tcPr>
          <w:p w14:paraId="369734B2" w14:textId="77777777" w:rsidR="00450713" w:rsidRPr="00ED211F" w:rsidRDefault="00450713" w:rsidP="007007C9">
            <w:pPr>
              <w:spacing w:before="0" w:after="0"/>
              <w:rPr>
                <w:sz w:val="20"/>
                <w:szCs w:val="20"/>
              </w:rPr>
            </w:pPr>
            <w:r w:rsidRPr="00ED211F">
              <w:rPr>
                <w:sz w:val="20"/>
                <w:szCs w:val="20"/>
              </w:rPr>
              <w:t>Consultante pour l’analyse de données et production de rapport.</w:t>
            </w:r>
          </w:p>
          <w:p w14:paraId="61CD4E8E" w14:textId="77777777" w:rsidR="00450713" w:rsidRPr="00ED211F" w:rsidRDefault="00450713" w:rsidP="007007C9">
            <w:pPr>
              <w:spacing w:before="0" w:after="0"/>
              <w:rPr>
                <w:sz w:val="20"/>
                <w:szCs w:val="20"/>
              </w:rPr>
            </w:pPr>
            <w:r w:rsidRPr="00ED211F">
              <w:rPr>
                <w:sz w:val="20"/>
                <w:szCs w:val="20"/>
              </w:rPr>
              <w:t>Elaboration des barrières genre relatives aux VBG à Mopti, Bandiagara, Bankass et Koro</w:t>
            </w:r>
          </w:p>
        </w:tc>
      </w:tr>
      <w:tr w:rsidR="00450713" w:rsidRPr="008A3758" w14:paraId="6B34453A" w14:textId="77777777" w:rsidTr="0060123A">
        <w:tc>
          <w:tcPr>
            <w:tcW w:w="1021" w:type="pct"/>
            <w:shd w:val="clear" w:color="auto" w:fill="auto"/>
          </w:tcPr>
          <w:p w14:paraId="16651FF2" w14:textId="77777777" w:rsidR="00450713" w:rsidRPr="00ED211F" w:rsidRDefault="00450713" w:rsidP="007007C9">
            <w:pPr>
              <w:spacing w:before="0" w:after="0"/>
              <w:rPr>
                <w:sz w:val="20"/>
                <w:szCs w:val="20"/>
              </w:rPr>
            </w:pPr>
            <w:r w:rsidRPr="00ED211F">
              <w:rPr>
                <w:sz w:val="20"/>
                <w:szCs w:val="20"/>
              </w:rPr>
              <w:t>Juin 2019</w:t>
            </w:r>
          </w:p>
        </w:tc>
        <w:tc>
          <w:tcPr>
            <w:tcW w:w="1433" w:type="pct"/>
            <w:gridSpan w:val="3"/>
            <w:shd w:val="clear" w:color="auto" w:fill="auto"/>
          </w:tcPr>
          <w:p w14:paraId="40873C7D" w14:textId="77777777" w:rsidR="00450713" w:rsidRPr="00ED211F" w:rsidRDefault="00450713" w:rsidP="007007C9">
            <w:pPr>
              <w:spacing w:before="0" w:after="0"/>
              <w:rPr>
                <w:sz w:val="20"/>
                <w:szCs w:val="20"/>
              </w:rPr>
            </w:pPr>
            <w:r w:rsidRPr="00ED211F">
              <w:rPr>
                <w:sz w:val="20"/>
                <w:szCs w:val="20"/>
              </w:rPr>
              <w:t>Bureau Technopolis en France</w:t>
            </w:r>
          </w:p>
        </w:tc>
        <w:tc>
          <w:tcPr>
            <w:tcW w:w="2546" w:type="pct"/>
            <w:shd w:val="clear" w:color="auto" w:fill="auto"/>
          </w:tcPr>
          <w:p w14:paraId="1F285C62" w14:textId="77777777" w:rsidR="00450713" w:rsidRPr="00ED211F" w:rsidRDefault="00450713" w:rsidP="007007C9">
            <w:pPr>
              <w:spacing w:before="0" w:after="0"/>
              <w:rPr>
                <w:sz w:val="20"/>
                <w:szCs w:val="20"/>
              </w:rPr>
            </w:pPr>
            <w:r w:rsidRPr="00ED211F">
              <w:rPr>
                <w:sz w:val="20"/>
                <w:szCs w:val="20"/>
              </w:rPr>
              <w:t>Chargée de l’étude diagnostique</w:t>
            </w:r>
          </w:p>
          <w:p w14:paraId="6A6CCE53" w14:textId="77777777" w:rsidR="00450713" w:rsidRPr="00ED211F" w:rsidRDefault="00450713" w:rsidP="007007C9">
            <w:pPr>
              <w:spacing w:before="0" w:after="0"/>
              <w:rPr>
                <w:sz w:val="20"/>
                <w:szCs w:val="20"/>
              </w:rPr>
            </w:pPr>
            <w:r w:rsidRPr="00ED211F">
              <w:rPr>
                <w:sz w:val="20"/>
                <w:szCs w:val="20"/>
              </w:rPr>
              <w:t>Réalisation d’une étude sur les thématiques : Education, Droits sexuels et reproductifs, Insertion socio économique des femmes/filles et autonomisation et inclusion sociale en vue de l’élaboration du Projet EDIFIS de l’Agence Française de Développement (Bureau de France)</w:t>
            </w:r>
          </w:p>
        </w:tc>
      </w:tr>
      <w:tr w:rsidR="00450713" w:rsidRPr="008A3758" w14:paraId="32944FDC" w14:textId="77777777" w:rsidTr="0060123A">
        <w:tc>
          <w:tcPr>
            <w:tcW w:w="1021" w:type="pct"/>
            <w:shd w:val="clear" w:color="auto" w:fill="auto"/>
          </w:tcPr>
          <w:p w14:paraId="4F50C4AB" w14:textId="77777777" w:rsidR="00450713" w:rsidRPr="00ED211F" w:rsidRDefault="00450713" w:rsidP="007007C9">
            <w:pPr>
              <w:spacing w:before="0" w:after="0"/>
              <w:rPr>
                <w:sz w:val="20"/>
                <w:szCs w:val="20"/>
              </w:rPr>
            </w:pPr>
            <w:r w:rsidRPr="00ED211F">
              <w:rPr>
                <w:sz w:val="20"/>
                <w:szCs w:val="20"/>
              </w:rPr>
              <w:t>Mars-avril 2019</w:t>
            </w:r>
          </w:p>
        </w:tc>
        <w:tc>
          <w:tcPr>
            <w:tcW w:w="1433" w:type="pct"/>
            <w:gridSpan w:val="3"/>
            <w:shd w:val="clear" w:color="auto" w:fill="auto"/>
          </w:tcPr>
          <w:p w14:paraId="6895C509" w14:textId="77777777" w:rsidR="00450713" w:rsidRPr="00ED211F" w:rsidRDefault="00450713" w:rsidP="007007C9">
            <w:pPr>
              <w:spacing w:before="0" w:after="0"/>
              <w:rPr>
                <w:sz w:val="20"/>
                <w:szCs w:val="20"/>
              </w:rPr>
            </w:pPr>
            <w:r w:rsidRPr="00ED211F">
              <w:rPr>
                <w:sz w:val="20"/>
                <w:szCs w:val="20"/>
              </w:rPr>
              <w:t>ONG AMSOPT et ONU Femme</w:t>
            </w:r>
          </w:p>
        </w:tc>
        <w:tc>
          <w:tcPr>
            <w:tcW w:w="2546" w:type="pct"/>
            <w:shd w:val="clear" w:color="auto" w:fill="auto"/>
          </w:tcPr>
          <w:p w14:paraId="54B4E035" w14:textId="77777777" w:rsidR="00450713" w:rsidRPr="00ED211F" w:rsidRDefault="00450713" w:rsidP="007007C9">
            <w:pPr>
              <w:spacing w:before="0" w:after="0"/>
              <w:rPr>
                <w:sz w:val="20"/>
                <w:szCs w:val="20"/>
              </w:rPr>
            </w:pPr>
            <w:r w:rsidRPr="00ED211F">
              <w:rPr>
                <w:sz w:val="20"/>
                <w:szCs w:val="20"/>
              </w:rPr>
              <w:t>Consultante</w:t>
            </w:r>
          </w:p>
          <w:p w14:paraId="3A0A2759" w14:textId="77777777" w:rsidR="00450713" w:rsidRPr="00ED211F" w:rsidRDefault="00450713" w:rsidP="007007C9">
            <w:pPr>
              <w:spacing w:before="0" w:after="0"/>
              <w:rPr>
                <w:sz w:val="20"/>
                <w:szCs w:val="20"/>
              </w:rPr>
            </w:pPr>
            <w:r w:rsidRPr="00ED211F">
              <w:rPr>
                <w:sz w:val="20"/>
                <w:szCs w:val="20"/>
              </w:rPr>
              <w:t>Evaluation du projet de sensibilisation sur la pratique des Mutilations Génitales Féminines et mariage des enfants dans 30 villages du district sanitaire de Kayes au Mali</w:t>
            </w:r>
          </w:p>
        </w:tc>
      </w:tr>
      <w:tr w:rsidR="00450713" w:rsidRPr="008A3758" w14:paraId="6FCC09CC" w14:textId="77777777" w:rsidTr="0060123A">
        <w:tc>
          <w:tcPr>
            <w:tcW w:w="1021" w:type="pct"/>
            <w:shd w:val="clear" w:color="auto" w:fill="auto"/>
          </w:tcPr>
          <w:p w14:paraId="7EC86C2E" w14:textId="77777777" w:rsidR="00450713" w:rsidRPr="00ED211F" w:rsidRDefault="00450713" w:rsidP="007007C9">
            <w:pPr>
              <w:spacing w:before="0" w:after="0"/>
              <w:rPr>
                <w:sz w:val="20"/>
                <w:szCs w:val="20"/>
              </w:rPr>
            </w:pPr>
            <w:r w:rsidRPr="00ED211F">
              <w:rPr>
                <w:sz w:val="20"/>
                <w:szCs w:val="20"/>
              </w:rPr>
              <w:t>Nov 2018- janvier 2019</w:t>
            </w:r>
          </w:p>
        </w:tc>
        <w:tc>
          <w:tcPr>
            <w:tcW w:w="1433" w:type="pct"/>
            <w:gridSpan w:val="3"/>
            <w:shd w:val="clear" w:color="auto" w:fill="auto"/>
          </w:tcPr>
          <w:p w14:paraId="69EB28EE" w14:textId="77777777" w:rsidR="00450713" w:rsidRPr="00ED211F" w:rsidRDefault="00450713" w:rsidP="007007C9">
            <w:pPr>
              <w:spacing w:before="0" w:after="0"/>
              <w:rPr>
                <w:sz w:val="20"/>
                <w:szCs w:val="20"/>
              </w:rPr>
            </w:pPr>
            <w:r w:rsidRPr="00ED211F">
              <w:rPr>
                <w:sz w:val="20"/>
                <w:szCs w:val="20"/>
              </w:rPr>
              <w:t>Bureau TMG basé aux USA</w:t>
            </w:r>
          </w:p>
        </w:tc>
        <w:tc>
          <w:tcPr>
            <w:tcW w:w="2546" w:type="pct"/>
            <w:shd w:val="clear" w:color="auto" w:fill="auto"/>
          </w:tcPr>
          <w:p w14:paraId="7D8E14FD" w14:textId="77777777" w:rsidR="00450713" w:rsidRPr="00ED211F" w:rsidRDefault="00450713" w:rsidP="007007C9">
            <w:pPr>
              <w:spacing w:before="0" w:after="0"/>
              <w:rPr>
                <w:sz w:val="20"/>
                <w:szCs w:val="20"/>
              </w:rPr>
            </w:pPr>
            <w:r w:rsidRPr="00ED211F">
              <w:rPr>
                <w:sz w:val="20"/>
                <w:szCs w:val="20"/>
              </w:rPr>
              <w:t xml:space="preserve">Expert genre de l’équipe d’évaluation </w:t>
            </w:r>
          </w:p>
          <w:p w14:paraId="4EC828A4" w14:textId="77777777" w:rsidR="00450713" w:rsidRPr="00ED211F" w:rsidRDefault="00450713" w:rsidP="007007C9">
            <w:pPr>
              <w:spacing w:before="0" w:after="0"/>
              <w:rPr>
                <w:sz w:val="20"/>
                <w:szCs w:val="20"/>
              </w:rPr>
            </w:pPr>
            <w:r w:rsidRPr="00ED211F">
              <w:rPr>
                <w:sz w:val="20"/>
                <w:szCs w:val="20"/>
              </w:rPr>
              <w:t>Evaluation du projet de gouvernance locale au Mali financé par USAID et mis en œuvre par la firme Tetratech basée aux USA</w:t>
            </w:r>
          </w:p>
        </w:tc>
      </w:tr>
      <w:tr w:rsidR="00450713" w:rsidRPr="008A3758" w14:paraId="141BB02C" w14:textId="77777777" w:rsidTr="0060123A">
        <w:tc>
          <w:tcPr>
            <w:tcW w:w="1021" w:type="pct"/>
            <w:shd w:val="clear" w:color="auto" w:fill="auto"/>
          </w:tcPr>
          <w:p w14:paraId="01A0B85F" w14:textId="77777777" w:rsidR="00450713" w:rsidRPr="00ED211F" w:rsidRDefault="00450713" w:rsidP="007007C9">
            <w:pPr>
              <w:spacing w:before="0" w:after="0"/>
              <w:rPr>
                <w:sz w:val="20"/>
                <w:szCs w:val="20"/>
              </w:rPr>
            </w:pPr>
            <w:r w:rsidRPr="00ED211F">
              <w:rPr>
                <w:sz w:val="20"/>
                <w:szCs w:val="20"/>
              </w:rPr>
              <w:t>Décembre 2017 à mars 2018</w:t>
            </w:r>
          </w:p>
        </w:tc>
        <w:tc>
          <w:tcPr>
            <w:tcW w:w="1433" w:type="pct"/>
            <w:gridSpan w:val="3"/>
            <w:shd w:val="clear" w:color="auto" w:fill="auto"/>
          </w:tcPr>
          <w:p w14:paraId="0DCDBF4D" w14:textId="77777777" w:rsidR="00450713" w:rsidRPr="00ED211F" w:rsidRDefault="00450713" w:rsidP="007007C9">
            <w:pPr>
              <w:spacing w:before="0" w:after="0"/>
              <w:rPr>
                <w:sz w:val="20"/>
                <w:szCs w:val="20"/>
              </w:rPr>
            </w:pPr>
            <w:r w:rsidRPr="00ED211F">
              <w:rPr>
                <w:sz w:val="20"/>
                <w:szCs w:val="20"/>
              </w:rPr>
              <w:t>CEDREF GED Bamako et Coopération Suisse</w:t>
            </w:r>
          </w:p>
        </w:tc>
        <w:tc>
          <w:tcPr>
            <w:tcW w:w="2546" w:type="pct"/>
            <w:shd w:val="clear" w:color="auto" w:fill="auto"/>
          </w:tcPr>
          <w:p w14:paraId="29309596" w14:textId="77777777" w:rsidR="00450713" w:rsidRPr="00ED211F" w:rsidRDefault="00450713" w:rsidP="007007C9">
            <w:pPr>
              <w:spacing w:before="0" w:after="0"/>
              <w:rPr>
                <w:sz w:val="20"/>
                <w:szCs w:val="20"/>
              </w:rPr>
            </w:pPr>
            <w:r w:rsidRPr="00ED211F">
              <w:rPr>
                <w:sz w:val="20"/>
                <w:szCs w:val="20"/>
              </w:rPr>
              <w:t>Experte genre dans l’équipe de capitalisation des activités de Miniankala Cafo</w:t>
            </w:r>
          </w:p>
          <w:p w14:paraId="47E76BB4" w14:textId="77777777" w:rsidR="00450713" w:rsidRPr="00ED211F" w:rsidRDefault="00450713" w:rsidP="007007C9">
            <w:pPr>
              <w:spacing w:before="0" w:after="0"/>
              <w:rPr>
                <w:sz w:val="20"/>
                <w:szCs w:val="20"/>
              </w:rPr>
            </w:pPr>
            <w:r w:rsidRPr="00ED211F">
              <w:rPr>
                <w:sz w:val="20"/>
                <w:szCs w:val="20"/>
              </w:rPr>
              <w:t>Capitalisation des (Dix ans) expériences de Miniankala Kafo (région de Sikasso) avec accent sur l’implication des femmes et hommes (Adultes et jeunes) dans les activités de développement</w:t>
            </w:r>
          </w:p>
        </w:tc>
      </w:tr>
      <w:tr w:rsidR="00450713" w:rsidRPr="005B022D" w14:paraId="09D81DA2" w14:textId="77777777" w:rsidTr="0060123A">
        <w:tc>
          <w:tcPr>
            <w:tcW w:w="1021" w:type="pct"/>
            <w:shd w:val="clear" w:color="auto" w:fill="auto"/>
          </w:tcPr>
          <w:p w14:paraId="054246A1" w14:textId="77777777" w:rsidR="00450713" w:rsidRPr="00ED211F" w:rsidRDefault="00450713" w:rsidP="007007C9">
            <w:pPr>
              <w:spacing w:before="0" w:after="0"/>
              <w:rPr>
                <w:sz w:val="20"/>
                <w:szCs w:val="20"/>
              </w:rPr>
            </w:pPr>
            <w:r w:rsidRPr="00ED211F">
              <w:rPr>
                <w:sz w:val="20"/>
                <w:szCs w:val="20"/>
              </w:rPr>
              <w:t>Janvier à décembre 2018</w:t>
            </w:r>
          </w:p>
        </w:tc>
        <w:tc>
          <w:tcPr>
            <w:tcW w:w="1433" w:type="pct"/>
            <w:gridSpan w:val="3"/>
            <w:shd w:val="clear" w:color="auto" w:fill="auto"/>
          </w:tcPr>
          <w:p w14:paraId="5A9C3C45" w14:textId="77777777" w:rsidR="00450713" w:rsidRPr="00ED211F" w:rsidRDefault="00450713" w:rsidP="007007C9">
            <w:pPr>
              <w:spacing w:before="0" w:after="0"/>
              <w:rPr>
                <w:sz w:val="20"/>
                <w:szCs w:val="20"/>
              </w:rPr>
            </w:pPr>
            <w:r w:rsidRPr="00ED211F">
              <w:rPr>
                <w:sz w:val="20"/>
                <w:szCs w:val="20"/>
              </w:rPr>
              <w:t>Croix Rouge Canadienne, représentation de Bamako</w:t>
            </w:r>
          </w:p>
        </w:tc>
        <w:tc>
          <w:tcPr>
            <w:tcW w:w="2546" w:type="pct"/>
            <w:shd w:val="clear" w:color="auto" w:fill="auto"/>
          </w:tcPr>
          <w:p w14:paraId="36C0FC3B" w14:textId="77777777" w:rsidR="00450713" w:rsidRPr="00ED211F" w:rsidRDefault="00450713" w:rsidP="007007C9">
            <w:pPr>
              <w:spacing w:before="0" w:after="0"/>
              <w:rPr>
                <w:sz w:val="20"/>
                <w:szCs w:val="20"/>
              </w:rPr>
            </w:pPr>
            <w:r w:rsidRPr="00ED211F">
              <w:rPr>
                <w:sz w:val="20"/>
                <w:szCs w:val="20"/>
              </w:rPr>
              <w:t>Accompagnement équipe du projet Santé Maternelle, Néonatale et Infantile pour intégration du genre (Régions de Koulikoro et Sikasso ; formation de l’équipe pour faire face aux barrières genre</w:t>
            </w:r>
          </w:p>
          <w:p w14:paraId="2499431E" w14:textId="77777777" w:rsidR="00450713" w:rsidRPr="00ED211F" w:rsidRDefault="00450713" w:rsidP="007007C9">
            <w:pPr>
              <w:spacing w:before="0" w:after="0"/>
              <w:rPr>
                <w:sz w:val="20"/>
                <w:szCs w:val="20"/>
              </w:rPr>
            </w:pPr>
            <w:r w:rsidRPr="00ED211F">
              <w:rPr>
                <w:sz w:val="20"/>
                <w:szCs w:val="20"/>
              </w:rPr>
              <w:t>Pendant une année (Janvier à décembre) la consultante en tant qu’experte genre a accompagné l’équipe du projet pour :</w:t>
            </w:r>
          </w:p>
          <w:p w14:paraId="26B0AE04" w14:textId="77777777" w:rsidR="00450713" w:rsidRPr="00ED211F" w:rsidRDefault="00450713" w:rsidP="00FB2B45">
            <w:pPr>
              <w:pStyle w:val="Paragraphedeliste"/>
              <w:numPr>
                <w:ilvl w:val="0"/>
                <w:numId w:val="56"/>
              </w:numPr>
              <w:spacing w:before="0" w:after="0" w:line="240" w:lineRule="auto"/>
              <w:contextualSpacing w:val="0"/>
              <w:jc w:val="left"/>
            </w:pPr>
            <w:r w:rsidRPr="00ED211F">
              <w:t>la bonne compréhension des barrières genre liées à la santé maternelle et infantile,</w:t>
            </w:r>
          </w:p>
          <w:p w14:paraId="63109A4E" w14:textId="77777777" w:rsidR="00450713" w:rsidRPr="00ED211F" w:rsidRDefault="00450713" w:rsidP="00FB2B45">
            <w:pPr>
              <w:pStyle w:val="Paragraphedeliste"/>
              <w:numPr>
                <w:ilvl w:val="0"/>
                <w:numId w:val="56"/>
              </w:numPr>
              <w:spacing w:before="0" w:after="0" w:line="240" w:lineRule="auto"/>
              <w:contextualSpacing w:val="0"/>
              <w:jc w:val="left"/>
            </w:pPr>
            <w:r w:rsidRPr="00ED211F">
              <w:t>L’élaboration des messages clés pour la communauté pour un changement de comportement,</w:t>
            </w:r>
          </w:p>
          <w:p w14:paraId="0EFC8DC9" w14:textId="77777777" w:rsidR="00450713" w:rsidRPr="00ED211F" w:rsidRDefault="00450713" w:rsidP="00FB2B45">
            <w:pPr>
              <w:pStyle w:val="Paragraphedeliste"/>
              <w:numPr>
                <w:ilvl w:val="0"/>
                <w:numId w:val="56"/>
              </w:numPr>
              <w:spacing w:before="0" w:after="0" w:line="240" w:lineRule="auto"/>
              <w:contextualSpacing w:val="0"/>
              <w:jc w:val="left"/>
            </w:pPr>
            <w:r w:rsidRPr="00ED211F">
              <w:t>la formation de l’équipe à l’intégration du genre dans les activités de santé au niveau communautaire.</w:t>
            </w:r>
          </w:p>
        </w:tc>
      </w:tr>
      <w:tr w:rsidR="00450713" w:rsidRPr="008A3758" w14:paraId="22CD1CF1" w14:textId="77777777" w:rsidTr="0060123A">
        <w:tc>
          <w:tcPr>
            <w:tcW w:w="1021" w:type="pct"/>
            <w:shd w:val="clear" w:color="auto" w:fill="auto"/>
          </w:tcPr>
          <w:p w14:paraId="42F57983" w14:textId="77777777" w:rsidR="00450713" w:rsidRPr="00ED211F" w:rsidRDefault="00450713" w:rsidP="007007C9">
            <w:pPr>
              <w:spacing w:before="0" w:after="0"/>
              <w:rPr>
                <w:sz w:val="20"/>
                <w:szCs w:val="20"/>
              </w:rPr>
            </w:pPr>
            <w:r w:rsidRPr="00ED211F">
              <w:rPr>
                <w:sz w:val="20"/>
                <w:szCs w:val="20"/>
              </w:rPr>
              <w:t>Mai-sept 2017</w:t>
            </w:r>
          </w:p>
        </w:tc>
        <w:tc>
          <w:tcPr>
            <w:tcW w:w="1433" w:type="pct"/>
            <w:gridSpan w:val="3"/>
            <w:shd w:val="clear" w:color="auto" w:fill="auto"/>
          </w:tcPr>
          <w:p w14:paraId="5E437021" w14:textId="77777777" w:rsidR="00450713" w:rsidRPr="00ED211F" w:rsidRDefault="00450713" w:rsidP="007007C9">
            <w:pPr>
              <w:spacing w:before="0" w:after="0"/>
              <w:rPr>
                <w:sz w:val="20"/>
                <w:szCs w:val="20"/>
                <w:lang w:val="en-GB"/>
              </w:rPr>
            </w:pPr>
            <w:r w:rsidRPr="00ED211F">
              <w:rPr>
                <w:sz w:val="20"/>
                <w:szCs w:val="20"/>
                <w:lang w:val="en-GB"/>
              </w:rPr>
              <w:t>Overseas Strategic Company basé aux USA</w:t>
            </w:r>
          </w:p>
        </w:tc>
        <w:tc>
          <w:tcPr>
            <w:tcW w:w="2546" w:type="pct"/>
            <w:shd w:val="clear" w:color="auto" w:fill="auto"/>
          </w:tcPr>
          <w:p w14:paraId="5C317E26" w14:textId="77777777" w:rsidR="00450713" w:rsidRPr="00ED211F" w:rsidRDefault="00450713" w:rsidP="007007C9">
            <w:pPr>
              <w:spacing w:before="0" w:after="0"/>
              <w:rPr>
                <w:sz w:val="20"/>
                <w:szCs w:val="20"/>
              </w:rPr>
            </w:pPr>
            <w:r w:rsidRPr="00ED211F">
              <w:rPr>
                <w:sz w:val="20"/>
                <w:szCs w:val="20"/>
              </w:rPr>
              <w:t>Consultante Nationale</w:t>
            </w:r>
          </w:p>
          <w:p w14:paraId="71C161AD" w14:textId="77777777" w:rsidR="00450713" w:rsidRPr="00ED211F" w:rsidRDefault="00450713" w:rsidP="007007C9">
            <w:pPr>
              <w:spacing w:before="0" w:after="0"/>
              <w:rPr>
                <w:sz w:val="20"/>
                <w:szCs w:val="20"/>
              </w:rPr>
            </w:pPr>
            <w:r w:rsidRPr="00ED211F">
              <w:rPr>
                <w:sz w:val="20"/>
                <w:szCs w:val="20"/>
              </w:rPr>
              <w:t>Evaluation du projet « Améliorer la santé des mères, du nouveau-né et des enfants au Mali » CRC/CRM prenant en compte le genre</w:t>
            </w:r>
          </w:p>
        </w:tc>
      </w:tr>
      <w:tr w:rsidR="00450713" w:rsidRPr="008A3758" w14:paraId="241BB26A" w14:textId="77777777" w:rsidTr="0060123A">
        <w:tc>
          <w:tcPr>
            <w:tcW w:w="1021" w:type="pct"/>
            <w:shd w:val="clear" w:color="auto" w:fill="auto"/>
          </w:tcPr>
          <w:p w14:paraId="31DBFD07" w14:textId="77777777" w:rsidR="00450713" w:rsidRPr="00ED211F" w:rsidRDefault="00450713" w:rsidP="007007C9">
            <w:pPr>
              <w:spacing w:before="0" w:after="0"/>
              <w:rPr>
                <w:sz w:val="20"/>
                <w:szCs w:val="20"/>
              </w:rPr>
            </w:pPr>
            <w:r w:rsidRPr="00ED211F">
              <w:rPr>
                <w:sz w:val="20"/>
                <w:szCs w:val="20"/>
              </w:rPr>
              <w:t>11-12/2016</w:t>
            </w:r>
          </w:p>
        </w:tc>
        <w:tc>
          <w:tcPr>
            <w:tcW w:w="1433" w:type="pct"/>
            <w:gridSpan w:val="3"/>
            <w:shd w:val="clear" w:color="auto" w:fill="auto"/>
          </w:tcPr>
          <w:p w14:paraId="5F86C737" w14:textId="77777777" w:rsidR="00450713" w:rsidRPr="00ED211F" w:rsidRDefault="00450713" w:rsidP="007007C9">
            <w:pPr>
              <w:spacing w:before="0" w:after="0"/>
              <w:rPr>
                <w:sz w:val="20"/>
                <w:szCs w:val="20"/>
              </w:rPr>
            </w:pPr>
            <w:r w:rsidRPr="00ED211F">
              <w:rPr>
                <w:sz w:val="20"/>
                <w:szCs w:val="20"/>
              </w:rPr>
              <w:t>Bureau Koita consulting</w:t>
            </w:r>
          </w:p>
        </w:tc>
        <w:tc>
          <w:tcPr>
            <w:tcW w:w="2546" w:type="pct"/>
            <w:shd w:val="clear" w:color="auto" w:fill="auto"/>
          </w:tcPr>
          <w:p w14:paraId="5095625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principale</w:t>
            </w:r>
          </w:p>
          <w:p w14:paraId="0DEBA4B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Projet « Protéger la Prochaine Génération » De l’ONG AMSOPT et Equilibre Population basée en France</w:t>
            </w:r>
          </w:p>
        </w:tc>
      </w:tr>
      <w:tr w:rsidR="00450713" w:rsidRPr="008A3758" w14:paraId="5852092B" w14:textId="77777777" w:rsidTr="0060123A">
        <w:tc>
          <w:tcPr>
            <w:tcW w:w="1021" w:type="pct"/>
            <w:shd w:val="clear" w:color="auto" w:fill="auto"/>
          </w:tcPr>
          <w:p w14:paraId="5598587C" w14:textId="77777777" w:rsidR="00450713" w:rsidRPr="00ED211F" w:rsidRDefault="00450713" w:rsidP="007007C9">
            <w:pPr>
              <w:spacing w:before="0" w:after="0"/>
              <w:rPr>
                <w:sz w:val="20"/>
                <w:szCs w:val="20"/>
              </w:rPr>
            </w:pPr>
            <w:r w:rsidRPr="00ED211F">
              <w:rPr>
                <w:sz w:val="20"/>
                <w:szCs w:val="20"/>
              </w:rPr>
              <w:t>Octobre 2016</w:t>
            </w:r>
          </w:p>
        </w:tc>
        <w:tc>
          <w:tcPr>
            <w:tcW w:w="1433" w:type="pct"/>
            <w:gridSpan w:val="3"/>
            <w:shd w:val="clear" w:color="auto" w:fill="auto"/>
          </w:tcPr>
          <w:p w14:paraId="50876DEE" w14:textId="77777777" w:rsidR="00450713" w:rsidRPr="00ED211F" w:rsidRDefault="00450713" w:rsidP="007007C9">
            <w:pPr>
              <w:spacing w:before="0" w:after="0"/>
              <w:rPr>
                <w:sz w:val="20"/>
                <w:szCs w:val="20"/>
              </w:rPr>
            </w:pPr>
            <w:r w:rsidRPr="00ED211F">
              <w:rPr>
                <w:sz w:val="20"/>
                <w:szCs w:val="20"/>
              </w:rPr>
              <w:t>Bureau ERM au Sénégal</w:t>
            </w:r>
          </w:p>
        </w:tc>
        <w:tc>
          <w:tcPr>
            <w:tcW w:w="2546" w:type="pct"/>
            <w:shd w:val="clear" w:color="auto" w:fill="auto"/>
          </w:tcPr>
          <w:p w14:paraId="769117F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3751CDD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Collecte de données auprès des bénéficiaires de Services Financiers Internationaux de la Banque Mondiale sur les questions de genre</w:t>
            </w:r>
          </w:p>
        </w:tc>
      </w:tr>
      <w:tr w:rsidR="00450713" w:rsidRPr="008A3758" w14:paraId="2C1D2E5C" w14:textId="77777777" w:rsidTr="0060123A">
        <w:tc>
          <w:tcPr>
            <w:tcW w:w="1021" w:type="pct"/>
            <w:shd w:val="clear" w:color="auto" w:fill="auto"/>
          </w:tcPr>
          <w:p w14:paraId="5E369794" w14:textId="77777777" w:rsidR="00450713" w:rsidRPr="00ED211F" w:rsidRDefault="00450713" w:rsidP="007007C9">
            <w:pPr>
              <w:spacing w:before="0" w:after="0"/>
              <w:rPr>
                <w:sz w:val="20"/>
                <w:szCs w:val="20"/>
              </w:rPr>
            </w:pPr>
            <w:r w:rsidRPr="00ED211F">
              <w:rPr>
                <w:sz w:val="20"/>
                <w:szCs w:val="20"/>
              </w:rPr>
              <w:t>11 – 12/2015</w:t>
            </w:r>
          </w:p>
        </w:tc>
        <w:tc>
          <w:tcPr>
            <w:tcW w:w="1433" w:type="pct"/>
            <w:gridSpan w:val="3"/>
            <w:shd w:val="clear" w:color="auto" w:fill="auto"/>
          </w:tcPr>
          <w:p w14:paraId="6F61E440" w14:textId="77777777" w:rsidR="00450713" w:rsidRPr="00ED211F" w:rsidRDefault="00450713" w:rsidP="007007C9">
            <w:pPr>
              <w:spacing w:before="0" w:after="0"/>
              <w:rPr>
                <w:sz w:val="20"/>
                <w:szCs w:val="20"/>
              </w:rPr>
            </w:pPr>
            <w:r w:rsidRPr="00ED211F">
              <w:rPr>
                <w:sz w:val="20"/>
                <w:szCs w:val="20"/>
              </w:rPr>
              <w:t>Elaboration du Plan d’Action de Réinstallation de la zone aurifère de Kalana (SOMIKA)</w:t>
            </w:r>
          </w:p>
        </w:tc>
        <w:tc>
          <w:tcPr>
            <w:tcW w:w="2546" w:type="pct"/>
            <w:shd w:val="clear" w:color="auto" w:fill="auto"/>
          </w:tcPr>
          <w:p w14:paraId="197E632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 xml:space="preserve">Expert genre </w:t>
            </w:r>
          </w:p>
          <w:p w14:paraId="20AE012B"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de l’Egalité femmes-Hommes dans les zones d’intervention du projet FIER (Sikasso, Koulikoro)</w:t>
            </w:r>
          </w:p>
          <w:p w14:paraId="4E6FA516"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Formation des cadres régionaux du projet FIER en genre et développement</w:t>
            </w:r>
          </w:p>
        </w:tc>
      </w:tr>
      <w:tr w:rsidR="00450713" w:rsidRPr="008A3758" w14:paraId="6688FEB5" w14:textId="77777777" w:rsidTr="0060123A">
        <w:tc>
          <w:tcPr>
            <w:tcW w:w="1021" w:type="pct"/>
            <w:shd w:val="clear" w:color="auto" w:fill="auto"/>
          </w:tcPr>
          <w:p w14:paraId="76885270" w14:textId="77777777" w:rsidR="00450713" w:rsidRPr="00ED211F" w:rsidRDefault="00450713" w:rsidP="007007C9">
            <w:pPr>
              <w:spacing w:before="0" w:after="0"/>
              <w:rPr>
                <w:sz w:val="20"/>
                <w:szCs w:val="20"/>
              </w:rPr>
            </w:pPr>
            <w:r w:rsidRPr="00ED211F">
              <w:rPr>
                <w:sz w:val="20"/>
                <w:szCs w:val="20"/>
              </w:rPr>
              <w:t>10/2015</w:t>
            </w:r>
          </w:p>
        </w:tc>
        <w:tc>
          <w:tcPr>
            <w:tcW w:w="1433" w:type="pct"/>
            <w:gridSpan w:val="3"/>
            <w:shd w:val="clear" w:color="auto" w:fill="auto"/>
          </w:tcPr>
          <w:p w14:paraId="66CF9CC7" w14:textId="77777777" w:rsidR="00450713" w:rsidRPr="00ED211F" w:rsidRDefault="00450713" w:rsidP="007007C9">
            <w:pPr>
              <w:spacing w:before="0" w:after="0"/>
              <w:rPr>
                <w:sz w:val="20"/>
                <w:szCs w:val="20"/>
              </w:rPr>
            </w:pPr>
            <w:r w:rsidRPr="00ED211F">
              <w:rPr>
                <w:sz w:val="20"/>
                <w:szCs w:val="20"/>
              </w:rPr>
              <w:t>Etude sur le mariage des enfants au Mali pour Plan International Dakar</w:t>
            </w:r>
          </w:p>
        </w:tc>
        <w:tc>
          <w:tcPr>
            <w:tcW w:w="2546" w:type="pct"/>
            <w:shd w:val="clear" w:color="auto" w:fill="auto"/>
          </w:tcPr>
          <w:p w14:paraId="45BE758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 xml:space="preserve">Chercheur principal </w:t>
            </w:r>
          </w:p>
          <w:p w14:paraId="36AEAF54"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Réalisation d’une étude qualitative sur le mariage des enfants dans les zones d’intervention de Plan International Mali en mettant l’accent sur les inégalités de genre</w:t>
            </w:r>
          </w:p>
        </w:tc>
      </w:tr>
      <w:tr w:rsidR="00450713" w:rsidRPr="008A3758" w14:paraId="752EC28E" w14:textId="77777777" w:rsidTr="0060123A">
        <w:tc>
          <w:tcPr>
            <w:tcW w:w="1021" w:type="pct"/>
            <w:shd w:val="clear" w:color="auto" w:fill="auto"/>
          </w:tcPr>
          <w:p w14:paraId="30A053C0" w14:textId="77777777" w:rsidR="00450713" w:rsidRPr="00ED211F" w:rsidRDefault="00450713" w:rsidP="007007C9">
            <w:pPr>
              <w:spacing w:before="0" w:after="0"/>
              <w:rPr>
                <w:sz w:val="20"/>
                <w:szCs w:val="20"/>
              </w:rPr>
            </w:pPr>
            <w:r w:rsidRPr="00ED211F">
              <w:rPr>
                <w:sz w:val="20"/>
                <w:szCs w:val="20"/>
              </w:rPr>
              <w:t>Février 2015</w:t>
            </w:r>
          </w:p>
        </w:tc>
        <w:tc>
          <w:tcPr>
            <w:tcW w:w="1433" w:type="pct"/>
            <w:gridSpan w:val="3"/>
            <w:shd w:val="clear" w:color="auto" w:fill="auto"/>
          </w:tcPr>
          <w:p w14:paraId="11B9B91B" w14:textId="77777777" w:rsidR="00450713" w:rsidRPr="00ED211F" w:rsidRDefault="00450713" w:rsidP="007007C9">
            <w:pPr>
              <w:spacing w:before="0" w:after="0"/>
              <w:rPr>
                <w:sz w:val="20"/>
                <w:szCs w:val="20"/>
              </w:rPr>
            </w:pPr>
            <w:r w:rsidRPr="00ED211F">
              <w:rPr>
                <w:sz w:val="20"/>
                <w:szCs w:val="20"/>
              </w:rPr>
              <w:t>ESDCO Mali</w:t>
            </w:r>
          </w:p>
        </w:tc>
        <w:tc>
          <w:tcPr>
            <w:tcW w:w="2546" w:type="pct"/>
            <w:shd w:val="clear" w:color="auto" w:fill="auto"/>
          </w:tcPr>
          <w:p w14:paraId="1CFEF7C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Experte genre</w:t>
            </w:r>
          </w:p>
          <w:p w14:paraId="7C75801C"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genre dans 9 villages de la commune de Kalana pour l’Etude d’Impact Environnemental et Social de la Société Minière de Kalana au Mali (SOMIKA SA)</w:t>
            </w:r>
          </w:p>
          <w:p w14:paraId="42C0B00D"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Proposition de mesures de réinstallation des familles, prise en compte des femmes et hommes lors des indemnisations et proposition d’activités pour les femmes et filles.</w:t>
            </w:r>
          </w:p>
        </w:tc>
      </w:tr>
      <w:tr w:rsidR="00450713" w:rsidRPr="008A3758" w14:paraId="51262D67" w14:textId="77777777" w:rsidTr="0060123A">
        <w:tc>
          <w:tcPr>
            <w:tcW w:w="1021" w:type="pct"/>
            <w:shd w:val="clear" w:color="auto" w:fill="auto"/>
          </w:tcPr>
          <w:p w14:paraId="1DEAA7A4" w14:textId="77777777" w:rsidR="00450713" w:rsidRPr="00ED211F" w:rsidRDefault="00450713" w:rsidP="007007C9">
            <w:pPr>
              <w:spacing w:before="0" w:after="0"/>
              <w:rPr>
                <w:sz w:val="20"/>
                <w:szCs w:val="20"/>
              </w:rPr>
            </w:pPr>
            <w:r w:rsidRPr="00ED211F">
              <w:rPr>
                <w:sz w:val="20"/>
                <w:szCs w:val="20"/>
              </w:rPr>
              <w:t>Novembre- Décembre 2014</w:t>
            </w:r>
          </w:p>
        </w:tc>
        <w:tc>
          <w:tcPr>
            <w:tcW w:w="1433" w:type="pct"/>
            <w:gridSpan w:val="3"/>
            <w:shd w:val="clear" w:color="auto" w:fill="auto"/>
          </w:tcPr>
          <w:p w14:paraId="4E2E0157" w14:textId="77777777" w:rsidR="00450713" w:rsidRPr="00ED211F" w:rsidRDefault="00450713" w:rsidP="007007C9">
            <w:pPr>
              <w:spacing w:before="0" w:after="0"/>
              <w:rPr>
                <w:sz w:val="20"/>
                <w:szCs w:val="20"/>
              </w:rPr>
            </w:pPr>
            <w:r w:rsidRPr="00ED211F">
              <w:rPr>
                <w:sz w:val="20"/>
                <w:szCs w:val="20"/>
              </w:rPr>
              <w:t>Banque Ouest Africaine de Développement (BOAD)</w:t>
            </w:r>
          </w:p>
          <w:p w14:paraId="55F63A60" w14:textId="77777777" w:rsidR="00450713" w:rsidRPr="00ED211F" w:rsidRDefault="00450713" w:rsidP="007007C9">
            <w:pPr>
              <w:spacing w:before="0" w:after="0" w:line="280" w:lineRule="atLeast"/>
              <w:rPr>
                <w:sz w:val="20"/>
                <w:szCs w:val="20"/>
                <w:lang w:val="fr-BE"/>
              </w:rPr>
            </w:pPr>
            <w:r w:rsidRPr="00ED211F">
              <w:rPr>
                <w:sz w:val="20"/>
                <w:szCs w:val="20"/>
                <w:lang w:val="fr-BE"/>
              </w:rPr>
              <w:t>Togo ; Niger ; Sénégal</w:t>
            </w:r>
          </w:p>
        </w:tc>
        <w:tc>
          <w:tcPr>
            <w:tcW w:w="2546" w:type="pct"/>
            <w:shd w:val="clear" w:color="auto" w:fill="auto"/>
          </w:tcPr>
          <w:p w14:paraId="622A518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 expert genre</w:t>
            </w:r>
          </w:p>
          <w:p w14:paraId="0C87CF3E"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et intégration du genre dans les activités du Programme Kandadji au Niger et Projet Energie de l’Organisation pour la Mise en valeur du Fleuve Gambie au Sénégal (Financement BOAD)</w:t>
            </w:r>
          </w:p>
        </w:tc>
      </w:tr>
      <w:tr w:rsidR="00450713" w:rsidRPr="008A3758" w14:paraId="4486C67F" w14:textId="77777777" w:rsidTr="0060123A">
        <w:tc>
          <w:tcPr>
            <w:tcW w:w="1021" w:type="pct"/>
            <w:shd w:val="clear" w:color="auto" w:fill="auto"/>
          </w:tcPr>
          <w:p w14:paraId="40A8A4E1" w14:textId="77777777" w:rsidR="00450713" w:rsidRPr="00ED211F" w:rsidRDefault="00450713" w:rsidP="007007C9">
            <w:pPr>
              <w:spacing w:before="0" w:after="0"/>
              <w:rPr>
                <w:sz w:val="20"/>
                <w:szCs w:val="20"/>
              </w:rPr>
            </w:pPr>
            <w:r w:rsidRPr="00ED211F">
              <w:rPr>
                <w:sz w:val="20"/>
                <w:szCs w:val="20"/>
              </w:rPr>
              <w:t>Novembre 2013 à Octobre 2014</w:t>
            </w:r>
          </w:p>
        </w:tc>
        <w:tc>
          <w:tcPr>
            <w:tcW w:w="1433" w:type="pct"/>
            <w:gridSpan w:val="3"/>
            <w:shd w:val="clear" w:color="auto" w:fill="auto"/>
          </w:tcPr>
          <w:p w14:paraId="20CA2B20" w14:textId="77777777" w:rsidR="00450713" w:rsidRPr="00ED211F" w:rsidRDefault="00450713" w:rsidP="007007C9">
            <w:pPr>
              <w:spacing w:before="0" w:after="0"/>
              <w:rPr>
                <w:sz w:val="20"/>
                <w:szCs w:val="20"/>
              </w:rPr>
            </w:pPr>
            <w:r w:rsidRPr="00ED211F">
              <w:rPr>
                <w:sz w:val="20"/>
                <w:szCs w:val="20"/>
              </w:rPr>
              <w:t>CONASCIPAL : ONG nationale</w:t>
            </w:r>
          </w:p>
        </w:tc>
        <w:tc>
          <w:tcPr>
            <w:tcW w:w="2546" w:type="pct"/>
            <w:shd w:val="clear" w:color="auto" w:fill="auto"/>
          </w:tcPr>
          <w:p w14:paraId="06E526D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Coordonnatrice</w:t>
            </w:r>
          </w:p>
          <w:p w14:paraId="2010EDFD"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Projet de recherche sur la contribution de la société civile à la consolidation de la paix, la sécurité et le développement des régions du nord avec un accent sur l’implication des femmes, l’apport de l’aide humanitaire.</w:t>
            </w:r>
          </w:p>
        </w:tc>
      </w:tr>
      <w:tr w:rsidR="00450713" w:rsidRPr="008A3758" w14:paraId="3D1CF265" w14:textId="77777777" w:rsidTr="0060123A">
        <w:tc>
          <w:tcPr>
            <w:tcW w:w="1021" w:type="pct"/>
            <w:shd w:val="clear" w:color="auto" w:fill="auto"/>
          </w:tcPr>
          <w:p w14:paraId="0179C9D6" w14:textId="77777777" w:rsidR="00450713" w:rsidRPr="00ED211F" w:rsidRDefault="00450713" w:rsidP="007007C9">
            <w:pPr>
              <w:spacing w:before="0" w:after="0"/>
              <w:rPr>
                <w:sz w:val="20"/>
                <w:szCs w:val="20"/>
              </w:rPr>
            </w:pPr>
            <w:r w:rsidRPr="00ED211F">
              <w:rPr>
                <w:sz w:val="20"/>
                <w:szCs w:val="20"/>
              </w:rPr>
              <w:t>Octobre à Décembre 2014</w:t>
            </w:r>
          </w:p>
        </w:tc>
        <w:tc>
          <w:tcPr>
            <w:tcW w:w="1433" w:type="pct"/>
            <w:gridSpan w:val="3"/>
            <w:shd w:val="clear" w:color="auto" w:fill="auto"/>
          </w:tcPr>
          <w:p w14:paraId="3840C619" w14:textId="77777777" w:rsidR="00450713" w:rsidRPr="00ED211F" w:rsidRDefault="00450713" w:rsidP="007007C9">
            <w:pPr>
              <w:spacing w:before="0" w:after="0"/>
              <w:rPr>
                <w:sz w:val="20"/>
                <w:szCs w:val="20"/>
              </w:rPr>
            </w:pPr>
            <w:r w:rsidRPr="00ED211F">
              <w:rPr>
                <w:sz w:val="20"/>
                <w:szCs w:val="20"/>
              </w:rPr>
              <w:t>Koita consulting</w:t>
            </w:r>
          </w:p>
        </w:tc>
        <w:tc>
          <w:tcPr>
            <w:tcW w:w="2546" w:type="pct"/>
            <w:shd w:val="clear" w:color="auto" w:fill="auto"/>
          </w:tcPr>
          <w:p w14:paraId="27FC7F2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1CA5F65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du Plan d’action national de lutte contre l’excision 2010 – 2014 du Programme National de Lutte contre l’excision (PNLE)</w:t>
            </w:r>
          </w:p>
          <w:p w14:paraId="25E77FC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p>
        </w:tc>
      </w:tr>
      <w:tr w:rsidR="00450713" w:rsidRPr="008A3758" w14:paraId="075AAE2B" w14:textId="77777777" w:rsidTr="0060123A">
        <w:tc>
          <w:tcPr>
            <w:tcW w:w="1021" w:type="pct"/>
            <w:shd w:val="clear" w:color="auto" w:fill="auto"/>
          </w:tcPr>
          <w:p w14:paraId="1A8BDA05" w14:textId="77777777" w:rsidR="00450713" w:rsidRPr="00ED211F" w:rsidRDefault="00450713" w:rsidP="007007C9">
            <w:pPr>
              <w:spacing w:before="0" w:after="0"/>
              <w:rPr>
                <w:sz w:val="20"/>
                <w:szCs w:val="20"/>
              </w:rPr>
            </w:pPr>
            <w:r w:rsidRPr="00ED211F">
              <w:rPr>
                <w:sz w:val="20"/>
                <w:szCs w:val="20"/>
              </w:rPr>
              <w:t>Septembre 2013</w:t>
            </w:r>
          </w:p>
        </w:tc>
        <w:tc>
          <w:tcPr>
            <w:tcW w:w="1433" w:type="pct"/>
            <w:gridSpan w:val="3"/>
            <w:shd w:val="clear" w:color="auto" w:fill="auto"/>
          </w:tcPr>
          <w:p w14:paraId="0237B6A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p>
          <w:p w14:paraId="2E67E1E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r w:rsidRPr="00ED211F">
              <w:rPr>
                <w:rFonts w:ascii="Century Gothic" w:hAnsi="Century Gothic"/>
                <w:sz w:val="20"/>
                <w:lang w:val="en-GB"/>
              </w:rPr>
              <w:t>Koffi Annan Peace Keeping Center</w:t>
            </w:r>
          </w:p>
          <w:p w14:paraId="6252AA65"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p>
          <w:p w14:paraId="185FD41D" w14:textId="77777777" w:rsidR="00450713" w:rsidRPr="00ED211F" w:rsidRDefault="00450713" w:rsidP="007007C9">
            <w:pPr>
              <w:spacing w:before="0" w:after="0"/>
              <w:rPr>
                <w:sz w:val="20"/>
                <w:szCs w:val="20"/>
                <w:lang w:val="en-GB"/>
              </w:rPr>
            </w:pPr>
            <w:r w:rsidRPr="00ED211F">
              <w:rPr>
                <w:sz w:val="20"/>
                <w:szCs w:val="20"/>
                <w:lang w:val="en-GB"/>
              </w:rPr>
              <w:t>Nigéria</w:t>
            </w:r>
          </w:p>
        </w:tc>
        <w:tc>
          <w:tcPr>
            <w:tcW w:w="2546" w:type="pct"/>
            <w:shd w:val="clear" w:color="auto" w:fill="auto"/>
          </w:tcPr>
          <w:p w14:paraId="2F5913D5"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Participation à l’atelier sur la sécurité frontalière, la police collaborative et le genre dans les activités des forces armées, à Abuja au Nigeria</w:t>
            </w:r>
          </w:p>
        </w:tc>
      </w:tr>
      <w:tr w:rsidR="00450713" w:rsidRPr="008A3758" w14:paraId="28CEDDBB" w14:textId="77777777" w:rsidTr="0060123A">
        <w:tc>
          <w:tcPr>
            <w:tcW w:w="1021" w:type="pct"/>
            <w:shd w:val="clear" w:color="auto" w:fill="auto"/>
          </w:tcPr>
          <w:p w14:paraId="3CD86EA7" w14:textId="77777777" w:rsidR="00450713" w:rsidRPr="00ED211F" w:rsidRDefault="00450713" w:rsidP="007007C9">
            <w:pPr>
              <w:spacing w:before="0" w:after="0"/>
              <w:rPr>
                <w:sz w:val="20"/>
                <w:szCs w:val="20"/>
              </w:rPr>
            </w:pPr>
            <w:r w:rsidRPr="00ED211F">
              <w:rPr>
                <w:sz w:val="20"/>
                <w:szCs w:val="20"/>
              </w:rPr>
              <w:t>Janvier-Mars/ 2013</w:t>
            </w:r>
          </w:p>
        </w:tc>
        <w:tc>
          <w:tcPr>
            <w:tcW w:w="1433" w:type="pct"/>
            <w:gridSpan w:val="3"/>
            <w:shd w:val="clear" w:color="auto" w:fill="auto"/>
          </w:tcPr>
          <w:p w14:paraId="5619DE0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ONG Equilibre Population,</w:t>
            </w:r>
          </w:p>
          <w:p w14:paraId="39667DF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 xml:space="preserve"> France</w:t>
            </w:r>
          </w:p>
        </w:tc>
        <w:tc>
          <w:tcPr>
            <w:tcW w:w="2546" w:type="pct"/>
            <w:shd w:val="clear" w:color="auto" w:fill="auto"/>
          </w:tcPr>
          <w:p w14:paraId="2BFB500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 experte Genre</w:t>
            </w:r>
          </w:p>
          <w:p w14:paraId="6339506A"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du Projet « Protéger la Prochaine Génération de la pratique de l’excision », analyse de genre, de l’ONG nationale AMSOPT du Mali</w:t>
            </w:r>
          </w:p>
        </w:tc>
      </w:tr>
      <w:tr w:rsidR="00450713" w:rsidRPr="008A3758" w14:paraId="4F1870C5" w14:textId="77777777" w:rsidTr="0060123A">
        <w:tc>
          <w:tcPr>
            <w:tcW w:w="1021" w:type="pct"/>
            <w:shd w:val="clear" w:color="auto" w:fill="auto"/>
          </w:tcPr>
          <w:p w14:paraId="231D2601" w14:textId="77777777" w:rsidR="00450713" w:rsidRPr="00ED211F" w:rsidRDefault="00450713" w:rsidP="007007C9">
            <w:pPr>
              <w:spacing w:before="0" w:after="0"/>
              <w:rPr>
                <w:sz w:val="20"/>
                <w:szCs w:val="20"/>
              </w:rPr>
            </w:pPr>
            <w:r w:rsidRPr="00ED211F">
              <w:rPr>
                <w:sz w:val="20"/>
                <w:szCs w:val="20"/>
              </w:rPr>
              <w:t>Octobre-Novembre 2012</w:t>
            </w:r>
          </w:p>
        </w:tc>
        <w:tc>
          <w:tcPr>
            <w:tcW w:w="1433" w:type="pct"/>
            <w:gridSpan w:val="3"/>
            <w:shd w:val="clear" w:color="auto" w:fill="auto"/>
          </w:tcPr>
          <w:p w14:paraId="3047AA6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IAMANEH Suisse</w:t>
            </w:r>
          </w:p>
        </w:tc>
        <w:tc>
          <w:tcPr>
            <w:tcW w:w="2546" w:type="pct"/>
            <w:shd w:val="clear" w:color="auto" w:fill="auto"/>
          </w:tcPr>
          <w:p w14:paraId="4860706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36C41FF7"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externe du programme triennal de lutte contre la pratique des Mutilations Génitales Féminines</w:t>
            </w:r>
            <w:r w:rsidRPr="00ED211F">
              <w:rPr>
                <w:rFonts w:ascii="Century Gothic" w:hAnsi="Century Gothic"/>
                <w:b/>
                <w:position w:val="6"/>
                <w:sz w:val="20"/>
                <w:lang w:val="fr-BE"/>
              </w:rPr>
              <w:t xml:space="preserve"> </w:t>
            </w:r>
            <w:r w:rsidRPr="00ED211F">
              <w:rPr>
                <w:rFonts w:ascii="Century Gothic" w:hAnsi="Century Gothic"/>
                <w:position w:val="6"/>
                <w:sz w:val="20"/>
                <w:lang w:val="fr-BE"/>
              </w:rPr>
              <w:t xml:space="preserve">de l’ONG SDI, dans la région de Ségou au Mali </w:t>
            </w:r>
          </w:p>
          <w:p w14:paraId="1D0B21B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Capitalisation des acquis du programme, prenant en compte le genre, à Katièna et Diouna dans la région de Ségou</w:t>
            </w:r>
          </w:p>
        </w:tc>
      </w:tr>
      <w:tr w:rsidR="00450713" w:rsidRPr="008A3758" w14:paraId="74BA6294" w14:textId="77777777" w:rsidTr="0060123A">
        <w:tc>
          <w:tcPr>
            <w:tcW w:w="1021" w:type="pct"/>
            <w:shd w:val="clear" w:color="auto" w:fill="auto"/>
          </w:tcPr>
          <w:p w14:paraId="77AB1DDD" w14:textId="77777777" w:rsidR="00450713" w:rsidRPr="00ED211F" w:rsidRDefault="00450713" w:rsidP="007007C9">
            <w:pPr>
              <w:spacing w:before="0" w:after="0"/>
              <w:rPr>
                <w:sz w:val="20"/>
                <w:szCs w:val="20"/>
              </w:rPr>
            </w:pPr>
            <w:r w:rsidRPr="00ED211F">
              <w:rPr>
                <w:sz w:val="20"/>
                <w:szCs w:val="20"/>
              </w:rPr>
              <w:t>Juillet-Octobre 2012</w:t>
            </w:r>
          </w:p>
        </w:tc>
        <w:tc>
          <w:tcPr>
            <w:tcW w:w="1433" w:type="pct"/>
            <w:gridSpan w:val="3"/>
            <w:shd w:val="clear" w:color="auto" w:fill="auto"/>
          </w:tcPr>
          <w:p w14:paraId="7AA5A17D"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Save the Children USA</w:t>
            </w:r>
          </w:p>
        </w:tc>
        <w:tc>
          <w:tcPr>
            <w:tcW w:w="2546" w:type="pct"/>
            <w:shd w:val="clear" w:color="auto" w:fill="auto"/>
          </w:tcPr>
          <w:p w14:paraId="3F31428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5FD11FB6"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qualitative du programme de santé néonatale dans les districts sanitaires de Kita et Bafoulabé, rôle du genre dans la mise en œuvre du programme de santé du nouveau né, région de Kayes, Mali</w:t>
            </w:r>
          </w:p>
        </w:tc>
      </w:tr>
      <w:tr w:rsidR="00450713" w:rsidRPr="008A3758" w14:paraId="5F687F7D" w14:textId="77777777" w:rsidTr="0060123A">
        <w:tc>
          <w:tcPr>
            <w:tcW w:w="1021" w:type="pct"/>
            <w:shd w:val="clear" w:color="auto" w:fill="auto"/>
          </w:tcPr>
          <w:p w14:paraId="2D64C353" w14:textId="77777777" w:rsidR="00450713" w:rsidRPr="00ED211F" w:rsidRDefault="00450713" w:rsidP="007007C9">
            <w:pPr>
              <w:spacing w:before="0" w:after="0"/>
              <w:rPr>
                <w:sz w:val="20"/>
                <w:szCs w:val="20"/>
              </w:rPr>
            </w:pPr>
            <w:r w:rsidRPr="00ED211F">
              <w:rPr>
                <w:sz w:val="20"/>
                <w:szCs w:val="20"/>
              </w:rPr>
              <w:t>Mars-Juin 2012</w:t>
            </w:r>
          </w:p>
        </w:tc>
        <w:tc>
          <w:tcPr>
            <w:tcW w:w="1433" w:type="pct"/>
            <w:gridSpan w:val="3"/>
            <w:shd w:val="clear" w:color="auto" w:fill="auto"/>
          </w:tcPr>
          <w:p w14:paraId="0DA60EDD" w14:textId="77777777" w:rsidR="00450713" w:rsidRPr="00ED211F" w:rsidRDefault="00450713" w:rsidP="007007C9">
            <w:pPr>
              <w:spacing w:before="0" w:after="0"/>
              <w:rPr>
                <w:sz w:val="20"/>
                <w:szCs w:val="20"/>
              </w:rPr>
            </w:pPr>
            <w:r w:rsidRPr="00ED211F">
              <w:rPr>
                <w:sz w:val="20"/>
                <w:szCs w:val="20"/>
              </w:rPr>
              <w:t>World Vision Mali</w:t>
            </w:r>
          </w:p>
        </w:tc>
        <w:tc>
          <w:tcPr>
            <w:tcW w:w="2546" w:type="pct"/>
            <w:shd w:val="clear" w:color="auto" w:fill="auto"/>
          </w:tcPr>
          <w:p w14:paraId="3694E13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891E0C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développement des Area Développement Programme de Faladjé, Néguéla et Didiéni (Région de Koulikoro) et l’analyse de la prise en compte des filles et garçons dans le programme de santé de la reproduction au Mali et l’insertion des groupes vulnérables (Jeunes garçons et autres personnes vulnérables)</w:t>
            </w:r>
          </w:p>
        </w:tc>
      </w:tr>
      <w:tr w:rsidR="00450713" w:rsidRPr="008A3758" w14:paraId="61DB78F6" w14:textId="77777777" w:rsidTr="0060123A">
        <w:tc>
          <w:tcPr>
            <w:tcW w:w="1021" w:type="pct"/>
            <w:shd w:val="clear" w:color="auto" w:fill="auto"/>
          </w:tcPr>
          <w:p w14:paraId="46EFD8C5" w14:textId="77777777" w:rsidR="00450713" w:rsidRPr="00ED211F" w:rsidRDefault="00450713" w:rsidP="007007C9">
            <w:pPr>
              <w:spacing w:before="0" w:after="0"/>
              <w:rPr>
                <w:sz w:val="20"/>
                <w:szCs w:val="20"/>
              </w:rPr>
            </w:pPr>
            <w:r w:rsidRPr="00ED211F">
              <w:rPr>
                <w:sz w:val="20"/>
                <w:szCs w:val="20"/>
              </w:rPr>
              <w:t>05/2011 - 07/2011</w:t>
            </w:r>
          </w:p>
        </w:tc>
        <w:tc>
          <w:tcPr>
            <w:tcW w:w="1433" w:type="pct"/>
            <w:gridSpan w:val="3"/>
            <w:shd w:val="clear" w:color="auto" w:fill="auto"/>
          </w:tcPr>
          <w:p w14:paraId="7A5BC8CB" w14:textId="77777777" w:rsidR="00450713" w:rsidRPr="00ED211F" w:rsidRDefault="00450713" w:rsidP="007007C9">
            <w:pPr>
              <w:spacing w:before="0" w:after="0"/>
              <w:rPr>
                <w:sz w:val="20"/>
                <w:szCs w:val="20"/>
              </w:rPr>
            </w:pPr>
            <w:r w:rsidRPr="00ED211F">
              <w:rPr>
                <w:sz w:val="20"/>
                <w:szCs w:val="20"/>
              </w:rPr>
              <w:t>CECI, CANADA</w:t>
            </w:r>
          </w:p>
        </w:tc>
        <w:tc>
          <w:tcPr>
            <w:tcW w:w="2546" w:type="pct"/>
            <w:shd w:val="clear" w:color="auto" w:fill="auto"/>
          </w:tcPr>
          <w:p w14:paraId="2E32FBA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74EDCCE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sur l’État des lieux des enjeux de l’Égalité femmes/hommes dans le secteur de la santé, à Kayes, Gao, Kidal et Tombouctou</w:t>
            </w:r>
            <w:r w:rsidRPr="00ED211F">
              <w:rPr>
                <w:rFonts w:ascii="Century Gothic" w:hAnsi="Century Gothic"/>
                <w:sz w:val="20"/>
                <w:lang w:val="fr-BE"/>
              </w:rPr>
              <w:tab/>
            </w:r>
          </w:p>
        </w:tc>
      </w:tr>
      <w:tr w:rsidR="00450713" w:rsidRPr="008A3758" w14:paraId="77C3B47C" w14:textId="77777777" w:rsidTr="0060123A">
        <w:tc>
          <w:tcPr>
            <w:tcW w:w="1021" w:type="pct"/>
            <w:shd w:val="clear" w:color="auto" w:fill="auto"/>
          </w:tcPr>
          <w:p w14:paraId="3BBC5FB1" w14:textId="77777777" w:rsidR="00450713" w:rsidRPr="00ED211F" w:rsidRDefault="00450713" w:rsidP="007007C9">
            <w:pPr>
              <w:spacing w:before="0" w:after="0"/>
              <w:rPr>
                <w:sz w:val="20"/>
                <w:szCs w:val="20"/>
              </w:rPr>
            </w:pPr>
            <w:r w:rsidRPr="00ED211F">
              <w:rPr>
                <w:sz w:val="20"/>
                <w:szCs w:val="20"/>
              </w:rPr>
              <w:t>10/2010 - 06/2011</w:t>
            </w:r>
          </w:p>
        </w:tc>
        <w:tc>
          <w:tcPr>
            <w:tcW w:w="1433" w:type="pct"/>
            <w:gridSpan w:val="3"/>
            <w:shd w:val="clear" w:color="auto" w:fill="auto"/>
          </w:tcPr>
          <w:p w14:paraId="44AFD979" w14:textId="77777777" w:rsidR="00450713" w:rsidRPr="00ED211F" w:rsidRDefault="00450713" w:rsidP="007007C9">
            <w:pPr>
              <w:spacing w:before="0" w:after="0"/>
              <w:rPr>
                <w:sz w:val="20"/>
                <w:szCs w:val="20"/>
              </w:rPr>
            </w:pPr>
            <w:r w:rsidRPr="00ED211F">
              <w:rPr>
                <w:sz w:val="20"/>
                <w:szCs w:val="20"/>
              </w:rPr>
              <w:t>Banque Africaine de Développement</w:t>
            </w:r>
          </w:p>
          <w:p w14:paraId="2936DE6F" w14:textId="77777777" w:rsidR="00450713" w:rsidRPr="00ED211F" w:rsidRDefault="00450713" w:rsidP="007007C9">
            <w:pPr>
              <w:spacing w:before="0" w:after="0"/>
              <w:rPr>
                <w:sz w:val="20"/>
                <w:szCs w:val="20"/>
              </w:rPr>
            </w:pPr>
            <w:r w:rsidRPr="00ED211F">
              <w:rPr>
                <w:sz w:val="20"/>
                <w:szCs w:val="20"/>
              </w:rPr>
              <w:t>Burundi</w:t>
            </w:r>
          </w:p>
        </w:tc>
        <w:tc>
          <w:tcPr>
            <w:tcW w:w="2546" w:type="pct"/>
            <w:shd w:val="clear" w:color="auto" w:fill="auto"/>
          </w:tcPr>
          <w:p w14:paraId="39001C3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54486125"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Réalisation du Profil Genre - Pays du Burundi.</w:t>
            </w:r>
          </w:p>
        </w:tc>
      </w:tr>
      <w:tr w:rsidR="00450713" w:rsidRPr="008A3758" w14:paraId="39F3E421" w14:textId="77777777" w:rsidTr="0060123A">
        <w:tc>
          <w:tcPr>
            <w:tcW w:w="1021" w:type="pct"/>
            <w:shd w:val="clear" w:color="auto" w:fill="auto"/>
          </w:tcPr>
          <w:p w14:paraId="29EFF667" w14:textId="77777777" w:rsidR="00450713" w:rsidRPr="00ED211F" w:rsidRDefault="00450713" w:rsidP="007007C9">
            <w:pPr>
              <w:spacing w:before="0" w:after="0"/>
              <w:rPr>
                <w:sz w:val="20"/>
                <w:szCs w:val="20"/>
              </w:rPr>
            </w:pPr>
            <w:r w:rsidRPr="00ED211F">
              <w:rPr>
                <w:sz w:val="20"/>
                <w:szCs w:val="20"/>
              </w:rPr>
              <w:t>Mai-Juillet 2010</w:t>
            </w:r>
          </w:p>
        </w:tc>
        <w:tc>
          <w:tcPr>
            <w:tcW w:w="1433" w:type="pct"/>
            <w:gridSpan w:val="3"/>
            <w:shd w:val="clear" w:color="auto" w:fill="auto"/>
          </w:tcPr>
          <w:p w14:paraId="75CCA2E8" w14:textId="77777777" w:rsidR="00450713" w:rsidRPr="00ED211F" w:rsidRDefault="00450713" w:rsidP="007007C9">
            <w:pPr>
              <w:spacing w:before="0" w:after="0"/>
              <w:rPr>
                <w:sz w:val="20"/>
                <w:szCs w:val="20"/>
              </w:rPr>
            </w:pPr>
            <w:r w:rsidRPr="00ED211F">
              <w:rPr>
                <w:sz w:val="20"/>
                <w:szCs w:val="20"/>
              </w:rPr>
              <w:t>Ambassade du Canada au Mali</w:t>
            </w:r>
          </w:p>
        </w:tc>
        <w:tc>
          <w:tcPr>
            <w:tcW w:w="2546" w:type="pct"/>
            <w:shd w:val="clear" w:color="auto" w:fill="auto"/>
          </w:tcPr>
          <w:p w14:paraId="4692A826"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3499C0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Planning familial et de lutte contre l’excision de l’ONG YAGTU, financé par ACDI/Canada (Cercle de Bandiagara)</w:t>
            </w:r>
          </w:p>
        </w:tc>
      </w:tr>
      <w:tr w:rsidR="00450713" w:rsidRPr="00ED211F" w14:paraId="5E879CD4" w14:textId="77777777" w:rsidTr="0060123A">
        <w:tc>
          <w:tcPr>
            <w:tcW w:w="1021" w:type="pct"/>
            <w:shd w:val="clear" w:color="auto" w:fill="auto"/>
          </w:tcPr>
          <w:p w14:paraId="5C839E2E" w14:textId="77777777" w:rsidR="00450713" w:rsidRPr="00ED211F" w:rsidRDefault="00450713" w:rsidP="007007C9">
            <w:pPr>
              <w:spacing w:before="0" w:after="0"/>
              <w:rPr>
                <w:sz w:val="20"/>
                <w:szCs w:val="20"/>
              </w:rPr>
            </w:pPr>
            <w:r w:rsidRPr="00ED211F">
              <w:rPr>
                <w:sz w:val="20"/>
                <w:szCs w:val="20"/>
              </w:rPr>
              <w:t>Février-Mars 2010</w:t>
            </w:r>
          </w:p>
        </w:tc>
        <w:tc>
          <w:tcPr>
            <w:tcW w:w="1433" w:type="pct"/>
            <w:gridSpan w:val="3"/>
            <w:shd w:val="clear" w:color="auto" w:fill="auto"/>
          </w:tcPr>
          <w:p w14:paraId="40583389"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World Vision Mali</w:t>
            </w:r>
          </w:p>
          <w:p w14:paraId="12BDED08" w14:textId="77777777" w:rsidR="00450713" w:rsidRPr="00ED211F" w:rsidRDefault="00450713" w:rsidP="007007C9">
            <w:pPr>
              <w:spacing w:before="0" w:after="0"/>
              <w:rPr>
                <w:sz w:val="20"/>
                <w:szCs w:val="20"/>
              </w:rPr>
            </w:pPr>
          </w:p>
        </w:tc>
        <w:tc>
          <w:tcPr>
            <w:tcW w:w="2546" w:type="pct"/>
            <w:shd w:val="clear" w:color="auto" w:fill="auto"/>
          </w:tcPr>
          <w:p w14:paraId="1B3B12B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4449C2E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Développement de Kampéna ADP : Analyse du rapport femme homme et de l’insertion des femmes vulnérables et jeunes dans les activités de protection et promotion de l’environnement</w:t>
            </w:r>
          </w:p>
          <w:p w14:paraId="5CC7229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Cercle de Tominian</w:t>
            </w:r>
          </w:p>
        </w:tc>
      </w:tr>
      <w:tr w:rsidR="00450713" w:rsidRPr="00ED211F" w14:paraId="79C94A2E" w14:textId="77777777" w:rsidTr="0060123A">
        <w:tc>
          <w:tcPr>
            <w:tcW w:w="1021" w:type="pct"/>
            <w:shd w:val="clear" w:color="auto" w:fill="auto"/>
          </w:tcPr>
          <w:p w14:paraId="139848E9" w14:textId="77777777" w:rsidR="00450713" w:rsidRPr="00ED211F" w:rsidRDefault="00450713" w:rsidP="007007C9">
            <w:pPr>
              <w:spacing w:before="0" w:after="0"/>
              <w:rPr>
                <w:sz w:val="20"/>
                <w:szCs w:val="20"/>
              </w:rPr>
            </w:pPr>
            <w:r w:rsidRPr="00ED211F">
              <w:rPr>
                <w:sz w:val="20"/>
                <w:szCs w:val="20"/>
              </w:rPr>
              <w:t>12/2009 - 01/2010</w:t>
            </w:r>
          </w:p>
        </w:tc>
        <w:tc>
          <w:tcPr>
            <w:tcW w:w="1433" w:type="pct"/>
            <w:gridSpan w:val="3"/>
            <w:shd w:val="clear" w:color="auto" w:fill="auto"/>
          </w:tcPr>
          <w:p w14:paraId="5431C898" w14:textId="77777777" w:rsidR="00450713" w:rsidRPr="00ED211F" w:rsidRDefault="00450713" w:rsidP="007007C9">
            <w:pPr>
              <w:spacing w:before="0" w:after="0"/>
              <w:rPr>
                <w:sz w:val="20"/>
                <w:szCs w:val="20"/>
              </w:rPr>
            </w:pPr>
            <w:r w:rsidRPr="00ED211F">
              <w:rPr>
                <w:sz w:val="20"/>
                <w:szCs w:val="20"/>
              </w:rPr>
              <w:t>IAMANEH SUISSE BALE, en Suisse</w:t>
            </w:r>
          </w:p>
        </w:tc>
        <w:tc>
          <w:tcPr>
            <w:tcW w:w="2546" w:type="pct"/>
            <w:shd w:val="clear" w:color="auto" w:fill="auto"/>
          </w:tcPr>
          <w:p w14:paraId="14E940AB"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5362A49B"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Lutte contre la Fistule Vésico vaginale</w:t>
            </w:r>
          </w:p>
          <w:p w14:paraId="0A51A8E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Région de Ségou</w:t>
            </w:r>
          </w:p>
        </w:tc>
      </w:tr>
      <w:tr w:rsidR="00450713" w:rsidRPr="00ED211F" w14:paraId="03C44B21" w14:textId="77777777" w:rsidTr="0060123A">
        <w:tc>
          <w:tcPr>
            <w:tcW w:w="1021" w:type="pct"/>
            <w:shd w:val="clear" w:color="auto" w:fill="auto"/>
          </w:tcPr>
          <w:p w14:paraId="3A2FC39E" w14:textId="77777777" w:rsidR="00450713" w:rsidRPr="00ED211F" w:rsidRDefault="00450713" w:rsidP="007007C9">
            <w:pPr>
              <w:spacing w:before="0" w:after="0"/>
              <w:rPr>
                <w:sz w:val="20"/>
                <w:szCs w:val="20"/>
              </w:rPr>
            </w:pPr>
            <w:r w:rsidRPr="00ED211F">
              <w:rPr>
                <w:sz w:val="20"/>
                <w:szCs w:val="20"/>
              </w:rPr>
              <w:t>Octobre-Novembre 2009</w:t>
            </w:r>
          </w:p>
        </w:tc>
        <w:tc>
          <w:tcPr>
            <w:tcW w:w="1433" w:type="pct"/>
            <w:gridSpan w:val="3"/>
            <w:shd w:val="clear" w:color="auto" w:fill="auto"/>
          </w:tcPr>
          <w:p w14:paraId="55705672" w14:textId="77777777" w:rsidR="00450713" w:rsidRPr="00ED211F" w:rsidRDefault="00450713" w:rsidP="007007C9">
            <w:pPr>
              <w:spacing w:before="0" w:after="0"/>
              <w:rPr>
                <w:sz w:val="20"/>
                <w:szCs w:val="20"/>
              </w:rPr>
            </w:pPr>
            <w:r w:rsidRPr="00ED211F">
              <w:rPr>
                <w:sz w:val="20"/>
                <w:szCs w:val="20"/>
              </w:rPr>
              <w:t>Aide de l’Eglise Norvégienne</w:t>
            </w:r>
          </w:p>
        </w:tc>
        <w:tc>
          <w:tcPr>
            <w:tcW w:w="2546" w:type="pct"/>
            <w:shd w:val="clear" w:color="auto" w:fill="auto"/>
          </w:tcPr>
          <w:p w14:paraId="51B1294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14898F2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triennal de l’Aide de l’Eglise Norvégienne sur les Violences Basées sur le Genre</w:t>
            </w:r>
          </w:p>
          <w:p w14:paraId="7C4525B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Région de Gao</w:t>
            </w:r>
          </w:p>
        </w:tc>
      </w:tr>
      <w:tr w:rsidR="00450713" w:rsidRPr="008A3758" w14:paraId="7BEFF31F" w14:textId="77777777" w:rsidTr="0060123A">
        <w:tc>
          <w:tcPr>
            <w:tcW w:w="1021" w:type="pct"/>
            <w:shd w:val="clear" w:color="auto" w:fill="auto"/>
          </w:tcPr>
          <w:p w14:paraId="1C82D149" w14:textId="77777777" w:rsidR="00450713" w:rsidRPr="00ED211F" w:rsidRDefault="00450713" w:rsidP="007007C9">
            <w:pPr>
              <w:spacing w:before="0" w:after="0"/>
              <w:rPr>
                <w:sz w:val="20"/>
                <w:szCs w:val="20"/>
              </w:rPr>
            </w:pPr>
            <w:r w:rsidRPr="00ED211F">
              <w:rPr>
                <w:sz w:val="20"/>
                <w:szCs w:val="20"/>
              </w:rPr>
              <w:t>Juillet-Août 2007</w:t>
            </w:r>
          </w:p>
        </w:tc>
        <w:tc>
          <w:tcPr>
            <w:tcW w:w="1433" w:type="pct"/>
            <w:gridSpan w:val="3"/>
            <w:shd w:val="clear" w:color="auto" w:fill="auto"/>
          </w:tcPr>
          <w:p w14:paraId="61A39C02"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Lux-Development</w:t>
            </w:r>
          </w:p>
          <w:p w14:paraId="5CA4E54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Bureau d’étude PROMAN, en Suède</w:t>
            </w:r>
          </w:p>
        </w:tc>
        <w:tc>
          <w:tcPr>
            <w:tcW w:w="2546" w:type="pct"/>
            <w:shd w:val="clear" w:color="auto" w:fill="auto"/>
          </w:tcPr>
          <w:p w14:paraId="3CFD7604"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Expert genre dans l’équipe internationale, chargée de la formulation du Programme Indicatif quinquennal du Mali avec financement de la Coopération du Grand-duché du Luxembourg (PIC II) : Prise en compte des femmes et autres groupes vulnérables à identifier.</w:t>
            </w:r>
          </w:p>
          <w:p w14:paraId="62A5566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Apport de l’aide humanitaire dans la région de Ségou</w:t>
            </w:r>
          </w:p>
        </w:tc>
      </w:tr>
      <w:tr w:rsidR="00450713" w:rsidRPr="008A3758" w14:paraId="54CB4346" w14:textId="77777777" w:rsidTr="0060123A">
        <w:tc>
          <w:tcPr>
            <w:tcW w:w="1021" w:type="pct"/>
            <w:shd w:val="clear" w:color="auto" w:fill="auto"/>
          </w:tcPr>
          <w:p w14:paraId="3F4EE053" w14:textId="77777777" w:rsidR="00450713" w:rsidRPr="00ED211F" w:rsidRDefault="00450713" w:rsidP="007007C9">
            <w:pPr>
              <w:spacing w:before="0" w:after="0"/>
              <w:rPr>
                <w:sz w:val="20"/>
                <w:szCs w:val="20"/>
              </w:rPr>
            </w:pPr>
            <w:r w:rsidRPr="00ED211F">
              <w:rPr>
                <w:sz w:val="20"/>
                <w:szCs w:val="20"/>
              </w:rPr>
              <w:t>Juillet 2004</w:t>
            </w:r>
          </w:p>
        </w:tc>
        <w:tc>
          <w:tcPr>
            <w:tcW w:w="1433" w:type="pct"/>
            <w:gridSpan w:val="3"/>
            <w:shd w:val="clear" w:color="auto" w:fill="auto"/>
          </w:tcPr>
          <w:p w14:paraId="5000B7ED" w14:textId="77777777" w:rsidR="00450713" w:rsidRPr="00ED211F" w:rsidRDefault="00450713" w:rsidP="007007C9">
            <w:pPr>
              <w:spacing w:before="0" w:after="0"/>
              <w:rPr>
                <w:sz w:val="20"/>
                <w:szCs w:val="20"/>
              </w:rPr>
            </w:pPr>
            <w:r w:rsidRPr="00ED211F">
              <w:rPr>
                <w:sz w:val="20"/>
                <w:szCs w:val="20"/>
              </w:rPr>
              <w:t>PATH, USA</w:t>
            </w:r>
          </w:p>
        </w:tc>
        <w:tc>
          <w:tcPr>
            <w:tcW w:w="2546" w:type="pct"/>
            <w:shd w:val="clear" w:color="auto" w:fill="auto"/>
          </w:tcPr>
          <w:p w14:paraId="469CEEE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D857AF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des Stratégies de lutte pour</w:t>
            </w:r>
            <w:r>
              <w:rPr>
                <w:rFonts w:ascii="Century Gothic" w:hAnsi="Century Gothic"/>
                <w:sz w:val="20"/>
                <w:lang w:val="fr-BE"/>
              </w:rPr>
              <w:t xml:space="preserve"> </w:t>
            </w:r>
            <w:r w:rsidRPr="00ED211F">
              <w:rPr>
                <w:rFonts w:ascii="Century Gothic" w:hAnsi="Century Gothic"/>
                <w:sz w:val="20"/>
                <w:lang w:val="fr-BE"/>
              </w:rPr>
              <w:t>l’abandon de l’excision dans les zones d’intervention de trois (3) ONG Maliennes (APDF, ASDAP et AMSOPT)</w:t>
            </w:r>
          </w:p>
        </w:tc>
      </w:tr>
      <w:tr w:rsidR="00450713" w:rsidRPr="008A3758" w14:paraId="0B7CB621" w14:textId="77777777" w:rsidTr="0060123A">
        <w:tc>
          <w:tcPr>
            <w:tcW w:w="1021" w:type="pct"/>
            <w:shd w:val="clear" w:color="auto" w:fill="auto"/>
          </w:tcPr>
          <w:p w14:paraId="14E0C3B3" w14:textId="77777777" w:rsidR="00450713" w:rsidRPr="00ED211F" w:rsidRDefault="00450713" w:rsidP="007007C9">
            <w:pPr>
              <w:spacing w:before="0" w:after="0"/>
              <w:rPr>
                <w:sz w:val="20"/>
                <w:szCs w:val="20"/>
              </w:rPr>
            </w:pPr>
            <w:r w:rsidRPr="00ED211F">
              <w:rPr>
                <w:sz w:val="20"/>
                <w:szCs w:val="20"/>
              </w:rPr>
              <w:t>Mars-Avril 2004</w:t>
            </w:r>
          </w:p>
        </w:tc>
        <w:tc>
          <w:tcPr>
            <w:tcW w:w="1433" w:type="pct"/>
            <w:gridSpan w:val="3"/>
            <w:shd w:val="clear" w:color="auto" w:fill="auto"/>
          </w:tcPr>
          <w:p w14:paraId="0DC079C1" w14:textId="77777777" w:rsidR="00450713" w:rsidRPr="00ED211F" w:rsidRDefault="00450713" w:rsidP="007007C9">
            <w:pPr>
              <w:spacing w:before="0" w:after="0"/>
              <w:rPr>
                <w:sz w:val="20"/>
                <w:szCs w:val="20"/>
              </w:rPr>
            </w:pPr>
            <w:r w:rsidRPr="00ED211F">
              <w:rPr>
                <w:sz w:val="20"/>
                <w:szCs w:val="20"/>
              </w:rPr>
              <w:t>Ministère des Affaires Etrangères, Mali</w:t>
            </w:r>
          </w:p>
          <w:p w14:paraId="2C0B9EC8" w14:textId="77777777" w:rsidR="00450713" w:rsidRPr="00ED211F" w:rsidRDefault="00450713" w:rsidP="007007C9">
            <w:pPr>
              <w:spacing w:before="0" w:after="0"/>
              <w:rPr>
                <w:sz w:val="20"/>
                <w:szCs w:val="20"/>
              </w:rPr>
            </w:pPr>
            <w:r w:rsidRPr="00ED211F">
              <w:rPr>
                <w:sz w:val="20"/>
                <w:szCs w:val="20"/>
              </w:rPr>
              <w:t>Libéria, Mali et Sierra Léone</w:t>
            </w:r>
          </w:p>
        </w:tc>
        <w:tc>
          <w:tcPr>
            <w:tcW w:w="2546" w:type="pct"/>
            <w:shd w:val="clear" w:color="auto" w:fill="auto"/>
          </w:tcPr>
          <w:p w14:paraId="54D724F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5CB0F39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sur la prise en compte du Genre dans les Opérations de Maintien de la Paix en Afrique de l’Ouest : Libéria, Mali et Sierra Léone en collaboration avec Lieutenant Colonel Kany Coulibaly</w:t>
            </w:r>
          </w:p>
        </w:tc>
      </w:tr>
      <w:tr w:rsidR="00450713" w:rsidRPr="008A3758" w14:paraId="498E93C4" w14:textId="77777777" w:rsidTr="0060123A">
        <w:tc>
          <w:tcPr>
            <w:tcW w:w="1021" w:type="pct"/>
            <w:shd w:val="clear" w:color="auto" w:fill="auto"/>
          </w:tcPr>
          <w:p w14:paraId="4A63C929" w14:textId="77777777" w:rsidR="00450713" w:rsidRPr="00ED211F" w:rsidRDefault="00450713" w:rsidP="007007C9">
            <w:pPr>
              <w:spacing w:before="0" w:after="0"/>
              <w:rPr>
                <w:sz w:val="20"/>
                <w:szCs w:val="20"/>
              </w:rPr>
            </w:pPr>
            <w:r w:rsidRPr="00ED211F">
              <w:rPr>
                <w:sz w:val="20"/>
                <w:szCs w:val="20"/>
              </w:rPr>
              <w:t>Janvier-Février 2004</w:t>
            </w:r>
          </w:p>
        </w:tc>
        <w:tc>
          <w:tcPr>
            <w:tcW w:w="1433" w:type="pct"/>
            <w:gridSpan w:val="3"/>
            <w:shd w:val="clear" w:color="auto" w:fill="auto"/>
          </w:tcPr>
          <w:p w14:paraId="7128F412" w14:textId="77777777" w:rsidR="00450713" w:rsidRPr="00ED211F" w:rsidRDefault="00450713" w:rsidP="007007C9">
            <w:pPr>
              <w:spacing w:before="0" w:after="0"/>
              <w:rPr>
                <w:sz w:val="20"/>
                <w:szCs w:val="20"/>
              </w:rPr>
            </w:pPr>
            <w:r w:rsidRPr="00ED211F">
              <w:rPr>
                <w:sz w:val="20"/>
                <w:szCs w:val="20"/>
              </w:rPr>
              <w:t>Aide de l’Eglise Norvégienne</w:t>
            </w:r>
          </w:p>
        </w:tc>
        <w:tc>
          <w:tcPr>
            <w:tcW w:w="2546" w:type="pct"/>
            <w:shd w:val="clear" w:color="auto" w:fill="auto"/>
          </w:tcPr>
          <w:p w14:paraId="4B284FFF" w14:textId="205BA46A"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r w:rsidR="007068E8">
              <w:rPr>
                <w:rFonts w:ascii="Century Gothic" w:hAnsi="Century Gothic"/>
                <w:sz w:val="20"/>
                <w:lang w:val="fr-BE"/>
              </w:rPr>
              <w:t xml:space="preserve"> </w:t>
            </w:r>
          </w:p>
          <w:p w14:paraId="6491D46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Recherche qualitative sur la pratique de l’excision dans les Régions de Kidal, Gao et Tombouctou et la prévalence de la Fistule obstétricale</w:t>
            </w:r>
          </w:p>
        </w:tc>
      </w:tr>
      <w:tr w:rsidR="00450713" w:rsidRPr="008A3758" w14:paraId="382595B8" w14:textId="77777777" w:rsidTr="0060123A">
        <w:tc>
          <w:tcPr>
            <w:tcW w:w="1021" w:type="pct"/>
            <w:shd w:val="clear" w:color="auto" w:fill="auto"/>
          </w:tcPr>
          <w:p w14:paraId="7DC794F3" w14:textId="77777777" w:rsidR="00450713" w:rsidRPr="00ED211F" w:rsidRDefault="00450713" w:rsidP="007007C9">
            <w:pPr>
              <w:spacing w:before="0" w:after="0"/>
              <w:rPr>
                <w:sz w:val="20"/>
                <w:szCs w:val="20"/>
              </w:rPr>
            </w:pPr>
            <w:r w:rsidRPr="00ED211F">
              <w:rPr>
                <w:sz w:val="20"/>
                <w:szCs w:val="20"/>
              </w:rPr>
              <w:t>10/2002 - 01/2003</w:t>
            </w:r>
          </w:p>
        </w:tc>
        <w:tc>
          <w:tcPr>
            <w:tcW w:w="1433" w:type="pct"/>
            <w:gridSpan w:val="3"/>
            <w:shd w:val="clear" w:color="auto" w:fill="auto"/>
          </w:tcPr>
          <w:p w14:paraId="6CAA2ACE" w14:textId="77777777" w:rsidR="00450713" w:rsidRPr="00ED211F" w:rsidRDefault="00450713" w:rsidP="007007C9">
            <w:pPr>
              <w:spacing w:before="0" w:after="0"/>
              <w:rPr>
                <w:sz w:val="20"/>
                <w:szCs w:val="20"/>
                <w:lang w:val="en-GB"/>
              </w:rPr>
            </w:pPr>
            <w:r w:rsidRPr="00ED211F">
              <w:rPr>
                <w:sz w:val="20"/>
                <w:szCs w:val="20"/>
                <w:lang w:val="en-GB"/>
              </w:rPr>
              <w:t>Save The Children/USA, Sahel Office, Bamako, Mali et UNICEF.</w:t>
            </w:r>
          </w:p>
        </w:tc>
        <w:tc>
          <w:tcPr>
            <w:tcW w:w="2546" w:type="pct"/>
            <w:shd w:val="clear" w:color="auto" w:fill="auto"/>
          </w:tcPr>
          <w:p w14:paraId="57391CD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4514559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Étude sur la migration internationale des enfants : causes, perceptions et conséquences en collaboration avec Sarah Castle de London School of Tropical Diseases.</w:t>
            </w:r>
          </w:p>
        </w:tc>
      </w:tr>
      <w:tr w:rsidR="00450713" w:rsidRPr="00ED211F" w14:paraId="517BC58F" w14:textId="77777777" w:rsidTr="0060123A">
        <w:tc>
          <w:tcPr>
            <w:tcW w:w="1021" w:type="pct"/>
            <w:shd w:val="clear" w:color="auto" w:fill="auto"/>
          </w:tcPr>
          <w:p w14:paraId="14ED8F56" w14:textId="77777777" w:rsidR="00450713" w:rsidRPr="00ED211F" w:rsidRDefault="00450713" w:rsidP="007007C9">
            <w:pPr>
              <w:spacing w:before="0" w:after="0"/>
              <w:rPr>
                <w:sz w:val="20"/>
                <w:szCs w:val="20"/>
              </w:rPr>
            </w:pPr>
            <w:r w:rsidRPr="00ED211F">
              <w:rPr>
                <w:sz w:val="20"/>
                <w:szCs w:val="20"/>
              </w:rPr>
              <w:t>Juillet 2000</w:t>
            </w:r>
          </w:p>
        </w:tc>
        <w:tc>
          <w:tcPr>
            <w:tcW w:w="1433" w:type="pct"/>
            <w:gridSpan w:val="3"/>
            <w:shd w:val="clear" w:color="auto" w:fill="auto"/>
          </w:tcPr>
          <w:p w14:paraId="78A08166" w14:textId="77777777" w:rsidR="00450713" w:rsidRPr="00ED211F" w:rsidRDefault="00450713" w:rsidP="007007C9">
            <w:pPr>
              <w:spacing w:before="0" w:after="0"/>
              <w:rPr>
                <w:sz w:val="20"/>
                <w:szCs w:val="20"/>
                <w:lang w:val="en-GB"/>
              </w:rPr>
            </w:pPr>
            <w:r w:rsidRPr="00ED211F">
              <w:rPr>
                <w:sz w:val="20"/>
                <w:szCs w:val="20"/>
                <w:lang w:val="en-GB"/>
              </w:rPr>
              <w:t>Projet Saving New Born Life</w:t>
            </w:r>
          </w:p>
        </w:tc>
        <w:tc>
          <w:tcPr>
            <w:tcW w:w="2546" w:type="pct"/>
            <w:shd w:val="clear" w:color="auto" w:fill="auto"/>
          </w:tcPr>
          <w:p w14:paraId="409117D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194D9C8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Saving New Born Life1 en collaboration avec USAID</w:t>
            </w:r>
          </w:p>
        </w:tc>
      </w:tr>
      <w:tr w:rsidR="00450713" w:rsidRPr="008A3758" w14:paraId="51F0D7AC" w14:textId="77777777" w:rsidTr="0060123A">
        <w:tc>
          <w:tcPr>
            <w:tcW w:w="1021" w:type="pct"/>
            <w:shd w:val="clear" w:color="auto" w:fill="auto"/>
          </w:tcPr>
          <w:p w14:paraId="1456CDDA" w14:textId="77777777" w:rsidR="00450713" w:rsidRPr="00ED211F" w:rsidRDefault="00450713" w:rsidP="007007C9">
            <w:pPr>
              <w:spacing w:before="0" w:after="0"/>
              <w:rPr>
                <w:sz w:val="20"/>
                <w:szCs w:val="20"/>
              </w:rPr>
            </w:pPr>
            <w:r w:rsidRPr="00ED211F">
              <w:rPr>
                <w:sz w:val="20"/>
                <w:szCs w:val="20"/>
              </w:rPr>
              <w:t>Juin-Juillet 2000</w:t>
            </w:r>
          </w:p>
        </w:tc>
        <w:tc>
          <w:tcPr>
            <w:tcW w:w="1433" w:type="pct"/>
            <w:gridSpan w:val="3"/>
            <w:shd w:val="clear" w:color="auto" w:fill="auto"/>
          </w:tcPr>
          <w:p w14:paraId="6123E1EF" w14:textId="77777777" w:rsidR="00450713" w:rsidRPr="00ED211F" w:rsidRDefault="00450713" w:rsidP="007007C9">
            <w:pPr>
              <w:spacing w:before="0" w:after="0" w:line="280" w:lineRule="atLeast"/>
              <w:rPr>
                <w:sz w:val="20"/>
                <w:szCs w:val="20"/>
                <w:lang w:val="fr-BE"/>
              </w:rPr>
            </w:pPr>
            <w:r w:rsidRPr="00ED211F">
              <w:rPr>
                <w:sz w:val="20"/>
                <w:szCs w:val="20"/>
                <w:lang w:val="fr-BE"/>
              </w:rPr>
              <w:t>Agence Japonaise du Développement (JICA - CADIS).</w:t>
            </w:r>
          </w:p>
          <w:p w14:paraId="389F8170" w14:textId="77777777" w:rsidR="00450713" w:rsidRPr="00ED211F" w:rsidRDefault="00450713" w:rsidP="007007C9">
            <w:pPr>
              <w:spacing w:before="0" w:after="0"/>
              <w:rPr>
                <w:sz w:val="20"/>
                <w:szCs w:val="20"/>
              </w:rPr>
            </w:pPr>
          </w:p>
        </w:tc>
        <w:tc>
          <w:tcPr>
            <w:tcW w:w="2546" w:type="pct"/>
            <w:shd w:val="clear" w:color="auto" w:fill="auto"/>
          </w:tcPr>
          <w:p w14:paraId="5A3589F1"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52F9BDBD"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MARP dans 12 villages du sud de Ségou pour le projet de lutte contre la désertification dans le sud de la région de Ségou du Mali avec accent sur insertion des femmes, jeunes et familles vulnérables avec un accent sur l’appui en vivres et semences</w:t>
            </w:r>
          </w:p>
        </w:tc>
      </w:tr>
      <w:tr w:rsidR="00450713" w:rsidRPr="008A3758" w14:paraId="255AC7AE" w14:textId="77777777" w:rsidTr="0060123A">
        <w:tc>
          <w:tcPr>
            <w:tcW w:w="1021" w:type="pct"/>
            <w:shd w:val="clear" w:color="auto" w:fill="auto"/>
          </w:tcPr>
          <w:p w14:paraId="1F8EBD6C" w14:textId="77777777" w:rsidR="00450713" w:rsidRPr="00ED211F" w:rsidRDefault="00450713" w:rsidP="007007C9">
            <w:pPr>
              <w:spacing w:before="0" w:after="0"/>
              <w:rPr>
                <w:sz w:val="20"/>
                <w:szCs w:val="20"/>
              </w:rPr>
            </w:pPr>
            <w:r w:rsidRPr="00ED211F">
              <w:rPr>
                <w:sz w:val="20"/>
                <w:szCs w:val="20"/>
              </w:rPr>
              <w:t>Octobre-Novembre 1998</w:t>
            </w:r>
          </w:p>
        </w:tc>
        <w:tc>
          <w:tcPr>
            <w:tcW w:w="1433" w:type="pct"/>
            <w:gridSpan w:val="3"/>
            <w:shd w:val="clear" w:color="auto" w:fill="auto"/>
          </w:tcPr>
          <w:p w14:paraId="4205AD3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Diocèse de Mopti</w:t>
            </w:r>
          </w:p>
          <w:p w14:paraId="6ED27CFA" w14:textId="77777777" w:rsidR="00450713" w:rsidRPr="00ED211F" w:rsidRDefault="00450713" w:rsidP="007007C9">
            <w:pPr>
              <w:spacing w:before="0" w:after="0" w:line="280" w:lineRule="atLeast"/>
              <w:rPr>
                <w:sz w:val="20"/>
                <w:szCs w:val="20"/>
                <w:lang w:val="fr-BE"/>
              </w:rPr>
            </w:pPr>
          </w:p>
        </w:tc>
        <w:tc>
          <w:tcPr>
            <w:tcW w:w="2546" w:type="pct"/>
            <w:shd w:val="clear" w:color="auto" w:fill="auto"/>
          </w:tcPr>
          <w:p w14:paraId="1C1181E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66B130CA"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b/>
                <w:position w:val="6"/>
                <w:sz w:val="20"/>
                <w:lang w:val="fr-BE"/>
              </w:rPr>
              <w:t>Evaluation du programme triennal "Actions de Promotion Humaine"</w:t>
            </w:r>
            <w:r w:rsidRPr="00ED211F">
              <w:rPr>
                <w:rFonts w:ascii="Century Gothic" w:hAnsi="Century Gothic"/>
                <w:position w:val="6"/>
                <w:sz w:val="20"/>
                <w:lang w:val="fr-BE"/>
              </w:rPr>
              <w:t xml:space="preserve"> de la paroisse catholique de Bandiagara en collaboration avec Dr Yéro Haidara du BAAP. Proposition de plan de réinstallation des familles affectées par la sécheresse dans les zones clémentes du sud.</w:t>
            </w:r>
            <w:r w:rsidRPr="00ED211F">
              <w:rPr>
                <w:rFonts w:ascii="Century Gothic" w:hAnsi="Century Gothic"/>
                <w:position w:val="6"/>
                <w:sz w:val="20"/>
                <w:lang w:val="fr-BE"/>
              </w:rPr>
              <w:tab/>
            </w:r>
          </w:p>
          <w:p w14:paraId="36A9A63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Evaluation de l’aide apportée aux ménages vulnérables</w:t>
            </w:r>
          </w:p>
        </w:tc>
      </w:tr>
      <w:tr w:rsidR="00450713" w:rsidRPr="008A3758" w14:paraId="353FC43B" w14:textId="77777777" w:rsidTr="0060123A">
        <w:tc>
          <w:tcPr>
            <w:tcW w:w="1021" w:type="pct"/>
            <w:shd w:val="clear" w:color="auto" w:fill="auto"/>
          </w:tcPr>
          <w:p w14:paraId="26AB1210" w14:textId="77777777" w:rsidR="00450713" w:rsidRPr="00ED211F" w:rsidRDefault="00450713" w:rsidP="007007C9">
            <w:pPr>
              <w:spacing w:before="0" w:after="0"/>
              <w:rPr>
                <w:sz w:val="20"/>
                <w:szCs w:val="20"/>
              </w:rPr>
            </w:pPr>
            <w:r w:rsidRPr="00ED211F">
              <w:rPr>
                <w:sz w:val="20"/>
                <w:szCs w:val="20"/>
              </w:rPr>
              <w:t>Novembre-Décembre 1995</w:t>
            </w:r>
          </w:p>
        </w:tc>
        <w:tc>
          <w:tcPr>
            <w:tcW w:w="1433" w:type="pct"/>
            <w:gridSpan w:val="3"/>
            <w:shd w:val="clear" w:color="auto" w:fill="auto"/>
          </w:tcPr>
          <w:p w14:paraId="0BE0BDF7" w14:textId="77777777" w:rsidR="00450713" w:rsidRPr="00ED211F" w:rsidRDefault="00450713" w:rsidP="007007C9">
            <w:pPr>
              <w:spacing w:before="0" w:after="0" w:line="280" w:lineRule="atLeast"/>
              <w:rPr>
                <w:sz w:val="20"/>
                <w:szCs w:val="20"/>
                <w:lang w:val="fr-BE"/>
              </w:rPr>
            </w:pPr>
            <w:r w:rsidRPr="00ED211F">
              <w:rPr>
                <w:sz w:val="20"/>
                <w:szCs w:val="20"/>
                <w:lang w:val="fr-BE"/>
              </w:rPr>
              <w:t>Fondation Commémorative de Stromme au Mali</w:t>
            </w:r>
          </w:p>
        </w:tc>
        <w:tc>
          <w:tcPr>
            <w:tcW w:w="2546" w:type="pct"/>
            <w:shd w:val="clear" w:color="auto" w:fill="auto"/>
          </w:tcPr>
          <w:p w14:paraId="47E4718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21E3A50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Projet Intégré de Développement de Bafoulabé (PIDEB) (en collaboration avec Gunvor Berge et Mahamane CISSE) avec proposition de stratégies de protection des aires objet de déboisement, des activités de reboisement et de réinstallation des ménages devant être déplacés</w:t>
            </w:r>
          </w:p>
        </w:tc>
      </w:tr>
      <w:tr w:rsidR="00450713" w:rsidRPr="008A3758" w14:paraId="48BE8335" w14:textId="77777777" w:rsidTr="0060123A">
        <w:trPr>
          <w:trHeight w:val="89"/>
        </w:trPr>
        <w:tc>
          <w:tcPr>
            <w:tcW w:w="5000" w:type="pct"/>
            <w:gridSpan w:val="5"/>
            <w:shd w:val="clear" w:color="auto" w:fill="00B0F0"/>
          </w:tcPr>
          <w:p w14:paraId="6A57E379" w14:textId="77777777" w:rsidR="00450713" w:rsidRPr="00ED211F" w:rsidRDefault="00450713" w:rsidP="007007C9">
            <w:pPr>
              <w:tabs>
                <w:tab w:val="left" w:pos="6705"/>
              </w:tabs>
              <w:spacing w:before="0" w:after="0"/>
              <w:ind w:right="-90"/>
              <w:rPr>
                <w:sz w:val="20"/>
                <w:szCs w:val="20"/>
              </w:rPr>
            </w:pPr>
            <w:r w:rsidRPr="00ED211F">
              <w:rPr>
                <w:sz w:val="20"/>
                <w:szCs w:val="20"/>
              </w:rPr>
              <w:tab/>
            </w:r>
          </w:p>
        </w:tc>
      </w:tr>
      <w:tr w:rsidR="00450713" w:rsidRPr="008A3758" w14:paraId="541D4860" w14:textId="77777777" w:rsidTr="0060123A">
        <w:tc>
          <w:tcPr>
            <w:tcW w:w="1535" w:type="pct"/>
            <w:gridSpan w:val="2"/>
            <w:shd w:val="clear" w:color="auto" w:fill="auto"/>
          </w:tcPr>
          <w:p w14:paraId="4FBC5175" w14:textId="77777777" w:rsidR="00450713" w:rsidRPr="00ED211F" w:rsidRDefault="00450713" w:rsidP="007007C9">
            <w:pPr>
              <w:spacing w:before="0" w:after="0"/>
              <w:rPr>
                <w:sz w:val="20"/>
                <w:szCs w:val="20"/>
              </w:rPr>
            </w:pPr>
            <w:r w:rsidRPr="00ED211F">
              <w:rPr>
                <w:sz w:val="20"/>
                <w:szCs w:val="20"/>
              </w:rPr>
              <w:t>Références (minimum 3)</w:t>
            </w:r>
          </w:p>
        </w:tc>
        <w:tc>
          <w:tcPr>
            <w:tcW w:w="3465" w:type="pct"/>
            <w:gridSpan w:val="3"/>
            <w:shd w:val="clear" w:color="auto" w:fill="auto"/>
          </w:tcPr>
          <w:p w14:paraId="068DE11B" w14:textId="77777777" w:rsidR="00450713" w:rsidRPr="00ED211F" w:rsidRDefault="00450713" w:rsidP="007007C9">
            <w:pPr>
              <w:spacing w:before="0" w:after="0"/>
              <w:rPr>
                <w:sz w:val="20"/>
                <w:szCs w:val="20"/>
              </w:rPr>
            </w:pPr>
            <w:r w:rsidRPr="00ED211F">
              <w:rPr>
                <w:sz w:val="20"/>
                <w:szCs w:val="20"/>
              </w:rPr>
              <w:t>Monsieur Soumana Doumbia, directeur du bureau CENAFOD : 66750149</w:t>
            </w:r>
          </w:p>
          <w:p w14:paraId="0C0175FE" w14:textId="77777777" w:rsidR="00450713" w:rsidRPr="00ED211F" w:rsidRDefault="00450713" w:rsidP="007007C9">
            <w:pPr>
              <w:spacing w:before="0" w:after="0"/>
              <w:rPr>
                <w:sz w:val="20"/>
                <w:szCs w:val="20"/>
              </w:rPr>
            </w:pPr>
            <w:r w:rsidRPr="00ED211F">
              <w:rPr>
                <w:sz w:val="20"/>
                <w:szCs w:val="20"/>
              </w:rPr>
              <w:t>Docteur Nouhoum Koita, directeur de Koita Consulting : 76030752</w:t>
            </w:r>
          </w:p>
          <w:p w14:paraId="2F18590E" w14:textId="77777777" w:rsidR="00450713" w:rsidRPr="00ED211F" w:rsidRDefault="00450713" w:rsidP="007007C9">
            <w:pPr>
              <w:spacing w:before="0" w:after="0"/>
              <w:rPr>
                <w:sz w:val="20"/>
                <w:szCs w:val="20"/>
              </w:rPr>
            </w:pPr>
            <w:r w:rsidRPr="00ED211F">
              <w:rPr>
                <w:sz w:val="20"/>
                <w:szCs w:val="20"/>
              </w:rPr>
              <w:t>Madame Touré Halimatou Maiga coordinatrice genre du Projet FIER : 66767412/79721239</w:t>
            </w:r>
          </w:p>
        </w:tc>
      </w:tr>
    </w:tbl>
    <w:p w14:paraId="67C05F86" w14:textId="7C96CB65" w:rsidR="00643743" w:rsidRDefault="00643743" w:rsidP="00643743"/>
    <w:p w14:paraId="4005CF29" w14:textId="77777777" w:rsidR="00643743" w:rsidRDefault="00643743" w:rsidP="00643743"/>
    <w:p w14:paraId="27E4378F" w14:textId="787E7E08" w:rsidR="00643743" w:rsidRPr="007007C9" w:rsidRDefault="00643743" w:rsidP="009F5BDE">
      <w:pPr>
        <w:shd w:val="clear" w:color="auto" w:fill="FFD966"/>
        <w:tabs>
          <w:tab w:val="left" w:pos="1565"/>
        </w:tabs>
        <w:spacing w:before="0" w:after="0"/>
        <w:rPr>
          <w:rFonts w:cs="Times New Roman"/>
          <w:bCs/>
          <w:sz w:val="24"/>
        </w:rPr>
      </w:pPr>
      <w:bookmarkStart w:id="1015" w:name="_Toc66394794"/>
      <w:r w:rsidRPr="007007C9">
        <w:rPr>
          <w:rFonts w:cs="Times New Roman"/>
          <w:b/>
          <w:bCs/>
          <w:color w:val="0070C0"/>
          <w:sz w:val="24"/>
          <w:szCs w:val="24"/>
        </w:rPr>
        <w:t>CV DE ZOUNGRANA Benjamin, Expert associé</w:t>
      </w:r>
      <w:bookmarkEnd w:id="1015"/>
    </w:p>
    <w:tbl>
      <w:tblPr>
        <w:tblW w:w="0" w:type="auto"/>
        <w:tblLook w:val="04A0" w:firstRow="1" w:lastRow="0" w:firstColumn="1" w:lastColumn="0" w:noHBand="0" w:noVBand="1"/>
      </w:tblPr>
      <w:tblGrid>
        <w:gridCol w:w="3402"/>
        <w:gridCol w:w="5670"/>
      </w:tblGrid>
      <w:tr w:rsidR="00643743" w:rsidRPr="00246464" w14:paraId="1EFAAFF0" w14:textId="77777777" w:rsidTr="009F5BDE">
        <w:tc>
          <w:tcPr>
            <w:tcW w:w="3402" w:type="dxa"/>
            <w:shd w:val="clear" w:color="auto" w:fill="auto"/>
            <w:hideMark/>
          </w:tcPr>
          <w:p w14:paraId="79343D17" w14:textId="77777777"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Nom</w:t>
            </w:r>
            <w:r w:rsidRPr="007007C9">
              <w:rPr>
                <w:rFonts w:cs="Tahoma"/>
                <w:sz w:val="20"/>
                <w:szCs w:val="20"/>
              </w:rPr>
              <w:t> </w:t>
            </w:r>
          </w:p>
        </w:tc>
        <w:tc>
          <w:tcPr>
            <w:tcW w:w="5670" w:type="dxa"/>
            <w:shd w:val="clear" w:color="auto" w:fill="auto"/>
            <w:hideMark/>
          </w:tcPr>
          <w:p w14:paraId="64189AE2" w14:textId="77777777" w:rsidR="00643743" w:rsidRPr="007007C9" w:rsidRDefault="00643743" w:rsidP="007007C9">
            <w:pPr>
              <w:spacing w:before="0" w:after="0" w:line="240" w:lineRule="auto"/>
              <w:rPr>
                <w:rFonts w:cs="Tahoma"/>
                <w:sz w:val="20"/>
                <w:szCs w:val="20"/>
              </w:rPr>
            </w:pPr>
            <w:r w:rsidRPr="007007C9">
              <w:rPr>
                <w:rFonts w:cs="Tahoma"/>
                <w:bCs/>
                <w:sz w:val="20"/>
                <w:szCs w:val="20"/>
              </w:rPr>
              <w:t>ZOUNGRANA</w:t>
            </w:r>
          </w:p>
        </w:tc>
      </w:tr>
      <w:tr w:rsidR="00643743" w:rsidRPr="00246464" w14:paraId="2B52E588" w14:textId="77777777" w:rsidTr="009F5BDE">
        <w:tc>
          <w:tcPr>
            <w:tcW w:w="3402" w:type="dxa"/>
            <w:shd w:val="clear" w:color="auto" w:fill="auto"/>
            <w:hideMark/>
          </w:tcPr>
          <w:p w14:paraId="123C49E1" w14:textId="2EAE5502"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Prénom(s)</w:t>
            </w:r>
            <w:r w:rsidR="007068E8">
              <w:rPr>
                <w:rFonts w:cs="Tahoma"/>
                <w:b/>
                <w:sz w:val="20"/>
                <w:szCs w:val="20"/>
              </w:rPr>
              <w:t xml:space="preserve"> </w:t>
            </w:r>
          </w:p>
        </w:tc>
        <w:tc>
          <w:tcPr>
            <w:tcW w:w="5670" w:type="dxa"/>
            <w:shd w:val="clear" w:color="auto" w:fill="auto"/>
            <w:hideMark/>
          </w:tcPr>
          <w:p w14:paraId="2DEAFF5A" w14:textId="77777777" w:rsidR="00643743" w:rsidRPr="007007C9" w:rsidRDefault="00643743" w:rsidP="007007C9">
            <w:pPr>
              <w:spacing w:before="0" w:after="0" w:line="240" w:lineRule="auto"/>
              <w:rPr>
                <w:rFonts w:cs="Tahoma"/>
                <w:sz w:val="20"/>
                <w:szCs w:val="20"/>
              </w:rPr>
            </w:pPr>
            <w:r w:rsidRPr="007007C9">
              <w:rPr>
                <w:rFonts w:cs="Tahoma"/>
                <w:bCs/>
                <w:sz w:val="20"/>
                <w:szCs w:val="20"/>
              </w:rPr>
              <w:t>Benjamin</w:t>
            </w:r>
          </w:p>
        </w:tc>
      </w:tr>
      <w:tr w:rsidR="00643743" w:rsidRPr="00246464" w14:paraId="29127D24" w14:textId="77777777" w:rsidTr="009F5BDE">
        <w:tc>
          <w:tcPr>
            <w:tcW w:w="3402" w:type="dxa"/>
            <w:shd w:val="clear" w:color="auto" w:fill="auto"/>
            <w:hideMark/>
          </w:tcPr>
          <w:p w14:paraId="263C50F9" w14:textId="3A556B71" w:rsidR="00643743" w:rsidRPr="007007C9" w:rsidRDefault="00643743" w:rsidP="00FB2B45">
            <w:pPr>
              <w:pStyle w:val="Paragraphedeliste"/>
              <w:numPr>
                <w:ilvl w:val="0"/>
                <w:numId w:val="44"/>
              </w:numPr>
              <w:spacing w:before="0" w:after="0" w:line="240" w:lineRule="auto"/>
              <w:jc w:val="left"/>
              <w:rPr>
                <w:rFonts w:cs="Tahoma"/>
                <w:b/>
                <w:sz w:val="20"/>
                <w:szCs w:val="20"/>
              </w:rPr>
            </w:pPr>
            <w:r w:rsidRPr="007007C9">
              <w:rPr>
                <w:rFonts w:cs="Tahoma"/>
                <w:b/>
                <w:sz w:val="20"/>
                <w:szCs w:val="20"/>
              </w:rPr>
              <w:t>Date et lieu de naissance</w:t>
            </w:r>
            <w:r w:rsidR="007068E8">
              <w:rPr>
                <w:rFonts w:cs="Tahoma"/>
                <w:sz w:val="20"/>
                <w:szCs w:val="20"/>
              </w:rPr>
              <w:t xml:space="preserve"> </w:t>
            </w:r>
          </w:p>
        </w:tc>
        <w:tc>
          <w:tcPr>
            <w:tcW w:w="5670" w:type="dxa"/>
            <w:shd w:val="clear" w:color="auto" w:fill="auto"/>
            <w:hideMark/>
          </w:tcPr>
          <w:p w14:paraId="72FB2DA1" w14:textId="77777777" w:rsidR="00643743" w:rsidRPr="007007C9" w:rsidRDefault="00643743" w:rsidP="007007C9">
            <w:pPr>
              <w:spacing w:before="0" w:after="0" w:line="240" w:lineRule="auto"/>
              <w:rPr>
                <w:rFonts w:cs="Tahoma"/>
                <w:sz w:val="20"/>
                <w:szCs w:val="20"/>
              </w:rPr>
            </w:pPr>
            <w:r w:rsidRPr="007007C9">
              <w:rPr>
                <w:rFonts w:cs="Tahoma"/>
                <w:sz w:val="20"/>
                <w:szCs w:val="20"/>
              </w:rPr>
              <w:t>26 Avril 1982 à Dabou / RCI</w:t>
            </w:r>
          </w:p>
        </w:tc>
      </w:tr>
      <w:tr w:rsidR="00643743" w:rsidRPr="00246464" w14:paraId="317BB747" w14:textId="77777777" w:rsidTr="009F5BDE">
        <w:tc>
          <w:tcPr>
            <w:tcW w:w="3402" w:type="dxa"/>
            <w:shd w:val="clear" w:color="auto" w:fill="auto"/>
            <w:hideMark/>
          </w:tcPr>
          <w:p w14:paraId="45578719" w14:textId="77777777" w:rsidR="00643743" w:rsidRPr="007007C9" w:rsidRDefault="00643743" w:rsidP="007007C9">
            <w:pPr>
              <w:pStyle w:val="Paragraphedeliste"/>
              <w:spacing w:before="0" w:after="0" w:line="240" w:lineRule="auto"/>
              <w:rPr>
                <w:rFonts w:cs="Tahoma"/>
                <w:b/>
                <w:sz w:val="20"/>
                <w:szCs w:val="20"/>
              </w:rPr>
            </w:pPr>
            <w:r w:rsidRPr="007007C9">
              <w:rPr>
                <w:rFonts w:cs="Tahoma"/>
                <w:b/>
                <w:sz w:val="20"/>
                <w:szCs w:val="20"/>
              </w:rPr>
              <w:t>Situation actuelle</w:t>
            </w:r>
          </w:p>
        </w:tc>
        <w:tc>
          <w:tcPr>
            <w:tcW w:w="5670" w:type="dxa"/>
            <w:shd w:val="clear" w:color="auto" w:fill="auto"/>
            <w:hideMark/>
          </w:tcPr>
          <w:p w14:paraId="49E6ACB0" w14:textId="77777777" w:rsidR="00643743" w:rsidRPr="007007C9" w:rsidRDefault="00643743" w:rsidP="007007C9">
            <w:pPr>
              <w:spacing w:before="0" w:after="0" w:line="240" w:lineRule="auto"/>
              <w:rPr>
                <w:rFonts w:cs="Tahoma"/>
                <w:sz w:val="20"/>
                <w:szCs w:val="20"/>
              </w:rPr>
            </w:pPr>
            <w:r w:rsidRPr="007007C9">
              <w:rPr>
                <w:rFonts w:cs="Tahoma"/>
                <w:sz w:val="20"/>
                <w:szCs w:val="20"/>
              </w:rPr>
              <w:t>Chargé d’études, expert Suivi-évaluation</w:t>
            </w:r>
          </w:p>
        </w:tc>
      </w:tr>
    </w:tbl>
    <w:p w14:paraId="7232E260" w14:textId="77777777" w:rsidR="00643743" w:rsidRPr="007007C9" w:rsidRDefault="00643743" w:rsidP="007007C9">
      <w:pPr>
        <w:pStyle w:val="Paragraphedeliste"/>
        <w:spacing w:before="0" w:after="0" w:line="240" w:lineRule="auto"/>
        <w:rPr>
          <w:rFonts w:cs="Tahoma"/>
          <w:b/>
          <w:sz w:val="20"/>
          <w:szCs w:val="20"/>
          <w:lang w:eastAsia="fr-FR"/>
        </w:rPr>
      </w:pPr>
    </w:p>
    <w:p w14:paraId="252376EF" w14:textId="12BF6902"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Diplômes</w:t>
      </w:r>
    </w:p>
    <w:p w14:paraId="542C3191" w14:textId="77777777" w:rsidR="00246464" w:rsidRPr="007007C9" w:rsidRDefault="00246464" w:rsidP="007007C9">
      <w:pPr>
        <w:pStyle w:val="Paragraphedeliste"/>
        <w:spacing w:before="0" w:after="0" w:line="240" w:lineRule="auto"/>
        <w:rPr>
          <w:rFonts w:cs="Tahoma"/>
          <w:b/>
          <w:sz w:val="20"/>
          <w:szCs w:val="20"/>
        </w:rPr>
      </w:pP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
        <w:gridCol w:w="3637"/>
        <w:gridCol w:w="5414"/>
      </w:tblGrid>
      <w:tr w:rsidR="00C62F7E" w:rsidRPr="004442DB" w14:paraId="30E70641" w14:textId="77777777" w:rsidTr="00A40F72">
        <w:tc>
          <w:tcPr>
            <w:tcW w:w="2013" w:type="pct"/>
            <w:gridSpan w:val="2"/>
            <w:tcBorders>
              <w:top w:val="single" w:sz="4" w:space="0" w:color="5B9BD5"/>
              <w:left w:val="single" w:sz="4" w:space="0" w:color="5B9BD5"/>
              <w:bottom w:val="single" w:sz="4" w:space="0" w:color="5B9BD5"/>
              <w:right w:val="single" w:sz="4" w:space="0" w:color="5B9BD5"/>
            </w:tcBorders>
            <w:shd w:val="clear" w:color="auto" w:fill="F3F3F3"/>
            <w:hideMark/>
          </w:tcPr>
          <w:p w14:paraId="5C96849E" w14:textId="77777777" w:rsidR="00643743" w:rsidRPr="007007C9" w:rsidRDefault="00643743" w:rsidP="007007C9">
            <w:pPr>
              <w:tabs>
                <w:tab w:val="left" w:pos="284"/>
              </w:tabs>
              <w:spacing w:before="0" w:after="0" w:line="276" w:lineRule="auto"/>
              <w:rPr>
                <w:rFonts w:cs="Tahoma"/>
                <w:b/>
                <w:sz w:val="18"/>
                <w:szCs w:val="18"/>
              </w:rPr>
            </w:pPr>
            <w:r w:rsidRPr="007007C9">
              <w:rPr>
                <w:rFonts w:cs="Tahoma"/>
                <w:b/>
                <w:sz w:val="18"/>
                <w:szCs w:val="18"/>
              </w:rPr>
              <w:t>Institution : [Date début – Date fin]</w:t>
            </w:r>
          </w:p>
        </w:tc>
        <w:tc>
          <w:tcPr>
            <w:tcW w:w="2987" w:type="pct"/>
            <w:tcBorders>
              <w:top w:val="single" w:sz="4" w:space="0" w:color="5B9BD5"/>
              <w:left w:val="single" w:sz="4" w:space="0" w:color="5B9BD5"/>
              <w:bottom w:val="single" w:sz="4" w:space="0" w:color="5B9BD5"/>
              <w:right w:val="single" w:sz="4" w:space="0" w:color="5B9BD5"/>
            </w:tcBorders>
            <w:shd w:val="clear" w:color="auto" w:fill="F3F3F3"/>
            <w:hideMark/>
          </w:tcPr>
          <w:p w14:paraId="156A7A6B" w14:textId="77777777" w:rsidR="00643743" w:rsidRPr="007007C9" w:rsidRDefault="00643743" w:rsidP="007007C9">
            <w:pPr>
              <w:tabs>
                <w:tab w:val="left" w:pos="284"/>
              </w:tabs>
              <w:spacing w:before="0" w:after="0" w:line="276" w:lineRule="auto"/>
              <w:rPr>
                <w:rFonts w:cs="Tahoma"/>
                <w:b/>
                <w:sz w:val="18"/>
                <w:szCs w:val="18"/>
              </w:rPr>
            </w:pPr>
            <w:r w:rsidRPr="007007C9">
              <w:rPr>
                <w:rFonts w:cs="Tahoma"/>
                <w:b/>
                <w:sz w:val="18"/>
                <w:szCs w:val="18"/>
              </w:rPr>
              <w:t>Diplôme(s) obtenu(s) :</w:t>
            </w:r>
          </w:p>
        </w:tc>
      </w:tr>
      <w:tr w:rsidR="00643743" w:rsidRPr="004442DB" w14:paraId="690F3570" w14:textId="77777777" w:rsidTr="009F5BDE">
        <w:trPr>
          <w:gridBefore w:val="1"/>
          <w:wBefore w:w="6" w:type="pct"/>
          <w:trHeight w:val="434"/>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9E7CBF9" w14:textId="77777777" w:rsidR="00643743" w:rsidRPr="007007C9" w:rsidRDefault="00643743" w:rsidP="007007C9">
            <w:pPr>
              <w:pStyle w:val="Nomdesocit"/>
              <w:spacing w:before="0" w:line="276" w:lineRule="auto"/>
              <w:rPr>
                <w:rFonts w:ascii="Century Gothic" w:hAnsi="Century Gothic" w:cs="Tahoma"/>
                <w:sz w:val="18"/>
                <w:szCs w:val="18"/>
                <w:lang w:eastAsia="fr-FR"/>
              </w:rPr>
            </w:pPr>
            <w:r w:rsidRPr="007007C9">
              <w:rPr>
                <w:rFonts w:ascii="Century Gothic" w:hAnsi="Century Gothic" w:cs="Tahoma"/>
                <w:sz w:val="18"/>
                <w:szCs w:val="18"/>
                <w:lang w:eastAsia="fr-FR"/>
              </w:rPr>
              <w:t>Programme Troisième cycle inter universitaire : 2009-2011</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3C88D990"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 xml:space="preserve">DEA en Economie et Gestion </w:t>
            </w:r>
          </w:p>
        </w:tc>
      </w:tr>
      <w:tr w:rsidR="00643743" w:rsidRPr="004442DB" w14:paraId="2187AE42" w14:textId="77777777" w:rsidTr="009F5BDE">
        <w:trPr>
          <w:gridBefore w:val="1"/>
          <w:wBefore w:w="6" w:type="pct"/>
          <w:trHeight w:val="270"/>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0781F883" w14:textId="77777777" w:rsidR="00643743" w:rsidRPr="007007C9" w:rsidRDefault="00643743" w:rsidP="007007C9">
            <w:pPr>
              <w:pStyle w:val="Nomdesocit"/>
              <w:spacing w:before="0" w:line="276" w:lineRule="auto"/>
              <w:rPr>
                <w:rFonts w:ascii="Century Gothic" w:hAnsi="Century Gothic" w:cs="Tahoma"/>
                <w:i/>
                <w:sz w:val="18"/>
                <w:szCs w:val="18"/>
                <w:lang w:eastAsia="fr-FR"/>
              </w:rPr>
            </w:pPr>
            <w:r w:rsidRPr="007007C9">
              <w:rPr>
                <w:rFonts w:ascii="Century Gothic" w:hAnsi="Century Gothic" w:cs="Tahoma"/>
                <w:sz w:val="18"/>
                <w:szCs w:val="18"/>
                <w:lang w:eastAsia="fr-FR"/>
              </w:rPr>
              <w:t>Université Ouaga II : 2008-2009</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0275F81"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Maitrise en Economie et Gestion option Planification</w:t>
            </w:r>
          </w:p>
        </w:tc>
      </w:tr>
      <w:tr w:rsidR="00643743" w:rsidRPr="004442DB" w14:paraId="504DEADD" w14:textId="77777777" w:rsidTr="009F5BDE">
        <w:trPr>
          <w:gridBefore w:val="1"/>
          <w:wBefore w:w="6" w:type="pct"/>
          <w:trHeight w:val="416"/>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6D34DE02" w14:textId="77777777" w:rsidR="00643743" w:rsidRPr="007007C9" w:rsidRDefault="00643743" w:rsidP="007007C9">
            <w:pPr>
              <w:pStyle w:val="Nomdesocit"/>
              <w:spacing w:before="0" w:line="276" w:lineRule="auto"/>
              <w:rPr>
                <w:rFonts w:ascii="Century Gothic" w:hAnsi="Century Gothic" w:cs="Tahoma"/>
                <w:sz w:val="18"/>
                <w:szCs w:val="18"/>
                <w:lang w:eastAsia="fr-FR"/>
              </w:rPr>
            </w:pPr>
            <w:r w:rsidRPr="007007C9">
              <w:rPr>
                <w:rFonts w:ascii="Century Gothic" w:hAnsi="Century Gothic" w:cs="Tahoma"/>
                <w:sz w:val="18"/>
                <w:szCs w:val="18"/>
                <w:lang w:eastAsia="fr-FR"/>
              </w:rPr>
              <w:t>Université Ouaga II : 2007-2008</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035F03C"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Licence en en Economie et Gestion option Planification</w:t>
            </w:r>
          </w:p>
        </w:tc>
      </w:tr>
      <w:tr w:rsidR="00643743" w:rsidRPr="004442DB" w14:paraId="5A8B6BEC" w14:textId="77777777" w:rsidTr="009F5BDE">
        <w:trPr>
          <w:gridBefore w:val="1"/>
          <w:wBefore w:w="6" w:type="pct"/>
          <w:trHeight w:val="152"/>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5837FB8C" w14:textId="77777777" w:rsidR="00643743" w:rsidRPr="007007C9" w:rsidRDefault="00643743" w:rsidP="007007C9">
            <w:pPr>
              <w:pStyle w:val="Nomdesocit"/>
              <w:spacing w:before="0" w:line="276" w:lineRule="auto"/>
              <w:rPr>
                <w:rFonts w:ascii="Century Gothic" w:hAnsi="Century Gothic" w:cs="Tahoma"/>
                <w:sz w:val="18"/>
                <w:szCs w:val="18"/>
                <w:lang w:val="pt-BR" w:eastAsia="fr-FR"/>
              </w:rPr>
            </w:pPr>
            <w:r w:rsidRPr="007007C9">
              <w:rPr>
                <w:rFonts w:ascii="Century Gothic" w:hAnsi="Century Gothic" w:cs="Tahoma"/>
                <w:sz w:val="18"/>
                <w:szCs w:val="18"/>
                <w:lang w:val="pt-BR" w:eastAsia="fr-FR"/>
              </w:rPr>
              <w:t>Lycée Municipal Bambata: 2004-2005</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76BA0CD6"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Baccalauréat Série D, Sciences.</w:t>
            </w:r>
          </w:p>
        </w:tc>
      </w:tr>
    </w:tbl>
    <w:p w14:paraId="31B81214" w14:textId="77777777" w:rsidR="00643743" w:rsidRPr="007007C9" w:rsidRDefault="00643743" w:rsidP="007007C9">
      <w:pPr>
        <w:spacing w:before="0" w:after="0" w:line="240" w:lineRule="auto"/>
        <w:rPr>
          <w:rFonts w:cs="Tahoma"/>
          <w:b/>
          <w:bCs/>
          <w:sz w:val="18"/>
          <w:szCs w:val="18"/>
          <w:lang w:eastAsia="fr-FR"/>
        </w:rPr>
      </w:pPr>
    </w:p>
    <w:p w14:paraId="7D9A5ED5" w14:textId="77777777" w:rsidR="00643743" w:rsidRPr="007007C9" w:rsidRDefault="00643743" w:rsidP="007007C9">
      <w:pPr>
        <w:spacing w:before="0" w:after="0" w:line="240" w:lineRule="auto"/>
        <w:rPr>
          <w:rFonts w:cs="Tahoma"/>
          <w:b/>
          <w:bCs/>
          <w:sz w:val="18"/>
          <w:szCs w:val="18"/>
        </w:rPr>
      </w:pPr>
      <w:r w:rsidRPr="007007C9">
        <w:rPr>
          <w:rFonts w:cs="Tahoma"/>
          <w:b/>
          <w:bCs/>
          <w:sz w:val="18"/>
          <w:szCs w:val="18"/>
        </w:rPr>
        <w:t>Formation continue</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
        <w:gridCol w:w="3637"/>
        <w:gridCol w:w="5414"/>
      </w:tblGrid>
      <w:tr w:rsidR="00C62F7E" w:rsidRPr="004442DB" w14:paraId="1EE44771" w14:textId="77777777" w:rsidTr="00A40F72">
        <w:trPr>
          <w:trHeight w:val="70"/>
        </w:trPr>
        <w:tc>
          <w:tcPr>
            <w:tcW w:w="2013" w:type="pct"/>
            <w:gridSpan w:val="2"/>
            <w:tcBorders>
              <w:top w:val="single" w:sz="4" w:space="0" w:color="5B9BD5"/>
              <w:left w:val="single" w:sz="4" w:space="0" w:color="5B9BD5"/>
              <w:bottom w:val="single" w:sz="4" w:space="0" w:color="5B9BD5"/>
              <w:right w:val="single" w:sz="4" w:space="0" w:color="5B9BD5"/>
            </w:tcBorders>
            <w:shd w:val="clear" w:color="auto" w:fill="F3F3F3"/>
            <w:hideMark/>
          </w:tcPr>
          <w:p w14:paraId="2634FBDB" w14:textId="77777777" w:rsidR="00643743" w:rsidRPr="007007C9" w:rsidRDefault="00643743" w:rsidP="007007C9">
            <w:pPr>
              <w:tabs>
                <w:tab w:val="left" w:pos="284"/>
              </w:tabs>
              <w:spacing w:before="0" w:after="0"/>
              <w:rPr>
                <w:rFonts w:cs="Tahoma"/>
                <w:b/>
                <w:sz w:val="18"/>
                <w:szCs w:val="18"/>
              </w:rPr>
            </w:pPr>
            <w:r w:rsidRPr="007007C9">
              <w:rPr>
                <w:rFonts w:cs="Tahoma"/>
                <w:b/>
                <w:sz w:val="18"/>
                <w:szCs w:val="18"/>
              </w:rPr>
              <w:t>Institution : [Date début – Date fin]</w:t>
            </w:r>
          </w:p>
        </w:tc>
        <w:tc>
          <w:tcPr>
            <w:tcW w:w="2987" w:type="pct"/>
            <w:tcBorders>
              <w:top w:val="single" w:sz="4" w:space="0" w:color="5B9BD5"/>
              <w:left w:val="single" w:sz="4" w:space="0" w:color="5B9BD5"/>
              <w:bottom w:val="single" w:sz="4" w:space="0" w:color="5B9BD5"/>
              <w:right w:val="single" w:sz="4" w:space="0" w:color="5B9BD5"/>
            </w:tcBorders>
            <w:shd w:val="clear" w:color="auto" w:fill="F3F3F3"/>
            <w:hideMark/>
          </w:tcPr>
          <w:p w14:paraId="59AEB861" w14:textId="77777777" w:rsidR="00643743" w:rsidRPr="007007C9" w:rsidRDefault="00643743" w:rsidP="007007C9">
            <w:pPr>
              <w:tabs>
                <w:tab w:val="left" w:pos="284"/>
              </w:tabs>
              <w:spacing w:before="0" w:after="0"/>
              <w:rPr>
                <w:rFonts w:cs="Tahoma"/>
                <w:b/>
                <w:sz w:val="18"/>
                <w:szCs w:val="18"/>
              </w:rPr>
            </w:pPr>
            <w:r w:rsidRPr="007007C9">
              <w:rPr>
                <w:rFonts w:cs="Tahoma"/>
                <w:b/>
                <w:sz w:val="18"/>
                <w:szCs w:val="18"/>
              </w:rPr>
              <w:t>Attestation / certificat</w:t>
            </w:r>
          </w:p>
        </w:tc>
      </w:tr>
      <w:tr w:rsidR="00643743" w:rsidRPr="004442DB" w14:paraId="778A7615" w14:textId="77777777" w:rsidTr="009F5BDE">
        <w:trPr>
          <w:gridBefore w:val="1"/>
          <w:wBefore w:w="6" w:type="pct"/>
          <w:trHeight w:val="381"/>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36958A99"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 xml:space="preserve">Ecole nationale d’administration publique du Canada </w:t>
            </w:r>
          </w:p>
          <w:p w14:paraId="21F2F38A"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Du 16 au 27 avril 2018 à Ouagadougou</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0075B474"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 xml:space="preserve">Formation de haut niveau en évaluation du développement </w:t>
            </w:r>
          </w:p>
          <w:p w14:paraId="3E9865E9"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Attestation de formation délivrée</w:t>
            </w:r>
          </w:p>
        </w:tc>
      </w:tr>
      <w:tr w:rsidR="00643743" w:rsidRPr="004442DB" w14:paraId="49BEA787" w14:textId="77777777" w:rsidTr="009F5BDE">
        <w:trPr>
          <w:gridBefore w:val="1"/>
          <w:wBefore w:w="6" w:type="pct"/>
          <w:trHeight w:val="433"/>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15E0F227"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Centrale Lille</w:t>
            </w:r>
          </w:p>
          <w:p w14:paraId="71B672A5" w14:textId="77777777" w:rsidR="00643743" w:rsidRPr="007007C9" w:rsidRDefault="00643743" w:rsidP="007007C9">
            <w:pPr>
              <w:spacing w:before="0" w:after="0"/>
              <w:rPr>
                <w:rFonts w:eastAsia="Times New Roman" w:cs="Tahoma"/>
                <w:sz w:val="18"/>
                <w:szCs w:val="18"/>
              </w:rPr>
            </w:pPr>
            <w:r w:rsidRPr="007007C9">
              <w:rPr>
                <w:rFonts w:eastAsia="Times New Roman" w:cs="Tahoma"/>
                <w:sz w:val="18"/>
                <w:szCs w:val="18"/>
              </w:rPr>
              <w:t>Mars – avril 2015</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7F5911C8" w14:textId="77777777" w:rsidR="00643743" w:rsidRPr="007007C9" w:rsidRDefault="00643743">
            <w:pPr>
              <w:pStyle w:val="normaltableau"/>
              <w:spacing w:before="0" w:after="0" w:line="276" w:lineRule="auto"/>
              <w:rPr>
                <w:rFonts w:ascii="Century Gothic" w:hAnsi="Century Gothic" w:cs="Tahoma"/>
                <w:sz w:val="18"/>
                <w:szCs w:val="18"/>
                <w:lang w:val="fr-FR" w:eastAsia="en-US"/>
              </w:rPr>
            </w:pPr>
            <w:r w:rsidRPr="007007C9">
              <w:rPr>
                <w:rFonts w:ascii="Century Gothic" w:hAnsi="Century Gothic" w:cs="Tahoma"/>
                <w:sz w:val="18"/>
                <w:szCs w:val="18"/>
                <w:lang w:val="fr-FR" w:eastAsia="en-US"/>
              </w:rPr>
              <w:t xml:space="preserve">Formation à distance en gestion de projet </w:t>
            </w:r>
          </w:p>
          <w:p w14:paraId="170C30F3" w14:textId="77777777" w:rsidR="00643743" w:rsidRPr="007007C9" w:rsidRDefault="00643743">
            <w:pPr>
              <w:pStyle w:val="normaltableau"/>
              <w:spacing w:before="0" w:after="0" w:line="276" w:lineRule="auto"/>
              <w:rPr>
                <w:rFonts w:ascii="Century Gothic" w:hAnsi="Century Gothic" w:cs="Tahoma"/>
                <w:sz w:val="18"/>
                <w:szCs w:val="18"/>
                <w:lang w:val="fr-FR" w:eastAsia="en-US"/>
              </w:rPr>
            </w:pPr>
            <w:r w:rsidRPr="007007C9">
              <w:rPr>
                <w:rFonts w:ascii="Century Gothic" w:hAnsi="Century Gothic" w:cs="Tahoma"/>
                <w:sz w:val="18"/>
                <w:szCs w:val="18"/>
                <w:lang w:val="fr-FR" w:eastAsia="en-US"/>
              </w:rPr>
              <w:t>Attestation de formation délivrée</w:t>
            </w:r>
          </w:p>
        </w:tc>
      </w:tr>
    </w:tbl>
    <w:p w14:paraId="322DCA4C" w14:textId="77777777" w:rsidR="00643743" w:rsidRPr="007007C9" w:rsidRDefault="00643743" w:rsidP="007007C9">
      <w:pPr>
        <w:spacing w:before="0" w:after="0" w:line="240" w:lineRule="auto"/>
        <w:rPr>
          <w:rFonts w:cs="Tahoma"/>
          <w:b/>
          <w:bCs/>
          <w:sz w:val="18"/>
          <w:szCs w:val="18"/>
          <w:lang w:eastAsia="fr-FR"/>
        </w:rPr>
      </w:pPr>
    </w:p>
    <w:p w14:paraId="21B6A0CD" w14:textId="77777777" w:rsidR="00643743" w:rsidRPr="007007C9" w:rsidRDefault="00643743" w:rsidP="00FB2B45">
      <w:pPr>
        <w:pStyle w:val="Paragraphedeliste"/>
        <w:numPr>
          <w:ilvl w:val="0"/>
          <w:numId w:val="44"/>
        </w:numPr>
        <w:spacing w:before="0" w:after="0" w:line="240" w:lineRule="auto"/>
        <w:jc w:val="left"/>
        <w:rPr>
          <w:rFonts w:eastAsia="Times New Roman" w:cs="Tahoma"/>
          <w:sz w:val="18"/>
          <w:szCs w:val="18"/>
          <w:lang w:val="pt-BR"/>
        </w:rPr>
      </w:pPr>
      <w:r w:rsidRPr="007007C9">
        <w:rPr>
          <w:rFonts w:eastAsia="Times New Roman" w:cs="Tahoma"/>
          <w:b/>
          <w:sz w:val="18"/>
          <w:szCs w:val="18"/>
          <w:lang w:val="pt-BR"/>
        </w:rPr>
        <w:t>Connaissances linguistiques</w:t>
      </w:r>
      <w:r w:rsidRPr="007007C9">
        <w:rPr>
          <w:rFonts w:eastAsia="Times New Roman" w:cs="Tahoma"/>
          <w:sz w:val="18"/>
          <w:szCs w:val="18"/>
          <w:lang w:val="pt-BR"/>
        </w:rPr>
        <w:t xml:space="preserve"> (échelle 5 - niveau excellent; 1 - niveau rudimentaire)</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5"/>
        <w:gridCol w:w="2265"/>
        <w:gridCol w:w="2266"/>
        <w:gridCol w:w="2266"/>
      </w:tblGrid>
      <w:tr w:rsidR="00C62F7E" w:rsidRPr="004442DB" w14:paraId="492724AD" w14:textId="77777777" w:rsidTr="00A40F72">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76438E1E"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Langue</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18B01734"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Lu</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3676D492"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Parlé</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07C5C51A"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Ecrit</w:t>
            </w:r>
          </w:p>
        </w:tc>
      </w:tr>
      <w:tr w:rsidR="00643743" w:rsidRPr="004442DB" w14:paraId="662212CC" w14:textId="77777777" w:rsidTr="009F5BDE">
        <w:tc>
          <w:tcPr>
            <w:tcW w:w="1250" w:type="pct"/>
            <w:tcBorders>
              <w:top w:val="single" w:sz="4" w:space="0" w:color="5B9BD5"/>
              <w:left w:val="single" w:sz="4" w:space="0" w:color="5B9BD5"/>
              <w:bottom w:val="single" w:sz="4" w:space="0" w:color="5B9BD5"/>
              <w:right w:val="single" w:sz="4" w:space="0" w:color="5B9BD5"/>
            </w:tcBorders>
            <w:hideMark/>
          </w:tcPr>
          <w:p w14:paraId="7DB6DD75"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 xml:space="preserve">Français </w:t>
            </w:r>
          </w:p>
        </w:tc>
        <w:tc>
          <w:tcPr>
            <w:tcW w:w="1250" w:type="pct"/>
            <w:tcBorders>
              <w:top w:val="single" w:sz="4" w:space="0" w:color="5B9BD5"/>
              <w:left w:val="single" w:sz="4" w:space="0" w:color="5B9BD5"/>
              <w:bottom w:val="single" w:sz="4" w:space="0" w:color="5B9BD5"/>
              <w:right w:val="single" w:sz="4" w:space="0" w:color="5B9BD5"/>
            </w:tcBorders>
            <w:hideMark/>
          </w:tcPr>
          <w:p w14:paraId="6B5ABED2"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c>
          <w:tcPr>
            <w:tcW w:w="1250" w:type="pct"/>
            <w:tcBorders>
              <w:top w:val="single" w:sz="4" w:space="0" w:color="5B9BD5"/>
              <w:left w:val="single" w:sz="4" w:space="0" w:color="5B9BD5"/>
              <w:bottom w:val="single" w:sz="4" w:space="0" w:color="5B9BD5"/>
              <w:right w:val="single" w:sz="4" w:space="0" w:color="5B9BD5"/>
            </w:tcBorders>
            <w:hideMark/>
          </w:tcPr>
          <w:p w14:paraId="13577F18"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c>
          <w:tcPr>
            <w:tcW w:w="1250" w:type="pct"/>
            <w:tcBorders>
              <w:top w:val="single" w:sz="4" w:space="0" w:color="5B9BD5"/>
              <w:left w:val="single" w:sz="4" w:space="0" w:color="5B9BD5"/>
              <w:bottom w:val="single" w:sz="4" w:space="0" w:color="5B9BD5"/>
              <w:right w:val="single" w:sz="4" w:space="0" w:color="5B9BD5"/>
            </w:tcBorders>
            <w:hideMark/>
          </w:tcPr>
          <w:p w14:paraId="1EB3787D"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r>
      <w:tr w:rsidR="00643743" w:rsidRPr="004442DB" w14:paraId="30B89748" w14:textId="77777777" w:rsidTr="009F5BDE">
        <w:tc>
          <w:tcPr>
            <w:tcW w:w="1250" w:type="pct"/>
            <w:tcBorders>
              <w:top w:val="single" w:sz="4" w:space="0" w:color="5B9BD5"/>
              <w:left w:val="single" w:sz="4" w:space="0" w:color="5B9BD5"/>
              <w:bottom w:val="single" w:sz="4" w:space="0" w:color="5B9BD5"/>
              <w:right w:val="single" w:sz="4" w:space="0" w:color="5B9BD5"/>
            </w:tcBorders>
            <w:hideMark/>
          </w:tcPr>
          <w:p w14:paraId="44380F93"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 xml:space="preserve">Anglais </w:t>
            </w:r>
          </w:p>
        </w:tc>
        <w:tc>
          <w:tcPr>
            <w:tcW w:w="1250" w:type="pct"/>
            <w:tcBorders>
              <w:top w:val="single" w:sz="4" w:space="0" w:color="5B9BD5"/>
              <w:left w:val="single" w:sz="4" w:space="0" w:color="5B9BD5"/>
              <w:bottom w:val="single" w:sz="4" w:space="0" w:color="5B9BD5"/>
              <w:right w:val="single" w:sz="4" w:space="0" w:color="5B9BD5"/>
            </w:tcBorders>
            <w:hideMark/>
          </w:tcPr>
          <w:p w14:paraId="35BA50B8"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3</w:t>
            </w:r>
          </w:p>
        </w:tc>
        <w:tc>
          <w:tcPr>
            <w:tcW w:w="1250" w:type="pct"/>
            <w:tcBorders>
              <w:top w:val="single" w:sz="4" w:space="0" w:color="5B9BD5"/>
              <w:left w:val="single" w:sz="4" w:space="0" w:color="5B9BD5"/>
              <w:bottom w:val="single" w:sz="4" w:space="0" w:color="5B9BD5"/>
              <w:right w:val="single" w:sz="4" w:space="0" w:color="5B9BD5"/>
            </w:tcBorders>
            <w:hideMark/>
          </w:tcPr>
          <w:p w14:paraId="47B78646"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2</w:t>
            </w:r>
          </w:p>
        </w:tc>
        <w:tc>
          <w:tcPr>
            <w:tcW w:w="1250" w:type="pct"/>
            <w:tcBorders>
              <w:top w:val="single" w:sz="4" w:space="0" w:color="5B9BD5"/>
              <w:left w:val="single" w:sz="4" w:space="0" w:color="5B9BD5"/>
              <w:bottom w:val="single" w:sz="4" w:space="0" w:color="5B9BD5"/>
              <w:right w:val="single" w:sz="4" w:space="0" w:color="5B9BD5"/>
            </w:tcBorders>
            <w:hideMark/>
          </w:tcPr>
          <w:p w14:paraId="66A706B1"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2</w:t>
            </w:r>
          </w:p>
        </w:tc>
      </w:tr>
    </w:tbl>
    <w:p w14:paraId="34907CF9" w14:textId="77777777" w:rsidR="00643743" w:rsidRPr="007007C9" w:rsidRDefault="00643743" w:rsidP="007007C9">
      <w:pPr>
        <w:spacing w:before="0" w:after="0"/>
        <w:rPr>
          <w:rFonts w:cs="Tahoma"/>
          <w:b/>
          <w:sz w:val="18"/>
          <w:szCs w:val="18"/>
          <w:lang w:eastAsia="fr-FR"/>
        </w:rPr>
      </w:pPr>
    </w:p>
    <w:p w14:paraId="261731CD" w14:textId="77777777"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Autres compétences</w:t>
      </w:r>
      <w:r w:rsidRPr="007007C9">
        <w:rPr>
          <w:rFonts w:eastAsia="Times New Roman" w:cs="Tahoma"/>
          <w:sz w:val="18"/>
          <w:szCs w:val="18"/>
          <w:lang w:val="pt-BR"/>
        </w:rPr>
        <w:t xml:space="preserve"> (ex: connaissances informatiques, etc.) : suite bureautique (word, excel, power point, acces, outlook, MS projet </w:t>
      </w:r>
    </w:p>
    <w:p w14:paraId="62DE5B0A" w14:textId="77777777"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Situation présente</w:t>
      </w:r>
      <w:r w:rsidRPr="007007C9">
        <w:rPr>
          <w:rFonts w:eastAsia="Times New Roman" w:cs="Tahoma"/>
          <w:sz w:val="18"/>
          <w:szCs w:val="18"/>
          <w:lang w:val="pt-BR"/>
        </w:rPr>
        <w:t xml:space="preserve"> : chargé d’études, Expert Suivi-évaluation </w:t>
      </w:r>
    </w:p>
    <w:p w14:paraId="0757791C" w14:textId="2A5008DF"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Nombre d’année d’expérience</w:t>
      </w:r>
      <w:r w:rsidRPr="007007C9">
        <w:rPr>
          <w:rFonts w:eastAsia="Times New Roman" w:cs="Tahoma"/>
          <w:sz w:val="18"/>
          <w:szCs w:val="18"/>
          <w:lang w:val="pt-BR"/>
        </w:rPr>
        <w:t>: plus de 6 ans</w:t>
      </w:r>
      <w:r w:rsidR="007068E8">
        <w:rPr>
          <w:rFonts w:eastAsia="Times New Roman" w:cs="Tahoma"/>
          <w:sz w:val="18"/>
          <w:szCs w:val="18"/>
          <w:lang w:val="pt-BR"/>
        </w:rPr>
        <w:t xml:space="preserve"> </w:t>
      </w:r>
    </w:p>
    <w:p w14:paraId="41CDDEEB" w14:textId="77777777" w:rsidR="00643743" w:rsidRPr="007007C9" w:rsidRDefault="00643743" w:rsidP="00FB2B45">
      <w:pPr>
        <w:pStyle w:val="Paragraphedeliste"/>
        <w:numPr>
          <w:ilvl w:val="0"/>
          <w:numId w:val="44"/>
        </w:numPr>
        <w:spacing w:before="0" w:after="0" w:line="240" w:lineRule="auto"/>
        <w:rPr>
          <w:rFonts w:eastAsia="Times New Roman" w:cs="Tahoma"/>
          <w:b/>
          <w:sz w:val="18"/>
          <w:szCs w:val="18"/>
          <w:lang w:val="pt-BR"/>
        </w:rPr>
      </w:pPr>
      <w:r w:rsidRPr="007007C9">
        <w:rPr>
          <w:rFonts w:eastAsia="Times New Roman" w:cs="Tahoma"/>
          <w:b/>
          <w:sz w:val="18"/>
          <w:szCs w:val="18"/>
          <w:lang w:val="pt-BR"/>
        </w:rPr>
        <w:t>Domaines d’intérêt</w:t>
      </w:r>
    </w:p>
    <w:p w14:paraId="11EDBC9C"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Monitoring &amp; Evaluation</w:t>
      </w:r>
    </w:p>
    <w:p w14:paraId="68695AFA"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Planification opérationnelle et stratégique</w:t>
      </w:r>
    </w:p>
    <w:p w14:paraId="2CD40C67"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Evaluation des politiques publiques</w:t>
      </w:r>
    </w:p>
    <w:p w14:paraId="5DEC8E41"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Gestion axée sur les résultats et approche cadre logique</w:t>
      </w:r>
    </w:p>
    <w:p w14:paraId="571A2E5A"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Finances publiques</w:t>
      </w:r>
    </w:p>
    <w:p w14:paraId="22710B43"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Protection sociale</w:t>
      </w:r>
    </w:p>
    <w:p w14:paraId="65C9D7A3" w14:textId="77777777" w:rsidR="00643743" w:rsidRPr="007007C9" w:rsidRDefault="00643743" w:rsidP="007007C9">
      <w:pPr>
        <w:pStyle w:val="Paragraphedeliste"/>
        <w:spacing w:before="0" w:after="0"/>
        <w:rPr>
          <w:rFonts w:eastAsia="Times New Roman" w:cs="Tahoma"/>
          <w:sz w:val="18"/>
          <w:szCs w:val="18"/>
          <w:lang w:val="pt-BR"/>
        </w:rPr>
      </w:pPr>
    </w:p>
    <w:p w14:paraId="0B62814D" w14:textId="77777777" w:rsidR="00643743" w:rsidRPr="007007C9" w:rsidRDefault="00643743" w:rsidP="00FB2B45">
      <w:pPr>
        <w:pStyle w:val="Paragraphedeliste"/>
        <w:numPr>
          <w:ilvl w:val="0"/>
          <w:numId w:val="44"/>
        </w:numPr>
        <w:spacing w:before="0" w:after="0"/>
        <w:rPr>
          <w:rFonts w:eastAsia="Times New Roman" w:cs="Tahoma"/>
          <w:b/>
          <w:sz w:val="18"/>
          <w:szCs w:val="18"/>
          <w:lang w:val="pt-BR"/>
        </w:rPr>
      </w:pPr>
      <w:r w:rsidRPr="007007C9">
        <w:rPr>
          <w:rFonts w:eastAsia="Times New Roman" w:cs="Tahoma"/>
          <w:b/>
          <w:sz w:val="18"/>
          <w:szCs w:val="18"/>
          <w:lang w:val="pt-BR"/>
        </w:rPr>
        <w:t>Expérience en étude ou mission</w:t>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57" w:type="dxa"/>
          <w:bottom w:w="57" w:type="dxa"/>
        </w:tblCellMar>
        <w:tblLook w:val="04A0" w:firstRow="1" w:lastRow="0" w:firstColumn="1" w:lastColumn="0" w:noHBand="0" w:noVBand="1"/>
      </w:tblPr>
      <w:tblGrid>
        <w:gridCol w:w="1271"/>
        <w:gridCol w:w="834"/>
        <w:gridCol w:w="1292"/>
        <w:gridCol w:w="1262"/>
        <w:gridCol w:w="4403"/>
      </w:tblGrid>
      <w:tr w:rsidR="00C62F7E" w:rsidRPr="004442DB" w14:paraId="3C7365EA" w14:textId="77777777" w:rsidTr="00A40F72">
        <w:trPr>
          <w:cantSplit/>
          <w:tblHeader/>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D072ED4"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De (date) – à (date)</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79C5C45"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Lieu</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448CBA6D"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Société et personne de contact</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5D8CF12"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Poste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98CDFD2"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Intulés de l’étude ou mission / tâches exécutées</w:t>
            </w:r>
          </w:p>
        </w:tc>
      </w:tr>
      <w:tr w:rsidR="00C62F7E" w:rsidRPr="004442DB" w14:paraId="3D7601D9"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21987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2019 – juin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877684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7E8DAA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l’UNICEF Niger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B19884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D8E8B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Etude CAP (Comportements-Attitudes et Pratiques) -Immunisation du NIGER</w:t>
            </w:r>
          </w:p>
          <w:p w14:paraId="008E4B38"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UNICEF Niger</w:t>
            </w:r>
          </w:p>
          <w:p w14:paraId="6DE866A0"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7B60CA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protocoe d’enquête, des outils de collecte;</w:t>
            </w:r>
          </w:p>
          <w:p w14:paraId="6E11144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la collecte de données terrain;</w:t>
            </w:r>
          </w:p>
          <w:p w14:paraId="2044A47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 cours</w:t>
            </w:r>
          </w:p>
          <w:p w14:paraId="04654E3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7BEAC341"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7331BD51"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5638C44F" w14:textId="77777777" w:rsidR="00643743" w:rsidRPr="007007C9" w:rsidRDefault="00643743" w:rsidP="007007C9">
            <w:pPr>
              <w:spacing w:before="0" w:after="0" w:line="240" w:lineRule="auto"/>
              <w:rPr>
                <w:rFonts w:eastAsia="Times New Roman" w:cs="Tahoma"/>
                <w:sz w:val="18"/>
                <w:szCs w:val="18"/>
                <w:lang w:val="pt-BR"/>
              </w:rPr>
            </w:pP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5ACFFC84" w14:textId="77777777" w:rsidR="00643743" w:rsidRPr="007007C9" w:rsidRDefault="00643743" w:rsidP="007007C9">
            <w:pPr>
              <w:spacing w:before="0" w:after="0" w:line="240" w:lineRule="auto"/>
              <w:rPr>
                <w:rFonts w:eastAsia="Times New Roman" w:cs="Tahoma"/>
                <w:sz w:val="18"/>
                <w:szCs w:val="18"/>
                <w:lang w:val="pt-BR"/>
              </w:rPr>
            </w:pP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78172A6B"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2BC33C3D" w14:textId="77777777" w:rsidR="00643743" w:rsidRPr="007007C9" w:rsidRDefault="00643743" w:rsidP="007007C9">
            <w:pPr>
              <w:spacing w:before="0" w:after="0" w:line="240" w:lineRule="auto"/>
              <w:rPr>
                <w:rFonts w:eastAsia="Times New Roman" w:cs="Tahoma"/>
                <w:b/>
                <w:sz w:val="18"/>
                <w:szCs w:val="18"/>
                <w:lang w:val="pt-BR"/>
              </w:rPr>
            </w:pPr>
          </w:p>
        </w:tc>
      </w:tr>
      <w:tr w:rsidR="00C62F7E" w:rsidRPr="004442DB" w14:paraId="2581D40C"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8517F4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Octobre 2020 – Juillet 2021</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98DECB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Tunisie</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4BEFB6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UNICEF Tunis</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DC0615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4863DB5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Assistance technique sur le dispositif de Suivi-évaluation de la Stratégie Nationale de Développement de la Petite Enfance, </w:t>
            </w:r>
            <w:r w:rsidRPr="007007C9">
              <w:rPr>
                <w:rFonts w:eastAsia="Times New Roman" w:cs="Tahoma"/>
                <w:b/>
                <w:sz w:val="18"/>
                <w:szCs w:val="18"/>
                <w:lang w:val="pt-BR"/>
              </w:rPr>
              <w:t>en cours</w:t>
            </w:r>
          </w:p>
          <w:p w14:paraId="39E1848C"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de cadrage</w:t>
            </w:r>
          </w:p>
          <w:p w14:paraId="1BA6CBB3"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de données à disctance en vue du diagnostic du dispositif de s&amp;E</w:t>
            </w:r>
          </w:p>
          <w:p w14:paraId="68E14786"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diagnostic</w:t>
            </w:r>
          </w:p>
        </w:tc>
      </w:tr>
      <w:tr w:rsidR="00C62F7E" w:rsidRPr="004442DB" w14:paraId="1B801D3C"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0B0873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2019 – juillet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F3FD49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ECBAA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66B23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73A2229"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Suivi et rapportage par un organisme tiers sur les projets mis en œuvre par les partenaires de l'UNICEF au titre du programme de Coopération 2018-2020 et des urgences humanitaires</w:t>
            </w:r>
          </w:p>
          <w:p w14:paraId="6C3D6B20"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0B43A64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D4E00B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cadrage ;</w:t>
            </w:r>
          </w:p>
          <w:p w14:paraId="747EB5B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Réalisation des visites programmatiques ;</w:t>
            </w:r>
          </w:p>
          <w:p w14:paraId="3C0EE92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de 20 rapports de suivi</w:t>
            </w:r>
          </w:p>
          <w:p w14:paraId="231360C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3973689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019D1814"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CEE390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2020 – février 2021</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A0D834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Mali</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372F3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ONU Femmes mali</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BFBBB8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355BEA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Evaluation du programme d’appui à la résolution 1325 à travaers le rélèvement économique des femmes et filles affectées par le conflit</w:t>
            </w:r>
          </w:p>
          <w:p w14:paraId="2B7FBE46"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EB340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cadrage ;</w:t>
            </w:r>
          </w:p>
          <w:p w14:paraId="1DB863A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de données à distance ;</w:t>
            </w:r>
          </w:p>
          <w:p w14:paraId="45D40F4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735A07A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p w14:paraId="5FE57A9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d’évaluation</w:t>
            </w:r>
          </w:p>
        </w:tc>
      </w:tr>
      <w:tr w:rsidR="00C62F7E" w:rsidRPr="004442DB" w14:paraId="655EDFCA"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2B1583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Mars - décembre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892CCA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2C182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Consortium RESA avec pour lead Humanité Inclusion</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4BA84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2768F8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Evaluation Programme de « Renforcement de la Résilience des communautés vulnérables à l’insécurité alimentaire et Nutritionnelle dans les zones septentrionales du Burkina Faso » (RESA)</w:t>
            </w:r>
          </w:p>
          <w:p w14:paraId="496D10A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Financé par l’Union Européenne à travers le Fonds Fiduciaire d’Urgence (FFU) pour l’Afrique.</w:t>
            </w:r>
          </w:p>
          <w:p w14:paraId="78248BA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2D0DFC8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C9D9AE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 des outils de collecte ;</w:t>
            </w:r>
          </w:p>
          <w:p w14:paraId="154BDA1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19FBA11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2074433A"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3BC47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2018 – juillet 2022</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916F5B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0DD51F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l’Union Européenne</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59E141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C75D2B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w:t>
            </w:r>
            <w:r w:rsidRPr="007007C9">
              <w:rPr>
                <w:rFonts w:eastAsia="Times New Roman" w:cs="Tahoma"/>
                <w:b/>
                <w:sz w:val="18"/>
                <w:szCs w:val="18"/>
                <w:lang w:val="pt-BR"/>
              </w:rPr>
              <w:t>d’appui au Monitoring</w:t>
            </w:r>
            <w:r w:rsidRPr="007007C9">
              <w:rPr>
                <w:rFonts w:eastAsia="Times New Roman" w:cs="Tahoma"/>
                <w:sz w:val="18"/>
                <w:szCs w:val="18"/>
                <w:lang w:val="pt-BR"/>
              </w:rPr>
              <w:t>, à la cordination et au Pilotage du Programme Population</w:t>
            </w:r>
          </w:p>
          <w:p w14:paraId="1F222CF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7D24FD0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F0C50A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préliminaire et des rapports périodiques ;</w:t>
            </w:r>
          </w:p>
          <w:p w14:paraId="667E352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dispositif de collecte;</w:t>
            </w:r>
          </w:p>
          <w:p w14:paraId="12CB403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Sortie regulière de supervision des activités du programme;</w:t>
            </w:r>
          </w:p>
          <w:p w14:paraId="1A6B464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783D1881"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743C05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 Octobre 2019</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D36B34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RD Congo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687A2C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 RDC</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C7D526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ECE777B"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Revue de l’Approche Communautés protectrices;</w:t>
            </w:r>
            <w:r w:rsidRPr="007007C9">
              <w:rPr>
                <w:rFonts w:eastAsia="Times New Roman" w:cs="Tahoma"/>
                <w:i/>
                <w:sz w:val="18"/>
                <w:szCs w:val="18"/>
                <w:lang w:val="pt-BR"/>
              </w:rPr>
              <w:t xml:space="preserve"> commanditée par UNICEF</w:t>
            </w:r>
          </w:p>
          <w:p w14:paraId="01CA8985"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20A731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75EDB63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3B740E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à Kinshasa et à lumbubashi</w:t>
            </w:r>
          </w:p>
          <w:p w14:paraId="6E56AF1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l’enquête terrain</w:t>
            </w:r>
          </w:p>
          <w:p w14:paraId="0E88DC6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37B3DF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1A06216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6FBAEC29"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AE1F8C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2018 - Mai 2019</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A1119E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Niger</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D1B43D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 Niger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4A06DD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47ED3A8"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Etude sur les conditions de mise en œuvre efficace et efficiente du Décret N°2017-935 PRN/MEP/A/PLN/EC/MES du 5 décembre 2017 portant protection de la jeune fille en cours de scolarité au Niger;</w:t>
            </w:r>
            <w:r w:rsidRPr="007007C9">
              <w:rPr>
                <w:rFonts w:eastAsia="Times New Roman" w:cs="Tahoma"/>
                <w:i/>
                <w:sz w:val="18"/>
                <w:szCs w:val="18"/>
                <w:lang w:val="pt-BR"/>
              </w:rPr>
              <w:t xml:space="preserve"> commanditée par UNICEF Niger</w:t>
            </w:r>
          </w:p>
          <w:p w14:paraId="108A95F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FA81E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5FB7C0D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276DE84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à Niamey et à Dosso;</w:t>
            </w:r>
          </w:p>
          <w:p w14:paraId="3E749C0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l’enquête terrain</w:t>
            </w:r>
          </w:p>
          <w:p w14:paraId="1A93514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20A2C1C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1EEFC73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409FEC7E"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102D6E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 novembre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4FB5F6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A885D5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l’Ambassade de la Suède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C70D74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7FFF730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Elaboration du plan stratégique et du plan d’actions opérationnelles 2019-2022 du secretariat permanent du conseil national pour la protection sociale;</w:t>
            </w:r>
            <w:r w:rsidRPr="007007C9">
              <w:rPr>
                <w:rFonts w:eastAsia="Times New Roman" w:cs="Tahoma"/>
                <w:i/>
                <w:sz w:val="18"/>
                <w:szCs w:val="18"/>
                <w:lang w:val="pt-BR"/>
              </w:rPr>
              <w:t xml:space="preserve"> commanditée par l’Ambassade de la Suède</w:t>
            </w:r>
          </w:p>
          <w:p w14:paraId="05EC517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5FD58F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734A80F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0C42C5B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8A8080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6148A26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plan d’action;</w:t>
            </w:r>
          </w:p>
          <w:p w14:paraId="3A8B033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0206240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40761B0E"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tcPr>
          <w:p w14:paraId="5240651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septembre 2018</w:t>
            </w:r>
          </w:p>
          <w:p w14:paraId="0B73AAA8"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66AD7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118D40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Croix Rouge Burkinabe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08A82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1CCFB5B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d’évaluation de base (Baseline) du projet Action pour les migrants sur le long de la route: Assistance humanitaire (AMiRA) : </w:t>
            </w:r>
            <w:r w:rsidRPr="007007C9">
              <w:rPr>
                <w:rFonts w:eastAsia="Times New Roman" w:cs="Tahoma"/>
                <w:i/>
                <w:sz w:val="18"/>
                <w:szCs w:val="18"/>
                <w:lang w:val="pt-BR"/>
              </w:rPr>
              <w:t>Commandité par la Croix rouge</w:t>
            </w:r>
          </w:p>
          <w:p w14:paraId="677C1CB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1F6607B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28421D7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au niveau central et régional;</w:t>
            </w:r>
          </w:p>
          <w:p w14:paraId="0B723ED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8E1B6A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46297B9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08B141BA"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DF8B67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2017 – avril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97CA6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E0E7FA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D453E3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147044B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diagnostique du dispositif institutionnel de suivi et évaluation de la Politique nationale de protection sociale : </w:t>
            </w:r>
            <w:r w:rsidRPr="007007C9">
              <w:rPr>
                <w:rFonts w:eastAsia="Times New Roman" w:cs="Tahoma"/>
                <w:i/>
                <w:sz w:val="18"/>
                <w:szCs w:val="18"/>
                <w:lang w:val="pt-BR"/>
              </w:rPr>
              <w:t xml:space="preserve">commanditée par UNICEF, </w:t>
            </w:r>
          </w:p>
          <w:p w14:paraId="32098CE1"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36E708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2EDEB36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3094FBD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au niveau central et régional;</w:t>
            </w:r>
          </w:p>
          <w:p w14:paraId="5E8D376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6A931FE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293C486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59D36CAC"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3332E8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Aout - Décembre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2D8D909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2AF1DC7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1BA447C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862891E"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d’élaboration de plan d’action 2018-2020 de mise en oeuvre des recommandations de l’étude sur l’analyse des recettes budgétaires ordinaires et le potenteil fiscal en faveur de la femme et de l’enfant : </w:t>
            </w:r>
            <w:r w:rsidRPr="007007C9">
              <w:rPr>
                <w:rFonts w:eastAsia="Times New Roman" w:cs="Tahoma"/>
                <w:i/>
                <w:sz w:val="18"/>
                <w:szCs w:val="18"/>
                <w:lang w:val="pt-BR"/>
              </w:rPr>
              <w:t>commanditée par UNICEF</w:t>
            </w:r>
          </w:p>
          <w:p w14:paraId="473305F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B7976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4DBD4FE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72B0280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6AFBF10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E5A6FC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plan d’action;</w:t>
            </w:r>
          </w:p>
          <w:p w14:paraId="4E7F4E8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04F583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0A640B42"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EFCDE3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2016 – Avril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5E50A9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ED4285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C1B364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AFE9BA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de développement de module en formation en protection sociale: </w:t>
            </w:r>
            <w:r w:rsidRPr="007007C9">
              <w:rPr>
                <w:rFonts w:eastAsia="Times New Roman" w:cs="Tahoma"/>
                <w:i/>
                <w:sz w:val="18"/>
                <w:szCs w:val="18"/>
                <w:lang w:val="pt-BR"/>
              </w:rPr>
              <w:t>commanditée par UNICEF</w:t>
            </w:r>
          </w:p>
          <w:p w14:paraId="24A76A8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5ADC03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w:t>
            </w:r>
          </w:p>
          <w:p w14:paraId="35B3C04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4BE4CD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23AF291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1C8230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développement de six (06) modules de formation ;</w:t>
            </w:r>
          </w:p>
          <w:p w14:paraId="45F4D54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5CA6E9C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5504C66B"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3B1095C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Juillet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64ED2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90098F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TDH</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6F7FA0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32403D15"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d’évaluation finale du projet de lutte contre les violences faites aux enfants: </w:t>
            </w:r>
            <w:r w:rsidRPr="007007C9">
              <w:rPr>
                <w:rFonts w:eastAsia="Times New Roman" w:cs="Tahoma"/>
                <w:i/>
                <w:sz w:val="18"/>
                <w:szCs w:val="18"/>
                <w:lang w:val="pt-BR"/>
              </w:rPr>
              <w:t>commanditée par ONG Terre des hommes Lausanne</w:t>
            </w:r>
          </w:p>
          <w:p w14:paraId="6574143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139382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 la note méthodologique;</w:t>
            </w:r>
          </w:p>
          <w:p w14:paraId="7B2D3C9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117B2F3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3DCE7B3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558BB1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280EA60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355D2273"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33CC93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Juillet-Décembre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E0034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8F36CB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D9E2AE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7DFCC6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diagnostique des services sociaux communaux dans la perspective de l’opérationnalisation de la méthodologie consensuelle de ciblage: </w:t>
            </w:r>
            <w:r w:rsidRPr="007007C9">
              <w:rPr>
                <w:rFonts w:eastAsia="Times New Roman" w:cs="Tahoma"/>
                <w:i/>
                <w:sz w:val="18"/>
                <w:szCs w:val="18"/>
                <w:lang w:val="pt-BR"/>
              </w:rPr>
              <w:t>commanditée par UNICEF</w:t>
            </w:r>
          </w:p>
          <w:p w14:paraId="3FB0B2DA"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8CA3A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0135EA0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0C5FD31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3326E0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0B2EE5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7B6F981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032B761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2D00753F"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0FF591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 Juillet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08AFF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B54CD2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PAPS / UE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3F4E892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2F0D4BE" w14:textId="1D0C78D0"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Mission d’assistance technique d’appui à la direction des marchés publics (DMP) et de la direction de la coordination des projets et programmes (DCPP) du Ministère de la santé à la passation des projets partenariat public-privé</w:t>
            </w:r>
            <w:r w:rsidR="007068E8">
              <w:rPr>
                <w:rFonts w:eastAsia="Times New Roman" w:cs="Tahoma"/>
                <w:sz w:val="18"/>
                <w:szCs w:val="18"/>
                <w:lang w:val="pt-BR"/>
              </w:rPr>
              <w:t xml:space="preserve"> </w:t>
            </w:r>
            <w:r w:rsidRPr="007007C9">
              <w:rPr>
                <w:rFonts w:eastAsia="Times New Roman" w:cs="Tahoma"/>
                <w:sz w:val="18"/>
                <w:szCs w:val="18"/>
                <w:lang w:val="pt-BR"/>
              </w:rPr>
              <w:t xml:space="preserve">: </w:t>
            </w:r>
            <w:r w:rsidRPr="007007C9">
              <w:rPr>
                <w:rFonts w:eastAsia="Times New Roman" w:cs="Tahoma"/>
                <w:i/>
                <w:sz w:val="18"/>
                <w:szCs w:val="18"/>
                <w:lang w:val="pt-BR"/>
              </w:rPr>
              <w:t>commanditée par PAPS / UE</w:t>
            </w:r>
          </w:p>
          <w:p w14:paraId="2C1E579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313ECA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w:t>
            </w:r>
          </w:p>
          <w:p w14:paraId="4E6B0C4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BC3B7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E748DD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787148B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48C0795E"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59EABA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Janvier-févier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332C279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FF7CAB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Ministere en charge de la culture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0286F7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A48659E" w14:textId="0B7A09C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Formation en budget programme des agents du Minsitère des Arts, de la Culture et du Tourisme</w:t>
            </w:r>
            <w:r w:rsidR="007068E8">
              <w:rPr>
                <w:rFonts w:eastAsia="Times New Roman" w:cs="Tahoma"/>
                <w:sz w:val="18"/>
                <w:szCs w:val="18"/>
                <w:lang w:val="pt-BR"/>
              </w:rPr>
              <w:t xml:space="preserve"> </w:t>
            </w:r>
            <w:r w:rsidRPr="007007C9">
              <w:rPr>
                <w:rFonts w:eastAsia="Times New Roman" w:cs="Tahoma"/>
                <w:sz w:val="18"/>
                <w:szCs w:val="18"/>
                <w:lang w:val="pt-BR"/>
              </w:rPr>
              <w:t xml:space="preserve">(MACT) du Burkina Faso : </w:t>
            </w:r>
            <w:r w:rsidRPr="007007C9">
              <w:rPr>
                <w:rFonts w:eastAsia="Times New Roman" w:cs="Tahoma"/>
                <w:i/>
                <w:sz w:val="18"/>
                <w:szCs w:val="18"/>
                <w:lang w:val="pt-BR"/>
              </w:rPr>
              <w:t>commanditée par le MACT</w:t>
            </w:r>
          </w:p>
          <w:p w14:paraId="566F4C3E"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6CCCB4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développement des modules de formation;</w:t>
            </w:r>
          </w:p>
          <w:p w14:paraId="79A02E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 ;</w:t>
            </w:r>
          </w:p>
          <w:p w14:paraId="1127A2E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animation des travaux pratiques;</w:t>
            </w:r>
          </w:p>
          <w:p w14:paraId="38A2631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de formation.</w:t>
            </w:r>
          </w:p>
        </w:tc>
      </w:tr>
      <w:tr w:rsidR="00643743" w:rsidRPr="004442DB" w14:paraId="15024BE1"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AFCE95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Juin-Août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390481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12A1E2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RESONUT</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7D4886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3F80B78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80D5D2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Revue des dépenses publiques de la nutrition: </w:t>
            </w:r>
            <w:r w:rsidRPr="007007C9">
              <w:rPr>
                <w:rFonts w:eastAsia="Times New Roman" w:cs="Tahoma"/>
                <w:i/>
                <w:sz w:val="18"/>
                <w:szCs w:val="18"/>
                <w:lang w:val="pt-BR"/>
              </w:rPr>
              <w:t>commanditée par le Réseau National de la societé civile de la nutrition (RESONUT)</w:t>
            </w:r>
          </w:p>
          <w:p w14:paraId="43BB9A5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F1C57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4D4F81B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E31276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EC131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14978CD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C62F7E" w:rsidRPr="004442DB" w14:paraId="10355AC6" w14:textId="77777777" w:rsidTr="00A40F72">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425A65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 décembre 2016</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36A586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1CD4AB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Ministère en charge de la fonction publiqque</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B93C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6C44A7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0D756C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Evaluation finale du Plan d’action national de pire forme de travail des enfants : </w:t>
            </w:r>
            <w:r w:rsidRPr="007007C9">
              <w:rPr>
                <w:rFonts w:eastAsia="Times New Roman" w:cs="Tahoma"/>
                <w:i/>
                <w:sz w:val="18"/>
                <w:szCs w:val="18"/>
                <w:lang w:val="pt-BR"/>
              </w:rPr>
              <w:t>Commanditée par le Ministère en charge de la fonction publique</w:t>
            </w:r>
          </w:p>
          <w:p w14:paraId="00294FB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BE4BCA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 collecte,</w:t>
            </w:r>
          </w:p>
          <w:p w14:paraId="21265F5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8233F9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B4BD1F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06C37EA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14DD7DF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w:t>
            </w:r>
          </w:p>
        </w:tc>
      </w:tr>
      <w:tr w:rsidR="00643743" w:rsidRPr="004442DB" w14:paraId="27640E27"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69E817B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Mai-Juin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7E2099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596BE5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PRG-GE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31123A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439207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43A666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Evaluation à mi parcours du programme de renforcement des capacités du premier ministère (PRC/PM); </w:t>
            </w:r>
            <w:r w:rsidRPr="007007C9">
              <w:rPr>
                <w:rFonts w:eastAsia="Times New Roman" w:cs="Tahoma"/>
                <w:i/>
                <w:sz w:val="18"/>
                <w:szCs w:val="18"/>
                <w:lang w:val="pt-BR"/>
              </w:rPr>
              <w:t>Commanditée par le Programme de Renforcement de la Gouvernance composante Gouvernance Economiques (PRG-GE)</w:t>
            </w:r>
          </w:p>
          <w:p w14:paraId="5F785F61"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7EFE8C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 collecte,</w:t>
            </w:r>
          </w:p>
          <w:p w14:paraId="39C1DA4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CDFDAA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2D3A14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5BDF7A4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643743" w:rsidRPr="004442DB" w14:paraId="2DE083D4"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447FC5C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Novembre 2015-Juin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4D28A4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4C0FA7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FA24DA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608909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43029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Etude sur l’analyse des recettes budgétaires ordinaires et du potentiel fiscal en faveur de la femme et de l’enfant; </w:t>
            </w:r>
            <w:r w:rsidRPr="007007C9">
              <w:rPr>
                <w:rFonts w:eastAsia="Times New Roman" w:cs="Tahoma"/>
                <w:i/>
                <w:sz w:val="18"/>
                <w:szCs w:val="18"/>
                <w:lang w:val="pt-BR"/>
              </w:rPr>
              <w:t>Commanditée par UNICEF</w:t>
            </w:r>
          </w:p>
          <w:p w14:paraId="46B6FC0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4EEC73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de l’offre technique,</w:t>
            </w:r>
          </w:p>
          <w:p w14:paraId="075E92A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22CF7B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2227382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55A173B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643743" w:rsidRPr="004442DB" w14:paraId="6D91150D"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92E21C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 Décembre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9D286E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C8DAA2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 </w:t>
            </w:r>
          </w:p>
          <w:p w14:paraId="21C46A8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PAPS / UE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737EC9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77C99D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Etude traçabilité des dépenses publiques dans le secteur de la santé; </w:t>
            </w:r>
            <w:r w:rsidRPr="007007C9">
              <w:rPr>
                <w:rFonts w:eastAsia="Times New Roman" w:cs="Tahoma"/>
                <w:i/>
                <w:sz w:val="18"/>
                <w:szCs w:val="18"/>
                <w:lang w:val="pt-BR"/>
              </w:rPr>
              <w:t>commanditée par PAPS / UE</w:t>
            </w:r>
          </w:p>
          <w:p w14:paraId="5226113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197025F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de l’offre technique,</w:t>
            </w:r>
          </w:p>
          <w:p w14:paraId="7E6DD9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organisation et supervision de la collecte de données,</w:t>
            </w:r>
          </w:p>
          <w:p w14:paraId="5737993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des directions centrales,</w:t>
            </w:r>
          </w:p>
          <w:p w14:paraId="0AFD152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définition des indicateurs sur les fuites,</w:t>
            </w:r>
          </w:p>
          <w:p w14:paraId="2A21CBB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tc>
      </w:tr>
      <w:tr w:rsidR="00643743" w:rsidRPr="004442DB" w14:paraId="2A219FB6"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1E1914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 septembre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590214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55A30D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AFD</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011301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E6E460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d’assistance d’accompagnement du MENA dans l’élaboration des Termes de références pour le démarrage des 10 actions prioritaires du plan d’amélioration de la gestion des ressources du Compte d’Affectation Spéciale du Trésor/Fonds de soutien au développement de l’éducation de base (CAST/FSDEB). </w:t>
            </w:r>
            <w:r w:rsidRPr="007007C9">
              <w:rPr>
                <w:rFonts w:eastAsia="Times New Roman" w:cs="Tahoma"/>
                <w:i/>
                <w:sz w:val="18"/>
                <w:szCs w:val="18"/>
                <w:lang w:val="pt-BR"/>
              </w:rPr>
              <w:t>Commanditée par l’Agence Française de Développement (AFD)</w:t>
            </w:r>
          </w:p>
          <w:p w14:paraId="378187C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F42EC8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revue et analyse documentaire,</w:t>
            </w:r>
          </w:p>
          <w:p w14:paraId="4579E8D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avec les directions centrales du MENA et collecte de données,</w:t>
            </w:r>
          </w:p>
          <w:p w14:paraId="70E55CA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Traitement et analyse de données</w:t>
            </w:r>
          </w:p>
        </w:tc>
      </w:tr>
      <w:tr w:rsidR="00643743" w:rsidRPr="004442DB" w14:paraId="47A63997"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66F8BF9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Juin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DADFB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AC563D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AFD</w:t>
            </w:r>
          </w:p>
        </w:tc>
        <w:tc>
          <w:tcPr>
            <w:tcW w:w="1262" w:type="dxa"/>
            <w:tcBorders>
              <w:top w:val="single" w:sz="4" w:space="0" w:color="5B9BD5"/>
              <w:left w:val="single" w:sz="4" w:space="0" w:color="5B9BD5"/>
              <w:bottom w:val="single" w:sz="4" w:space="0" w:color="5B9BD5"/>
              <w:right w:val="single" w:sz="4" w:space="0" w:color="5B9BD5"/>
            </w:tcBorders>
            <w:shd w:val="clear" w:color="auto" w:fill="auto"/>
          </w:tcPr>
          <w:p w14:paraId="419432C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p w14:paraId="6D6BF56B"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61B30BD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d’assistance d’accompagnement du MENA dans l’élaboration et la validation d’une feuille de route « révisée » opérationnelle établi sur la base d’une priorisation des recommandations en 10 actions majeures; </w:t>
            </w:r>
            <w:r w:rsidRPr="007007C9">
              <w:rPr>
                <w:rFonts w:eastAsia="Times New Roman" w:cs="Tahoma"/>
                <w:i/>
                <w:sz w:val="18"/>
                <w:szCs w:val="18"/>
                <w:lang w:val="pt-BR"/>
              </w:rPr>
              <w:t>Commanditée par l’Agence Française de Développement (AFD)</w:t>
            </w:r>
          </w:p>
          <w:p w14:paraId="2CDB498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3A14A0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avec les directions centrales du MENA et collecte de données,</w:t>
            </w:r>
          </w:p>
          <w:p w14:paraId="0DA234B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 xml:space="preserve">planification des formations et études du plan d’actions </w:t>
            </w:r>
          </w:p>
          <w:p w14:paraId="22CDAE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programmation financière des différentes études,</w:t>
            </w:r>
          </w:p>
        </w:tc>
      </w:tr>
      <w:tr w:rsidR="00643743" w:rsidRPr="004442DB" w14:paraId="4ACC825C"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4EFC249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3A15247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82531D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Cabinet AMD </w:t>
            </w:r>
          </w:p>
          <w:p w14:paraId="25F4DC1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pour le compte Danish Fellowship Center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Pr>
          <w:p w14:paraId="3DAB5A6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p w14:paraId="71B826A3"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0AF39C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Formation sous régionale sur l’approche sectorielle; </w:t>
            </w:r>
            <w:r w:rsidRPr="007007C9">
              <w:rPr>
                <w:rFonts w:eastAsia="Times New Roman" w:cs="Tahoma"/>
                <w:i/>
                <w:sz w:val="18"/>
                <w:szCs w:val="18"/>
                <w:lang w:val="pt-BR"/>
              </w:rPr>
              <w:t>commanditée par Danish Fellowship Center</w:t>
            </w:r>
          </w:p>
          <w:p w14:paraId="1D480C7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012F92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d’un questionnaire d’évaluation des effets de la formation,</w:t>
            </w:r>
          </w:p>
          <w:p w14:paraId="22ED821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traitement et analyse de données,</w:t>
            </w:r>
          </w:p>
          <w:p w14:paraId="0CA5AC3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matrices et graphiques,</w:t>
            </w:r>
          </w:p>
        </w:tc>
      </w:tr>
      <w:tr w:rsidR="00643743" w:rsidRPr="004442DB" w14:paraId="4279C36E"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tcPr>
          <w:p w14:paraId="22B1EF1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Mars 2013</w:t>
            </w:r>
          </w:p>
          <w:p w14:paraId="1F2E463C" w14:textId="77777777" w:rsidR="00643743" w:rsidRPr="007007C9" w:rsidRDefault="00643743" w:rsidP="007007C9">
            <w:pPr>
              <w:spacing w:before="0" w:after="0" w:line="240" w:lineRule="auto"/>
              <w:rPr>
                <w:rFonts w:eastAsia="Times New Roman" w:cs="Tahoma"/>
                <w:sz w:val="18"/>
                <w:szCs w:val="18"/>
                <w:lang w:val="pt-BR"/>
              </w:rPr>
            </w:pPr>
          </w:p>
          <w:p w14:paraId="4D492F7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Mars 2012</w:t>
            </w:r>
          </w:p>
          <w:p w14:paraId="0BAE762C" w14:textId="77777777" w:rsidR="00643743" w:rsidRPr="007007C9" w:rsidRDefault="00643743" w:rsidP="007007C9">
            <w:pPr>
              <w:spacing w:before="0" w:after="0" w:line="240" w:lineRule="auto"/>
              <w:rPr>
                <w:rFonts w:eastAsia="Times New Roman" w:cs="Tahoma"/>
                <w:sz w:val="18"/>
                <w:szCs w:val="18"/>
                <w:lang w:val="pt-BR"/>
              </w:rPr>
            </w:pPr>
          </w:p>
          <w:p w14:paraId="3EF82138"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501F33C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811B88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Danish Fellowship Center</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3AE1C4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240177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Deux (2) Formation sous régionale sur l’approche sectorielle; </w:t>
            </w:r>
            <w:r w:rsidRPr="007007C9">
              <w:rPr>
                <w:rFonts w:eastAsia="Times New Roman" w:cs="Tahoma"/>
                <w:i/>
                <w:sz w:val="18"/>
                <w:szCs w:val="18"/>
                <w:lang w:val="pt-BR"/>
              </w:rPr>
              <w:t>Commanditée par Danish Fellowship Center</w:t>
            </w:r>
          </w:p>
          <w:p w14:paraId="6FD03F8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32263C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et analyse de données sur les feed backs journaliers et l’appréciation des appenants,</w:t>
            </w:r>
          </w:p>
          <w:p w14:paraId="795AC78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contruction de tableaux d’analyse,</w:t>
            </w:r>
          </w:p>
          <w:p w14:paraId="2AA6222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de formation</w:t>
            </w:r>
          </w:p>
        </w:tc>
      </w:tr>
      <w:tr w:rsidR="00643743" w:rsidRPr="004442DB" w14:paraId="0DDAC7F9"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44B3DC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 Avril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58F08C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B50F80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C4761A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97955D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Capitalisation de l’expérience de l’étude de traçabilité des dépenses publiques dans le secteur de l’éducation base au Burkina Faso; </w:t>
            </w:r>
            <w:r w:rsidRPr="007007C9">
              <w:rPr>
                <w:rFonts w:eastAsia="Times New Roman" w:cs="Tahoma"/>
                <w:i/>
                <w:sz w:val="18"/>
                <w:szCs w:val="18"/>
                <w:lang w:val="pt-BR"/>
              </w:rPr>
              <w:t>Commanditée par UNICEF</w:t>
            </w:r>
          </w:p>
          <w:p w14:paraId="4EDE4E8D"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41785B5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415472C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coordination générale de la mission</w:t>
            </w:r>
          </w:p>
          <w:p w14:paraId="5FC3AD75"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 collecte de données</w:t>
            </w:r>
          </w:p>
          <w:p w14:paraId="70E23CB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conception d’outils de capitalisation</w:t>
            </w:r>
          </w:p>
          <w:p w14:paraId="323F2E5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3CE08F0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assurrance qualité du rapport final.</w:t>
            </w:r>
          </w:p>
        </w:tc>
      </w:tr>
      <w:tr w:rsidR="00643743" w:rsidRPr="004442DB" w14:paraId="51DC1BE0"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D364E3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Août – novembre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76239C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E4FD69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IBIS Burkina</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77E95C3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E847F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Elaboration du document de pré-formulation du programme pays Education et Gouvernance; </w:t>
            </w:r>
            <w:r w:rsidRPr="007007C9">
              <w:rPr>
                <w:rFonts w:eastAsia="Times New Roman" w:cs="Tahoma"/>
                <w:i/>
                <w:sz w:val="18"/>
                <w:szCs w:val="18"/>
                <w:lang w:val="pt-BR"/>
              </w:rPr>
              <w:t>Commanditée par IBIS Burkina</w:t>
            </w:r>
          </w:p>
          <w:p w14:paraId="4C0DEF47"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4DA14BE9"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3FEA10AC"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technique de la mission,</w:t>
            </w:r>
          </w:p>
          <w:p w14:paraId="118E66F6"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 collecte de données</w:t>
            </w:r>
          </w:p>
          <w:p w14:paraId="1F10A1FE"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5C2350B5"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assurance qualité du rapport final,</w:t>
            </w:r>
          </w:p>
        </w:tc>
      </w:tr>
      <w:tr w:rsidR="00643743" w:rsidRPr="004442DB" w14:paraId="65BD781B"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4263E5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Juillet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A323A8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3FC9D0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D2191D4"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BE43BE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Elaboration d’un plan d’actions 2014-2018 de suivi des recommandations de l’étude de traçabilité des dépenses dans le secteur de l’éducatioon ; </w:t>
            </w:r>
            <w:r w:rsidRPr="007007C9">
              <w:rPr>
                <w:rFonts w:eastAsia="Times New Roman" w:cs="Tahoma"/>
                <w:i/>
                <w:sz w:val="18"/>
                <w:szCs w:val="18"/>
                <w:lang w:val="pt-BR"/>
              </w:rPr>
              <w:t>Commanditée par UNICEF.</w:t>
            </w:r>
          </w:p>
          <w:p w14:paraId="5DDA9DC6"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26E3B01D"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07E813B1" w14:textId="1D941BEE"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w:t>
            </w:r>
            <w:r w:rsidR="007068E8">
              <w:rPr>
                <w:rFonts w:eastAsia="Times New Roman" w:cs="Tahoma"/>
                <w:sz w:val="18"/>
                <w:szCs w:val="18"/>
                <w:lang w:val="pt-BR"/>
              </w:rPr>
              <w:t xml:space="preserve"> </w:t>
            </w:r>
            <w:r w:rsidRPr="007007C9">
              <w:rPr>
                <w:rFonts w:eastAsia="Times New Roman" w:cs="Tahoma"/>
                <w:sz w:val="18"/>
                <w:szCs w:val="18"/>
                <w:lang w:val="pt-BR"/>
              </w:rPr>
              <w:t>collecte de données</w:t>
            </w:r>
          </w:p>
          <w:p w14:paraId="6D4827E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animation de l’atelier de restitution,</w:t>
            </w:r>
          </w:p>
          <w:p w14:paraId="042F57AF"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27437FCF"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technique de la mission,</w:t>
            </w:r>
          </w:p>
          <w:p w14:paraId="638AFA9E"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assurance qualité du rapport final,</w:t>
            </w:r>
          </w:p>
        </w:tc>
      </w:tr>
      <w:tr w:rsidR="00643743" w:rsidRPr="004442DB" w14:paraId="746A0B78" w14:textId="77777777" w:rsidTr="009F5BDE">
        <w:trPr>
          <w:cantSplit/>
          <w:trHeight w:val="1868"/>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30B5958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2013 – Juillet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13711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78AFB55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PCESA</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7CC508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43A0C0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Assistance technique du Programme de Croissance Economique dans le Secteur Agricole (PCESA) ; </w:t>
            </w:r>
            <w:r w:rsidRPr="007007C9">
              <w:rPr>
                <w:rFonts w:eastAsia="Times New Roman" w:cs="Tahoma"/>
                <w:i/>
                <w:sz w:val="18"/>
                <w:szCs w:val="18"/>
                <w:lang w:val="pt-BR"/>
              </w:rPr>
              <w:t>commandité par l’Ambassade Danoise</w:t>
            </w:r>
          </w:p>
          <w:p w14:paraId="01EB6EB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003089F"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Mobilisation de six (6) assistants techniques,</w:t>
            </w:r>
          </w:p>
          <w:p w14:paraId="4F6E80B3"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des feuilles de prestations mensuelles,</w:t>
            </w:r>
          </w:p>
          <w:p w14:paraId="5D4C21B3"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des congés des asssitants,</w:t>
            </w:r>
          </w:p>
          <w:p w14:paraId="4CB5C597"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sortie terrain pour apprécier la qualité des prestations des asssitants techniques</w:t>
            </w:r>
          </w:p>
        </w:tc>
      </w:tr>
      <w:tr w:rsidR="00643743" w:rsidRPr="004442DB" w14:paraId="421DCC30" w14:textId="77777777" w:rsidTr="009F5BDE">
        <w:trPr>
          <w:cantSplit/>
          <w:trHeight w:val="2501"/>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2346DDB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2010 – Décembre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0B4E80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6736755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cooperation Suisse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F405CF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33AC80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de suivi externe et de backstopping de l’assistance technique de la Coopération Suisse en faveur de la Direction Générale des Impôts du Burkina Faso ; </w:t>
            </w:r>
            <w:r w:rsidRPr="007007C9">
              <w:rPr>
                <w:rFonts w:eastAsia="Times New Roman" w:cs="Tahoma"/>
                <w:i/>
                <w:sz w:val="18"/>
                <w:szCs w:val="18"/>
                <w:lang w:val="pt-BR"/>
              </w:rPr>
              <w:t>Commanditée par le Bureau de la coopération Suisse</w:t>
            </w:r>
          </w:p>
          <w:p w14:paraId="11183752"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 :</w:t>
            </w:r>
          </w:p>
          <w:p w14:paraId="690EED8C"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des feuilles de prestation trimestrielles de l’équipe d’experts ;</w:t>
            </w:r>
          </w:p>
          <w:p w14:paraId="7CBC0CDD"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assurrance qualité des rapports trimestriels et semestriels d’activités des experts ;</w:t>
            </w:r>
          </w:p>
          <w:p w14:paraId="554687E6"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participation aux rencontres techniques de l’équipe de suivi externe et de backstopping,</w:t>
            </w:r>
          </w:p>
          <w:p w14:paraId="0DD86816"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 xml:space="preserve">appui à la rédaction du rapport final </w:t>
            </w:r>
          </w:p>
        </w:tc>
      </w:tr>
      <w:tr w:rsidR="00643743" w:rsidRPr="004442DB" w14:paraId="3AB2C959"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C2F301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2011 – Décembre 2011</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955D13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C479DB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27A6FE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E24363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de Traçabilité des dépenses publiques dans le secteur de l’éducation de base au Burkina Faso ; </w:t>
            </w:r>
            <w:r w:rsidRPr="007007C9">
              <w:rPr>
                <w:rFonts w:eastAsia="Times New Roman" w:cs="Tahoma"/>
                <w:i/>
                <w:sz w:val="18"/>
                <w:szCs w:val="18"/>
                <w:lang w:val="pt-BR"/>
              </w:rPr>
              <w:t>Commanditée par UNICEF</w:t>
            </w:r>
          </w:p>
          <w:p w14:paraId="5E404CB2"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 :</w:t>
            </w:r>
          </w:p>
          <w:p w14:paraId="63CB2067" w14:textId="6297648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de la formation des enqueteurs</w:t>
            </w:r>
            <w:r w:rsidR="007068E8">
              <w:rPr>
                <w:rFonts w:eastAsia="Times New Roman" w:cs="Tahoma"/>
                <w:sz w:val="18"/>
                <w:szCs w:val="18"/>
                <w:lang w:val="pt-BR"/>
              </w:rPr>
              <w:t xml:space="preserve"> </w:t>
            </w:r>
            <w:r w:rsidRPr="007007C9">
              <w:rPr>
                <w:rFonts w:eastAsia="Times New Roman" w:cs="Tahoma"/>
                <w:sz w:val="18"/>
                <w:szCs w:val="18"/>
                <w:lang w:val="pt-BR"/>
              </w:rPr>
              <w:t>et la collecte de données ;</w:t>
            </w:r>
          </w:p>
          <w:p w14:paraId="02A70429"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supervision de la collecte des données,</w:t>
            </w:r>
          </w:p>
          <w:p w14:paraId="5C574C38"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élaboration de questionnaire et collecte des données au niveau centrale </w:t>
            </w:r>
          </w:p>
          <w:p w14:paraId="1C13EA72"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Construction de la base de données sous excel ;</w:t>
            </w:r>
          </w:p>
          <w:p w14:paraId="4315E9AF"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Assurrance qualité du rapport final</w:t>
            </w:r>
          </w:p>
        </w:tc>
      </w:tr>
      <w:tr w:rsidR="00643743" w:rsidRPr="004442DB" w14:paraId="0CBFFB8F"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7E32EF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Avril 2012</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18D156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7C7A739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GIZ</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0B0848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ED8020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Revue des dépenses publiques de la décentralisation, ; Commanditée par la GIZ/MEF</w:t>
            </w:r>
          </w:p>
          <w:p w14:paraId="0FD2DD74"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réalisées </w:t>
            </w:r>
          </w:p>
          <w:p w14:paraId="27866360"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Collecte et analyse de données sur la coopération décentralisée au Burkina faso;</w:t>
            </w:r>
          </w:p>
          <w:p w14:paraId="699F2CDB"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du recrutement et du deploiement des contrôleurs et des enquêteurs ;</w:t>
            </w:r>
          </w:p>
          <w:p w14:paraId="1A88C0FD"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et supervision de l’opération d’enquête et la saisie ;</w:t>
            </w:r>
          </w:p>
          <w:p w14:paraId="0B60699A"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appui à la construction de la base de données</w:t>
            </w:r>
          </w:p>
        </w:tc>
      </w:tr>
    </w:tbl>
    <w:p w14:paraId="3C2262C8" w14:textId="77777777" w:rsidR="00643743" w:rsidRPr="007007C9" w:rsidRDefault="00643743" w:rsidP="007007C9">
      <w:pPr>
        <w:spacing w:before="0" w:after="0"/>
        <w:rPr>
          <w:rFonts w:eastAsiaTheme="minorEastAsia" w:cs="Tahoma"/>
          <w:sz w:val="18"/>
          <w:szCs w:val="18"/>
          <w:lang w:eastAsia="fr-FR"/>
        </w:rPr>
      </w:pPr>
    </w:p>
    <w:p w14:paraId="0E347797" w14:textId="77777777" w:rsidR="00643743" w:rsidRPr="007007C9" w:rsidRDefault="00643743" w:rsidP="00FB2B45">
      <w:pPr>
        <w:pStyle w:val="Paragraphedeliste"/>
        <w:numPr>
          <w:ilvl w:val="0"/>
          <w:numId w:val="44"/>
        </w:numPr>
        <w:spacing w:before="0" w:after="0"/>
        <w:rPr>
          <w:rFonts w:eastAsia="Times New Roman" w:cs="Tahoma"/>
          <w:b/>
          <w:sz w:val="18"/>
          <w:szCs w:val="18"/>
          <w:lang w:val="pt-BR"/>
        </w:rPr>
      </w:pPr>
      <w:r w:rsidRPr="007007C9">
        <w:rPr>
          <w:rFonts w:eastAsia="Times New Roman" w:cs="Tahoma"/>
          <w:b/>
          <w:sz w:val="18"/>
          <w:szCs w:val="18"/>
          <w:lang w:val="pt-BR"/>
        </w:rPr>
        <w:t>Expérience professionnelle auprès de l’employeur</w:t>
      </w:r>
    </w:p>
    <w:tbl>
      <w:tblPr>
        <w:tblW w:w="89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57" w:type="dxa"/>
          <w:bottom w:w="57" w:type="dxa"/>
        </w:tblCellMar>
        <w:tblLook w:val="04A0" w:firstRow="1" w:lastRow="0" w:firstColumn="1" w:lastColumn="0" w:noHBand="0" w:noVBand="1"/>
      </w:tblPr>
      <w:tblGrid>
        <w:gridCol w:w="1187"/>
        <w:gridCol w:w="993"/>
        <w:gridCol w:w="1132"/>
        <w:gridCol w:w="1005"/>
        <w:gridCol w:w="4678"/>
      </w:tblGrid>
      <w:tr w:rsidR="00C62F7E" w:rsidRPr="004442DB" w14:paraId="6112E782" w14:textId="77777777" w:rsidTr="00A40F72">
        <w:trPr>
          <w:tblHeader/>
        </w:trPr>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0DDC82AC"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De (date) – à (date)</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5F8DB768"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Lieu</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5AC1F017"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personne de contact</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5D247DFE"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Poste</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5C0258BB"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 xml:space="preserve">Principales tâches exécutées </w:t>
            </w:r>
          </w:p>
        </w:tc>
      </w:tr>
      <w:tr w:rsidR="00643743" w:rsidRPr="004442DB" w14:paraId="03336AB5" w14:textId="77777777" w:rsidTr="009F5BDE">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2D483D72"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Dépuis Octobre 2012</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476A0260"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Burkina Faso</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48E9ED0C"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Cabinet d’études AMD</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5137CCD6"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Chargé d’études</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64BA01A9"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Responsable du Pôle Monitoring, Evaluation des Politiques et des projets et programmes depuis 2018. Le pôle compte 4 personns permantes. Les principales tâches exécutées sont :</w:t>
            </w:r>
          </w:p>
          <w:p w14:paraId="4EDE9B04"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Assurrance qualité des rapports d’études </w:t>
            </w:r>
          </w:p>
          <w:p w14:paraId="4CEDD480"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Organisation des enquêtes et études de AMD ;</w:t>
            </w:r>
          </w:p>
          <w:p w14:paraId="5AFE097E"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Traitement et analyse de données </w:t>
            </w:r>
          </w:p>
          <w:p w14:paraId="5EBEFC31"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Collecte et conduite des entretiens sur le terrain</w:t>
            </w:r>
          </w:p>
          <w:p w14:paraId="5FDDC056"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Assistance dans les travaux d’études,</w:t>
            </w:r>
          </w:p>
          <w:p w14:paraId="59288998"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Suivi technique des études et mission, </w:t>
            </w:r>
          </w:p>
        </w:tc>
      </w:tr>
      <w:tr w:rsidR="00643743" w:rsidRPr="004442DB" w14:paraId="16F2A191" w14:textId="77777777" w:rsidTr="009F5BDE">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6691571A"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Octobre 2011-Septembre 2012</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70C766DF"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Burkina Faso</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2CC27578"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Cabinet d’études AMD</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3B214B32"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Assistant du directeur</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074E8566"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En tant qu’assitant du directeur général du cabinet, j’ai réalisé les tâches ci-après:</w:t>
            </w:r>
          </w:p>
          <w:p w14:paraId="6A60516D"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consolidation des données des entretiens et enquête pour analyse,</w:t>
            </w:r>
          </w:p>
          <w:p w14:paraId="0C20A55B"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saisie des données pour analyse,</w:t>
            </w:r>
          </w:p>
          <w:p w14:paraId="5B7456F8"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collecte de données pour analyse,</w:t>
            </w:r>
          </w:p>
          <w:p w14:paraId="193949CE"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des formations et ateliers,</w:t>
            </w:r>
          </w:p>
          <w:p w14:paraId="45D111EB"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 xml:space="preserve">organisation et suivi des enquêtes de collectes de données, </w:t>
            </w:r>
          </w:p>
          <w:p w14:paraId="00A9330D"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Montage et rédaction des offres techniques et financières ;</w:t>
            </w:r>
          </w:p>
          <w:p w14:paraId="7618228E"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et suivi de saisie de données</w:t>
            </w:r>
          </w:p>
        </w:tc>
      </w:tr>
    </w:tbl>
    <w:p w14:paraId="452497E6" w14:textId="77777777" w:rsidR="00643743" w:rsidRPr="004442DB" w:rsidRDefault="00643743" w:rsidP="007007C9">
      <w:pPr>
        <w:spacing w:before="0" w:after="0"/>
      </w:pPr>
    </w:p>
    <w:p w14:paraId="6AC6175C" w14:textId="4C7B279F" w:rsidR="00643743" w:rsidRPr="007007C9" w:rsidRDefault="00643743" w:rsidP="00643743">
      <w:pPr>
        <w:rPr>
          <w:sz w:val="6"/>
          <w:szCs w:val="6"/>
        </w:rPr>
      </w:pPr>
    </w:p>
    <w:p w14:paraId="18775022" w14:textId="117FBCAD" w:rsidR="00507279" w:rsidRDefault="004C43C9" w:rsidP="003A3323">
      <w:pPr>
        <w:pStyle w:val="Titre2"/>
        <w:numPr>
          <w:ilvl w:val="0"/>
          <w:numId w:val="0"/>
        </w:numPr>
        <w:ind w:left="720" w:hanging="720"/>
      </w:pPr>
      <w:bookmarkStart w:id="1016" w:name="_Toc95451890"/>
      <w:r>
        <w:t xml:space="preserve">Annexe </w:t>
      </w:r>
      <w:r w:rsidR="00711328">
        <w:t>11</w:t>
      </w:r>
      <w:r>
        <w:t xml:space="preserve"> : </w:t>
      </w:r>
      <w:r w:rsidR="00507279">
        <w:t>Liste des enquêteurs</w:t>
      </w:r>
      <w:bookmarkEnd w:id="1014"/>
      <w:r w:rsidR="00EF1FBE">
        <w:t xml:space="preserve"> et enquêtrices</w:t>
      </w:r>
      <w:bookmarkEnd w:id="1016"/>
      <w:r w:rsidR="00EF1FBE">
        <w:t xml:space="preserve"> </w:t>
      </w:r>
    </w:p>
    <w:tbl>
      <w:tblPr>
        <w:tblW w:w="928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67"/>
        <w:gridCol w:w="1484"/>
        <w:gridCol w:w="1985"/>
        <w:gridCol w:w="850"/>
        <w:gridCol w:w="2268"/>
        <w:gridCol w:w="2234"/>
      </w:tblGrid>
      <w:tr w:rsidR="00C62F7E" w:rsidRPr="004C43C9" w14:paraId="3CE871DA" w14:textId="01DB390F" w:rsidTr="00A40F72">
        <w:trPr>
          <w:trHeight w:val="454"/>
        </w:trPr>
        <w:tc>
          <w:tcPr>
            <w:tcW w:w="467" w:type="dxa"/>
            <w:shd w:val="clear" w:color="auto" w:fill="auto"/>
            <w:vAlign w:val="center"/>
          </w:tcPr>
          <w:p w14:paraId="2FB42AD0" w14:textId="77777777" w:rsidR="00971FEE" w:rsidRPr="004C43C9" w:rsidRDefault="00971FEE" w:rsidP="00366C08">
            <w:pPr>
              <w:spacing w:before="0" w:after="0" w:line="276" w:lineRule="auto"/>
              <w:jc w:val="center"/>
              <w:rPr>
                <w:rFonts w:cs="Tahoma"/>
                <w:b/>
              </w:rPr>
            </w:pPr>
            <w:r w:rsidRPr="004C43C9">
              <w:rPr>
                <w:rFonts w:cs="Tahoma"/>
                <w:b/>
              </w:rPr>
              <w:t>N°</w:t>
            </w:r>
          </w:p>
        </w:tc>
        <w:tc>
          <w:tcPr>
            <w:tcW w:w="1484" w:type="dxa"/>
            <w:shd w:val="clear" w:color="auto" w:fill="auto"/>
            <w:vAlign w:val="center"/>
          </w:tcPr>
          <w:p w14:paraId="2DDB3BB7" w14:textId="77777777" w:rsidR="00971FEE" w:rsidRPr="004C43C9" w:rsidRDefault="00971FEE" w:rsidP="00366C08">
            <w:pPr>
              <w:spacing w:before="0" w:after="0" w:line="276" w:lineRule="auto"/>
              <w:jc w:val="center"/>
              <w:rPr>
                <w:rFonts w:cs="Tahoma"/>
                <w:b/>
              </w:rPr>
            </w:pPr>
            <w:r w:rsidRPr="004C43C9">
              <w:rPr>
                <w:rFonts w:cs="Tahoma"/>
                <w:b/>
              </w:rPr>
              <w:t>Prénoms</w:t>
            </w:r>
          </w:p>
        </w:tc>
        <w:tc>
          <w:tcPr>
            <w:tcW w:w="1985" w:type="dxa"/>
            <w:shd w:val="clear" w:color="auto" w:fill="auto"/>
            <w:vAlign w:val="center"/>
          </w:tcPr>
          <w:p w14:paraId="4E8EA044" w14:textId="77777777" w:rsidR="00971FEE" w:rsidRPr="004C43C9" w:rsidRDefault="00971FEE" w:rsidP="00366C08">
            <w:pPr>
              <w:spacing w:before="0" w:after="0" w:line="276" w:lineRule="auto"/>
              <w:jc w:val="center"/>
              <w:rPr>
                <w:rFonts w:cs="Tahoma"/>
                <w:b/>
              </w:rPr>
            </w:pPr>
            <w:r w:rsidRPr="004C43C9">
              <w:rPr>
                <w:rFonts w:cs="Tahoma"/>
                <w:b/>
              </w:rPr>
              <w:t>Noms</w:t>
            </w:r>
          </w:p>
        </w:tc>
        <w:tc>
          <w:tcPr>
            <w:tcW w:w="850" w:type="dxa"/>
            <w:shd w:val="clear" w:color="auto" w:fill="auto"/>
            <w:vAlign w:val="center"/>
          </w:tcPr>
          <w:p w14:paraId="50A720CD" w14:textId="77777777" w:rsidR="00971FEE" w:rsidRPr="004C43C9" w:rsidRDefault="00971FEE" w:rsidP="00366C08">
            <w:pPr>
              <w:spacing w:before="0" w:after="0" w:line="276" w:lineRule="auto"/>
              <w:jc w:val="center"/>
              <w:rPr>
                <w:rFonts w:cs="Tahoma"/>
                <w:b/>
              </w:rPr>
            </w:pPr>
            <w:r w:rsidRPr="004C43C9">
              <w:rPr>
                <w:rFonts w:cs="Tahoma"/>
                <w:b/>
              </w:rPr>
              <w:t>Sexe</w:t>
            </w:r>
          </w:p>
        </w:tc>
        <w:tc>
          <w:tcPr>
            <w:tcW w:w="2268" w:type="dxa"/>
            <w:shd w:val="clear" w:color="auto" w:fill="auto"/>
            <w:vAlign w:val="center"/>
          </w:tcPr>
          <w:p w14:paraId="0870CD3A" w14:textId="77777777" w:rsidR="00971FEE" w:rsidRPr="004C43C9" w:rsidRDefault="00971FEE" w:rsidP="00366C08">
            <w:pPr>
              <w:spacing w:before="0" w:after="0" w:line="276" w:lineRule="auto"/>
              <w:jc w:val="center"/>
              <w:rPr>
                <w:rFonts w:cs="Tahoma"/>
                <w:b/>
                <w:highlight w:val="yellow"/>
              </w:rPr>
            </w:pPr>
            <w:r w:rsidRPr="004C43C9">
              <w:rPr>
                <w:rFonts w:cs="Tahoma"/>
                <w:b/>
              </w:rPr>
              <w:t xml:space="preserve">Commune </w:t>
            </w:r>
          </w:p>
        </w:tc>
        <w:tc>
          <w:tcPr>
            <w:tcW w:w="2234" w:type="dxa"/>
            <w:shd w:val="clear" w:color="auto" w:fill="auto"/>
            <w:vAlign w:val="center"/>
          </w:tcPr>
          <w:p w14:paraId="5228A72D" w14:textId="3FF0BB9A" w:rsidR="00971FEE" w:rsidRPr="004C43C9" w:rsidRDefault="00971FEE" w:rsidP="007007C9">
            <w:pPr>
              <w:spacing w:before="0" w:after="0" w:line="276" w:lineRule="auto"/>
              <w:jc w:val="left"/>
              <w:rPr>
                <w:rFonts w:cs="Tahoma"/>
                <w:b/>
              </w:rPr>
            </w:pPr>
            <w:r>
              <w:rPr>
                <w:rFonts w:cs="Tahoma"/>
                <w:b/>
              </w:rPr>
              <w:t>Langue</w:t>
            </w:r>
            <w:r w:rsidR="00735989">
              <w:rPr>
                <w:rFonts w:cs="Tahoma"/>
                <w:b/>
              </w:rPr>
              <w:t>s</w:t>
            </w:r>
            <w:r>
              <w:rPr>
                <w:rFonts w:cs="Tahoma"/>
                <w:b/>
              </w:rPr>
              <w:t xml:space="preserve"> parlée</w:t>
            </w:r>
            <w:r w:rsidR="00735989">
              <w:rPr>
                <w:rFonts w:cs="Tahoma"/>
                <w:b/>
              </w:rPr>
              <w:t>s</w:t>
            </w:r>
          </w:p>
        </w:tc>
      </w:tr>
      <w:tr w:rsidR="001D4F98" w:rsidRPr="004C43C9" w14:paraId="712EE757" w14:textId="7CA24210" w:rsidTr="0060123A">
        <w:trPr>
          <w:trHeight w:val="454"/>
        </w:trPr>
        <w:tc>
          <w:tcPr>
            <w:tcW w:w="467" w:type="dxa"/>
            <w:shd w:val="clear" w:color="auto" w:fill="auto"/>
            <w:vAlign w:val="center"/>
          </w:tcPr>
          <w:p w14:paraId="3C648BBE" w14:textId="77777777" w:rsidR="00971FEE" w:rsidRPr="004C43C9" w:rsidRDefault="00971FEE" w:rsidP="00366C08">
            <w:pPr>
              <w:spacing w:before="0" w:after="0" w:line="276" w:lineRule="auto"/>
              <w:jc w:val="center"/>
              <w:rPr>
                <w:rFonts w:cs="Tahoma"/>
              </w:rPr>
            </w:pPr>
            <w:r w:rsidRPr="004C43C9">
              <w:rPr>
                <w:rFonts w:cs="Tahoma"/>
              </w:rPr>
              <w:t>01</w:t>
            </w:r>
          </w:p>
        </w:tc>
        <w:tc>
          <w:tcPr>
            <w:tcW w:w="1484" w:type="dxa"/>
            <w:shd w:val="clear" w:color="auto" w:fill="auto"/>
            <w:vAlign w:val="center"/>
          </w:tcPr>
          <w:p w14:paraId="7851BFCD" w14:textId="212DB6B5" w:rsidR="00971FEE" w:rsidRPr="004C43C9" w:rsidRDefault="00971FEE" w:rsidP="00366C08">
            <w:pPr>
              <w:spacing w:before="0" w:after="0" w:line="276" w:lineRule="auto"/>
              <w:jc w:val="left"/>
              <w:rPr>
                <w:rFonts w:cs="Tahoma"/>
              </w:rPr>
            </w:pPr>
            <w:r w:rsidRPr="004C43C9">
              <w:rPr>
                <w:rFonts w:cs="Tahoma"/>
              </w:rPr>
              <w:t>ROKIATOU</w:t>
            </w:r>
            <w:r w:rsidR="007068E8">
              <w:rPr>
                <w:rFonts w:cs="Tahoma"/>
              </w:rPr>
              <w:t xml:space="preserve"> </w:t>
            </w:r>
          </w:p>
        </w:tc>
        <w:tc>
          <w:tcPr>
            <w:tcW w:w="1985" w:type="dxa"/>
            <w:shd w:val="clear" w:color="auto" w:fill="auto"/>
            <w:vAlign w:val="center"/>
          </w:tcPr>
          <w:p w14:paraId="73381C1F" w14:textId="77777777" w:rsidR="00971FEE" w:rsidRPr="004C43C9" w:rsidRDefault="00971FEE" w:rsidP="00366C08">
            <w:pPr>
              <w:spacing w:before="0" w:after="0" w:line="276" w:lineRule="auto"/>
              <w:jc w:val="left"/>
              <w:rPr>
                <w:rFonts w:cs="Tahoma"/>
              </w:rPr>
            </w:pPr>
            <w:r w:rsidRPr="004C43C9">
              <w:rPr>
                <w:rFonts w:cs="Tahoma"/>
              </w:rPr>
              <w:t>DIAKITE</w:t>
            </w:r>
          </w:p>
        </w:tc>
        <w:tc>
          <w:tcPr>
            <w:tcW w:w="850" w:type="dxa"/>
            <w:shd w:val="clear" w:color="auto" w:fill="auto"/>
            <w:vAlign w:val="center"/>
          </w:tcPr>
          <w:p w14:paraId="4A9BCCD1" w14:textId="77777777" w:rsidR="00971FEE" w:rsidRPr="004C43C9" w:rsidRDefault="00971FEE" w:rsidP="00366C08">
            <w:pPr>
              <w:spacing w:before="0" w:after="0" w:line="276" w:lineRule="auto"/>
              <w:jc w:val="center"/>
              <w:rPr>
                <w:rFonts w:cs="Tahoma"/>
              </w:rPr>
            </w:pPr>
            <w:r w:rsidRPr="0060123A">
              <w:rPr>
                <w:color w:val="000000"/>
              </w:rPr>
              <w:t>F</w:t>
            </w:r>
          </w:p>
        </w:tc>
        <w:tc>
          <w:tcPr>
            <w:tcW w:w="2268" w:type="dxa"/>
            <w:shd w:val="clear" w:color="auto" w:fill="auto"/>
            <w:vAlign w:val="center"/>
          </w:tcPr>
          <w:p w14:paraId="598F18F5" w14:textId="77777777" w:rsidR="00971FEE" w:rsidRPr="0060123A" w:rsidRDefault="00971FEE" w:rsidP="00366C08">
            <w:pPr>
              <w:spacing w:before="0" w:after="0" w:line="276" w:lineRule="auto"/>
              <w:jc w:val="left"/>
              <w:rPr>
                <w:color w:val="000000"/>
              </w:rPr>
            </w:pPr>
            <w:r w:rsidRPr="0060123A">
              <w:rPr>
                <w:color w:val="000000"/>
              </w:rPr>
              <w:t>Ménaka</w:t>
            </w:r>
          </w:p>
        </w:tc>
        <w:tc>
          <w:tcPr>
            <w:tcW w:w="2234" w:type="dxa"/>
            <w:shd w:val="clear" w:color="auto" w:fill="auto"/>
            <w:vAlign w:val="center"/>
          </w:tcPr>
          <w:p w14:paraId="573692E3" w14:textId="77777777" w:rsidR="00C45041" w:rsidRPr="0060123A" w:rsidRDefault="00C45041" w:rsidP="00C45041">
            <w:pPr>
              <w:spacing w:before="0" w:after="0" w:line="276" w:lineRule="auto"/>
              <w:jc w:val="left"/>
              <w:rPr>
                <w:color w:val="000000"/>
              </w:rPr>
            </w:pPr>
            <w:r w:rsidRPr="0060123A">
              <w:rPr>
                <w:color w:val="000000"/>
              </w:rPr>
              <w:t>Français</w:t>
            </w:r>
          </w:p>
          <w:p w14:paraId="63ADED8C" w14:textId="77777777" w:rsidR="00C45041" w:rsidRPr="0060123A" w:rsidRDefault="00C45041" w:rsidP="00C45041">
            <w:pPr>
              <w:spacing w:before="0" w:after="0" w:line="276" w:lineRule="auto"/>
              <w:jc w:val="left"/>
              <w:rPr>
                <w:color w:val="000000"/>
              </w:rPr>
            </w:pPr>
            <w:r w:rsidRPr="0060123A">
              <w:rPr>
                <w:color w:val="000000"/>
              </w:rPr>
              <w:t>Bambara</w:t>
            </w:r>
          </w:p>
          <w:p w14:paraId="227F00F5" w14:textId="46323211" w:rsidR="00C45041" w:rsidRPr="0060123A" w:rsidRDefault="00C45041" w:rsidP="00C45041">
            <w:pPr>
              <w:spacing w:before="0" w:after="0" w:line="276" w:lineRule="auto"/>
              <w:jc w:val="left"/>
              <w:rPr>
                <w:color w:val="000000"/>
              </w:rPr>
            </w:pPr>
            <w:r w:rsidRPr="0060123A">
              <w:rPr>
                <w:color w:val="000000"/>
              </w:rPr>
              <w:t>Sonrhaï</w:t>
            </w:r>
          </w:p>
          <w:p w14:paraId="77CD530D" w14:textId="46323211" w:rsidR="00971FEE" w:rsidRPr="0060123A" w:rsidRDefault="00C45041" w:rsidP="00C45041">
            <w:pPr>
              <w:spacing w:before="0" w:after="0" w:line="276" w:lineRule="auto"/>
              <w:jc w:val="left"/>
              <w:rPr>
                <w:color w:val="000000"/>
              </w:rPr>
            </w:pPr>
            <w:r w:rsidRPr="0060123A">
              <w:rPr>
                <w:color w:val="000000"/>
              </w:rPr>
              <w:t>Tamasheq</w:t>
            </w:r>
          </w:p>
        </w:tc>
      </w:tr>
      <w:tr w:rsidR="001D4F98" w:rsidRPr="004C43C9" w14:paraId="2D952F8D" w14:textId="1AF801A7" w:rsidTr="0060123A">
        <w:trPr>
          <w:trHeight w:val="454"/>
        </w:trPr>
        <w:tc>
          <w:tcPr>
            <w:tcW w:w="467" w:type="dxa"/>
            <w:shd w:val="clear" w:color="auto" w:fill="auto"/>
            <w:vAlign w:val="center"/>
          </w:tcPr>
          <w:p w14:paraId="2F6DE633" w14:textId="77777777" w:rsidR="00971FEE" w:rsidRPr="004C43C9" w:rsidRDefault="00971FEE" w:rsidP="00366C08">
            <w:pPr>
              <w:spacing w:before="0" w:after="0" w:line="276" w:lineRule="auto"/>
              <w:jc w:val="center"/>
              <w:rPr>
                <w:rFonts w:cs="Tahoma"/>
              </w:rPr>
            </w:pPr>
            <w:r w:rsidRPr="004C43C9">
              <w:rPr>
                <w:rFonts w:cs="Tahoma"/>
              </w:rPr>
              <w:t>02</w:t>
            </w:r>
          </w:p>
        </w:tc>
        <w:tc>
          <w:tcPr>
            <w:tcW w:w="1484" w:type="dxa"/>
            <w:shd w:val="clear" w:color="auto" w:fill="auto"/>
            <w:vAlign w:val="center"/>
          </w:tcPr>
          <w:p w14:paraId="2624F417" w14:textId="77777777" w:rsidR="00971FEE" w:rsidRPr="004C43C9" w:rsidRDefault="00971FEE" w:rsidP="00366C08">
            <w:pPr>
              <w:spacing w:before="0" w:after="0" w:line="276" w:lineRule="auto"/>
              <w:jc w:val="left"/>
              <w:rPr>
                <w:rFonts w:cs="Tahoma"/>
              </w:rPr>
            </w:pPr>
            <w:r w:rsidRPr="004C43C9">
              <w:rPr>
                <w:rFonts w:cs="Tahoma"/>
              </w:rPr>
              <w:t>Moctar</w:t>
            </w:r>
          </w:p>
        </w:tc>
        <w:tc>
          <w:tcPr>
            <w:tcW w:w="1985" w:type="dxa"/>
            <w:shd w:val="clear" w:color="auto" w:fill="auto"/>
            <w:vAlign w:val="center"/>
          </w:tcPr>
          <w:p w14:paraId="72B4EDB8" w14:textId="77777777" w:rsidR="00971FEE" w:rsidRPr="004C43C9" w:rsidRDefault="00971FEE" w:rsidP="00366C08">
            <w:pPr>
              <w:spacing w:before="0" w:after="0" w:line="276" w:lineRule="auto"/>
              <w:jc w:val="left"/>
              <w:rPr>
                <w:rFonts w:cs="Tahoma"/>
              </w:rPr>
            </w:pPr>
            <w:r w:rsidRPr="004C43C9">
              <w:rPr>
                <w:rFonts w:cs="Tahoma"/>
              </w:rPr>
              <w:t>NIALY</w:t>
            </w:r>
          </w:p>
        </w:tc>
        <w:tc>
          <w:tcPr>
            <w:tcW w:w="850" w:type="dxa"/>
            <w:shd w:val="clear" w:color="auto" w:fill="auto"/>
            <w:vAlign w:val="center"/>
          </w:tcPr>
          <w:p w14:paraId="2210A41B"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53BF85C1" w14:textId="1D733171" w:rsidR="00971FEE" w:rsidRPr="004C43C9" w:rsidRDefault="00971FEE" w:rsidP="00366C08">
            <w:pPr>
              <w:spacing w:before="0" w:after="0" w:line="276" w:lineRule="auto"/>
              <w:jc w:val="left"/>
              <w:rPr>
                <w:rFonts w:cs="Tahoma"/>
              </w:rPr>
            </w:pPr>
            <w:r w:rsidRPr="004C43C9">
              <w:rPr>
                <w:rFonts w:cs="Tahoma"/>
              </w:rPr>
              <w:t xml:space="preserve">Ouatagouna </w:t>
            </w:r>
          </w:p>
        </w:tc>
        <w:tc>
          <w:tcPr>
            <w:tcW w:w="2234" w:type="dxa"/>
            <w:shd w:val="clear" w:color="auto" w:fill="auto"/>
            <w:vAlign w:val="center"/>
          </w:tcPr>
          <w:p w14:paraId="31F51E45"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Français</w:t>
            </w:r>
          </w:p>
          <w:p w14:paraId="239711F6" w14:textId="286DEFC9"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S</w:t>
            </w:r>
            <w:r>
              <w:rPr>
                <w:rFonts w:cs="Tahoma"/>
              </w:rPr>
              <w:t>onrhaï</w:t>
            </w:r>
          </w:p>
          <w:p w14:paraId="7598DC7C"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Tamasheq</w:t>
            </w:r>
          </w:p>
          <w:p w14:paraId="044F8440"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Bambara</w:t>
            </w:r>
          </w:p>
          <w:p w14:paraId="376414BF" w14:textId="799140D2" w:rsidR="00971FEE" w:rsidRPr="004C43C9"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Anglais</w:t>
            </w:r>
          </w:p>
        </w:tc>
      </w:tr>
      <w:tr w:rsidR="001D4F98" w:rsidRPr="004C43C9" w14:paraId="6D57A70A" w14:textId="157CBC41" w:rsidTr="0060123A">
        <w:trPr>
          <w:trHeight w:val="454"/>
        </w:trPr>
        <w:tc>
          <w:tcPr>
            <w:tcW w:w="467" w:type="dxa"/>
            <w:shd w:val="clear" w:color="auto" w:fill="auto"/>
            <w:vAlign w:val="center"/>
          </w:tcPr>
          <w:p w14:paraId="4F4E07B1" w14:textId="77777777" w:rsidR="00971FEE" w:rsidRPr="004C43C9" w:rsidRDefault="00971FEE" w:rsidP="00366C08">
            <w:pPr>
              <w:spacing w:before="0" w:after="0" w:line="276" w:lineRule="auto"/>
              <w:jc w:val="center"/>
              <w:rPr>
                <w:rFonts w:cs="Tahoma"/>
              </w:rPr>
            </w:pPr>
            <w:r w:rsidRPr="004C43C9">
              <w:rPr>
                <w:rFonts w:cs="Tahoma"/>
              </w:rPr>
              <w:t>03</w:t>
            </w:r>
          </w:p>
        </w:tc>
        <w:tc>
          <w:tcPr>
            <w:tcW w:w="1484" w:type="dxa"/>
            <w:shd w:val="clear" w:color="auto" w:fill="auto"/>
            <w:vAlign w:val="center"/>
          </w:tcPr>
          <w:p w14:paraId="7F89F879" w14:textId="77777777" w:rsidR="00971FEE" w:rsidRPr="004C43C9" w:rsidRDefault="00971FEE" w:rsidP="00366C08">
            <w:pPr>
              <w:spacing w:before="0" w:after="0" w:line="276" w:lineRule="auto"/>
              <w:jc w:val="left"/>
              <w:rPr>
                <w:rFonts w:cs="Tahoma"/>
              </w:rPr>
            </w:pPr>
            <w:r w:rsidRPr="004C43C9">
              <w:rPr>
                <w:rFonts w:cs="Tahoma"/>
              </w:rPr>
              <w:t>RHISSA</w:t>
            </w:r>
          </w:p>
        </w:tc>
        <w:tc>
          <w:tcPr>
            <w:tcW w:w="1985" w:type="dxa"/>
            <w:shd w:val="clear" w:color="auto" w:fill="auto"/>
            <w:vAlign w:val="center"/>
          </w:tcPr>
          <w:p w14:paraId="6B0E3EBA" w14:textId="77777777" w:rsidR="00971FEE" w:rsidRPr="004C43C9" w:rsidRDefault="00971FEE" w:rsidP="00366C08">
            <w:pPr>
              <w:spacing w:before="0" w:after="0" w:line="276" w:lineRule="auto"/>
              <w:jc w:val="left"/>
              <w:rPr>
                <w:rFonts w:cs="Tahoma"/>
              </w:rPr>
            </w:pPr>
            <w:r w:rsidRPr="004C43C9">
              <w:rPr>
                <w:rFonts w:cs="Tahoma"/>
              </w:rPr>
              <w:t>INDAOUSSAHAK</w:t>
            </w:r>
          </w:p>
        </w:tc>
        <w:tc>
          <w:tcPr>
            <w:tcW w:w="850" w:type="dxa"/>
            <w:shd w:val="clear" w:color="auto" w:fill="auto"/>
            <w:vAlign w:val="center"/>
          </w:tcPr>
          <w:p w14:paraId="1C8960AE"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2FE162A4" w14:textId="673C8075" w:rsidR="00971FEE" w:rsidRPr="004C43C9" w:rsidRDefault="00971FEE" w:rsidP="00366C08">
            <w:pPr>
              <w:spacing w:before="0" w:after="0" w:line="276" w:lineRule="auto"/>
              <w:jc w:val="left"/>
              <w:rPr>
                <w:rFonts w:cs="Tahoma"/>
              </w:rPr>
            </w:pPr>
            <w:r w:rsidRPr="004C43C9">
              <w:rPr>
                <w:rFonts w:cs="Tahoma"/>
              </w:rPr>
              <w:t>And</w:t>
            </w:r>
            <w:r w:rsidR="008C5FD3">
              <w:rPr>
                <w:rFonts w:cs="Tahoma"/>
              </w:rPr>
              <w:t>é</w:t>
            </w:r>
            <w:r w:rsidRPr="004C43C9">
              <w:rPr>
                <w:rFonts w:cs="Tahoma"/>
              </w:rPr>
              <w:t>ra</w:t>
            </w:r>
            <w:r w:rsidR="008C5FD3">
              <w:rPr>
                <w:rFonts w:cs="Tahoma"/>
              </w:rPr>
              <w:t>m</w:t>
            </w:r>
            <w:r w:rsidRPr="004C43C9">
              <w:rPr>
                <w:rFonts w:cs="Tahoma"/>
              </w:rPr>
              <w:t>boukane</w:t>
            </w:r>
          </w:p>
        </w:tc>
        <w:tc>
          <w:tcPr>
            <w:tcW w:w="2234" w:type="dxa"/>
            <w:shd w:val="clear" w:color="auto" w:fill="auto"/>
            <w:vAlign w:val="center"/>
          </w:tcPr>
          <w:p w14:paraId="0F17DB25"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Français</w:t>
            </w:r>
          </w:p>
          <w:p w14:paraId="07B3A17D" w14:textId="502B119C"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Sonrhaï</w:t>
            </w:r>
          </w:p>
          <w:p w14:paraId="3DE9082D" w14:textId="0A649492"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Bambar</w:t>
            </w:r>
            <w:r>
              <w:rPr>
                <w:rFonts w:cs="Tahoma"/>
              </w:rPr>
              <w:t>a</w:t>
            </w:r>
          </w:p>
          <w:p w14:paraId="1E8CBF5C" w14:textId="77777777"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Tamacheck</w:t>
            </w:r>
          </w:p>
          <w:p w14:paraId="6D4ECD6C" w14:textId="4B4AAEBD" w:rsidR="00971FEE" w:rsidRPr="003551E4" w:rsidRDefault="00735989" w:rsidP="00FB2B45">
            <w:pPr>
              <w:pStyle w:val="Paragraphedeliste"/>
              <w:numPr>
                <w:ilvl w:val="0"/>
                <w:numId w:val="31"/>
              </w:numPr>
              <w:spacing w:before="0" w:after="0" w:line="276" w:lineRule="auto"/>
              <w:ind w:left="105" w:hanging="149"/>
              <w:jc w:val="left"/>
              <w:rPr>
                <w:rFonts w:cs="Tahoma"/>
              </w:rPr>
            </w:pPr>
            <w:r>
              <w:rPr>
                <w:rFonts w:cs="Tahoma"/>
              </w:rPr>
              <w:t>D</w:t>
            </w:r>
            <w:r w:rsidRPr="003551E4">
              <w:rPr>
                <w:rFonts w:cs="Tahoma"/>
              </w:rPr>
              <w:t>aoussahak</w:t>
            </w:r>
          </w:p>
        </w:tc>
      </w:tr>
      <w:tr w:rsidR="001D4F98" w:rsidRPr="004C43C9" w14:paraId="4D74378B" w14:textId="032B90D7" w:rsidTr="0060123A">
        <w:trPr>
          <w:trHeight w:val="454"/>
        </w:trPr>
        <w:tc>
          <w:tcPr>
            <w:tcW w:w="467" w:type="dxa"/>
            <w:shd w:val="clear" w:color="auto" w:fill="auto"/>
            <w:vAlign w:val="center"/>
          </w:tcPr>
          <w:p w14:paraId="56B010FC" w14:textId="77777777" w:rsidR="00971FEE" w:rsidRPr="004C43C9" w:rsidRDefault="00971FEE" w:rsidP="00366C08">
            <w:pPr>
              <w:spacing w:before="0" w:after="0" w:line="276" w:lineRule="auto"/>
              <w:jc w:val="center"/>
              <w:rPr>
                <w:rFonts w:cs="Tahoma"/>
              </w:rPr>
            </w:pPr>
            <w:r w:rsidRPr="004C43C9">
              <w:rPr>
                <w:rFonts w:cs="Tahoma"/>
              </w:rPr>
              <w:t>04</w:t>
            </w:r>
          </w:p>
        </w:tc>
        <w:tc>
          <w:tcPr>
            <w:tcW w:w="1484" w:type="dxa"/>
            <w:shd w:val="clear" w:color="auto" w:fill="auto"/>
            <w:vAlign w:val="center"/>
          </w:tcPr>
          <w:p w14:paraId="7C91385B" w14:textId="33973B02" w:rsidR="00971FEE" w:rsidRPr="004C43C9" w:rsidRDefault="00971FEE" w:rsidP="00366C08">
            <w:pPr>
              <w:spacing w:before="0" w:after="0" w:line="276" w:lineRule="auto"/>
              <w:jc w:val="left"/>
              <w:rPr>
                <w:rFonts w:cs="Arial"/>
                <w:color w:val="000000"/>
              </w:rPr>
            </w:pPr>
            <w:r w:rsidRPr="004C43C9">
              <w:rPr>
                <w:rFonts w:cs="Arial"/>
                <w:color w:val="000000"/>
              </w:rPr>
              <w:t>Bintou W</w:t>
            </w:r>
            <w:r>
              <w:rPr>
                <w:rFonts w:cs="Arial"/>
                <w:color w:val="000000"/>
              </w:rPr>
              <w:t>a</w:t>
            </w:r>
            <w:r w:rsidRPr="004C43C9">
              <w:rPr>
                <w:rFonts w:cs="Arial"/>
                <w:color w:val="000000"/>
              </w:rPr>
              <w:t>llette</w:t>
            </w:r>
          </w:p>
        </w:tc>
        <w:tc>
          <w:tcPr>
            <w:tcW w:w="1985" w:type="dxa"/>
            <w:shd w:val="clear" w:color="auto" w:fill="auto"/>
            <w:vAlign w:val="center"/>
          </w:tcPr>
          <w:p w14:paraId="6A2BFF9B" w14:textId="4BBF8FA5" w:rsidR="00971FEE" w:rsidRPr="004C43C9" w:rsidRDefault="007F3742" w:rsidP="00366C08">
            <w:pPr>
              <w:spacing w:before="0" w:after="0" w:line="276" w:lineRule="auto"/>
              <w:jc w:val="left"/>
              <w:rPr>
                <w:rFonts w:cs="Tahoma"/>
              </w:rPr>
            </w:pPr>
            <w:r w:rsidRPr="004C43C9">
              <w:rPr>
                <w:rFonts w:cs="Arial"/>
                <w:color w:val="000000"/>
              </w:rPr>
              <w:t>ASSALE</w:t>
            </w:r>
            <w:r>
              <w:rPr>
                <w:rFonts w:cs="Arial"/>
                <w:color w:val="000000"/>
              </w:rPr>
              <w:t>H</w:t>
            </w:r>
          </w:p>
        </w:tc>
        <w:tc>
          <w:tcPr>
            <w:tcW w:w="850" w:type="dxa"/>
            <w:shd w:val="clear" w:color="auto" w:fill="auto"/>
            <w:vAlign w:val="center"/>
          </w:tcPr>
          <w:p w14:paraId="34F9C39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2F1F1190" w14:textId="77777777" w:rsidR="00971FEE" w:rsidRPr="004C43C9" w:rsidRDefault="00971FEE" w:rsidP="00366C08">
            <w:pPr>
              <w:spacing w:before="0" w:after="0" w:line="276" w:lineRule="auto"/>
              <w:jc w:val="left"/>
              <w:rPr>
                <w:rFonts w:cs="Tahoma"/>
              </w:rPr>
            </w:pPr>
            <w:r w:rsidRPr="004C43C9">
              <w:rPr>
                <w:rFonts w:cs="Tahoma"/>
              </w:rPr>
              <w:t>Tessit</w:t>
            </w:r>
          </w:p>
        </w:tc>
        <w:tc>
          <w:tcPr>
            <w:tcW w:w="2234" w:type="dxa"/>
            <w:shd w:val="clear" w:color="auto" w:fill="auto"/>
            <w:vAlign w:val="center"/>
          </w:tcPr>
          <w:p w14:paraId="39602B19" w14:textId="5F819B30" w:rsidR="00971FEE" w:rsidRPr="004C43C9" w:rsidRDefault="007F3742">
            <w:pPr>
              <w:spacing w:before="0" w:after="0" w:line="276" w:lineRule="auto"/>
              <w:jc w:val="left"/>
              <w:rPr>
                <w:rFonts w:cs="Tahoma"/>
              </w:rPr>
            </w:pPr>
            <w:r w:rsidRPr="007F3742">
              <w:rPr>
                <w:rFonts w:cs="Tahoma"/>
              </w:rPr>
              <w:t>Français, Tamasheq, Songhoï, Bambara.</w:t>
            </w:r>
          </w:p>
        </w:tc>
      </w:tr>
      <w:tr w:rsidR="001D4F98" w:rsidRPr="004C43C9" w14:paraId="6938EABB" w14:textId="39623141" w:rsidTr="0060123A">
        <w:trPr>
          <w:trHeight w:val="454"/>
        </w:trPr>
        <w:tc>
          <w:tcPr>
            <w:tcW w:w="467" w:type="dxa"/>
            <w:shd w:val="clear" w:color="auto" w:fill="auto"/>
            <w:vAlign w:val="center"/>
          </w:tcPr>
          <w:p w14:paraId="7E83B4CC" w14:textId="77777777" w:rsidR="00971FEE" w:rsidRPr="004C43C9" w:rsidRDefault="00971FEE" w:rsidP="00366C08">
            <w:pPr>
              <w:spacing w:before="0" w:after="0" w:line="276" w:lineRule="auto"/>
              <w:jc w:val="center"/>
              <w:rPr>
                <w:rFonts w:cs="Tahoma"/>
              </w:rPr>
            </w:pPr>
            <w:r w:rsidRPr="004C43C9">
              <w:rPr>
                <w:rFonts w:cs="Tahoma"/>
              </w:rPr>
              <w:t>05</w:t>
            </w:r>
          </w:p>
        </w:tc>
        <w:tc>
          <w:tcPr>
            <w:tcW w:w="1484" w:type="dxa"/>
            <w:shd w:val="clear" w:color="auto" w:fill="auto"/>
            <w:vAlign w:val="center"/>
          </w:tcPr>
          <w:p w14:paraId="1DBBE621" w14:textId="77777777" w:rsidR="00971FEE" w:rsidRPr="004C43C9" w:rsidRDefault="00971FEE" w:rsidP="00366C08">
            <w:pPr>
              <w:spacing w:before="0" w:after="0" w:line="276" w:lineRule="auto"/>
              <w:jc w:val="left"/>
              <w:rPr>
                <w:rFonts w:cs="Tahoma"/>
              </w:rPr>
            </w:pPr>
            <w:r w:rsidRPr="004C43C9">
              <w:rPr>
                <w:rFonts w:cs="Tahoma"/>
              </w:rPr>
              <w:t xml:space="preserve">Ibrahim </w:t>
            </w:r>
          </w:p>
        </w:tc>
        <w:tc>
          <w:tcPr>
            <w:tcW w:w="1985" w:type="dxa"/>
            <w:shd w:val="clear" w:color="auto" w:fill="auto"/>
            <w:vAlign w:val="center"/>
          </w:tcPr>
          <w:p w14:paraId="4C7848BE" w14:textId="77777777" w:rsidR="00971FEE" w:rsidRPr="004C43C9" w:rsidRDefault="00971FEE" w:rsidP="00366C08">
            <w:pPr>
              <w:spacing w:before="0" w:after="0" w:line="276" w:lineRule="auto"/>
              <w:jc w:val="left"/>
              <w:rPr>
                <w:rFonts w:cs="Tahoma"/>
              </w:rPr>
            </w:pPr>
            <w:r w:rsidRPr="004C43C9">
              <w:rPr>
                <w:rFonts w:cs="Tahoma"/>
              </w:rPr>
              <w:t>Oumarou</w:t>
            </w:r>
          </w:p>
        </w:tc>
        <w:tc>
          <w:tcPr>
            <w:tcW w:w="850" w:type="dxa"/>
            <w:shd w:val="clear" w:color="auto" w:fill="auto"/>
            <w:vAlign w:val="center"/>
          </w:tcPr>
          <w:p w14:paraId="3D8B892D"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64792E82" w14:textId="77777777" w:rsidR="00971FEE" w:rsidRPr="004C43C9" w:rsidRDefault="00971FEE" w:rsidP="00366C08">
            <w:pPr>
              <w:spacing w:before="0" w:after="0" w:line="276" w:lineRule="auto"/>
              <w:jc w:val="left"/>
              <w:rPr>
                <w:rFonts w:cs="Tahoma"/>
              </w:rPr>
            </w:pPr>
            <w:r w:rsidRPr="004C43C9">
              <w:rPr>
                <w:rFonts w:cs="Tahoma"/>
              </w:rPr>
              <w:t>Gorool</w:t>
            </w:r>
          </w:p>
        </w:tc>
        <w:tc>
          <w:tcPr>
            <w:tcW w:w="2234" w:type="dxa"/>
            <w:shd w:val="clear" w:color="auto" w:fill="auto"/>
            <w:vAlign w:val="center"/>
          </w:tcPr>
          <w:p w14:paraId="0E5B7B3D" w14:textId="77777777"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669391CC" w14:textId="0762752E"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zarma- son</w:t>
            </w:r>
            <w:r>
              <w:rPr>
                <w:rFonts w:cs="Tahoma"/>
              </w:rPr>
              <w:t>gh</w:t>
            </w:r>
            <w:r w:rsidRPr="00B845C5">
              <w:rPr>
                <w:rFonts w:cs="Tahoma"/>
              </w:rPr>
              <w:t xml:space="preserve">ai </w:t>
            </w:r>
          </w:p>
          <w:p w14:paraId="07086CEC" w14:textId="643BC5CD" w:rsidR="00971FEE" w:rsidRPr="003551E4"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Haoussa </w:t>
            </w:r>
          </w:p>
        </w:tc>
      </w:tr>
      <w:tr w:rsidR="001D4F98" w:rsidRPr="004C43C9" w14:paraId="15FD3E49" w14:textId="69475932" w:rsidTr="0060123A">
        <w:trPr>
          <w:trHeight w:val="454"/>
        </w:trPr>
        <w:tc>
          <w:tcPr>
            <w:tcW w:w="467" w:type="dxa"/>
            <w:shd w:val="clear" w:color="auto" w:fill="auto"/>
            <w:vAlign w:val="center"/>
          </w:tcPr>
          <w:p w14:paraId="4791F567" w14:textId="77777777" w:rsidR="00971FEE" w:rsidRPr="004C43C9" w:rsidRDefault="00971FEE" w:rsidP="00366C08">
            <w:pPr>
              <w:spacing w:before="0" w:after="0" w:line="276" w:lineRule="auto"/>
              <w:jc w:val="center"/>
              <w:rPr>
                <w:rFonts w:cs="Tahoma"/>
              </w:rPr>
            </w:pPr>
            <w:r w:rsidRPr="004C43C9">
              <w:rPr>
                <w:rFonts w:cs="Tahoma"/>
              </w:rPr>
              <w:t>06</w:t>
            </w:r>
          </w:p>
        </w:tc>
        <w:tc>
          <w:tcPr>
            <w:tcW w:w="1484" w:type="dxa"/>
            <w:shd w:val="clear" w:color="auto" w:fill="auto"/>
            <w:vAlign w:val="center"/>
          </w:tcPr>
          <w:p w14:paraId="458058B8" w14:textId="77777777" w:rsidR="00971FEE" w:rsidRPr="004C43C9" w:rsidRDefault="00971FEE" w:rsidP="00366C08">
            <w:pPr>
              <w:spacing w:before="0" w:after="0" w:line="276" w:lineRule="auto"/>
              <w:jc w:val="left"/>
              <w:rPr>
                <w:rFonts w:cs="Tahoma"/>
              </w:rPr>
            </w:pPr>
            <w:r w:rsidRPr="004C43C9">
              <w:rPr>
                <w:rFonts w:cs="Tahoma"/>
              </w:rPr>
              <w:t xml:space="preserve">Ramatoulaye </w:t>
            </w:r>
          </w:p>
        </w:tc>
        <w:tc>
          <w:tcPr>
            <w:tcW w:w="1985" w:type="dxa"/>
            <w:shd w:val="clear" w:color="auto" w:fill="auto"/>
            <w:vAlign w:val="center"/>
          </w:tcPr>
          <w:p w14:paraId="72B56997" w14:textId="1DFB666B" w:rsidR="00971FEE" w:rsidRPr="004C43C9" w:rsidRDefault="00971FEE" w:rsidP="00366C08">
            <w:pPr>
              <w:spacing w:before="0" w:after="0" w:line="276" w:lineRule="auto"/>
              <w:jc w:val="left"/>
              <w:rPr>
                <w:rFonts w:cs="Tahoma"/>
              </w:rPr>
            </w:pPr>
            <w:r w:rsidRPr="004C43C9">
              <w:rPr>
                <w:rFonts w:cs="Tahoma"/>
              </w:rPr>
              <w:t xml:space="preserve">Seybou </w:t>
            </w:r>
          </w:p>
        </w:tc>
        <w:tc>
          <w:tcPr>
            <w:tcW w:w="850" w:type="dxa"/>
            <w:shd w:val="clear" w:color="auto" w:fill="auto"/>
            <w:vAlign w:val="center"/>
          </w:tcPr>
          <w:p w14:paraId="34A0B60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3BA07CEC" w14:textId="0EF69791" w:rsidR="00971FEE" w:rsidRPr="004C43C9" w:rsidRDefault="00971FEE" w:rsidP="00366C08">
            <w:pPr>
              <w:spacing w:before="0" w:after="0" w:line="276" w:lineRule="auto"/>
              <w:jc w:val="left"/>
              <w:rPr>
                <w:rFonts w:cs="Tahoma"/>
              </w:rPr>
            </w:pPr>
            <w:r w:rsidRPr="004C43C9">
              <w:rPr>
                <w:rFonts w:cs="Tahoma"/>
              </w:rPr>
              <w:t>Bankilaré</w:t>
            </w:r>
          </w:p>
        </w:tc>
        <w:tc>
          <w:tcPr>
            <w:tcW w:w="2234" w:type="dxa"/>
            <w:shd w:val="clear" w:color="auto" w:fill="auto"/>
            <w:vAlign w:val="center"/>
          </w:tcPr>
          <w:p w14:paraId="0AFDF4DC" w14:textId="0091E634" w:rsidR="00971FEE" w:rsidRDefault="00BE0689" w:rsidP="00971FEE">
            <w:pPr>
              <w:spacing w:before="0" w:after="0" w:line="276" w:lineRule="auto"/>
              <w:jc w:val="left"/>
              <w:rPr>
                <w:rFonts w:cs="Tahoma"/>
              </w:rPr>
            </w:pPr>
            <w:r>
              <w:rPr>
                <w:rFonts w:cs="Tahoma"/>
              </w:rPr>
              <w:t>Français</w:t>
            </w:r>
          </w:p>
          <w:p w14:paraId="78391BA6" w14:textId="5AB7A8EA" w:rsidR="00BE0689" w:rsidRDefault="00BE0689" w:rsidP="00971FEE">
            <w:pPr>
              <w:spacing w:before="0" w:after="0" w:line="276" w:lineRule="auto"/>
              <w:jc w:val="left"/>
              <w:rPr>
                <w:rFonts w:cs="Tahoma"/>
              </w:rPr>
            </w:pPr>
            <w:r>
              <w:rPr>
                <w:rFonts w:cs="Tahoma"/>
              </w:rPr>
              <w:t>Haoussa</w:t>
            </w:r>
          </w:p>
          <w:p w14:paraId="1BBF8352" w14:textId="77777777" w:rsidR="00BE0689" w:rsidRDefault="00BE0689" w:rsidP="00971FEE">
            <w:pPr>
              <w:spacing w:before="0" w:after="0" w:line="276" w:lineRule="auto"/>
              <w:jc w:val="left"/>
              <w:rPr>
                <w:rFonts w:cs="Tahoma"/>
              </w:rPr>
            </w:pPr>
            <w:r>
              <w:rPr>
                <w:rFonts w:cs="Tahoma"/>
              </w:rPr>
              <w:t>Zarma</w:t>
            </w:r>
          </w:p>
          <w:p w14:paraId="7135CD98" w14:textId="6CCFF25E" w:rsidR="00BE0689" w:rsidRPr="004C43C9" w:rsidRDefault="00BE0689">
            <w:pPr>
              <w:spacing w:before="0" w:after="0" w:line="276" w:lineRule="auto"/>
              <w:jc w:val="left"/>
              <w:rPr>
                <w:rFonts w:cs="Tahoma"/>
              </w:rPr>
            </w:pPr>
            <w:r>
              <w:rPr>
                <w:rFonts w:cs="Tahoma"/>
              </w:rPr>
              <w:t>Tamashek</w:t>
            </w:r>
          </w:p>
        </w:tc>
      </w:tr>
      <w:tr w:rsidR="001D4F98" w:rsidRPr="004C43C9" w14:paraId="0FD02829" w14:textId="381D38C7" w:rsidTr="0060123A">
        <w:trPr>
          <w:trHeight w:val="454"/>
        </w:trPr>
        <w:tc>
          <w:tcPr>
            <w:tcW w:w="467" w:type="dxa"/>
            <w:shd w:val="clear" w:color="auto" w:fill="auto"/>
            <w:vAlign w:val="center"/>
          </w:tcPr>
          <w:p w14:paraId="2F4B31A4" w14:textId="77777777" w:rsidR="00971FEE" w:rsidRPr="004C43C9" w:rsidRDefault="00971FEE" w:rsidP="00366C08">
            <w:pPr>
              <w:spacing w:before="0" w:after="0" w:line="276" w:lineRule="auto"/>
              <w:jc w:val="center"/>
              <w:rPr>
                <w:rFonts w:cs="Tahoma"/>
              </w:rPr>
            </w:pPr>
            <w:r w:rsidRPr="004C43C9">
              <w:rPr>
                <w:rFonts w:cs="Tahoma"/>
              </w:rPr>
              <w:t>07</w:t>
            </w:r>
          </w:p>
        </w:tc>
        <w:tc>
          <w:tcPr>
            <w:tcW w:w="1484" w:type="dxa"/>
            <w:shd w:val="clear" w:color="auto" w:fill="auto"/>
            <w:vAlign w:val="center"/>
          </w:tcPr>
          <w:p w14:paraId="72BC201D" w14:textId="77777777" w:rsidR="00971FEE" w:rsidRPr="004C43C9" w:rsidRDefault="00971FEE" w:rsidP="00366C08">
            <w:pPr>
              <w:spacing w:before="0" w:after="0" w:line="276" w:lineRule="auto"/>
              <w:jc w:val="left"/>
              <w:rPr>
                <w:rFonts w:cs="Tahoma"/>
              </w:rPr>
            </w:pPr>
            <w:r w:rsidRPr="004C43C9">
              <w:t>Ramatou</w:t>
            </w:r>
          </w:p>
        </w:tc>
        <w:tc>
          <w:tcPr>
            <w:tcW w:w="1985" w:type="dxa"/>
            <w:shd w:val="clear" w:color="auto" w:fill="auto"/>
            <w:vAlign w:val="center"/>
          </w:tcPr>
          <w:p w14:paraId="3628F9F0" w14:textId="77777777" w:rsidR="00971FEE" w:rsidRPr="004C43C9" w:rsidRDefault="00971FEE" w:rsidP="00366C08">
            <w:pPr>
              <w:spacing w:before="0" w:after="0" w:line="276" w:lineRule="auto"/>
              <w:jc w:val="left"/>
              <w:rPr>
                <w:rFonts w:cs="Tahoma"/>
              </w:rPr>
            </w:pPr>
            <w:r w:rsidRPr="004C43C9">
              <w:rPr>
                <w:rFonts w:cs="Tahoma"/>
              </w:rPr>
              <w:t>MAMADOU</w:t>
            </w:r>
          </w:p>
        </w:tc>
        <w:tc>
          <w:tcPr>
            <w:tcW w:w="850" w:type="dxa"/>
            <w:shd w:val="clear" w:color="auto" w:fill="auto"/>
            <w:vAlign w:val="center"/>
          </w:tcPr>
          <w:p w14:paraId="5D093A5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6A202C6D" w14:textId="79768F3B" w:rsidR="00971FEE" w:rsidRPr="004C43C9" w:rsidRDefault="00971FEE" w:rsidP="00366C08">
            <w:pPr>
              <w:spacing w:before="0" w:after="0" w:line="276" w:lineRule="auto"/>
              <w:jc w:val="left"/>
              <w:rPr>
                <w:rFonts w:cs="Tahoma"/>
              </w:rPr>
            </w:pPr>
            <w:r w:rsidRPr="004C43C9">
              <w:rPr>
                <w:rFonts w:cs="Tahoma"/>
              </w:rPr>
              <w:t>Banibangou</w:t>
            </w:r>
          </w:p>
        </w:tc>
        <w:tc>
          <w:tcPr>
            <w:tcW w:w="2234" w:type="dxa"/>
            <w:shd w:val="clear" w:color="auto" w:fill="auto"/>
            <w:vAlign w:val="center"/>
          </w:tcPr>
          <w:p w14:paraId="08F62BD5" w14:textId="77777777"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54180E2C" w14:textId="6F2FD9CE" w:rsidR="00971FEE" w:rsidRPr="003551E4"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za</w:t>
            </w:r>
            <w:r>
              <w:rPr>
                <w:rFonts w:cs="Tahoma"/>
              </w:rPr>
              <w:t>rma</w:t>
            </w:r>
          </w:p>
        </w:tc>
      </w:tr>
      <w:tr w:rsidR="001D4F98" w:rsidRPr="004C43C9" w14:paraId="11B5C1E3" w14:textId="39E48CB2" w:rsidTr="0060123A">
        <w:trPr>
          <w:trHeight w:val="454"/>
        </w:trPr>
        <w:tc>
          <w:tcPr>
            <w:tcW w:w="467" w:type="dxa"/>
            <w:shd w:val="clear" w:color="auto" w:fill="auto"/>
            <w:vAlign w:val="center"/>
          </w:tcPr>
          <w:p w14:paraId="3FA156B4" w14:textId="77777777" w:rsidR="00971FEE" w:rsidRPr="004C43C9" w:rsidRDefault="00971FEE" w:rsidP="00366C08">
            <w:pPr>
              <w:spacing w:before="0" w:after="0" w:line="276" w:lineRule="auto"/>
              <w:jc w:val="center"/>
              <w:rPr>
                <w:rFonts w:cs="Tahoma"/>
              </w:rPr>
            </w:pPr>
            <w:r w:rsidRPr="004C43C9">
              <w:rPr>
                <w:rFonts w:cs="Tahoma"/>
              </w:rPr>
              <w:t>08</w:t>
            </w:r>
          </w:p>
        </w:tc>
        <w:tc>
          <w:tcPr>
            <w:tcW w:w="1484" w:type="dxa"/>
            <w:shd w:val="clear" w:color="auto" w:fill="auto"/>
            <w:vAlign w:val="center"/>
          </w:tcPr>
          <w:p w14:paraId="2B881EDE" w14:textId="77777777" w:rsidR="00971FEE" w:rsidRPr="004C43C9" w:rsidRDefault="00971FEE" w:rsidP="00366C08">
            <w:pPr>
              <w:spacing w:before="0" w:after="0" w:line="276" w:lineRule="auto"/>
              <w:jc w:val="left"/>
              <w:rPr>
                <w:rFonts w:cs="Tahoma"/>
              </w:rPr>
            </w:pPr>
            <w:r w:rsidRPr="004C43C9">
              <w:rPr>
                <w:rFonts w:cs="Tahoma"/>
              </w:rPr>
              <w:t>Abdoulaye</w:t>
            </w:r>
          </w:p>
        </w:tc>
        <w:tc>
          <w:tcPr>
            <w:tcW w:w="1985" w:type="dxa"/>
            <w:shd w:val="clear" w:color="auto" w:fill="auto"/>
            <w:vAlign w:val="center"/>
          </w:tcPr>
          <w:p w14:paraId="2014FE92" w14:textId="77777777" w:rsidR="00971FEE" w:rsidRPr="004C43C9" w:rsidRDefault="00971FEE" w:rsidP="00366C08">
            <w:pPr>
              <w:spacing w:before="0" w:after="0" w:line="276" w:lineRule="auto"/>
              <w:jc w:val="left"/>
              <w:rPr>
                <w:rFonts w:cs="Tahoma"/>
              </w:rPr>
            </w:pPr>
            <w:r w:rsidRPr="004C43C9">
              <w:rPr>
                <w:rFonts w:cs="Tahoma"/>
              </w:rPr>
              <w:t>OUMAROU</w:t>
            </w:r>
          </w:p>
        </w:tc>
        <w:tc>
          <w:tcPr>
            <w:tcW w:w="850" w:type="dxa"/>
            <w:shd w:val="clear" w:color="auto" w:fill="auto"/>
            <w:vAlign w:val="center"/>
          </w:tcPr>
          <w:p w14:paraId="6076EB4C"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6C923A05" w14:textId="77777777" w:rsidR="00971FEE" w:rsidRPr="004C43C9" w:rsidRDefault="00971FEE" w:rsidP="00366C08">
            <w:pPr>
              <w:spacing w:before="0" w:after="0" w:line="276" w:lineRule="auto"/>
              <w:jc w:val="left"/>
              <w:rPr>
                <w:rFonts w:cs="Tahoma"/>
              </w:rPr>
            </w:pPr>
            <w:r w:rsidRPr="004C43C9">
              <w:rPr>
                <w:rFonts w:cs="Tahoma"/>
              </w:rPr>
              <w:t>Ayorou</w:t>
            </w:r>
          </w:p>
        </w:tc>
        <w:tc>
          <w:tcPr>
            <w:tcW w:w="2234" w:type="dxa"/>
            <w:shd w:val="clear" w:color="auto" w:fill="auto"/>
            <w:vAlign w:val="center"/>
          </w:tcPr>
          <w:p w14:paraId="2CB32429" w14:textId="76D39C88"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6F7EFB94" w14:textId="2EC34F2C"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zarma- sonrai </w:t>
            </w:r>
          </w:p>
          <w:p w14:paraId="75864FED" w14:textId="2B1C41F1"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Haoussa </w:t>
            </w:r>
          </w:p>
          <w:p w14:paraId="0FF652EC" w14:textId="725D0D49" w:rsidR="00971FEE" w:rsidRPr="004C43C9"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Tamachek </w:t>
            </w:r>
          </w:p>
        </w:tc>
      </w:tr>
    </w:tbl>
    <w:p w14:paraId="0BD8AD9E" w14:textId="48F19041" w:rsidR="00D11013" w:rsidRDefault="007068E8" w:rsidP="002152F2">
      <w:pPr>
        <w:tabs>
          <w:tab w:val="left" w:pos="1565"/>
        </w:tabs>
        <w:rPr>
          <w:rFonts w:ascii="Times New Roman" w:hAnsi="Times New Roman" w:cs="Times New Roman"/>
          <w:u w:val="single"/>
        </w:rPr>
      </w:pPr>
      <w:r>
        <w:rPr>
          <w:rFonts w:ascii="Times New Roman" w:hAnsi="Times New Roman" w:cs="Times New Roman"/>
          <w:u w:val="single"/>
        </w:rPr>
        <w:t xml:space="preserve"> </w:t>
      </w:r>
    </w:p>
    <w:p w14:paraId="12893947" w14:textId="14D92CFE" w:rsidR="00D11013" w:rsidRDefault="00D11013" w:rsidP="003A3323">
      <w:pPr>
        <w:pStyle w:val="Titre2"/>
        <w:numPr>
          <w:ilvl w:val="0"/>
          <w:numId w:val="0"/>
        </w:numPr>
        <w:ind w:left="720" w:hanging="720"/>
      </w:pPr>
      <w:bookmarkStart w:id="1017" w:name="_Toc95451891"/>
      <w:r>
        <w:t xml:space="preserve">Annexe </w:t>
      </w:r>
      <w:r w:rsidR="00711328">
        <w:t>12</w:t>
      </w:r>
      <w:r>
        <w:t> : CV des enquêteurs et enquêtrices</w:t>
      </w:r>
      <w:bookmarkEnd w:id="1017"/>
      <w:r>
        <w:t xml:space="preserve"> </w:t>
      </w:r>
    </w:p>
    <w:p w14:paraId="78C89497" w14:textId="50293BF1" w:rsidR="00CC1245" w:rsidRPr="007007C9" w:rsidRDefault="00CC1245" w:rsidP="0060123A">
      <w:pPr>
        <w:shd w:val="clear" w:color="auto" w:fill="FFD966"/>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CV DE </w:t>
      </w:r>
      <w:r w:rsidRPr="007007C9">
        <w:rPr>
          <w:b/>
          <w:bCs/>
          <w:color w:val="0070C0"/>
          <w:sz w:val="24"/>
          <w:szCs w:val="24"/>
        </w:rPr>
        <w:t>INDAOUSSAHAK RHISSA</w:t>
      </w:r>
    </w:p>
    <w:p w14:paraId="7A44C7A9" w14:textId="4C266CC1" w:rsidR="00CC1245" w:rsidRPr="007007C9" w:rsidRDefault="00CC1245">
      <w:pPr>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IDENTITE </w:t>
      </w:r>
    </w:p>
    <w:p w14:paraId="289EBAFB" w14:textId="77777777" w:rsidR="00CC1245" w:rsidRPr="007007C9" w:rsidRDefault="00CC1245" w:rsidP="00FB2B45">
      <w:pPr>
        <w:pStyle w:val="Paragraphedeliste"/>
        <w:numPr>
          <w:ilvl w:val="0"/>
          <w:numId w:val="34"/>
        </w:numPr>
        <w:spacing w:before="0" w:after="200" w:line="276" w:lineRule="auto"/>
        <w:jc w:val="left"/>
      </w:pPr>
      <w:r w:rsidRPr="007007C9">
        <w:t xml:space="preserve">NOM : </w:t>
      </w:r>
      <w:r w:rsidRPr="003551E4">
        <w:rPr>
          <w:b/>
          <w:bCs/>
        </w:rPr>
        <w:t xml:space="preserve">INDAOUSSAHAK </w:t>
      </w:r>
    </w:p>
    <w:p w14:paraId="6C77FC48" w14:textId="77777777" w:rsidR="00CC1245" w:rsidRPr="007007C9" w:rsidRDefault="00CC1245" w:rsidP="00FB2B45">
      <w:pPr>
        <w:pStyle w:val="Paragraphedeliste"/>
        <w:numPr>
          <w:ilvl w:val="0"/>
          <w:numId w:val="34"/>
        </w:numPr>
        <w:spacing w:before="0" w:after="200" w:line="276" w:lineRule="auto"/>
        <w:jc w:val="left"/>
      </w:pPr>
      <w:r w:rsidRPr="007007C9">
        <w:t xml:space="preserve">PRENOM : </w:t>
      </w:r>
      <w:r w:rsidRPr="003551E4">
        <w:rPr>
          <w:b/>
          <w:bCs/>
        </w:rPr>
        <w:t xml:space="preserve">RHISSA </w:t>
      </w:r>
    </w:p>
    <w:p w14:paraId="521652D6" w14:textId="77777777" w:rsidR="00CC1245" w:rsidRPr="007007C9" w:rsidRDefault="00CC1245" w:rsidP="00FB2B45">
      <w:pPr>
        <w:pStyle w:val="Paragraphedeliste"/>
        <w:numPr>
          <w:ilvl w:val="0"/>
          <w:numId w:val="34"/>
        </w:numPr>
        <w:spacing w:before="0" w:after="200" w:line="276" w:lineRule="auto"/>
        <w:jc w:val="left"/>
      </w:pPr>
      <w:r w:rsidRPr="007007C9">
        <w:t xml:space="preserve">DATE ET LIEU DE NAISSANCE : VERS 1993 A MENAKA </w:t>
      </w:r>
    </w:p>
    <w:p w14:paraId="3D74BF2C" w14:textId="63BE283F" w:rsidR="00CC1245" w:rsidRPr="007007C9" w:rsidRDefault="00CC1245" w:rsidP="00FB2B45">
      <w:pPr>
        <w:pStyle w:val="Paragraphedeliste"/>
        <w:numPr>
          <w:ilvl w:val="0"/>
          <w:numId w:val="34"/>
        </w:numPr>
        <w:spacing w:before="0" w:after="200" w:line="276" w:lineRule="auto"/>
        <w:jc w:val="left"/>
      </w:pPr>
      <w:r w:rsidRPr="007007C9">
        <w:t>SITUATION MATRIMONIALE : Marié</w:t>
      </w:r>
    </w:p>
    <w:p w14:paraId="42D6D63F" w14:textId="77687114" w:rsidR="00CC1245" w:rsidRPr="007007C9" w:rsidRDefault="00CC1245" w:rsidP="00FB2B45">
      <w:pPr>
        <w:pStyle w:val="Paragraphedeliste"/>
        <w:numPr>
          <w:ilvl w:val="0"/>
          <w:numId w:val="34"/>
        </w:numPr>
        <w:spacing w:before="0" w:after="200" w:line="276" w:lineRule="auto"/>
        <w:jc w:val="left"/>
      </w:pPr>
      <w:r w:rsidRPr="007007C9">
        <w:t>ADRESSE : MENAKA 2 QUARTIER</w:t>
      </w:r>
    </w:p>
    <w:p w14:paraId="46E611DE" w14:textId="5B1E6EA5" w:rsidR="00CC1245" w:rsidRPr="007007C9" w:rsidRDefault="00CC1245" w:rsidP="007007C9">
      <w:pPr>
        <w:tabs>
          <w:tab w:val="left" w:pos="1565"/>
        </w:tabs>
        <w:spacing w:after="0"/>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CIRCUITS</w:t>
      </w:r>
      <w:r w:rsidR="007068E8">
        <w:rPr>
          <w:rFonts w:ascii="Times New Roman" w:hAnsi="Times New Roman" w:cs="Times New Roman"/>
          <w:b/>
          <w:bCs/>
          <w:color w:val="0070C0"/>
          <w:sz w:val="24"/>
          <w:szCs w:val="24"/>
        </w:rPr>
        <w:t xml:space="preserve"> </w:t>
      </w:r>
      <w:r w:rsidRPr="007007C9">
        <w:rPr>
          <w:rFonts w:ascii="Times New Roman" w:hAnsi="Times New Roman" w:cs="Times New Roman"/>
          <w:b/>
          <w:bCs/>
          <w:color w:val="0070C0"/>
          <w:sz w:val="24"/>
          <w:szCs w:val="24"/>
        </w:rPr>
        <w:t>SCOLAIRES</w:t>
      </w:r>
    </w:p>
    <w:p w14:paraId="03484978" w14:textId="533AA5AB" w:rsidR="00CC1245" w:rsidRDefault="00CC1245" w:rsidP="00FB2B45">
      <w:pPr>
        <w:pStyle w:val="Paragraphedeliste"/>
        <w:numPr>
          <w:ilvl w:val="0"/>
          <w:numId w:val="34"/>
        </w:numPr>
        <w:spacing w:before="0" w:after="200" w:line="276" w:lineRule="auto"/>
        <w:jc w:val="left"/>
      </w:pPr>
      <w:r>
        <w:t xml:space="preserve">2012-2014 : Baccalauréat malien série langue littérature au lycée publique de Ménaka </w:t>
      </w:r>
    </w:p>
    <w:p w14:paraId="07372F94" w14:textId="77777777" w:rsidR="00CC1245" w:rsidRDefault="00CC1245" w:rsidP="00FB2B45">
      <w:pPr>
        <w:pStyle w:val="Paragraphedeliste"/>
        <w:numPr>
          <w:ilvl w:val="0"/>
          <w:numId w:val="34"/>
        </w:numPr>
        <w:spacing w:before="0" w:after="200" w:line="276" w:lineRule="auto"/>
        <w:jc w:val="left"/>
      </w:pPr>
      <w:r>
        <w:t xml:space="preserve">Juin 2008 : Diplôme d’études fondamentales </w:t>
      </w:r>
    </w:p>
    <w:p w14:paraId="6B28EFF8" w14:textId="77777777" w:rsidR="00CC1245" w:rsidRPr="003F299B" w:rsidRDefault="00CC1245" w:rsidP="00FB2B45">
      <w:pPr>
        <w:pStyle w:val="Paragraphedeliste"/>
        <w:numPr>
          <w:ilvl w:val="0"/>
          <w:numId w:val="35"/>
        </w:numPr>
        <w:spacing w:before="0" w:after="0" w:line="240" w:lineRule="auto"/>
        <w:jc w:val="left"/>
        <w:rPr>
          <w:rFonts w:ascii="Calibri" w:eastAsia="Calibri" w:hAnsi="Calibri" w:cs="Calibri"/>
        </w:rPr>
      </w:pPr>
      <w:r>
        <w:t>Juin 2005 : Certificat d’étude primaire</w:t>
      </w:r>
    </w:p>
    <w:p w14:paraId="1C8AFE90" w14:textId="77777777" w:rsidR="00CC1245" w:rsidRDefault="00CC1245" w:rsidP="00CC1245">
      <w:pPr>
        <w:spacing w:after="0" w:line="240" w:lineRule="auto"/>
        <w:ind w:left="750"/>
        <w:rPr>
          <w:rFonts w:ascii="Calibri" w:eastAsia="Calibri" w:hAnsi="Calibri" w:cs="Calibri"/>
        </w:rPr>
      </w:pPr>
    </w:p>
    <w:p w14:paraId="1B54A039" w14:textId="173C7E3A" w:rsidR="00CC1245" w:rsidRPr="007007C9" w:rsidRDefault="00CC1245" w:rsidP="007007C9">
      <w:pPr>
        <w:tabs>
          <w:tab w:val="left" w:pos="1565"/>
        </w:tabs>
        <w:spacing w:after="0"/>
        <w:rPr>
          <w:rFonts w:ascii="Times New Roman" w:hAnsi="Times New Roman" w:cs="Times New Roman"/>
          <w:b/>
          <w:bCs/>
          <w:color w:val="0070C0"/>
          <w:sz w:val="24"/>
          <w:szCs w:val="24"/>
        </w:rPr>
      </w:pPr>
      <w:r w:rsidRPr="00CC1245">
        <w:rPr>
          <w:rFonts w:ascii="Times New Roman" w:hAnsi="Times New Roman" w:cs="Times New Roman"/>
          <w:b/>
          <w:bCs/>
          <w:color w:val="0070C0"/>
          <w:sz w:val="24"/>
          <w:szCs w:val="24"/>
        </w:rPr>
        <w:t>EXPERIENCES PROFESSIONNELLES</w:t>
      </w:r>
    </w:p>
    <w:p w14:paraId="1893703E" w14:textId="197F40FE" w:rsidR="00CC1245" w:rsidRPr="00F01CB8" w:rsidRDefault="00CC1245" w:rsidP="00FB2B45">
      <w:pPr>
        <w:pStyle w:val="Paragraphedeliste"/>
        <w:numPr>
          <w:ilvl w:val="0"/>
          <w:numId w:val="37"/>
        </w:numPr>
        <w:rPr>
          <w:b/>
          <w:highlight w:val="lightGray"/>
        </w:rPr>
      </w:pPr>
      <w:r w:rsidRPr="00F01CB8">
        <w:rPr>
          <w:b/>
          <w:highlight w:val="lightGray"/>
        </w:rPr>
        <w:t>Du 17 septembre 2017 au 30 juillet 2017 « Animateur » avec l’ONG-GARI dans la région de Ménaka</w:t>
      </w:r>
    </w:p>
    <w:p w14:paraId="6B45C394" w14:textId="77777777" w:rsidR="00CC1245" w:rsidRPr="007007C9" w:rsidRDefault="00CC1245" w:rsidP="00CC1245">
      <w:pPr>
        <w:spacing w:after="0" w:line="240" w:lineRule="auto"/>
        <w:rPr>
          <w:rFonts w:eastAsia="Times New Roman" w:cs="Times New Roman"/>
          <w:b/>
          <w:bCs/>
          <w:i/>
          <w:sz w:val="24"/>
          <w:szCs w:val="24"/>
          <w:u w:val="single"/>
        </w:rPr>
      </w:pPr>
      <w:r w:rsidRPr="007007C9">
        <w:rPr>
          <w:rFonts w:eastAsia="Times New Roman" w:cs="Times New Roman"/>
          <w:b/>
          <w:bCs/>
          <w:i/>
          <w:sz w:val="24"/>
          <w:szCs w:val="24"/>
          <w:u w:val="single"/>
        </w:rPr>
        <w:t>Mission et taches réalisées :</w:t>
      </w:r>
    </w:p>
    <w:p w14:paraId="6E6CE26C"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Rédiger des rapports mensuels sur l’évolution du projet.</w:t>
      </w:r>
    </w:p>
    <w:p w14:paraId="62374B88"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Travailler en étroite collaboration avec le C.G.S et A.M.E</w:t>
      </w:r>
    </w:p>
    <w:p w14:paraId="7E599BC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Thématique de sensibilisation sur l’hygiène en milieu scolaire.</w:t>
      </w:r>
    </w:p>
    <w:p w14:paraId="4EBB5A9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Cour de rattrapage.</w:t>
      </w:r>
    </w:p>
    <w:p w14:paraId="04905A82"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Formation du CGS et AME</w:t>
      </w:r>
    </w:p>
    <w:p w14:paraId="30ECF16A"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Suivi et évaluation</w:t>
      </w:r>
    </w:p>
    <w:p w14:paraId="0CF62E3A" w14:textId="5C234CAA" w:rsidR="00CC1245"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Suivi et évaluation</w:t>
      </w:r>
    </w:p>
    <w:p w14:paraId="5140FE5B" w14:textId="77777777" w:rsidR="00CC1245" w:rsidRPr="007007C9" w:rsidRDefault="00CC1245" w:rsidP="007007C9">
      <w:pPr>
        <w:spacing w:before="0" w:after="0" w:line="240" w:lineRule="auto"/>
        <w:ind w:left="720"/>
        <w:contextualSpacing/>
        <w:rPr>
          <w:rFonts w:eastAsia="Times New Roman" w:cs="Times New Roman"/>
          <w:bCs/>
          <w:sz w:val="24"/>
          <w:szCs w:val="24"/>
        </w:rPr>
      </w:pPr>
    </w:p>
    <w:p w14:paraId="5B581BD2" w14:textId="5C3E4AE0" w:rsidR="00CC1245" w:rsidRPr="00F01CB8" w:rsidRDefault="00CC1245" w:rsidP="00FB2B45">
      <w:pPr>
        <w:pStyle w:val="Paragraphedeliste"/>
        <w:numPr>
          <w:ilvl w:val="0"/>
          <w:numId w:val="37"/>
        </w:numPr>
        <w:rPr>
          <w:b/>
          <w:highlight w:val="lightGray"/>
        </w:rPr>
      </w:pPr>
      <w:r w:rsidRPr="00F01CB8">
        <w:rPr>
          <w:b/>
          <w:highlight w:val="lightGray"/>
        </w:rPr>
        <w:t>Du 12 juin2012 au 31 Mars 2016 « Relai Communautaire » avec l’ONG-GREFFA sur un programme de Was</w:t>
      </w:r>
      <w:r w:rsidR="000E1B7D" w:rsidRPr="00F01CB8">
        <w:rPr>
          <w:b/>
          <w:highlight w:val="lightGray"/>
        </w:rPr>
        <w:t>h</w:t>
      </w:r>
      <w:r w:rsidRPr="00F01CB8">
        <w:rPr>
          <w:b/>
          <w:highlight w:val="lightGray"/>
        </w:rPr>
        <w:t xml:space="preserve"> dans la région de Ménaka</w:t>
      </w:r>
    </w:p>
    <w:p w14:paraId="5E301C55" w14:textId="77777777" w:rsidR="00CC1245" w:rsidRPr="007007C9" w:rsidRDefault="00CC1245" w:rsidP="00CC1245">
      <w:pPr>
        <w:spacing w:after="0" w:line="240" w:lineRule="auto"/>
        <w:rPr>
          <w:rFonts w:eastAsia="Times New Roman" w:cs="Times New Roman"/>
          <w:b/>
          <w:bCs/>
          <w:i/>
          <w:sz w:val="24"/>
          <w:szCs w:val="24"/>
          <w:u w:val="single"/>
        </w:rPr>
      </w:pPr>
      <w:r w:rsidRPr="007007C9">
        <w:rPr>
          <w:rFonts w:eastAsia="Times New Roman" w:cs="Times New Roman"/>
          <w:b/>
          <w:bCs/>
          <w:i/>
          <w:sz w:val="24"/>
          <w:szCs w:val="24"/>
          <w:u w:val="single"/>
        </w:rPr>
        <w:t>Mission et taches réalisées :</w:t>
      </w:r>
    </w:p>
    <w:p w14:paraId="76BBC8E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Mobilisation de la communauté.</w:t>
      </w:r>
    </w:p>
    <w:p w14:paraId="36F24CBF" w14:textId="77777777" w:rsidR="00CC1245"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Sensibilisation sur la bonne pratique de l’assainissement</w:t>
      </w:r>
    </w:p>
    <w:p w14:paraId="4E1E9C58" w14:textId="107D6E04"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Sensibiliser les populations sur le traitement</w:t>
      </w:r>
    </w:p>
    <w:p w14:paraId="14EF7992" w14:textId="77777777" w:rsidR="00CC1245" w:rsidRDefault="00CC1245" w:rsidP="00CC1245">
      <w:pPr>
        <w:spacing w:after="0" w:line="240" w:lineRule="auto"/>
        <w:rPr>
          <w:rFonts w:ascii="Calibri" w:eastAsia="Calibri" w:hAnsi="Calibri" w:cs="Calibri"/>
          <w:b/>
        </w:rPr>
      </w:pPr>
    </w:p>
    <w:p w14:paraId="0760A9E6" w14:textId="77777777" w:rsidR="00CC1245" w:rsidRPr="00F01CB8" w:rsidRDefault="00CC1245" w:rsidP="00FB2B45">
      <w:pPr>
        <w:pStyle w:val="Paragraphedeliste"/>
        <w:numPr>
          <w:ilvl w:val="0"/>
          <w:numId w:val="37"/>
        </w:numPr>
        <w:rPr>
          <w:b/>
          <w:highlight w:val="lightGray"/>
        </w:rPr>
      </w:pPr>
      <w:r w:rsidRPr="00F01CB8">
        <w:rPr>
          <w:b/>
          <w:highlight w:val="lightGray"/>
        </w:rPr>
        <w:t xml:space="preserve">Septembre 2012 : Animateur au CIDM a Ménaka </w:t>
      </w:r>
    </w:p>
    <w:p w14:paraId="22628C70" w14:textId="6F485593" w:rsidR="00CC1245" w:rsidRPr="00F01CB8" w:rsidRDefault="00CC1245" w:rsidP="00FB2B45">
      <w:pPr>
        <w:pStyle w:val="Paragraphedeliste"/>
        <w:numPr>
          <w:ilvl w:val="0"/>
          <w:numId w:val="37"/>
        </w:numPr>
        <w:rPr>
          <w:b/>
          <w:highlight w:val="lightGray"/>
        </w:rPr>
      </w:pPr>
      <w:r w:rsidRPr="00F01CB8">
        <w:rPr>
          <w:b/>
          <w:highlight w:val="lightGray"/>
        </w:rPr>
        <w:t>Janvier 2013 à mars 2013</w:t>
      </w:r>
      <w:r w:rsidR="00A84843" w:rsidRPr="00F01CB8">
        <w:rPr>
          <w:b/>
          <w:highlight w:val="lightGray"/>
        </w:rPr>
        <w:t xml:space="preserve"> : </w:t>
      </w:r>
      <w:r w:rsidRPr="00F01CB8">
        <w:rPr>
          <w:b/>
          <w:highlight w:val="lightGray"/>
        </w:rPr>
        <w:t>Stagiaire à l’école MenakaII premier cycle discipline français</w:t>
      </w:r>
    </w:p>
    <w:p w14:paraId="39B25AC9" w14:textId="36525BA5" w:rsidR="00CC1245" w:rsidRPr="00F01CB8" w:rsidRDefault="00CC1245" w:rsidP="00FB2B45">
      <w:pPr>
        <w:pStyle w:val="Paragraphedeliste"/>
        <w:numPr>
          <w:ilvl w:val="0"/>
          <w:numId w:val="37"/>
        </w:numPr>
        <w:rPr>
          <w:b/>
          <w:highlight w:val="lightGray"/>
        </w:rPr>
      </w:pPr>
      <w:r w:rsidRPr="00F01CB8">
        <w:rPr>
          <w:b/>
          <w:highlight w:val="lightGray"/>
        </w:rPr>
        <w:t>Aout 2012</w:t>
      </w:r>
      <w:r w:rsidR="00A84843" w:rsidRPr="00F01CB8">
        <w:rPr>
          <w:b/>
          <w:highlight w:val="lightGray"/>
        </w:rPr>
        <w:t xml:space="preserve"> : </w:t>
      </w:r>
      <w:r w:rsidRPr="00F01CB8">
        <w:rPr>
          <w:b/>
          <w:highlight w:val="lightGray"/>
        </w:rPr>
        <w:t xml:space="preserve">Enquêteur ACAS </w:t>
      </w:r>
      <w:r w:rsidR="000E1B7D" w:rsidRPr="00F01CB8">
        <w:rPr>
          <w:b/>
          <w:highlight w:val="lightGray"/>
        </w:rPr>
        <w:t>à</w:t>
      </w:r>
      <w:r w:rsidRPr="00F01CB8">
        <w:rPr>
          <w:b/>
          <w:highlight w:val="lightGray"/>
        </w:rPr>
        <w:t xml:space="preserve"> Ménaka </w:t>
      </w:r>
    </w:p>
    <w:p w14:paraId="0A51B068" w14:textId="77777777" w:rsidR="00CC1245" w:rsidRDefault="00CC1245" w:rsidP="00CC1245">
      <w:pPr>
        <w:spacing w:after="0" w:line="240" w:lineRule="auto"/>
        <w:ind w:left="720"/>
        <w:rPr>
          <w:rFonts w:ascii="Calibri" w:eastAsia="Calibri" w:hAnsi="Calibri" w:cs="Calibri"/>
          <w:b/>
          <w:sz w:val="28"/>
        </w:rPr>
      </w:pPr>
    </w:p>
    <w:p w14:paraId="7AE94205" w14:textId="35438B7B" w:rsidR="00CC1245" w:rsidRPr="007007C9" w:rsidRDefault="00CC1245" w:rsidP="007007C9">
      <w:pPr>
        <w:tabs>
          <w:tab w:val="left" w:pos="1565"/>
        </w:tabs>
        <w:spacing w:after="0"/>
        <w:rPr>
          <w:rFonts w:ascii="Times New Roman" w:hAnsi="Times New Roman" w:cs="Times New Roman"/>
          <w:b/>
          <w:bCs/>
          <w:color w:val="0070C0"/>
          <w:sz w:val="24"/>
          <w:szCs w:val="24"/>
        </w:rPr>
      </w:pPr>
      <w:r w:rsidRPr="00CC1245">
        <w:rPr>
          <w:rFonts w:ascii="Times New Roman" w:hAnsi="Times New Roman" w:cs="Times New Roman"/>
          <w:b/>
          <w:bCs/>
          <w:color w:val="0070C0"/>
          <w:sz w:val="24"/>
          <w:szCs w:val="24"/>
        </w:rPr>
        <w:t>STAGES ET FORMATIONS</w:t>
      </w:r>
    </w:p>
    <w:p w14:paraId="6EA4A0F9" w14:textId="5C355648" w:rsidR="00CC1245" w:rsidRPr="00174F3F" w:rsidRDefault="00CC1245" w:rsidP="00FB2B45">
      <w:pPr>
        <w:pStyle w:val="Paragraphedeliste"/>
        <w:numPr>
          <w:ilvl w:val="0"/>
          <w:numId w:val="34"/>
        </w:numPr>
        <w:spacing w:before="0" w:after="200" w:line="276" w:lineRule="auto"/>
        <w:jc w:val="left"/>
      </w:pPr>
      <w:r w:rsidRPr="007007C9">
        <w:t>15 Décembre 2016 au 10 Janvier 2017</w:t>
      </w:r>
      <w:r w:rsidR="000E1B7D">
        <w:t xml:space="preserve"> </w:t>
      </w:r>
      <w:r w:rsidRPr="007007C9">
        <w:t xml:space="preserve">: Formation sur </w:t>
      </w:r>
      <w:r w:rsidR="000E1B7D" w:rsidRPr="007007C9">
        <w:t>la collecte</w:t>
      </w:r>
      <w:r w:rsidRPr="007007C9">
        <w:t xml:space="preserve"> des données relatives aux </w:t>
      </w:r>
      <w:r w:rsidR="000E1B7D" w:rsidRPr="007007C9">
        <w:t>préoccupations de</w:t>
      </w:r>
      <w:r w:rsidRPr="007007C9">
        <w:t xml:space="preserve"> la population malienne APAMà </w:t>
      </w:r>
      <w:r w:rsidR="000E1B7D" w:rsidRPr="007007C9">
        <w:t>Gao organisé</w:t>
      </w:r>
      <w:r w:rsidRPr="007007C9">
        <w:t xml:space="preserve"> par GISSE</w:t>
      </w:r>
    </w:p>
    <w:p w14:paraId="3CC0717C" w14:textId="73EE82B8" w:rsidR="00CC1245" w:rsidRPr="007007C9" w:rsidRDefault="00CC1245" w:rsidP="00FB2B45">
      <w:pPr>
        <w:pStyle w:val="Paragraphedeliste"/>
        <w:numPr>
          <w:ilvl w:val="0"/>
          <w:numId w:val="34"/>
        </w:numPr>
        <w:spacing w:before="0" w:after="200" w:line="276" w:lineRule="auto"/>
        <w:jc w:val="left"/>
      </w:pPr>
      <w:r w:rsidRPr="007007C9">
        <w:t>19 Novembre au 25 Décembre</w:t>
      </w:r>
      <w:r w:rsidR="00735989">
        <w:t xml:space="preserve"> </w:t>
      </w:r>
      <w:r w:rsidRPr="007007C9">
        <w:t xml:space="preserve">: Formation sur la collecte des données relatives aux </w:t>
      </w:r>
      <w:r w:rsidR="00735989" w:rsidRPr="00CC1245">
        <w:t>préoccupations de</w:t>
      </w:r>
      <w:r w:rsidRPr="007007C9">
        <w:t xml:space="preserve"> la population malienne sur l'actualité national et internationale ORB</w:t>
      </w:r>
      <w:r w:rsidR="00735989">
        <w:t xml:space="preserve"> </w:t>
      </w:r>
      <w:r w:rsidRPr="007007C9">
        <w:t>à Bamako organisé par GISSE</w:t>
      </w:r>
    </w:p>
    <w:p w14:paraId="3DCE73CB" w14:textId="70890569" w:rsidR="00CC1245" w:rsidRPr="007007C9" w:rsidRDefault="00CC1245" w:rsidP="00FB2B45">
      <w:pPr>
        <w:pStyle w:val="Paragraphedeliste"/>
        <w:numPr>
          <w:ilvl w:val="0"/>
          <w:numId w:val="34"/>
        </w:numPr>
        <w:spacing w:before="0" w:after="200" w:line="276" w:lineRule="auto"/>
        <w:jc w:val="left"/>
      </w:pPr>
      <w:r w:rsidRPr="007007C9">
        <w:t xml:space="preserve">13 – </w:t>
      </w:r>
      <w:r w:rsidR="00735989" w:rsidRPr="00CC1245">
        <w:t>15 Juillet 2016</w:t>
      </w:r>
      <w:r w:rsidRPr="007007C9">
        <w:t> : Formation sur la collecte des données sur les attitudes de la cohésion sociale organisé par UNICEF – GAO à Gao</w:t>
      </w:r>
    </w:p>
    <w:p w14:paraId="343D131B" w14:textId="77777777" w:rsidR="00CC1245" w:rsidRPr="007007C9" w:rsidRDefault="00CC1245" w:rsidP="00FB2B45">
      <w:pPr>
        <w:pStyle w:val="Paragraphedeliste"/>
        <w:numPr>
          <w:ilvl w:val="0"/>
          <w:numId w:val="34"/>
        </w:numPr>
        <w:spacing w:before="0" w:after="200" w:line="276" w:lineRule="auto"/>
        <w:jc w:val="left"/>
      </w:pPr>
      <w:r w:rsidRPr="007007C9">
        <w:t>Janvier - Juillet 2016 : Formation sur le projet de collecte des données continue dans le cadre de l'évaluation conjointe des besoins dans le Nord de Mali MIEC à Bamako organisé par GISSE</w:t>
      </w:r>
    </w:p>
    <w:p w14:paraId="2612BCEA" w14:textId="77777777" w:rsidR="00CC1245" w:rsidRPr="007007C9" w:rsidRDefault="00CC1245" w:rsidP="00FB2B45">
      <w:pPr>
        <w:pStyle w:val="Paragraphedeliste"/>
        <w:numPr>
          <w:ilvl w:val="0"/>
          <w:numId w:val="34"/>
        </w:numPr>
        <w:spacing w:before="0" w:after="200" w:line="276" w:lineRule="auto"/>
        <w:jc w:val="left"/>
      </w:pPr>
      <w:r w:rsidRPr="007007C9">
        <w:t>Novembre 2014 : Formation sur les Techniques de maraichage FAO à Gao</w:t>
      </w:r>
    </w:p>
    <w:p w14:paraId="37E62923" w14:textId="77777777" w:rsidR="00CC1245" w:rsidRPr="007007C9" w:rsidRDefault="00CC1245" w:rsidP="00FB2B45">
      <w:pPr>
        <w:pStyle w:val="Paragraphedeliste"/>
        <w:numPr>
          <w:ilvl w:val="0"/>
          <w:numId w:val="34"/>
        </w:numPr>
        <w:spacing w:before="0" w:after="200" w:line="276" w:lineRule="auto"/>
        <w:jc w:val="left"/>
      </w:pPr>
      <w:r w:rsidRPr="007007C9">
        <w:t>Septembre 2013 : Formation sur le Projet de Suivi des Déplacements Internes au Mali/ Flowing Monitoring Point par l’OIM à Gao ;</w:t>
      </w:r>
    </w:p>
    <w:p w14:paraId="13C4EC2C" w14:textId="77777777" w:rsidR="00CC1245" w:rsidRPr="007007C9" w:rsidRDefault="00CC1245" w:rsidP="00FB2B45">
      <w:pPr>
        <w:pStyle w:val="Paragraphedeliste"/>
        <w:numPr>
          <w:ilvl w:val="0"/>
          <w:numId w:val="34"/>
        </w:numPr>
        <w:spacing w:before="0" w:after="200" w:line="276" w:lineRule="auto"/>
        <w:jc w:val="left"/>
      </w:pPr>
      <w:r w:rsidRPr="007007C9">
        <w:t>Octobre 2013 : Formation sur l’évaluation des besoins des populations déplacées par l’OIM à Gao</w:t>
      </w:r>
    </w:p>
    <w:p w14:paraId="04A52044" w14:textId="484EB93A" w:rsidR="00CC1245" w:rsidRPr="007007C9" w:rsidRDefault="00CC1245" w:rsidP="00FB2B45">
      <w:pPr>
        <w:pStyle w:val="Paragraphedeliste"/>
        <w:numPr>
          <w:ilvl w:val="0"/>
          <w:numId w:val="34"/>
        </w:numPr>
        <w:spacing w:before="0" w:after="200" w:line="276" w:lineRule="auto"/>
        <w:jc w:val="left"/>
      </w:pPr>
      <w:r w:rsidRPr="007007C9">
        <w:t xml:space="preserve">Juillet 2013 : Formation d’un programme de distribution des kits scolaires à Gao organise </w:t>
      </w:r>
      <w:r w:rsidR="00735989" w:rsidRPr="00CC1245">
        <w:t>par UNICEF</w:t>
      </w:r>
    </w:p>
    <w:p w14:paraId="4DD380BB" w14:textId="1B109260" w:rsidR="00CC1245" w:rsidRPr="007007C9" w:rsidRDefault="00CC1245" w:rsidP="00FB2B45">
      <w:pPr>
        <w:pStyle w:val="Paragraphedeliste"/>
        <w:numPr>
          <w:ilvl w:val="0"/>
          <w:numId w:val="34"/>
        </w:numPr>
        <w:spacing w:before="0" w:after="200" w:line="276" w:lineRule="auto"/>
        <w:jc w:val="left"/>
      </w:pPr>
      <w:r w:rsidRPr="007007C9">
        <w:t xml:space="preserve">Avril – Juin 2012 : Formation en informatique Word, Excel, Power </w:t>
      </w:r>
      <w:r w:rsidR="000E1B7D" w:rsidRPr="007007C9">
        <w:t>Point</w:t>
      </w:r>
      <w:r w:rsidR="000E1B7D">
        <w:t>,</w:t>
      </w:r>
      <w:r w:rsidR="000E1B7D" w:rsidRPr="007007C9">
        <w:t xml:space="preserve"> …</w:t>
      </w:r>
      <w:r w:rsidRPr="007007C9">
        <w:t> ;</w:t>
      </w:r>
    </w:p>
    <w:p w14:paraId="45FE7055" w14:textId="45FDF084" w:rsidR="00CC1245" w:rsidRPr="007007C9" w:rsidRDefault="00CC1245" w:rsidP="00FB2B45">
      <w:pPr>
        <w:pStyle w:val="Paragraphedeliste"/>
        <w:numPr>
          <w:ilvl w:val="0"/>
          <w:numId w:val="34"/>
        </w:numPr>
        <w:spacing w:before="0" w:after="200" w:line="276" w:lineRule="auto"/>
        <w:jc w:val="left"/>
      </w:pPr>
      <w:r w:rsidRPr="007007C9">
        <w:t xml:space="preserve">15 au 26 février 2020 </w:t>
      </w:r>
      <w:r w:rsidR="00735989" w:rsidRPr="00CC1245">
        <w:t>Enquêteur</w:t>
      </w:r>
      <w:r w:rsidRPr="007007C9">
        <w:t xml:space="preserve"> pour l’ONG ACTED sur le ciblage </w:t>
      </w:r>
      <w:r w:rsidR="00735989" w:rsidRPr="00CC1245">
        <w:t>ménagère</w:t>
      </w:r>
      <w:r w:rsidRPr="007007C9">
        <w:t xml:space="preserve"> </w:t>
      </w:r>
    </w:p>
    <w:p w14:paraId="4D284405" w14:textId="77777777" w:rsidR="00CC1245" w:rsidRPr="007007C9" w:rsidRDefault="00CC1245" w:rsidP="00FB2B45">
      <w:pPr>
        <w:pStyle w:val="Paragraphedeliste"/>
        <w:numPr>
          <w:ilvl w:val="0"/>
          <w:numId w:val="34"/>
        </w:numPr>
        <w:spacing w:before="0" w:after="200" w:line="276" w:lineRule="auto"/>
        <w:jc w:val="left"/>
      </w:pPr>
      <w:r w:rsidRPr="007007C9">
        <w:t>J’ai participé à plusieurs séminaires, ateliers et rencontres au niveau local, régional et National.</w:t>
      </w:r>
    </w:p>
    <w:p w14:paraId="000B0748" w14:textId="5F01E278" w:rsidR="00CC1245" w:rsidRPr="007007C9" w:rsidRDefault="00735989" w:rsidP="007007C9">
      <w:pPr>
        <w:tabs>
          <w:tab w:val="left" w:pos="1565"/>
        </w:tabs>
        <w:spacing w:after="0"/>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LANGUES</w:t>
      </w:r>
      <w:r>
        <w:rPr>
          <w:rFonts w:ascii="Times New Roman" w:hAnsi="Times New Roman" w:cs="Times New Roman"/>
          <w:b/>
          <w:bCs/>
          <w:color w:val="0070C0"/>
          <w:sz w:val="24"/>
          <w:szCs w:val="24"/>
        </w:rPr>
        <w:t xml:space="preserve"> &amp; LOISIRS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295"/>
        <w:gridCol w:w="1155"/>
        <w:gridCol w:w="1068"/>
        <w:gridCol w:w="1280"/>
        <w:gridCol w:w="1488"/>
        <w:gridCol w:w="1552"/>
      </w:tblGrid>
      <w:tr w:rsidR="00735989" w:rsidRPr="001D4F98" w14:paraId="2996BB27" w14:textId="77777777" w:rsidTr="0060123A">
        <w:trPr>
          <w:trHeight w:val="20"/>
        </w:trPr>
        <w:tc>
          <w:tcPr>
            <w:tcW w:w="548" w:type="pct"/>
            <w:shd w:val="clear" w:color="auto" w:fill="auto"/>
          </w:tcPr>
          <w:p w14:paraId="422315E5" w14:textId="77777777" w:rsidR="00CC1245" w:rsidRPr="007007C9" w:rsidRDefault="00CC1245" w:rsidP="007007C9">
            <w:pPr>
              <w:spacing w:before="0" w:after="0" w:line="276" w:lineRule="auto"/>
              <w:jc w:val="center"/>
              <w:rPr>
                <w:b/>
                <w:bCs/>
              </w:rPr>
            </w:pPr>
            <w:r w:rsidRPr="007007C9">
              <w:rPr>
                <w:b/>
                <w:bCs/>
              </w:rPr>
              <w:t>Capacité</w:t>
            </w:r>
          </w:p>
        </w:tc>
        <w:tc>
          <w:tcPr>
            <w:tcW w:w="768" w:type="pct"/>
            <w:shd w:val="clear" w:color="auto" w:fill="auto"/>
          </w:tcPr>
          <w:p w14:paraId="570BC9A2" w14:textId="77777777" w:rsidR="00CC1245" w:rsidRPr="007007C9" w:rsidRDefault="00CC1245" w:rsidP="007007C9">
            <w:pPr>
              <w:spacing w:before="0" w:after="0" w:line="276" w:lineRule="auto"/>
              <w:jc w:val="center"/>
              <w:rPr>
                <w:b/>
                <w:bCs/>
              </w:rPr>
            </w:pPr>
            <w:r w:rsidRPr="007007C9">
              <w:rPr>
                <w:b/>
                <w:bCs/>
              </w:rPr>
              <w:t>Français</w:t>
            </w:r>
          </w:p>
        </w:tc>
        <w:tc>
          <w:tcPr>
            <w:tcW w:w="614" w:type="pct"/>
            <w:shd w:val="clear" w:color="auto" w:fill="auto"/>
          </w:tcPr>
          <w:p w14:paraId="7A43325A" w14:textId="77777777" w:rsidR="00CC1245" w:rsidRPr="007007C9" w:rsidRDefault="00CC1245" w:rsidP="007007C9">
            <w:pPr>
              <w:spacing w:before="0" w:after="0" w:line="276" w:lineRule="auto"/>
              <w:jc w:val="center"/>
              <w:rPr>
                <w:b/>
                <w:bCs/>
              </w:rPr>
            </w:pPr>
            <w:r w:rsidRPr="007007C9">
              <w:rPr>
                <w:b/>
                <w:bCs/>
              </w:rPr>
              <w:t>Anglais</w:t>
            </w:r>
          </w:p>
        </w:tc>
        <w:tc>
          <w:tcPr>
            <w:tcW w:w="643" w:type="pct"/>
            <w:shd w:val="clear" w:color="auto" w:fill="auto"/>
          </w:tcPr>
          <w:p w14:paraId="7EEF931D" w14:textId="77777777" w:rsidR="00CC1245" w:rsidRPr="007007C9" w:rsidRDefault="00CC1245" w:rsidP="007007C9">
            <w:pPr>
              <w:spacing w:before="0" w:after="0" w:line="276" w:lineRule="auto"/>
              <w:jc w:val="center"/>
              <w:rPr>
                <w:b/>
                <w:bCs/>
              </w:rPr>
            </w:pPr>
            <w:r w:rsidRPr="007007C9">
              <w:rPr>
                <w:b/>
                <w:bCs/>
              </w:rPr>
              <w:t>Sonrhaï</w:t>
            </w:r>
          </w:p>
        </w:tc>
        <w:tc>
          <w:tcPr>
            <w:tcW w:w="760" w:type="pct"/>
            <w:shd w:val="clear" w:color="auto" w:fill="auto"/>
          </w:tcPr>
          <w:p w14:paraId="47EBB971" w14:textId="77777777" w:rsidR="00CC1245" w:rsidRPr="007007C9" w:rsidRDefault="00CC1245" w:rsidP="007007C9">
            <w:pPr>
              <w:spacing w:before="0" w:after="0" w:line="276" w:lineRule="auto"/>
              <w:jc w:val="center"/>
              <w:rPr>
                <w:b/>
                <w:bCs/>
              </w:rPr>
            </w:pPr>
            <w:r w:rsidRPr="007007C9">
              <w:rPr>
                <w:b/>
                <w:bCs/>
              </w:rPr>
              <w:t>Bambara</w:t>
            </w:r>
          </w:p>
        </w:tc>
        <w:tc>
          <w:tcPr>
            <w:tcW w:w="757" w:type="pct"/>
            <w:shd w:val="clear" w:color="auto" w:fill="auto"/>
          </w:tcPr>
          <w:p w14:paraId="39361245" w14:textId="77777777" w:rsidR="00CC1245" w:rsidRPr="007007C9" w:rsidRDefault="00CC1245" w:rsidP="007007C9">
            <w:pPr>
              <w:spacing w:before="0" w:after="0" w:line="276" w:lineRule="auto"/>
              <w:jc w:val="center"/>
              <w:rPr>
                <w:b/>
                <w:bCs/>
              </w:rPr>
            </w:pPr>
            <w:r w:rsidRPr="007007C9">
              <w:rPr>
                <w:b/>
                <w:bCs/>
              </w:rPr>
              <w:t>Tamacheck</w:t>
            </w:r>
          </w:p>
        </w:tc>
        <w:tc>
          <w:tcPr>
            <w:tcW w:w="910" w:type="pct"/>
            <w:shd w:val="clear" w:color="auto" w:fill="auto"/>
          </w:tcPr>
          <w:p w14:paraId="6A67C252" w14:textId="77777777" w:rsidR="00CC1245" w:rsidRPr="007007C9" w:rsidRDefault="00CC1245" w:rsidP="007007C9">
            <w:pPr>
              <w:spacing w:before="0" w:after="0" w:line="276" w:lineRule="auto"/>
              <w:jc w:val="center"/>
              <w:rPr>
                <w:b/>
                <w:bCs/>
              </w:rPr>
            </w:pPr>
            <w:r w:rsidRPr="007007C9">
              <w:rPr>
                <w:b/>
                <w:bCs/>
              </w:rPr>
              <w:t>daoussahak</w:t>
            </w:r>
          </w:p>
        </w:tc>
      </w:tr>
      <w:tr w:rsidR="00735989" w:rsidRPr="001D4F98" w14:paraId="75B94AE4" w14:textId="77777777" w:rsidTr="0060123A">
        <w:trPr>
          <w:trHeight w:val="20"/>
        </w:trPr>
        <w:tc>
          <w:tcPr>
            <w:tcW w:w="548" w:type="pct"/>
            <w:shd w:val="clear" w:color="auto" w:fill="auto"/>
          </w:tcPr>
          <w:p w14:paraId="16968835" w14:textId="77777777" w:rsidR="00CC1245" w:rsidRPr="007007C9" w:rsidRDefault="00CC1245" w:rsidP="007007C9">
            <w:pPr>
              <w:spacing w:before="0" w:after="0" w:line="276" w:lineRule="auto"/>
              <w:jc w:val="center"/>
              <w:rPr>
                <w:b/>
                <w:bCs/>
                <w:caps/>
              </w:rPr>
            </w:pPr>
            <w:r w:rsidRPr="007007C9">
              <w:rPr>
                <w:b/>
                <w:bCs/>
                <w:caps/>
              </w:rPr>
              <w:t>L</w:t>
            </w:r>
            <w:r w:rsidRPr="007007C9">
              <w:rPr>
                <w:b/>
                <w:bCs/>
              </w:rPr>
              <w:t>ue</w:t>
            </w:r>
          </w:p>
        </w:tc>
        <w:tc>
          <w:tcPr>
            <w:tcW w:w="768" w:type="pct"/>
            <w:shd w:val="clear" w:color="auto" w:fill="auto"/>
          </w:tcPr>
          <w:p w14:paraId="27F42635"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5C6A87A2" w14:textId="77777777" w:rsidR="00CC1245" w:rsidRPr="007007C9" w:rsidRDefault="00CC1245" w:rsidP="007007C9">
            <w:pPr>
              <w:spacing w:before="0" w:after="0" w:line="276" w:lineRule="auto"/>
              <w:jc w:val="center"/>
              <w:rPr>
                <w:bCs/>
                <w:caps/>
              </w:rPr>
            </w:pPr>
            <w:r w:rsidRPr="007007C9">
              <w:rPr>
                <w:bCs/>
              </w:rPr>
              <w:t xml:space="preserve">Passable </w:t>
            </w:r>
          </w:p>
        </w:tc>
        <w:tc>
          <w:tcPr>
            <w:tcW w:w="643" w:type="pct"/>
            <w:shd w:val="clear" w:color="auto" w:fill="auto"/>
          </w:tcPr>
          <w:p w14:paraId="7DE23D85"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6B5F1831" w14:textId="796F6BC6" w:rsidR="00CC1245" w:rsidRPr="001211D9" w:rsidRDefault="00CC1245" w:rsidP="001211D9">
            <w:pPr>
              <w:spacing w:before="0" w:after="0" w:line="276" w:lineRule="auto"/>
              <w:jc w:val="center"/>
              <w:rPr>
                <w:bCs/>
              </w:rPr>
            </w:pPr>
            <w:r w:rsidRPr="007007C9">
              <w:rPr>
                <w:bCs/>
              </w:rPr>
              <w:t xml:space="preserve"> Assez</w:t>
            </w:r>
            <w:r w:rsidR="007068E8">
              <w:rPr>
                <w:bCs/>
              </w:rPr>
              <w:t xml:space="preserve"> </w:t>
            </w:r>
            <w:r w:rsidRPr="007007C9">
              <w:rPr>
                <w:bCs/>
              </w:rPr>
              <w:t>bien</w:t>
            </w:r>
          </w:p>
        </w:tc>
        <w:tc>
          <w:tcPr>
            <w:tcW w:w="757" w:type="pct"/>
            <w:shd w:val="clear" w:color="auto" w:fill="auto"/>
          </w:tcPr>
          <w:p w14:paraId="3A2FF9D3" w14:textId="77777777" w:rsidR="00CC1245" w:rsidRPr="007007C9" w:rsidRDefault="00CC1245" w:rsidP="007007C9">
            <w:pPr>
              <w:spacing w:before="0" w:after="0" w:line="276" w:lineRule="auto"/>
              <w:jc w:val="center"/>
              <w:rPr>
                <w:bCs/>
                <w:caps/>
              </w:rPr>
            </w:pPr>
            <w:r w:rsidRPr="007007C9">
              <w:rPr>
                <w:bCs/>
              </w:rPr>
              <w:t>Très bien</w:t>
            </w:r>
          </w:p>
        </w:tc>
        <w:tc>
          <w:tcPr>
            <w:tcW w:w="910" w:type="pct"/>
            <w:shd w:val="clear" w:color="auto" w:fill="auto"/>
          </w:tcPr>
          <w:p w14:paraId="5D8FEE64" w14:textId="77777777" w:rsidR="00CC1245" w:rsidRPr="007007C9" w:rsidRDefault="00CC1245" w:rsidP="007007C9">
            <w:pPr>
              <w:spacing w:before="0" w:after="0" w:line="276" w:lineRule="auto"/>
              <w:jc w:val="center"/>
              <w:rPr>
                <w:bCs/>
                <w:caps/>
              </w:rPr>
            </w:pPr>
            <w:r w:rsidRPr="007007C9">
              <w:rPr>
                <w:bCs/>
              </w:rPr>
              <w:t>bien</w:t>
            </w:r>
          </w:p>
        </w:tc>
      </w:tr>
      <w:tr w:rsidR="00735989" w:rsidRPr="001D4F98" w14:paraId="6000C142" w14:textId="77777777" w:rsidTr="0060123A">
        <w:trPr>
          <w:trHeight w:val="20"/>
        </w:trPr>
        <w:tc>
          <w:tcPr>
            <w:tcW w:w="548" w:type="pct"/>
            <w:shd w:val="clear" w:color="auto" w:fill="auto"/>
          </w:tcPr>
          <w:p w14:paraId="607B017D" w14:textId="77777777" w:rsidR="00CC1245" w:rsidRPr="007007C9" w:rsidRDefault="00CC1245" w:rsidP="007007C9">
            <w:pPr>
              <w:spacing w:before="0" w:after="0" w:line="276" w:lineRule="auto"/>
              <w:jc w:val="center"/>
              <w:rPr>
                <w:b/>
                <w:bCs/>
                <w:caps/>
              </w:rPr>
            </w:pPr>
            <w:r w:rsidRPr="007007C9">
              <w:rPr>
                <w:b/>
                <w:bCs/>
                <w:caps/>
              </w:rPr>
              <w:t>P</w:t>
            </w:r>
            <w:r w:rsidRPr="007007C9">
              <w:rPr>
                <w:b/>
                <w:bCs/>
              </w:rPr>
              <w:t>arlée</w:t>
            </w:r>
          </w:p>
        </w:tc>
        <w:tc>
          <w:tcPr>
            <w:tcW w:w="768" w:type="pct"/>
            <w:shd w:val="clear" w:color="auto" w:fill="auto"/>
          </w:tcPr>
          <w:p w14:paraId="69F51191"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79AFDCDC" w14:textId="77777777" w:rsidR="00CC1245" w:rsidRPr="007007C9" w:rsidRDefault="00CC1245" w:rsidP="007007C9">
            <w:pPr>
              <w:spacing w:before="0" w:after="0" w:line="276" w:lineRule="auto"/>
              <w:jc w:val="center"/>
              <w:rPr>
                <w:bCs/>
                <w:caps/>
              </w:rPr>
            </w:pPr>
            <w:r w:rsidRPr="007007C9">
              <w:rPr>
                <w:bCs/>
              </w:rPr>
              <w:t>Passable</w:t>
            </w:r>
          </w:p>
        </w:tc>
        <w:tc>
          <w:tcPr>
            <w:tcW w:w="643" w:type="pct"/>
            <w:shd w:val="clear" w:color="auto" w:fill="auto"/>
          </w:tcPr>
          <w:p w14:paraId="6AB8E76B"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5292EBAE" w14:textId="3DE51110" w:rsidR="00CC1245" w:rsidRPr="001211D9" w:rsidRDefault="00CC1245" w:rsidP="007007C9">
            <w:pPr>
              <w:spacing w:before="0" w:after="0" w:line="276" w:lineRule="auto"/>
              <w:jc w:val="center"/>
              <w:rPr>
                <w:bCs/>
              </w:rPr>
            </w:pPr>
            <w:r w:rsidRPr="007007C9">
              <w:rPr>
                <w:bCs/>
              </w:rPr>
              <w:t>Assez</w:t>
            </w:r>
            <w:r w:rsidR="007068E8">
              <w:rPr>
                <w:bCs/>
              </w:rPr>
              <w:t xml:space="preserve"> </w:t>
            </w:r>
            <w:r w:rsidRPr="007007C9">
              <w:rPr>
                <w:bCs/>
              </w:rPr>
              <w:t>bien</w:t>
            </w:r>
          </w:p>
        </w:tc>
        <w:tc>
          <w:tcPr>
            <w:tcW w:w="757" w:type="pct"/>
            <w:shd w:val="clear" w:color="auto" w:fill="auto"/>
          </w:tcPr>
          <w:p w14:paraId="69685D0E" w14:textId="77777777" w:rsidR="00CC1245" w:rsidRPr="007007C9" w:rsidRDefault="00CC1245" w:rsidP="007007C9">
            <w:pPr>
              <w:spacing w:before="0" w:after="0" w:line="276" w:lineRule="auto"/>
              <w:jc w:val="center"/>
              <w:rPr>
                <w:bCs/>
                <w:caps/>
              </w:rPr>
            </w:pPr>
            <w:r w:rsidRPr="007007C9">
              <w:rPr>
                <w:bCs/>
              </w:rPr>
              <w:t>Très bien</w:t>
            </w:r>
          </w:p>
        </w:tc>
        <w:tc>
          <w:tcPr>
            <w:tcW w:w="910" w:type="pct"/>
            <w:shd w:val="clear" w:color="auto" w:fill="auto"/>
          </w:tcPr>
          <w:p w14:paraId="63C6E309" w14:textId="77777777" w:rsidR="00CC1245" w:rsidRPr="007007C9" w:rsidRDefault="00CC1245" w:rsidP="007007C9">
            <w:pPr>
              <w:spacing w:before="0" w:after="0" w:line="276" w:lineRule="auto"/>
              <w:jc w:val="center"/>
              <w:rPr>
                <w:bCs/>
                <w:caps/>
              </w:rPr>
            </w:pPr>
            <w:r w:rsidRPr="007007C9">
              <w:rPr>
                <w:bCs/>
              </w:rPr>
              <w:t>bien</w:t>
            </w:r>
          </w:p>
        </w:tc>
      </w:tr>
      <w:tr w:rsidR="00735989" w:rsidRPr="001D4F98" w14:paraId="4DDABF90" w14:textId="77777777" w:rsidTr="0060123A">
        <w:trPr>
          <w:trHeight w:val="20"/>
        </w:trPr>
        <w:tc>
          <w:tcPr>
            <w:tcW w:w="548" w:type="pct"/>
            <w:shd w:val="clear" w:color="auto" w:fill="auto"/>
          </w:tcPr>
          <w:p w14:paraId="1802FDE3" w14:textId="77777777" w:rsidR="00CC1245" w:rsidRPr="007007C9" w:rsidRDefault="00CC1245" w:rsidP="007007C9">
            <w:pPr>
              <w:spacing w:before="0" w:after="0" w:line="276" w:lineRule="auto"/>
              <w:jc w:val="center"/>
              <w:rPr>
                <w:b/>
                <w:bCs/>
                <w:caps/>
              </w:rPr>
            </w:pPr>
            <w:r w:rsidRPr="007007C9">
              <w:rPr>
                <w:b/>
                <w:bCs/>
                <w:caps/>
              </w:rPr>
              <w:t>E</w:t>
            </w:r>
            <w:r w:rsidRPr="007007C9">
              <w:rPr>
                <w:b/>
                <w:bCs/>
              </w:rPr>
              <w:t>crite</w:t>
            </w:r>
          </w:p>
        </w:tc>
        <w:tc>
          <w:tcPr>
            <w:tcW w:w="768" w:type="pct"/>
            <w:shd w:val="clear" w:color="auto" w:fill="auto"/>
          </w:tcPr>
          <w:p w14:paraId="45D29913"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3B473CCD" w14:textId="77777777" w:rsidR="00CC1245" w:rsidRPr="007007C9" w:rsidRDefault="00CC1245" w:rsidP="007007C9">
            <w:pPr>
              <w:spacing w:before="0" w:after="0" w:line="276" w:lineRule="auto"/>
              <w:jc w:val="center"/>
              <w:rPr>
                <w:bCs/>
                <w:caps/>
              </w:rPr>
            </w:pPr>
            <w:r w:rsidRPr="007007C9">
              <w:rPr>
                <w:bCs/>
              </w:rPr>
              <w:t>Passable</w:t>
            </w:r>
          </w:p>
        </w:tc>
        <w:tc>
          <w:tcPr>
            <w:tcW w:w="643" w:type="pct"/>
            <w:shd w:val="clear" w:color="auto" w:fill="auto"/>
          </w:tcPr>
          <w:p w14:paraId="36F46894"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595CC304" w14:textId="17E43AAE" w:rsidR="00CC1245" w:rsidRPr="001211D9" w:rsidRDefault="00CC1245" w:rsidP="007007C9">
            <w:pPr>
              <w:spacing w:before="0" w:after="0" w:line="276" w:lineRule="auto"/>
              <w:jc w:val="center"/>
              <w:rPr>
                <w:bCs/>
              </w:rPr>
            </w:pPr>
            <w:r w:rsidRPr="007007C9">
              <w:rPr>
                <w:bCs/>
              </w:rPr>
              <w:t>Assez</w:t>
            </w:r>
            <w:r w:rsidR="007068E8">
              <w:rPr>
                <w:bCs/>
              </w:rPr>
              <w:t xml:space="preserve"> </w:t>
            </w:r>
            <w:r w:rsidRPr="007007C9">
              <w:rPr>
                <w:bCs/>
              </w:rPr>
              <w:t>bien</w:t>
            </w:r>
          </w:p>
        </w:tc>
        <w:tc>
          <w:tcPr>
            <w:tcW w:w="757" w:type="pct"/>
            <w:shd w:val="clear" w:color="auto" w:fill="auto"/>
          </w:tcPr>
          <w:p w14:paraId="56B254B5" w14:textId="5182483E" w:rsidR="00CC1245" w:rsidRPr="007007C9" w:rsidRDefault="007068E8" w:rsidP="007007C9">
            <w:pPr>
              <w:spacing w:before="0" w:after="0" w:line="276" w:lineRule="auto"/>
              <w:rPr>
                <w:bCs/>
                <w:caps/>
              </w:rPr>
            </w:pPr>
            <w:r>
              <w:rPr>
                <w:bCs/>
              </w:rPr>
              <w:t xml:space="preserve"> </w:t>
            </w:r>
            <w:r w:rsidR="00CC1245" w:rsidRPr="007007C9">
              <w:rPr>
                <w:bCs/>
              </w:rPr>
              <w:t>Très bien</w:t>
            </w:r>
          </w:p>
        </w:tc>
        <w:tc>
          <w:tcPr>
            <w:tcW w:w="910" w:type="pct"/>
            <w:shd w:val="clear" w:color="auto" w:fill="auto"/>
          </w:tcPr>
          <w:p w14:paraId="12687EF2" w14:textId="77777777" w:rsidR="00CC1245" w:rsidRPr="007007C9" w:rsidRDefault="00CC1245" w:rsidP="007007C9">
            <w:pPr>
              <w:spacing w:before="0" w:after="0" w:line="276" w:lineRule="auto"/>
              <w:jc w:val="center"/>
              <w:rPr>
                <w:bCs/>
                <w:caps/>
              </w:rPr>
            </w:pPr>
            <w:r w:rsidRPr="007007C9">
              <w:rPr>
                <w:bCs/>
              </w:rPr>
              <w:t>Assez bien</w:t>
            </w:r>
          </w:p>
        </w:tc>
      </w:tr>
    </w:tbl>
    <w:p w14:paraId="33FC1338" w14:textId="17BC86E0" w:rsidR="00CC1245" w:rsidRPr="007007C9" w:rsidRDefault="00735989" w:rsidP="00CC1245">
      <w:pPr>
        <w:rPr>
          <w:rFonts w:eastAsia="Times New Roman" w:cs="Times New Roman"/>
        </w:rPr>
      </w:pPr>
      <w:r w:rsidRPr="007007C9">
        <w:rPr>
          <w:rFonts w:eastAsia="Times New Roman" w:cs="Times New Roman"/>
          <w:b/>
          <w:bCs/>
          <w:u w:val="single"/>
        </w:rPr>
        <w:t>Loisirs :</w:t>
      </w:r>
      <w:r w:rsidR="007068E8">
        <w:rPr>
          <w:rFonts w:eastAsia="Times New Roman" w:cs="Times New Roman"/>
          <w:b/>
          <w:bCs/>
          <w:u w:val="single"/>
        </w:rPr>
        <w:t xml:space="preserve"> </w:t>
      </w:r>
      <w:r w:rsidR="00CC1245" w:rsidRPr="007007C9">
        <w:rPr>
          <w:rFonts w:eastAsia="Times New Roman" w:cs="Times New Roman"/>
        </w:rPr>
        <w:t>Sport; Lecture, Causerie débat et le Tourisme.</w:t>
      </w:r>
    </w:p>
    <w:p w14:paraId="687A246E" w14:textId="665A1126" w:rsidR="00CC1245" w:rsidRPr="00DD553F" w:rsidRDefault="00735989" w:rsidP="007007C9">
      <w:pPr>
        <w:tabs>
          <w:tab w:val="left" w:pos="1565"/>
        </w:tabs>
        <w:spacing w:after="0"/>
        <w:rPr>
          <w:b/>
          <w:sz w:val="32"/>
          <w:szCs w:val="32"/>
          <w:u w:val="single"/>
        </w:rPr>
      </w:pPr>
      <w:r w:rsidRPr="00735989">
        <w:rPr>
          <w:rFonts w:ascii="Times New Roman" w:hAnsi="Times New Roman" w:cs="Times New Roman"/>
          <w:b/>
          <w:bCs/>
          <w:color w:val="0070C0"/>
          <w:sz w:val="24"/>
          <w:szCs w:val="24"/>
        </w:rPr>
        <w:t>REFERENCE</w:t>
      </w:r>
      <w:r>
        <w:rPr>
          <w:rFonts w:ascii="Times New Roman" w:hAnsi="Times New Roman" w:cs="Times New Roman"/>
          <w:b/>
          <w:bCs/>
          <w:color w:val="0070C0"/>
          <w:sz w:val="24"/>
          <w:szCs w:val="24"/>
        </w:rPr>
        <w:t>S</w:t>
      </w:r>
      <w:r w:rsidRPr="00735989">
        <w:rPr>
          <w:rFonts w:ascii="Times New Roman" w:hAnsi="Times New Roman" w:cs="Times New Roman"/>
          <w:b/>
          <w:bCs/>
          <w:color w:val="0070C0"/>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2704"/>
        <w:gridCol w:w="3054"/>
      </w:tblGrid>
      <w:tr w:rsidR="00CC1245" w:rsidRPr="00EC640B" w14:paraId="741A2960" w14:textId="77777777" w:rsidTr="0060123A">
        <w:tc>
          <w:tcPr>
            <w:tcW w:w="1823" w:type="pct"/>
          </w:tcPr>
          <w:p w14:paraId="30D48F0A"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Prénoms et Noms</w:t>
            </w:r>
          </w:p>
        </w:tc>
        <w:tc>
          <w:tcPr>
            <w:tcW w:w="1492" w:type="pct"/>
          </w:tcPr>
          <w:p w14:paraId="65804EDE"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Adresse</w:t>
            </w:r>
            <w:r>
              <w:rPr>
                <w:b/>
                <w:sz w:val="24"/>
                <w:szCs w:val="24"/>
              </w:rPr>
              <w:t>/contact</w:t>
            </w:r>
          </w:p>
        </w:tc>
        <w:tc>
          <w:tcPr>
            <w:tcW w:w="1685" w:type="pct"/>
          </w:tcPr>
          <w:p w14:paraId="065E8B7F"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Position</w:t>
            </w:r>
          </w:p>
        </w:tc>
      </w:tr>
      <w:tr w:rsidR="00CC1245" w:rsidRPr="00EC640B" w14:paraId="5CF1D501" w14:textId="77777777" w:rsidTr="0060123A">
        <w:tc>
          <w:tcPr>
            <w:tcW w:w="1823" w:type="pct"/>
          </w:tcPr>
          <w:p w14:paraId="2AB24874" w14:textId="77777777" w:rsidR="00CC1245" w:rsidRPr="00EC640B" w:rsidRDefault="00CC1245" w:rsidP="007007C9">
            <w:pPr>
              <w:pStyle w:val="Paragraphedeliste"/>
              <w:tabs>
                <w:tab w:val="right" w:pos="2650"/>
              </w:tabs>
              <w:spacing w:before="0" w:after="0" w:line="276" w:lineRule="auto"/>
              <w:ind w:left="0"/>
              <w:rPr>
                <w:sz w:val="24"/>
                <w:szCs w:val="24"/>
              </w:rPr>
            </w:pPr>
            <w:r>
              <w:rPr>
                <w:sz w:val="24"/>
                <w:szCs w:val="24"/>
              </w:rPr>
              <w:t>Harouna Ibatane</w:t>
            </w:r>
          </w:p>
        </w:tc>
        <w:tc>
          <w:tcPr>
            <w:tcW w:w="1492" w:type="pct"/>
          </w:tcPr>
          <w:p w14:paraId="1492584B"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4D51FA08" w14:textId="77777777" w:rsidR="00CC1245" w:rsidRPr="00EC640B" w:rsidRDefault="00CC1245" w:rsidP="007007C9">
            <w:pPr>
              <w:pStyle w:val="Paragraphedeliste"/>
              <w:spacing w:before="0" w:after="0" w:line="276" w:lineRule="auto"/>
              <w:ind w:left="0"/>
              <w:rPr>
                <w:sz w:val="24"/>
                <w:szCs w:val="24"/>
              </w:rPr>
            </w:pPr>
            <w:r>
              <w:rPr>
                <w:sz w:val="24"/>
                <w:szCs w:val="24"/>
              </w:rPr>
              <w:t>Superviseur SDN</w:t>
            </w:r>
          </w:p>
        </w:tc>
      </w:tr>
      <w:tr w:rsidR="00CC1245" w:rsidRPr="00EC640B" w14:paraId="141CA3AA" w14:textId="77777777" w:rsidTr="0060123A">
        <w:tc>
          <w:tcPr>
            <w:tcW w:w="1823" w:type="pct"/>
          </w:tcPr>
          <w:p w14:paraId="448567DF" w14:textId="77777777" w:rsidR="00CC1245" w:rsidRPr="00EC640B" w:rsidRDefault="00CC1245" w:rsidP="007007C9">
            <w:pPr>
              <w:pStyle w:val="Paragraphedeliste"/>
              <w:spacing w:before="0" w:after="0" w:line="276" w:lineRule="auto"/>
              <w:ind w:left="0"/>
              <w:rPr>
                <w:sz w:val="24"/>
                <w:szCs w:val="24"/>
              </w:rPr>
            </w:pPr>
            <w:r>
              <w:rPr>
                <w:sz w:val="24"/>
                <w:szCs w:val="24"/>
              </w:rPr>
              <w:t>Boubacar Djibrilla</w:t>
            </w:r>
          </w:p>
        </w:tc>
        <w:tc>
          <w:tcPr>
            <w:tcW w:w="1492" w:type="pct"/>
          </w:tcPr>
          <w:p w14:paraId="4CEEAE0D"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7B9812F8" w14:textId="77777777" w:rsidR="00CC1245" w:rsidRPr="00EC640B" w:rsidRDefault="00CC1245" w:rsidP="007007C9">
            <w:pPr>
              <w:pStyle w:val="Paragraphedeliste"/>
              <w:spacing w:before="0" w:after="0" w:line="276" w:lineRule="auto"/>
              <w:ind w:left="0"/>
              <w:rPr>
                <w:sz w:val="24"/>
                <w:szCs w:val="24"/>
              </w:rPr>
            </w:pPr>
            <w:r>
              <w:rPr>
                <w:sz w:val="24"/>
                <w:szCs w:val="24"/>
              </w:rPr>
              <w:t>Superviseur SDN</w:t>
            </w:r>
          </w:p>
        </w:tc>
      </w:tr>
      <w:tr w:rsidR="00CC1245" w:rsidRPr="00EC640B" w14:paraId="2B9FA108" w14:textId="77777777" w:rsidTr="0060123A">
        <w:tc>
          <w:tcPr>
            <w:tcW w:w="1823" w:type="pct"/>
          </w:tcPr>
          <w:p w14:paraId="29BF7611" w14:textId="77777777" w:rsidR="00CC1245" w:rsidRPr="00EC640B" w:rsidRDefault="00CC1245" w:rsidP="007007C9">
            <w:pPr>
              <w:pStyle w:val="Paragraphedeliste"/>
              <w:spacing w:before="0" w:after="0" w:line="276" w:lineRule="auto"/>
              <w:ind w:left="0"/>
              <w:rPr>
                <w:sz w:val="24"/>
                <w:szCs w:val="24"/>
              </w:rPr>
            </w:pPr>
            <w:r>
              <w:rPr>
                <w:sz w:val="24"/>
                <w:szCs w:val="24"/>
              </w:rPr>
              <w:t>Ibrahim Idwal</w:t>
            </w:r>
          </w:p>
        </w:tc>
        <w:tc>
          <w:tcPr>
            <w:tcW w:w="1492" w:type="pct"/>
          </w:tcPr>
          <w:p w14:paraId="312144B1"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6454FDF6" w14:textId="77777777" w:rsidR="00CC1245" w:rsidRPr="00EC640B" w:rsidRDefault="00CC1245" w:rsidP="007007C9">
            <w:pPr>
              <w:pStyle w:val="Paragraphedeliste"/>
              <w:spacing w:before="0" w:after="0" w:line="276" w:lineRule="auto"/>
              <w:ind w:left="0"/>
              <w:rPr>
                <w:sz w:val="24"/>
                <w:szCs w:val="24"/>
              </w:rPr>
            </w:pPr>
            <w:r>
              <w:rPr>
                <w:sz w:val="24"/>
                <w:szCs w:val="24"/>
              </w:rPr>
              <w:t>Officer Protection de l’enfant</w:t>
            </w:r>
          </w:p>
        </w:tc>
      </w:tr>
    </w:tbl>
    <w:p w14:paraId="25F18181" w14:textId="77777777" w:rsidR="00CC1245" w:rsidRPr="00297F01" w:rsidRDefault="00CC1245" w:rsidP="00CC1245">
      <w:pPr>
        <w:tabs>
          <w:tab w:val="left" w:pos="531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D020449" w14:textId="77777777" w:rsidR="00CC1245" w:rsidRPr="007007C9" w:rsidRDefault="00CC1245" w:rsidP="00CC1245">
      <w:pPr>
        <w:rPr>
          <w:rFonts w:eastAsia="Times New Roman" w:cs="Times New Roman"/>
        </w:rPr>
      </w:pPr>
      <w:r w:rsidRPr="00297F01">
        <w:rPr>
          <w:rFonts w:ascii="Times New Roman" w:eastAsia="Times New Roman" w:hAnsi="Times New Roman" w:cs="Times New Roman"/>
          <w:sz w:val="24"/>
          <w:szCs w:val="24"/>
        </w:rPr>
        <w:t xml:space="preserve"> </w:t>
      </w:r>
      <w:r w:rsidRPr="007007C9">
        <w:rPr>
          <w:rFonts w:eastAsia="Times New Roman" w:cs="Times New Roman"/>
        </w:rPr>
        <w:t>Je soussigné, certifié en toute conscience, que les renseignements ci-dessus rendent fidèlement compte de ma situation, de mes qualifications et de mon expérience.</w:t>
      </w:r>
    </w:p>
    <w:p w14:paraId="30C3B64D" w14:textId="77777777" w:rsidR="00CC1245" w:rsidRDefault="00CC1245" w:rsidP="002152F2">
      <w:pPr>
        <w:tabs>
          <w:tab w:val="left" w:pos="1565"/>
        </w:tabs>
        <w:rPr>
          <w:rFonts w:ascii="Times New Roman" w:hAnsi="Times New Roman" w:cs="Times New Roman"/>
        </w:rPr>
      </w:pPr>
    </w:p>
    <w:p w14:paraId="7C295CFE" w14:textId="78584E34" w:rsidR="00735989" w:rsidRPr="00D623BF" w:rsidRDefault="00735989" w:rsidP="0060123A">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sidR="004F7AE7" w:rsidRPr="007007C9">
        <w:rPr>
          <w:rFonts w:ascii="Times New Roman" w:hAnsi="Times New Roman" w:cs="Times New Roman"/>
          <w:b/>
          <w:bCs/>
          <w:color w:val="0070C0"/>
          <w:sz w:val="24"/>
          <w:szCs w:val="24"/>
        </w:rPr>
        <w:t>ROKIATOU</w:t>
      </w:r>
      <w:r w:rsidR="004F7AE7">
        <w:rPr>
          <w:rFonts w:ascii="Times New Roman" w:hAnsi="Times New Roman" w:cs="Times New Roman"/>
          <w:b/>
          <w:bCs/>
          <w:color w:val="0070C0"/>
          <w:sz w:val="24"/>
          <w:szCs w:val="24"/>
        </w:rPr>
        <w:t xml:space="preserve"> DIAKITE</w:t>
      </w:r>
    </w:p>
    <w:p w14:paraId="40E2063B" w14:textId="77E24F28" w:rsidR="00735989" w:rsidRPr="007007C9" w:rsidRDefault="00735989" w:rsidP="007007C9">
      <w:pPr>
        <w:tabs>
          <w:tab w:val="left" w:pos="1565"/>
        </w:tabs>
        <w:spacing w:after="0"/>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IDENTITE </w:t>
      </w:r>
    </w:p>
    <w:p w14:paraId="1D334CD3" w14:textId="7F2966E6" w:rsidR="00735989" w:rsidRPr="007007C9" w:rsidRDefault="00735989" w:rsidP="00FB2B45">
      <w:pPr>
        <w:pStyle w:val="Paragraphedeliste"/>
        <w:numPr>
          <w:ilvl w:val="0"/>
          <w:numId w:val="34"/>
        </w:numPr>
        <w:spacing w:before="0" w:after="200" w:line="276" w:lineRule="auto"/>
        <w:jc w:val="left"/>
        <w:rPr>
          <w:b/>
          <w:bCs/>
        </w:rPr>
      </w:pPr>
      <w:r w:rsidRPr="007007C9">
        <w:rPr>
          <w:b/>
          <w:bCs/>
        </w:rPr>
        <w:t>Nom :</w:t>
      </w:r>
      <w:r w:rsidR="007068E8">
        <w:rPr>
          <w:b/>
          <w:bCs/>
        </w:rPr>
        <w:t xml:space="preserve"> </w:t>
      </w:r>
      <w:r w:rsidRPr="007007C9">
        <w:rPr>
          <w:b/>
          <w:bCs/>
        </w:rPr>
        <w:t xml:space="preserve">ROKIATOU </w:t>
      </w:r>
    </w:p>
    <w:p w14:paraId="54170DD2" w14:textId="0A00A84B" w:rsidR="00735989" w:rsidRPr="007007C9" w:rsidRDefault="00735989" w:rsidP="00FB2B45">
      <w:pPr>
        <w:pStyle w:val="Paragraphedeliste"/>
        <w:numPr>
          <w:ilvl w:val="0"/>
          <w:numId w:val="34"/>
        </w:numPr>
        <w:spacing w:before="0" w:after="200" w:line="276" w:lineRule="auto"/>
        <w:jc w:val="left"/>
        <w:rPr>
          <w:b/>
          <w:bCs/>
        </w:rPr>
      </w:pPr>
      <w:r w:rsidRPr="007007C9">
        <w:rPr>
          <w:b/>
          <w:bCs/>
        </w:rPr>
        <w:t>PRENOM :</w:t>
      </w:r>
      <w:r w:rsidR="007068E8">
        <w:rPr>
          <w:b/>
          <w:bCs/>
        </w:rPr>
        <w:t xml:space="preserve"> </w:t>
      </w:r>
      <w:r w:rsidRPr="007007C9">
        <w:rPr>
          <w:b/>
          <w:bCs/>
        </w:rPr>
        <w:t xml:space="preserve">DIAKITE </w:t>
      </w:r>
    </w:p>
    <w:p w14:paraId="137A22F5" w14:textId="77777777" w:rsidR="00735989" w:rsidRDefault="00735989" w:rsidP="00FB2B45">
      <w:pPr>
        <w:pStyle w:val="Paragraphedeliste"/>
        <w:numPr>
          <w:ilvl w:val="0"/>
          <w:numId w:val="34"/>
        </w:numPr>
        <w:spacing w:before="0" w:after="200" w:line="276" w:lineRule="auto"/>
        <w:jc w:val="left"/>
      </w:pPr>
      <w:r w:rsidRPr="007007C9">
        <w:t>Date de naissance</w:t>
      </w:r>
      <w:r>
        <w:t> : 04 / 09 / 1991 à Zantièbougou</w:t>
      </w:r>
    </w:p>
    <w:p w14:paraId="4F9BD989" w14:textId="77777777" w:rsidR="00735989" w:rsidRDefault="00735989" w:rsidP="00FB2B45">
      <w:pPr>
        <w:pStyle w:val="Paragraphedeliste"/>
        <w:numPr>
          <w:ilvl w:val="0"/>
          <w:numId w:val="34"/>
        </w:numPr>
        <w:spacing w:before="0" w:after="200" w:line="276" w:lineRule="auto"/>
        <w:jc w:val="left"/>
      </w:pPr>
      <w:r w:rsidRPr="007007C9">
        <w:t xml:space="preserve">Situation Matrimoniale </w:t>
      </w:r>
      <w:r>
        <w:t xml:space="preserve">: Mariée de deux Enfants </w:t>
      </w:r>
    </w:p>
    <w:p w14:paraId="28F53004" w14:textId="317F066E" w:rsidR="00735989" w:rsidRDefault="00735989" w:rsidP="00FB2B45">
      <w:pPr>
        <w:pStyle w:val="Paragraphedeliste"/>
        <w:numPr>
          <w:ilvl w:val="0"/>
          <w:numId w:val="34"/>
        </w:numPr>
        <w:spacing w:before="0" w:after="200" w:line="276" w:lineRule="auto"/>
        <w:jc w:val="left"/>
      </w:pPr>
      <w:r w:rsidRPr="007007C9">
        <w:t>Nationalité</w:t>
      </w:r>
      <w:r>
        <w:t> :</w:t>
      </w:r>
      <w:r w:rsidR="007068E8">
        <w:t xml:space="preserve"> </w:t>
      </w:r>
      <w:r>
        <w:t xml:space="preserve">Malienne </w:t>
      </w:r>
    </w:p>
    <w:p w14:paraId="613FDBB9" w14:textId="583F0FCD" w:rsidR="00735989" w:rsidRDefault="00735989" w:rsidP="00FB2B45">
      <w:pPr>
        <w:pStyle w:val="Paragraphedeliste"/>
        <w:numPr>
          <w:ilvl w:val="0"/>
          <w:numId w:val="34"/>
        </w:numPr>
        <w:spacing w:before="0" w:after="200" w:line="276" w:lineRule="auto"/>
        <w:jc w:val="left"/>
      </w:pPr>
      <w:r w:rsidRPr="007007C9">
        <w:t>Adresse</w:t>
      </w:r>
      <w:r>
        <w:t> : Ménaka 1</w:t>
      </w:r>
      <w:r w:rsidRPr="007007C9">
        <w:t>er</w:t>
      </w:r>
      <w:r>
        <w:t xml:space="preserve"> quartier</w:t>
      </w:r>
    </w:p>
    <w:p w14:paraId="69DD32FA" w14:textId="4AB8F1D7" w:rsidR="00735989" w:rsidRPr="007007C9" w:rsidRDefault="00735989" w:rsidP="007007C9">
      <w:pPr>
        <w:tabs>
          <w:tab w:val="left" w:pos="1565"/>
        </w:tabs>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CURSUS SCOLAIRES ET </w:t>
      </w:r>
      <w:r w:rsidRPr="00735989">
        <w:rPr>
          <w:rFonts w:ascii="Times New Roman" w:hAnsi="Times New Roman" w:cs="Times New Roman"/>
          <w:b/>
          <w:bCs/>
          <w:color w:val="0070C0"/>
          <w:sz w:val="24"/>
          <w:szCs w:val="24"/>
        </w:rPr>
        <w:t>DIPLOMES OBTENUS </w:t>
      </w:r>
    </w:p>
    <w:p w14:paraId="65F99ACD" w14:textId="77777777" w:rsidR="00735989" w:rsidRDefault="00735989" w:rsidP="00FB2B45">
      <w:pPr>
        <w:pStyle w:val="Paragraphedeliste"/>
        <w:numPr>
          <w:ilvl w:val="0"/>
          <w:numId w:val="38"/>
        </w:numPr>
        <w:spacing w:before="0" w:after="200" w:line="276" w:lineRule="auto"/>
        <w:jc w:val="left"/>
      </w:pPr>
      <w:r>
        <w:t>2002 - 2003 : Diplôme d’Etude Primaire (C.E.P) à l’école Fondamentale de Zantièbougou.</w:t>
      </w:r>
    </w:p>
    <w:p w14:paraId="33B49F96" w14:textId="522EDD85" w:rsidR="00735989" w:rsidRDefault="00735989" w:rsidP="00FB2B45">
      <w:pPr>
        <w:pStyle w:val="Paragraphedeliste"/>
        <w:numPr>
          <w:ilvl w:val="0"/>
          <w:numId w:val="38"/>
        </w:numPr>
        <w:spacing w:before="0" w:after="200" w:line="276" w:lineRule="auto"/>
        <w:jc w:val="left"/>
      </w:pPr>
      <w:r>
        <w:t>2006</w:t>
      </w:r>
      <w:r w:rsidR="007068E8">
        <w:t xml:space="preserve"> </w:t>
      </w:r>
      <w:r>
        <w:t>- 2007 : Diplôme d’Etude Fondamental (D.E.F) l’école fondamentale de Torakabougou 2</w:t>
      </w:r>
      <w:r>
        <w:rPr>
          <w:vertAlign w:val="superscript"/>
        </w:rPr>
        <w:t>ème</w:t>
      </w:r>
      <w:r>
        <w:t xml:space="preserve"> cycle B Bougouni.</w:t>
      </w:r>
    </w:p>
    <w:p w14:paraId="335B13A9" w14:textId="77777777" w:rsidR="00735989" w:rsidRDefault="00735989" w:rsidP="00FB2B45">
      <w:pPr>
        <w:pStyle w:val="Paragraphedeliste"/>
        <w:numPr>
          <w:ilvl w:val="0"/>
          <w:numId w:val="38"/>
        </w:numPr>
        <w:spacing w:before="0" w:after="200" w:line="276" w:lineRule="auto"/>
        <w:jc w:val="left"/>
      </w:pPr>
      <w:r>
        <w:t>2012 – 2013 : Brevet de Technicien Deuxième partie (BT2) Spécialité Secrétariat de Direction à l’E.S.E.T de Bougouni.</w:t>
      </w:r>
    </w:p>
    <w:p w14:paraId="480E0FE3" w14:textId="77777777" w:rsidR="00735989" w:rsidRDefault="00735989" w:rsidP="00FB2B45">
      <w:pPr>
        <w:pStyle w:val="Paragraphedeliste"/>
        <w:numPr>
          <w:ilvl w:val="0"/>
          <w:numId w:val="38"/>
        </w:numPr>
        <w:spacing w:before="0" w:after="200" w:line="276" w:lineRule="auto"/>
        <w:jc w:val="left"/>
      </w:pPr>
      <w:r>
        <w:t>Du 01 Décembre 2015 au Septembre 2015 : Attestation de Travail en Qualité de Secrétaire de Direction.</w:t>
      </w:r>
    </w:p>
    <w:p w14:paraId="5E845AF8" w14:textId="7980B2F2" w:rsidR="00735989" w:rsidRPr="007007C9" w:rsidRDefault="00735989" w:rsidP="007007C9">
      <w:pPr>
        <w:tabs>
          <w:tab w:val="left" w:pos="1565"/>
        </w:tabs>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 xml:space="preserve">EXPERIENCES PROFESSIONNELLES </w:t>
      </w:r>
    </w:p>
    <w:p w14:paraId="16A2BE54" w14:textId="77777777" w:rsidR="00735989" w:rsidRDefault="00735989" w:rsidP="00FB2B45">
      <w:pPr>
        <w:pStyle w:val="Paragraphedeliste"/>
        <w:numPr>
          <w:ilvl w:val="0"/>
          <w:numId w:val="38"/>
        </w:numPr>
        <w:spacing w:before="0" w:after="200" w:line="276" w:lineRule="auto"/>
        <w:jc w:val="left"/>
      </w:pPr>
      <w:r>
        <w:t>2012 - 2013 : Stage de fin de cycle au Centre d’Animation Pédagogique (C.A.P) de Bougouni.</w:t>
      </w:r>
    </w:p>
    <w:p w14:paraId="7C6C5502" w14:textId="77777777" w:rsidR="00735989" w:rsidRDefault="00735989" w:rsidP="00FB2B45">
      <w:pPr>
        <w:pStyle w:val="Paragraphedeliste"/>
        <w:numPr>
          <w:ilvl w:val="0"/>
          <w:numId w:val="38"/>
        </w:numPr>
        <w:spacing w:before="0" w:after="200" w:line="276" w:lineRule="auto"/>
        <w:jc w:val="left"/>
      </w:pPr>
      <w:r>
        <w:t xml:space="preserve">De 23 Mai au 31 Juillet 2016 : Stage au Projet My AGRO concernant la méthode de Semis, le Désherbage et la Transplantation des Plantes en Maraichage. </w:t>
      </w:r>
    </w:p>
    <w:p w14:paraId="63062C47" w14:textId="77777777" w:rsidR="00735989" w:rsidRDefault="00735989" w:rsidP="00FB2B45">
      <w:pPr>
        <w:pStyle w:val="Paragraphedeliste"/>
        <w:numPr>
          <w:ilvl w:val="0"/>
          <w:numId w:val="38"/>
        </w:numPr>
        <w:spacing w:before="0" w:after="200" w:line="276" w:lineRule="auto"/>
        <w:jc w:val="left"/>
      </w:pPr>
      <w:r>
        <w:t>Du 01 Décembre 2015 au 30 Septembre 2017 : Attestation de Travail en Qualité de Secrétaire de Direction au Cyber Campus Informatique de Bougouni pour l’Initiative Word et Excel.</w:t>
      </w:r>
    </w:p>
    <w:p w14:paraId="7EDD980D" w14:textId="69E68BD2" w:rsidR="00735989" w:rsidRDefault="00735989" w:rsidP="00FB2B45">
      <w:pPr>
        <w:pStyle w:val="Paragraphedeliste"/>
        <w:numPr>
          <w:ilvl w:val="0"/>
          <w:numId w:val="38"/>
        </w:numPr>
        <w:spacing w:before="0" w:after="200" w:line="276" w:lineRule="auto"/>
        <w:jc w:val="left"/>
      </w:pPr>
      <w:r>
        <w:t>Du 15 Avril au 1</w:t>
      </w:r>
      <w:r>
        <w:rPr>
          <w:vertAlign w:val="superscript"/>
        </w:rPr>
        <w:t>er</w:t>
      </w:r>
      <w:r>
        <w:t xml:space="preserve"> Mai 2018 : Attestation de Formation sur l’Alphabétisation des femmes en langue local tamasheq avec l’ONG ASDN </w:t>
      </w:r>
      <w:r w:rsidR="000E1B7D">
        <w:t>à</w:t>
      </w:r>
      <w:r>
        <w:t xml:space="preserve"> travers</w:t>
      </w:r>
      <w:r w:rsidR="007068E8">
        <w:t xml:space="preserve"> </w:t>
      </w:r>
      <w:r>
        <w:t>le programme gouvernance locale redevable (P-GLR) à Ménaka.</w:t>
      </w:r>
    </w:p>
    <w:p w14:paraId="161F1905" w14:textId="549FE833" w:rsidR="00735989" w:rsidRDefault="00735989" w:rsidP="00FB2B45">
      <w:pPr>
        <w:pStyle w:val="Paragraphedeliste"/>
        <w:numPr>
          <w:ilvl w:val="0"/>
          <w:numId w:val="38"/>
        </w:numPr>
        <w:spacing w:before="0" w:after="200" w:line="276" w:lineRule="auto"/>
        <w:jc w:val="left"/>
      </w:pPr>
      <w:r>
        <w:t>De janvier 2018 a décembre 2018</w:t>
      </w:r>
      <w:r w:rsidR="000E1B7D">
        <w:t xml:space="preserve"> : </w:t>
      </w:r>
      <w:r w:rsidRPr="007007C9">
        <w:rPr>
          <w:b/>
          <w:bCs/>
        </w:rPr>
        <w:t>animatrice sur le VBG à l’ONG GARDEL de Ménaka</w:t>
      </w:r>
    </w:p>
    <w:p w14:paraId="420F96AE" w14:textId="77777777" w:rsidR="00735989" w:rsidRDefault="00735989" w:rsidP="00FB2B45">
      <w:pPr>
        <w:pStyle w:val="Paragraphedeliste"/>
        <w:numPr>
          <w:ilvl w:val="0"/>
          <w:numId w:val="38"/>
        </w:numPr>
        <w:spacing w:before="0" w:after="200" w:line="276" w:lineRule="auto"/>
        <w:jc w:val="left"/>
      </w:pPr>
      <w:r>
        <w:t>Stage de L’APJ en secrétariat de direction au service de développement sociale et de l’économie solidaire de Ménaka contingent 2019</w:t>
      </w:r>
    </w:p>
    <w:p w14:paraId="6B145E16" w14:textId="337455BC" w:rsidR="00735989" w:rsidRDefault="00735989" w:rsidP="00FB2B45">
      <w:pPr>
        <w:pStyle w:val="Paragraphedeliste"/>
        <w:numPr>
          <w:ilvl w:val="0"/>
          <w:numId w:val="38"/>
        </w:numPr>
        <w:spacing w:before="0" w:after="200" w:line="276" w:lineRule="auto"/>
        <w:jc w:val="left"/>
      </w:pPr>
      <w:r>
        <w:t xml:space="preserve"> De 11 juin AU 18 JUIN 2020</w:t>
      </w:r>
      <w:r w:rsidR="004F7AE7">
        <w:t xml:space="preserve"> : </w:t>
      </w:r>
      <w:r w:rsidRPr="007007C9">
        <w:rPr>
          <w:b/>
          <w:bCs/>
        </w:rPr>
        <w:t>Enquêtrice</w:t>
      </w:r>
      <w:r w:rsidR="007068E8">
        <w:rPr>
          <w:b/>
          <w:bCs/>
        </w:rPr>
        <w:t xml:space="preserve"> </w:t>
      </w:r>
      <w:r w:rsidRPr="007007C9">
        <w:rPr>
          <w:b/>
          <w:bCs/>
        </w:rPr>
        <w:t>sur le module kobocollect sur la perception de la sécurité dans la région de Ménaka de l’ONG développement durable de Ménaka (DDM II)</w:t>
      </w:r>
      <w:r>
        <w:t xml:space="preserve"> </w:t>
      </w:r>
    </w:p>
    <w:p w14:paraId="076A59C6" w14:textId="77777777" w:rsidR="00735989" w:rsidRPr="007007C9" w:rsidRDefault="00735989" w:rsidP="007007C9">
      <w:pPr>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CONNAISSANCE EN INFORMATIQUE</w:t>
      </w:r>
    </w:p>
    <w:p w14:paraId="23E7B581" w14:textId="27ED92C2" w:rsidR="00735989" w:rsidRPr="007007C9" w:rsidRDefault="00735989" w:rsidP="00FB2B45">
      <w:pPr>
        <w:pStyle w:val="Paragraphedeliste"/>
        <w:numPr>
          <w:ilvl w:val="0"/>
          <w:numId w:val="38"/>
        </w:numPr>
        <w:spacing w:before="0" w:after="200" w:line="276" w:lineRule="auto"/>
        <w:jc w:val="left"/>
      </w:pPr>
      <w:r>
        <w:t xml:space="preserve">Suite bureautique </w:t>
      </w:r>
      <w:r w:rsidRPr="007007C9">
        <w:t xml:space="preserve">Microsoft </w:t>
      </w:r>
      <w:r>
        <w:t>(</w:t>
      </w:r>
      <w:r w:rsidRPr="007007C9">
        <w:t>Word, Excel, PowerPoint</w:t>
      </w:r>
    </w:p>
    <w:p w14:paraId="0B2AE90A" w14:textId="77777777" w:rsidR="00735989" w:rsidRPr="007007C9" w:rsidRDefault="00735989" w:rsidP="00FB2B45">
      <w:pPr>
        <w:pStyle w:val="Paragraphedeliste"/>
        <w:numPr>
          <w:ilvl w:val="0"/>
          <w:numId w:val="38"/>
        </w:numPr>
        <w:spacing w:before="0" w:after="200" w:line="276" w:lineRule="auto"/>
        <w:jc w:val="left"/>
      </w:pPr>
      <w:r w:rsidRPr="007007C9">
        <w:t>Scanner</w:t>
      </w:r>
    </w:p>
    <w:p w14:paraId="083AC994" w14:textId="77777777" w:rsidR="00735989" w:rsidRPr="007007C9" w:rsidRDefault="00735989" w:rsidP="00FB2B45">
      <w:pPr>
        <w:pStyle w:val="Paragraphedeliste"/>
        <w:numPr>
          <w:ilvl w:val="0"/>
          <w:numId w:val="38"/>
        </w:numPr>
        <w:spacing w:before="0" w:after="200" w:line="276" w:lineRule="auto"/>
        <w:jc w:val="left"/>
      </w:pPr>
      <w:r w:rsidRPr="007007C9">
        <w:t>Photocopies</w:t>
      </w:r>
    </w:p>
    <w:p w14:paraId="5253D4EF" w14:textId="77777777" w:rsidR="00735989" w:rsidRPr="007007C9" w:rsidRDefault="00735989" w:rsidP="00FB2B45">
      <w:pPr>
        <w:pStyle w:val="Paragraphedeliste"/>
        <w:numPr>
          <w:ilvl w:val="0"/>
          <w:numId w:val="38"/>
        </w:numPr>
        <w:spacing w:before="0" w:after="200" w:line="276" w:lineRule="auto"/>
        <w:jc w:val="left"/>
      </w:pPr>
      <w:r w:rsidRPr="007007C9">
        <w:t>Internet</w:t>
      </w:r>
    </w:p>
    <w:p w14:paraId="751CA811" w14:textId="77777777" w:rsidR="00735989" w:rsidRPr="007007C9" w:rsidRDefault="00735989" w:rsidP="00735989">
      <w:pPr>
        <w:pStyle w:val="Paragraphedeliste"/>
        <w:jc w:val="center"/>
        <w:rPr>
          <w:rFonts w:ascii="Algerian" w:hAnsi="Algerian"/>
          <w:sz w:val="12"/>
          <w:szCs w:val="12"/>
          <w:u w:val="single"/>
        </w:rPr>
      </w:pPr>
    </w:p>
    <w:p w14:paraId="67688CCF" w14:textId="57E4F2A9" w:rsidR="00735989" w:rsidRPr="007007C9" w:rsidRDefault="00735989" w:rsidP="007007C9">
      <w:pPr>
        <w:tabs>
          <w:tab w:val="left" w:pos="1565"/>
        </w:tabs>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LANGUE PARLEE </w:t>
      </w:r>
      <w:r>
        <w:rPr>
          <w:rFonts w:ascii="Times New Roman" w:hAnsi="Times New Roman" w:cs="Times New Roman"/>
          <w:b/>
          <w:bCs/>
          <w:color w:val="0070C0"/>
          <w:sz w:val="24"/>
          <w:szCs w:val="24"/>
        </w:rPr>
        <w:t>&amp; LOISIRS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61"/>
        <w:gridCol w:w="2261"/>
        <w:gridCol w:w="2261"/>
      </w:tblGrid>
      <w:tr w:rsidR="00735989" w:rsidRPr="004F7AE7" w14:paraId="5DFBD7FE" w14:textId="77777777" w:rsidTr="0060123A">
        <w:trPr>
          <w:trHeight w:val="283"/>
        </w:trPr>
        <w:tc>
          <w:tcPr>
            <w:tcW w:w="2394" w:type="dxa"/>
            <w:shd w:val="clear" w:color="auto" w:fill="auto"/>
          </w:tcPr>
          <w:p w14:paraId="30EECC20" w14:textId="77777777" w:rsidR="00735989" w:rsidRPr="007007C9" w:rsidRDefault="00735989" w:rsidP="007007C9">
            <w:pPr>
              <w:spacing w:before="0" w:after="0" w:line="276" w:lineRule="auto"/>
              <w:jc w:val="center"/>
              <w:rPr>
                <w:b/>
                <w:bCs/>
              </w:rPr>
            </w:pPr>
            <w:r w:rsidRPr="007007C9">
              <w:rPr>
                <w:b/>
                <w:bCs/>
              </w:rPr>
              <w:t>LANGUES</w:t>
            </w:r>
          </w:p>
        </w:tc>
        <w:tc>
          <w:tcPr>
            <w:tcW w:w="2394" w:type="dxa"/>
            <w:shd w:val="clear" w:color="auto" w:fill="auto"/>
          </w:tcPr>
          <w:p w14:paraId="5419A2D1" w14:textId="77777777" w:rsidR="00735989" w:rsidRPr="007007C9" w:rsidRDefault="00735989" w:rsidP="007007C9">
            <w:pPr>
              <w:spacing w:before="0" w:after="0" w:line="276" w:lineRule="auto"/>
              <w:jc w:val="center"/>
              <w:rPr>
                <w:b/>
                <w:bCs/>
              </w:rPr>
            </w:pPr>
            <w:r w:rsidRPr="007007C9">
              <w:rPr>
                <w:b/>
                <w:bCs/>
              </w:rPr>
              <w:t>PARLE</w:t>
            </w:r>
          </w:p>
        </w:tc>
        <w:tc>
          <w:tcPr>
            <w:tcW w:w="2394" w:type="dxa"/>
            <w:shd w:val="clear" w:color="auto" w:fill="auto"/>
          </w:tcPr>
          <w:p w14:paraId="768818CB" w14:textId="77777777" w:rsidR="00735989" w:rsidRPr="007007C9" w:rsidRDefault="00735989" w:rsidP="007007C9">
            <w:pPr>
              <w:spacing w:before="0" w:after="0" w:line="276" w:lineRule="auto"/>
              <w:jc w:val="center"/>
              <w:rPr>
                <w:b/>
                <w:bCs/>
              </w:rPr>
            </w:pPr>
            <w:r w:rsidRPr="007007C9">
              <w:rPr>
                <w:b/>
                <w:bCs/>
              </w:rPr>
              <w:t>LU</w:t>
            </w:r>
          </w:p>
        </w:tc>
        <w:tc>
          <w:tcPr>
            <w:tcW w:w="2394" w:type="dxa"/>
            <w:shd w:val="clear" w:color="auto" w:fill="auto"/>
          </w:tcPr>
          <w:p w14:paraId="5E2C2106" w14:textId="77777777" w:rsidR="00735989" w:rsidRPr="007007C9" w:rsidRDefault="00735989" w:rsidP="007007C9">
            <w:pPr>
              <w:spacing w:before="0" w:after="0" w:line="276" w:lineRule="auto"/>
              <w:jc w:val="center"/>
              <w:rPr>
                <w:b/>
                <w:bCs/>
              </w:rPr>
            </w:pPr>
            <w:r w:rsidRPr="007007C9">
              <w:rPr>
                <w:b/>
                <w:bCs/>
              </w:rPr>
              <w:t>ECRITES</w:t>
            </w:r>
          </w:p>
        </w:tc>
      </w:tr>
      <w:tr w:rsidR="00735989" w:rsidRPr="004F7AE7" w14:paraId="4C6DB4F4" w14:textId="77777777" w:rsidTr="0060123A">
        <w:trPr>
          <w:trHeight w:val="283"/>
        </w:trPr>
        <w:tc>
          <w:tcPr>
            <w:tcW w:w="2394" w:type="dxa"/>
            <w:shd w:val="clear" w:color="auto" w:fill="auto"/>
          </w:tcPr>
          <w:p w14:paraId="219A0BEF" w14:textId="77777777" w:rsidR="00735989" w:rsidRPr="004F7AE7" w:rsidRDefault="00735989" w:rsidP="007007C9">
            <w:pPr>
              <w:spacing w:before="0" w:after="0" w:line="276" w:lineRule="auto"/>
              <w:jc w:val="center"/>
            </w:pPr>
            <w:r w:rsidRPr="004F7AE7">
              <w:t>Français</w:t>
            </w:r>
          </w:p>
        </w:tc>
        <w:tc>
          <w:tcPr>
            <w:tcW w:w="2394" w:type="dxa"/>
            <w:shd w:val="clear" w:color="auto" w:fill="auto"/>
          </w:tcPr>
          <w:p w14:paraId="2DC88F71" w14:textId="77777777" w:rsidR="00735989" w:rsidRPr="004F7AE7" w:rsidRDefault="00735989" w:rsidP="007007C9">
            <w:pPr>
              <w:spacing w:before="0" w:after="0" w:line="276" w:lineRule="auto"/>
              <w:jc w:val="center"/>
            </w:pPr>
            <w:r w:rsidRPr="004F7AE7">
              <w:t>Très Bien</w:t>
            </w:r>
          </w:p>
        </w:tc>
        <w:tc>
          <w:tcPr>
            <w:tcW w:w="2394" w:type="dxa"/>
            <w:shd w:val="clear" w:color="auto" w:fill="auto"/>
          </w:tcPr>
          <w:p w14:paraId="02339DB3" w14:textId="77777777" w:rsidR="00735989" w:rsidRPr="004F7AE7" w:rsidRDefault="00735989" w:rsidP="007007C9">
            <w:pPr>
              <w:spacing w:before="0" w:after="0" w:line="276" w:lineRule="auto"/>
              <w:jc w:val="center"/>
            </w:pPr>
            <w:r w:rsidRPr="004F7AE7">
              <w:t>Très Bien</w:t>
            </w:r>
          </w:p>
        </w:tc>
        <w:tc>
          <w:tcPr>
            <w:tcW w:w="2394" w:type="dxa"/>
            <w:shd w:val="clear" w:color="auto" w:fill="auto"/>
          </w:tcPr>
          <w:p w14:paraId="11357F9F" w14:textId="77777777" w:rsidR="00735989" w:rsidRPr="004F7AE7" w:rsidRDefault="00735989" w:rsidP="007007C9">
            <w:pPr>
              <w:spacing w:before="0" w:after="0" w:line="276" w:lineRule="auto"/>
              <w:jc w:val="center"/>
            </w:pPr>
            <w:r w:rsidRPr="004F7AE7">
              <w:t>Très Bien</w:t>
            </w:r>
          </w:p>
        </w:tc>
      </w:tr>
      <w:tr w:rsidR="00735989" w:rsidRPr="004F7AE7" w14:paraId="3E5F0161" w14:textId="77777777" w:rsidTr="0060123A">
        <w:trPr>
          <w:trHeight w:val="283"/>
        </w:trPr>
        <w:tc>
          <w:tcPr>
            <w:tcW w:w="2394" w:type="dxa"/>
            <w:shd w:val="clear" w:color="auto" w:fill="auto"/>
          </w:tcPr>
          <w:p w14:paraId="27C3DC58" w14:textId="77777777" w:rsidR="00735989" w:rsidRPr="004F7AE7" w:rsidRDefault="00735989" w:rsidP="007007C9">
            <w:pPr>
              <w:spacing w:before="0" w:after="0" w:line="276" w:lineRule="auto"/>
              <w:jc w:val="center"/>
            </w:pPr>
            <w:r w:rsidRPr="004F7AE7">
              <w:t>Bambara</w:t>
            </w:r>
          </w:p>
        </w:tc>
        <w:tc>
          <w:tcPr>
            <w:tcW w:w="2394" w:type="dxa"/>
            <w:shd w:val="clear" w:color="auto" w:fill="auto"/>
          </w:tcPr>
          <w:p w14:paraId="1FE8DE6F"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43AA0039"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6BD75183" w14:textId="77777777" w:rsidR="00735989" w:rsidRPr="004F7AE7" w:rsidRDefault="00735989" w:rsidP="007007C9">
            <w:pPr>
              <w:spacing w:before="0" w:after="0" w:line="276" w:lineRule="auto"/>
              <w:jc w:val="center"/>
            </w:pPr>
            <w:r w:rsidRPr="004F7AE7">
              <w:t>Bien</w:t>
            </w:r>
          </w:p>
        </w:tc>
      </w:tr>
      <w:tr w:rsidR="00735989" w:rsidRPr="004F7AE7" w14:paraId="63B2F2AF" w14:textId="77777777" w:rsidTr="0060123A">
        <w:trPr>
          <w:trHeight w:val="283"/>
        </w:trPr>
        <w:tc>
          <w:tcPr>
            <w:tcW w:w="2394" w:type="dxa"/>
            <w:shd w:val="clear" w:color="auto" w:fill="auto"/>
          </w:tcPr>
          <w:p w14:paraId="5DC4CA91" w14:textId="34D3EBAF" w:rsidR="00735989" w:rsidRPr="004F7AE7" w:rsidRDefault="00735989" w:rsidP="007007C9">
            <w:pPr>
              <w:spacing w:before="0" w:after="0" w:line="276" w:lineRule="auto"/>
              <w:jc w:val="center"/>
            </w:pPr>
            <w:r w:rsidRPr="004F7AE7">
              <w:t>So</w:t>
            </w:r>
            <w:r w:rsidR="00C45041">
              <w:t>nhr</w:t>
            </w:r>
            <w:r w:rsidRPr="004F7AE7">
              <w:t>ai</w:t>
            </w:r>
          </w:p>
        </w:tc>
        <w:tc>
          <w:tcPr>
            <w:tcW w:w="2394" w:type="dxa"/>
            <w:shd w:val="clear" w:color="auto" w:fill="auto"/>
          </w:tcPr>
          <w:p w14:paraId="619BFED5"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388C0945"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6F4C7860" w14:textId="77777777" w:rsidR="00735989" w:rsidRPr="004F7AE7" w:rsidRDefault="00735989" w:rsidP="007007C9">
            <w:pPr>
              <w:spacing w:before="0" w:after="0" w:line="276" w:lineRule="auto"/>
              <w:jc w:val="center"/>
            </w:pPr>
            <w:r w:rsidRPr="004F7AE7">
              <w:t>Bien</w:t>
            </w:r>
          </w:p>
        </w:tc>
      </w:tr>
      <w:tr w:rsidR="00735989" w:rsidRPr="004F7AE7" w14:paraId="2FECA85F" w14:textId="77777777" w:rsidTr="0060123A">
        <w:trPr>
          <w:trHeight w:val="283"/>
        </w:trPr>
        <w:tc>
          <w:tcPr>
            <w:tcW w:w="2394" w:type="dxa"/>
            <w:shd w:val="clear" w:color="auto" w:fill="auto"/>
          </w:tcPr>
          <w:p w14:paraId="63150E7F" w14:textId="261736A6" w:rsidR="00735989" w:rsidRPr="004F7AE7" w:rsidRDefault="00735989" w:rsidP="007007C9">
            <w:pPr>
              <w:spacing w:before="0" w:after="0" w:line="276" w:lineRule="auto"/>
              <w:jc w:val="center"/>
            </w:pPr>
            <w:r w:rsidRPr="004F7AE7">
              <w:t>Tama</w:t>
            </w:r>
            <w:r w:rsidR="004F7AE7" w:rsidRPr="004F7AE7">
              <w:t>s</w:t>
            </w:r>
            <w:r w:rsidRPr="004F7AE7">
              <w:t xml:space="preserve">heq </w:t>
            </w:r>
          </w:p>
        </w:tc>
        <w:tc>
          <w:tcPr>
            <w:tcW w:w="2394" w:type="dxa"/>
            <w:shd w:val="clear" w:color="auto" w:fill="auto"/>
          </w:tcPr>
          <w:p w14:paraId="39D9FFB2" w14:textId="77777777" w:rsidR="00735989" w:rsidRPr="004F7AE7" w:rsidRDefault="00735989" w:rsidP="007007C9">
            <w:pPr>
              <w:spacing w:before="0" w:after="0" w:line="276" w:lineRule="auto"/>
              <w:jc w:val="center"/>
            </w:pPr>
            <w:r w:rsidRPr="004F7AE7">
              <w:t xml:space="preserve">Passable </w:t>
            </w:r>
          </w:p>
        </w:tc>
        <w:tc>
          <w:tcPr>
            <w:tcW w:w="2394" w:type="dxa"/>
            <w:shd w:val="clear" w:color="auto" w:fill="auto"/>
          </w:tcPr>
          <w:p w14:paraId="7B33162B" w14:textId="77777777" w:rsidR="00735989" w:rsidRPr="004F7AE7" w:rsidRDefault="00735989" w:rsidP="007007C9">
            <w:pPr>
              <w:spacing w:before="0" w:after="0" w:line="276" w:lineRule="auto"/>
              <w:jc w:val="center"/>
            </w:pPr>
            <w:r w:rsidRPr="004F7AE7">
              <w:t xml:space="preserve">Passable </w:t>
            </w:r>
          </w:p>
        </w:tc>
        <w:tc>
          <w:tcPr>
            <w:tcW w:w="2394" w:type="dxa"/>
            <w:shd w:val="clear" w:color="auto" w:fill="auto"/>
          </w:tcPr>
          <w:p w14:paraId="71E66CE6" w14:textId="77777777" w:rsidR="00735989" w:rsidRPr="004F7AE7" w:rsidRDefault="00735989" w:rsidP="007007C9">
            <w:pPr>
              <w:spacing w:before="0" w:after="0" w:line="276" w:lineRule="auto"/>
              <w:jc w:val="center"/>
            </w:pPr>
            <w:r w:rsidRPr="004F7AE7">
              <w:t xml:space="preserve">Passable </w:t>
            </w:r>
          </w:p>
        </w:tc>
      </w:tr>
    </w:tbl>
    <w:p w14:paraId="2503FEE2" w14:textId="77777777" w:rsidR="00735989" w:rsidRDefault="00735989" w:rsidP="00735989">
      <w:pPr>
        <w:tabs>
          <w:tab w:val="left" w:pos="8064"/>
        </w:tabs>
      </w:pPr>
      <w:r w:rsidRPr="007007C9">
        <w:rPr>
          <w:b/>
          <w:bCs/>
        </w:rPr>
        <w:t>Loisirs :</w:t>
      </w:r>
      <w:r>
        <w:t xml:space="preserve"> Lecture, Musique, Voyage</w:t>
      </w:r>
    </w:p>
    <w:p w14:paraId="2555EAB0" w14:textId="4D9A9864" w:rsidR="00735989" w:rsidRPr="007007C9" w:rsidRDefault="00735989" w:rsidP="00735989">
      <w:pPr>
        <w:rPr>
          <w:rFonts w:eastAsia="Times New Roman" w:cs="Times New Roman"/>
        </w:rPr>
      </w:pPr>
      <w:r w:rsidRPr="007007C9">
        <w:rPr>
          <w:rFonts w:eastAsia="Times New Roman" w:cs="Times New Roman"/>
        </w:rPr>
        <w:t>J’atteste que les informations figurant dans le présent Curriculum Vital sont exactes, complètes et honnêtement présentées.</w:t>
      </w:r>
    </w:p>
    <w:p w14:paraId="6C1DF6B0" w14:textId="506E1041" w:rsidR="004F7AE7" w:rsidRPr="00D623BF" w:rsidRDefault="004F7AE7" w:rsidP="0060123A">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sidRPr="004F7AE7">
        <w:rPr>
          <w:rFonts w:ascii="Times New Roman" w:hAnsi="Times New Roman" w:cs="Times New Roman"/>
          <w:b/>
          <w:bCs/>
          <w:color w:val="0070C0"/>
          <w:sz w:val="24"/>
          <w:szCs w:val="24"/>
        </w:rPr>
        <w:t>NIALY</w:t>
      </w:r>
      <w:r>
        <w:rPr>
          <w:rFonts w:ascii="Times New Roman" w:hAnsi="Times New Roman" w:cs="Times New Roman"/>
          <w:b/>
          <w:bCs/>
          <w:color w:val="0070C0"/>
          <w:sz w:val="24"/>
          <w:szCs w:val="24"/>
        </w:rPr>
        <w:t xml:space="preserve"> Moctar</w:t>
      </w:r>
    </w:p>
    <w:p w14:paraId="5F1CB49F" w14:textId="77777777" w:rsidR="004F7AE7" w:rsidRPr="00D623BF" w:rsidRDefault="004F7AE7" w:rsidP="004F7AE7">
      <w:pPr>
        <w:tabs>
          <w:tab w:val="left" w:pos="1565"/>
        </w:tabs>
        <w:spacing w:after="0"/>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IDENTITE </w:t>
      </w:r>
    </w:p>
    <w:p w14:paraId="2C3F3759" w14:textId="48CFC454" w:rsidR="004F7AE7" w:rsidRPr="007007C9" w:rsidRDefault="004F7AE7" w:rsidP="00FB2B45">
      <w:pPr>
        <w:pStyle w:val="Paragraphedeliste"/>
        <w:numPr>
          <w:ilvl w:val="0"/>
          <w:numId w:val="34"/>
        </w:numPr>
        <w:spacing w:before="0" w:after="200" w:line="276" w:lineRule="auto"/>
        <w:jc w:val="left"/>
        <w:rPr>
          <w:b/>
          <w:bCs/>
        </w:rPr>
      </w:pPr>
      <w:r w:rsidRPr="007007C9">
        <w:rPr>
          <w:b/>
          <w:bCs/>
        </w:rPr>
        <w:t xml:space="preserve">Nom : </w:t>
      </w:r>
      <w:r w:rsidRPr="004F7AE7">
        <w:rPr>
          <w:b/>
          <w:bCs/>
        </w:rPr>
        <w:t>NIALY</w:t>
      </w:r>
    </w:p>
    <w:p w14:paraId="103B1525" w14:textId="77777777" w:rsidR="004F7AE7" w:rsidRPr="007007C9" w:rsidRDefault="004F7AE7" w:rsidP="00FB2B45">
      <w:pPr>
        <w:pStyle w:val="Paragraphedeliste"/>
        <w:numPr>
          <w:ilvl w:val="0"/>
          <w:numId w:val="34"/>
        </w:numPr>
        <w:spacing w:before="0" w:after="200" w:line="276" w:lineRule="auto"/>
        <w:jc w:val="left"/>
        <w:rPr>
          <w:b/>
          <w:bCs/>
        </w:rPr>
      </w:pPr>
      <w:r w:rsidRPr="007007C9">
        <w:rPr>
          <w:b/>
          <w:bCs/>
        </w:rPr>
        <w:t>Prénom : Moctar</w:t>
      </w:r>
    </w:p>
    <w:p w14:paraId="45A6EEAE" w14:textId="77777777" w:rsidR="004F7AE7" w:rsidRPr="007007C9" w:rsidRDefault="004F7AE7" w:rsidP="00FB2B45">
      <w:pPr>
        <w:pStyle w:val="Paragraphedeliste"/>
        <w:numPr>
          <w:ilvl w:val="0"/>
          <w:numId w:val="34"/>
        </w:numPr>
        <w:spacing w:before="0" w:after="200" w:line="276" w:lineRule="auto"/>
        <w:jc w:val="left"/>
      </w:pPr>
      <w:r w:rsidRPr="007007C9">
        <w:t>Date et lieu de naissance : 24 /10 /1992 à Tombouctou</w:t>
      </w:r>
    </w:p>
    <w:p w14:paraId="301F5291" w14:textId="77777777" w:rsidR="004F7AE7" w:rsidRPr="007007C9" w:rsidRDefault="004F7AE7" w:rsidP="00FB2B45">
      <w:pPr>
        <w:pStyle w:val="Paragraphedeliste"/>
        <w:numPr>
          <w:ilvl w:val="0"/>
          <w:numId w:val="34"/>
        </w:numPr>
        <w:spacing w:before="0" w:after="200" w:line="276" w:lineRule="auto"/>
        <w:jc w:val="left"/>
      </w:pPr>
      <w:r w:rsidRPr="007007C9">
        <w:t>Nationalité : Malienne</w:t>
      </w:r>
    </w:p>
    <w:p w14:paraId="3CAF57D9" w14:textId="77777777" w:rsidR="004F7AE7" w:rsidRPr="007007C9" w:rsidRDefault="004F7AE7" w:rsidP="00FB2B45">
      <w:pPr>
        <w:pStyle w:val="Paragraphedeliste"/>
        <w:numPr>
          <w:ilvl w:val="0"/>
          <w:numId w:val="34"/>
        </w:numPr>
        <w:spacing w:before="0" w:after="200" w:line="276" w:lineRule="auto"/>
        <w:jc w:val="left"/>
      </w:pPr>
      <w:r w:rsidRPr="007007C9">
        <w:t xml:space="preserve">Situation matrimoniale : Célibataire </w:t>
      </w:r>
    </w:p>
    <w:p w14:paraId="2DC9EB23" w14:textId="77777777" w:rsidR="004F7AE7" w:rsidRPr="007007C9" w:rsidRDefault="004F7AE7" w:rsidP="00FB2B45">
      <w:pPr>
        <w:pStyle w:val="Paragraphedeliste"/>
        <w:numPr>
          <w:ilvl w:val="0"/>
          <w:numId w:val="34"/>
        </w:numPr>
        <w:spacing w:before="0" w:after="200" w:line="276" w:lineRule="auto"/>
        <w:jc w:val="left"/>
      </w:pPr>
      <w:r w:rsidRPr="007007C9">
        <w:t>Domicile : GAO (Boulgoundjié)</w:t>
      </w:r>
    </w:p>
    <w:p w14:paraId="2FA05983" w14:textId="3CBEBF0E" w:rsidR="004F7AE7" w:rsidRPr="007007C9" w:rsidRDefault="004F7AE7" w:rsidP="007007C9">
      <w:pPr>
        <w:tabs>
          <w:tab w:val="left" w:pos="1565"/>
        </w:tabs>
        <w:spacing w:after="0"/>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CURSUS SCOLAIRE &amp; </w:t>
      </w:r>
      <w:r w:rsidRPr="004F7AE7">
        <w:rPr>
          <w:rFonts w:ascii="Times New Roman" w:hAnsi="Times New Roman" w:cs="Times New Roman"/>
          <w:b/>
          <w:bCs/>
          <w:color w:val="0070C0"/>
          <w:sz w:val="24"/>
          <w:szCs w:val="24"/>
        </w:rPr>
        <w:t>DIPLOMES OBTENUS</w:t>
      </w:r>
    </w:p>
    <w:p w14:paraId="74261062" w14:textId="77777777" w:rsidR="004F7AE7" w:rsidRPr="007007C9" w:rsidRDefault="004F7AE7" w:rsidP="00FB2B45">
      <w:pPr>
        <w:pStyle w:val="Paragraphedeliste"/>
        <w:numPr>
          <w:ilvl w:val="0"/>
          <w:numId w:val="34"/>
        </w:numPr>
        <w:spacing w:before="0" w:after="200" w:line="276" w:lineRule="auto"/>
        <w:jc w:val="left"/>
      </w:pPr>
      <w:r w:rsidRPr="007007C9">
        <w:t>2000-2006 : certificat d’étude primaire (CEP) à l’école fondamentale Bahadou II de Tombouctou</w:t>
      </w:r>
    </w:p>
    <w:p w14:paraId="734F6F18" w14:textId="54B2477C" w:rsidR="004F7AE7" w:rsidRPr="007007C9" w:rsidRDefault="004F7AE7" w:rsidP="00FB2B45">
      <w:pPr>
        <w:pStyle w:val="Paragraphedeliste"/>
        <w:numPr>
          <w:ilvl w:val="0"/>
          <w:numId w:val="34"/>
        </w:numPr>
        <w:spacing w:before="0" w:after="200" w:line="276" w:lineRule="auto"/>
        <w:jc w:val="left"/>
      </w:pPr>
      <w:r w:rsidRPr="007007C9">
        <w:t>2007-2008 : diplôme d’étude fondamental</w:t>
      </w:r>
      <w:r>
        <w:t xml:space="preserve"> </w:t>
      </w:r>
      <w:r w:rsidRPr="007007C9">
        <w:t>(DEF) à l’école Dioulabougou de Gao</w:t>
      </w:r>
    </w:p>
    <w:p w14:paraId="4965D059" w14:textId="566D53BC" w:rsidR="004F7AE7" w:rsidRPr="007007C9" w:rsidRDefault="004F7AE7" w:rsidP="00FB2B45">
      <w:pPr>
        <w:pStyle w:val="Paragraphedeliste"/>
        <w:numPr>
          <w:ilvl w:val="0"/>
          <w:numId w:val="34"/>
        </w:numPr>
        <w:spacing w:before="0" w:after="200" w:line="276" w:lineRule="auto"/>
        <w:jc w:val="left"/>
      </w:pPr>
      <w:r w:rsidRPr="007007C9">
        <w:t>2014 : Brevet de technicien</w:t>
      </w:r>
      <w:r>
        <w:t xml:space="preserve"> </w:t>
      </w:r>
      <w:r w:rsidRPr="007007C9">
        <w:t>(BT2) en comptabilité générale au centre Mabilé de Bamako.</w:t>
      </w:r>
    </w:p>
    <w:p w14:paraId="61F6BE12" w14:textId="45C6413D" w:rsidR="004F7AE7" w:rsidRPr="007007C9" w:rsidRDefault="004F7AE7" w:rsidP="007007C9">
      <w:pPr>
        <w:tabs>
          <w:tab w:val="left" w:pos="1565"/>
        </w:tabs>
        <w:spacing w:after="0"/>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 xml:space="preserve"> STAGES ET FORMATIONS</w:t>
      </w:r>
    </w:p>
    <w:p w14:paraId="1992567C" w14:textId="207D93B2"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01 janvier 2016 au 31 Décembre 2019 superviseur</w:t>
      </w:r>
      <w:r w:rsidR="007068E8">
        <w:rPr>
          <w:rFonts w:cs="Times New Roman"/>
          <w:b/>
        </w:rPr>
        <w:t xml:space="preserve"> </w:t>
      </w:r>
      <w:r w:rsidRPr="007007C9">
        <w:rPr>
          <w:rFonts w:cs="Times New Roman"/>
        </w:rPr>
        <w:t>à l’</w:t>
      </w:r>
      <w:r w:rsidRPr="007007C9">
        <w:rPr>
          <w:rFonts w:cs="Times New Roman"/>
          <w:b/>
        </w:rPr>
        <w:t xml:space="preserve">ONG Hed-Tamat </w:t>
      </w:r>
      <w:r w:rsidRPr="007007C9">
        <w:rPr>
          <w:rFonts w:cs="Times New Roman"/>
        </w:rPr>
        <w:t>Gao sur le projet de lutte contre les violences basées sur le genre (</w:t>
      </w:r>
      <w:r w:rsidRPr="007007C9">
        <w:rPr>
          <w:rFonts w:cs="Times New Roman"/>
          <w:b/>
        </w:rPr>
        <w:t>VBG</w:t>
      </w:r>
      <w:r w:rsidRPr="007007C9">
        <w:rPr>
          <w:rFonts w:cs="Times New Roman"/>
        </w:rPr>
        <w:t xml:space="preserve">), les </w:t>
      </w:r>
      <w:r w:rsidRPr="007007C9">
        <w:rPr>
          <w:rFonts w:cs="Times New Roman"/>
          <w:b/>
        </w:rPr>
        <w:t>MGF</w:t>
      </w:r>
      <w:r w:rsidRPr="007007C9">
        <w:rPr>
          <w:rFonts w:cs="Times New Roman"/>
        </w:rPr>
        <w:t xml:space="preserve"> et la promotion du planning familial dans les communes de Bara, Ansongo, Tin-hama, Ouatagouna et Bourra cercle d’Ansongo région de Gao du programme Debbo-Alafia financé par aide de l’église Norvégienne </w:t>
      </w:r>
      <w:r w:rsidRPr="007007C9">
        <w:rPr>
          <w:rFonts w:cs="Times New Roman"/>
          <w:b/>
        </w:rPr>
        <w:t>( A.E.N</w:t>
      </w:r>
      <w:r w:rsidRPr="007007C9">
        <w:rPr>
          <w:rFonts w:cs="Times New Roman"/>
        </w:rPr>
        <w:t>)</w:t>
      </w:r>
      <w:r w:rsidR="007068E8">
        <w:rPr>
          <w:rFonts w:cs="Times New Roman"/>
        </w:rPr>
        <w:t xml:space="preserve"> </w:t>
      </w:r>
      <w:r w:rsidRPr="007007C9">
        <w:rPr>
          <w:rFonts w:cs="Times New Roman"/>
        </w:rPr>
        <w:t>basé dans le cercle d’Ansongo région de Gao.</w:t>
      </w:r>
    </w:p>
    <w:p w14:paraId="1E0C96C9" w14:textId="5D76CE25"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 xml:space="preserve">02 au 04 Janvier 2020 </w:t>
      </w:r>
      <w:r w:rsidRPr="007007C9">
        <w:rPr>
          <w:rFonts w:cs="Times New Roman"/>
        </w:rPr>
        <w:t>Formation sur la gestion des cas</w:t>
      </w:r>
      <w:r w:rsidRPr="007007C9">
        <w:rPr>
          <w:rFonts w:cs="Times New Roman"/>
          <w:b/>
        </w:rPr>
        <w:t xml:space="preserve"> (VBG) </w:t>
      </w:r>
      <w:r w:rsidRPr="007007C9">
        <w:rPr>
          <w:rFonts w:cs="Times New Roman"/>
        </w:rPr>
        <w:t>sur le programme de renforcement de la protection et de la sécurité alimentaires des enfants , des adolescents et jeunes adultes dans les zones rurales de Gao</w:t>
      </w:r>
      <w:r w:rsidR="007068E8">
        <w:rPr>
          <w:rFonts w:cs="Times New Roman"/>
        </w:rPr>
        <w:t xml:space="preserve"> </w:t>
      </w:r>
      <w:r w:rsidRPr="007007C9">
        <w:rPr>
          <w:rFonts w:cs="Times New Roman"/>
        </w:rPr>
        <w:t>et de Tombouctou au nord du Mali , à</w:t>
      </w:r>
      <w:r w:rsidRPr="007007C9">
        <w:rPr>
          <w:rFonts w:cs="Times New Roman"/>
          <w:b/>
        </w:rPr>
        <w:t xml:space="preserve"> l’ONG TASSAGT </w:t>
      </w:r>
      <w:r w:rsidRPr="007007C9">
        <w:rPr>
          <w:rFonts w:cs="Times New Roman"/>
        </w:rPr>
        <w:t>partenaire financé</w:t>
      </w:r>
      <w:r w:rsidRPr="007007C9">
        <w:rPr>
          <w:rFonts w:cs="Times New Roman"/>
          <w:b/>
        </w:rPr>
        <w:t xml:space="preserve"> Plan Internationale.</w:t>
      </w:r>
    </w:p>
    <w:p w14:paraId="64015849"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 xml:space="preserve">08 Janvier 2020 : </w:t>
      </w:r>
      <w:r w:rsidRPr="007007C9">
        <w:rPr>
          <w:rFonts w:cs="Times New Roman"/>
        </w:rPr>
        <w:t>Atelier d’élaboration de la cartographie et actualisation régulière des services excisant sur lesquels peuvent être dirigés les survivantes des violences sexiste dans les communes de Bamba, Anchawadji, Tin-hama région de Gao.</w:t>
      </w:r>
    </w:p>
    <w:p w14:paraId="22A4DC5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06 Février 2020 :</w:t>
      </w:r>
      <w:r w:rsidRPr="007007C9">
        <w:rPr>
          <w:rFonts w:cs="Times New Roman"/>
        </w:rPr>
        <w:t xml:space="preserve"> Atelier d’échange sur la prise en charge juridique et judiciaire des survivantes des violences sexuelles et basées sur le genre (VSBG) organise par le cadre de coordination et de synergie pour l’accès à la justice (CCSAJ) GAO.</w:t>
      </w:r>
    </w:p>
    <w:p w14:paraId="29A68838" w14:textId="355246AA"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11 au 12 Mars 2020 :</w:t>
      </w:r>
      <w:r w:rsidRPr="007007C9">
        <w:rPr>
          <w:rFonts w:cs="Times New Roman"/>
        </w:rPr>
        <w:t xml:space="preserve"> Atelier de sensibilisation à l’endroit du personnel des différentes ONG internationales et nationales œuvrant dans la lutte contre les violences basées sur le genre (VBG) avec le comité internationale de la croix rouge (CICR)</w:t>
      </w:r>
      <w:r w:rsidR="007068E8">
        <w:rPr>
          <w:rFonts w:cs="Times New Roman"/>
        </w:rPr>
        <w:t xml:space="preserve"> </w:t>
      </w:r>
      <w:r w:rsidRPr="007007C9">
        <w:rPr>
          <w:rFonts w:cs="Times New Roman"/>
        </w:rPr>
        <w:t xml:space="preserve">à Gao. </w:t>
      </w:r>
    </w:p>
    <w:p w14:paraId="74C49B2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25 au 26 Février 2020 :</w:t>
      </w:r>
      <w:r w:rsidRPr="007007C9">
        <w:rPr>
          <w:rFonts w:cs="Times New Roman"/>
        </w:rPr>
        <w:t xml:space="preserve"> Evaluation pour les déplaces du cercle d’Ansongo du sous cluster protection pour les communes de Tin-hama ; Talataye ; Ouatagouna ; et Bourra.</w:t>
      </w:r>
    </w:p>
    <w:p w14:paraId="35819DC2"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08 au 09 Juin 2019 formation sur le thème comment s’adresse en public organisé par la jeune chambre Internationale(J.C.I) Gao.</w:t>
      </w:r>
    </w:p>
    <w:p w14:paraId="488DECE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12 au 16 Mars 2019 Formation sur la vérification de l’âge par la section de protection de l’enfant de la </w:t>
      </w:r>
      <w:r w:rsidRPr="007007C9">
        <w:rPr>
          <w:rFonts w:cs="Times New Roman"/>
          <w:b/>
        </w:rPr>
        <w:t>MINUSMA</w:t>
      </w:r>
      <w:r w:rsidRPr="007007C9">
        <w:rPr>
          <w:rFonts w:cs="Times New Roman"/>
        </w:rPr>
        <w:t xml:space="preserve"> et l’</w:t>
      </w:r>
      <w:r w:rsidRPr="007007C9">
        <w:rPr>
          <w:rFonts w:cs="Times New Roman"/>
          <w:b/>
        </w:rPr>
        <w:t>UNICEF.</w:t>
      </w:r>
    </w:p>
    <w:p w14:paraId="07C7049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Le 21 Septembre 2019 Atelier sur la reformer de la jeune chambre internationale (JCI) à Gao. </w:t>
      </w:r>
    </w:p>
    <w:p w14:paraId="7907A2B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28 au 29 Aout 2019 Participant à l’atelier régional du cycle de programmation humanitaire 2020.</w:t>
      </w:r>
    </w:p>
    <w:p w14:paraId="34FA3779"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Du 12 au 13 Octobre 2019 Atelier de Formation de capacité des jeunes leaders sur le lobbying et le plaidoyer pour lutter contre le radicalisme et extrémise à Gao conseil national de la jeunesse du Mali (CNJ)</w:t>
      </w:r>
    </w:p>
    <w:p w14:paraId="7E2EF37F"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Juin 2019 enquêteur à L’ONG HED-TAMAT GAO sur l’identification des enfants mal nutrits de 6 à 23 mois sous financement du programme alimentaire mondiale PAM. </w:t>
      </w:r>
    </w:p>
    <w:p w14:paraId="6A404778"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2018 Atelier de recyclage du 02 au 08 juin sur l’outil de collecte des données du système Magpi à Sévare par l’</w:t>
      </w:r>
      <w:r w:rsidRPr="007007C9">
        <w:rPr>
          <w:rFonts w:cs="Times New Roman"/>
          <w:b/>
        </w:rPr>
        <w:t xml:space="preserve">ONG AEN </w:t>
      </w:r>
      <w:r w:rsidRPr="007007C9">
        <w:rPr>
          <w:rFonts w:cs="Times New Roman"/>
        </w:rPr>
        <w:t>(Aide de l’Eglise Norvégienne) du programme « Debbo-Alafia » en partenariat avec l’</w:t>
      </w:r>
      <w:r w:rsidRPr="007007C9">
        <w:rPr>
          <w:rFonts w:cs="Times New Roman"/>
          <w:b/>
        </w:rPr>
        <w:t>ONG Hed-Tamat</w:t>
      </w:r>
      <w:r w:rsidRPr="007007C9">
        <w:rPr>
          <w:rFonts w:cs="Times New Roman"/>
        </w:rPr>
        <w:t>.</w:t>
      </w:r>
    </w:p>
    <w:p w14:paraId="3F02BC02"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 </w:t>
      </w:r>
      <w:r w:rsidRPr="007007C9">
        <w:rPr>
          <w:rFonts w:cs="Times New Roman"/>
          <w:b/>
        </w:rPr>
        <w:t>Février 2018 du 08 au 12</w:t>
      </w:r>
      <w:r w:rsidRPr="007007C9">
        <w:rPr>
          <w:rFonts w:cs="Times New Roman"/>
        </w:rPr>
        <w:t> : Formation sur le projet mon enfants, mon patrimoine « Doter les enfants de jugements supplétifs est un acte de patriotisme » financé par L’</w:t>
      </w:r>
      <w:r w:rsidRPr="007007C9">
        <w:rPr>
          <w:rFonts w:cs="Times New Roman"/>
          <w:b/>
        </w:rPr>
        <w:t>UNICEF</w:t>
      </w:r>
      <w:r w:rsidRPr="007007C9">
        <w:rPr>
          <w:rFonts w:cs="Times New Roman"/>
        </w:rPr>
        <w:t xml:space="preserve"> partenaire de mise en œuvre </w:t>
      </w:r>
      <w:r w:rsidRPr="007007C9">
        <w:rPr>
          <w:rFonts w:cs="Times New Roman"/>
          <w:b/>
        </w:rPr>
        <w:t>ONG Hed-- Tamat Gao</w:t>
      </w:r>
      <w:r w:rsidRPr="007007C9">
        <w:rPr>
          <w:rFonts w:cs="Times New Roman"/>
        </w:rPr>
        <w:t>.</w:t>
      </w:r>
    </w:p>
    <w:p w14:paraId="66F3646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Du 20 au 21 Mars 2018</w:t>
      </w:r>
      <w:r w:rsidRPr="007007C9">
        <w:rPr>
          <w:rFonts w:cs="Times New Roman"/>
        </w:rPr>
        <w:t xml:space="preserve"> Formation des partenaires Nationaux sur le mécanisme de surveillance et de communication de l’information sur les six violations graves commises contre les enfants en situation de conflit armé par la section de protection de l’enfant de la </w:t>
      </w:r>
      <w:r w:rsidRPr="007007C9">
        <w:rPr>
          <w:rFonts w:cs="Times New Roman"/>
          <w:b/>
        </w:rPr>
        <w:t>MINUSMA</w:t>
      </w:r>
      <w:r w:rsidRPr="007007C9">
        <w:rPr>
          <w:rFonts w:cs="Times New Roman"/>
        </w:rPr>
        <w:t xml:space="preserve"> et l’</w:t>
      </w:r>
      <w:r w:rsidRPr="007007C9">
        <w:rPr>
          <w:rFonts w:cs="Times New Roman"/>
          <w:b/>
        </w:rPr>
        <w:t>UNICEF</w:t>
      </w:r>
      <w:r w:rsidRPr="007007C9">
        <w:rPr>
          <w:rFonts w:cs="Times New Roman"/>
        </w:rPr>
        <w:t xml:space="preserve"> .</w:t>
      </w:r>
    </w:p>
    <w:p w14:paraId="225FAECB"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2018 du 04/ 09/ au 05 /10/ 2018</w:t>
      </w:r>
      <w:r w:rsidRPr="007007C9">
        <w:rPr>
          <w:rFonts w:cs="Times New Roman"/>
        </w:rPr>
        <w:t xml:space="preserve"> Formation en informatique sur les Modules Word et Excel à la direction Régionale de l’A.N.P.E de Gao.</w:t>
      </w:r>
    </w:p>
    <w:p w14:paraId="4BC16063"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2018 du 19 au 21 Novembre</w:t>
      </w:r>
      <w:r w:rsidRPr="007007C9">
        <w:rPr>
          <w:rFonts w:cs="Times New Roman"/>
        </w:rPr>
        <w:t xml:space="preserve"> Formation des partenaires de </w:t>
      </w:r>
      <w:r w:rsidRPr="007007C9">
        <w:rPr>
          <w:rFonts w:cs="Times New Roman"/>
          <w:b/>
        </w:rPr>
        <w:t>UNFPA</w:t>
      </w:r>
      <w:r w:rsidRPr="007007C9">
        <w:rPr>
          <w:rFonts w:cs="Times New Roman"/>
        </w:rPr>
        <w:t xml:space="preserve"> et membres du sous-cluster sur le soutien psychosocial aux personnes survivantes des </w:t>
      </w:r>
      <w:r w:rsidRPr="007007C9">
        <w:rPr>
          <w:rFonts w:cs="Times New Roman"/>
          <w:b/>
        </w:rPr>
        <w:t xml:space="preserve">VBG </w:t>
      </w:r>
      <w:r w:rsidRPr="007007C9">
        <w:rPr>
          <w:rFonts w:cs="Times New Roman"/>
        </w:rPr>
        <w:t>et autres personnes de la communauté des régions affectées par les conflits armées et intercommunautaires dans les régions du nord et du centre du Mali à Mopti.</w:t>
      </w:r>
    </w:p>
    <w:p w14:paraId="549B8A1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eastAsia="Times New Roman"/>
        </w:rPr>
        <w:t xml:space="preserve">Décembre 2019 du 12 au 26 Evaluation finale du projet d’appui à la relance du système de santé dans le district sanitaire de Bourem </w:t>
      </w:r>
      <w:r w:rsidRPr="007007C9">
        <w:rPr>
          <w:rFonts w:eastAsia="Times New Roman"/>
          <w:b/>
        </w:rPr>
        <w:t>Croix rouge Française et Médecin du Monde Belgique et BECATE Mali</w:t>
      </w:r>
      <w:r w:rsidRPr="007007C9">
        <w:rPr>
          <w:rFonts w:eastAsia="Times New Roman"/>
        </w:rPr>
        <w:t>.</w:t>
      </w:r>
    </w:p>
    <w:p w14:paraId="6E0E2D5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Décembre 2019 du 02 au 10 Evaluation des besoins des déplaces dans le cercle de Gao ONG Hed-Tamat Gao.</w:t>
      </w:r>
    </w:p>
    <w:p w14:paraId="30EE1BED"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Du 01/08/2017 au 31/07/2018</w:t>
      </w:r>
      <w:r w:rsidRPr="007007C9">
        <w:rPr>
          <w:rFonts w:cs="Times New Roman"/>
        </w:rPr>
        <w:t xml:space="preserve"> stagiaire en tant que professeur de Mathématique financière au centre de formation professionnelle de l’assistance à l’artisanat (</w:t>
      </w:r>
      <w:r w:rsidRPr="007007C9">
        <w:rPr>
          <w:rFonts w:cs="Times New Roman"/>
          <w:b/>
        </w:rPr>
        <w:t>C.F.P.A.A.A</w:t>
      </w:r>
      <w:r w:rsidRPr="007007C9">
        <w:rPr>
          <w:rFonts w:cs="Times New Roman"/>
        </w:rPr>
        <w:t xml:space="preserve">) de Gao , dans le cadre de son programme de stage de formation professionnelle des jeunes dans les services publics , les </w:t>
      </w:r>
      <w:r w:rsidRPr="007007C9">
        <w:rPr>
          <w:rFonts w:cs="Times New Roman"/>
          <w:b/>
        </w:rPr>
        <w:t>ONG</w:t>
      </w:r>
      <w:r w:rsidRPr="007007C9">
        <w:rPr>
          <w:rFonts w:cs="Times New Roman"/>
        </w:rPr>
        <w:t xml:space="preserve"> et les organisation consulaires et faîtières organisé par l’</w:t>
      </w:r>
      <w:r w:rsidRPr="007007C9">
        <w:rPr>
          <w:rFonts w:cs="Times New Roman"/>
          <w:b/>
        </w:rPr>
        <w:t xml:space="preserve">APEJ. </w:t>
      </w:r>
    </w:p>
    <w:p w14:paraId="39B22B4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2017</w:t>
      </w:r>
      <w:r w:rsidRPr="007007C9">
        <w:rPr>
          <w:rFonts w:cs="Times New Roman"/>
        </w:rPr>
        <w:t xml:space="preserve"> : Enquêteur à l’enquête CAP couplée Baseline et la problématique foncière du projet </w:t>
      </w:r>
      <w:r w:rsidRPr="007007C9">
        <w:rPr>
          <w:rFonts w:cs="Times New Roman"/>
          <w:b/>
        </w:rPr>
        <w:t>LAFIA/ PROSESA</w:t>
      </w:r>
      <w:r w:rsidRPr="007007C9">
        <w:rPr>
          <w:rFonts w:cs="Times New Roman"/>
        </w:rPr>
        <w:t xml:space="preserve"> dans le cercle d’Ansongo, région de Gao du </w:t>
      </w:r>
      <w:r w:rsidRPr="007007C9">
        <w:rPr>
          <w:rFonts w:cs="Times New Roman"/>
          <w:b/>
        </w:rPr>
        <w:t>25 Avril au 15</w:t>
      </w:r>
      <w:r w:rsidRPr="007007C9">
        <w:rPr>
          <w:rFonts w:cs="Times New Roman"/>
        </w:rPr>
        <w:t xml:space="preserve"> en partenariat avec l’ONG Save The children Gao</w:t>
      </w:r>
      <w:r w:rsidRPr="007007C9">
        <w:rPr>
          <w:rFonts w:cs="Times New Roman"/>
          <w:b/>
        </w:rPr>
        <w:t>.</w:t>
      </w:r>
    </w:p>
    <w:p w14:paraId="033387B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Juin 2016</w:t>
      </w:r>
      <w:r w:rsidRPr="007007C9">
        <w:rPr>
          <w:rFonts w:cs="Times New Roman"/>
        </w:rPr>
        <w:t xml:space="preserve"> atelier de formation des femmes en techniques de plaidoyer et l’élaboration des plans de plaidoyer en vue de leur participation dans les organes de prise de décision relatives à l’accord pour la paix.</w:t>
      </w:r>
    </w:p>
    <w:p w14:paraId="6AE9EBB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2016</w:t>
      </w:r>
      <w:r w:rsidRPr="007007C9">
        <w:rPr>
          <w:rFonts w:cs="Times New Roman"/>
        </w:rPr>
        <w:t xml:space="preserve"> formations et enquête du 13Avril au 31 Mai sur le programme appui à la consolidation de l’éducation au Nord exécuté par (E.D.C) en partenariat avec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w:t>
      </w:r>
    </w:p>
    <w:p w14:paraId="2B04B7D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2016 Avril du 16 aux 20</w:t>
      </w:r>
      <w:r w:rsidRPr="007007C9">
        <w:rPr>
          <w:rFonts w:cs="Times New Roman"/>
        </w:rPr>
        <w:t xml:space="preserve"> formations sur les risques des restes d’explosifs de Guerre (</w:t>
      </w:r>
      <w:r w:rsidRPr="007007C9">
        <w:rPr>
          <w:rFonts w:cs="Times New Roman"/>
          <w:b/>
        </w:rPr>
        <w:t>REG)</w:t>
      </w:r>
      <w:r w:rsidRPr="007007C9">
        <w:rPr>
          <w:rFonts w:cs="Times New Roman"/>
        </w:rPr>
        <w:t xml:space="preserve"> à Ansongo région de Gao par Handicap International. </w:t>
      </w:r>
    </w:p>
    <w:p w14:paraId="6F0D2398"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Juin 2016</w:t>
      </w:r>
      <w:r w:rsidRPr="007007C9">
        <w:rPr>
          <w:rFonts w:cs="Times New Roman"/>
        </w:rPr>
        <w:t xml:space="preserve"> atelier de formation des femmes en techniques de plaidoyer et l’élaboration des plans de plaidoyer en vue de leur participation dans les organes de prise de décision relatives à l’accord pour la paix.</w:t>
      </w:r>
    </w:p>
    <w:p w14:paraId="445B4E9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De juin à juillet 2015</w:t>
      </w:r>
      <w:r w:rsidRPr="007007C9">
        <w:rPr>
          <w:rFonts w:cs="Times New Roman"/>
        </w:rPr>
        <w:t> : Stage pratique à l’</w:t>
      </w:r>
      <w:r w:rsidRPr="007007C9">
        <w:rPr>
          <w:rFonts w:cs="Times New Roman"/>
          <w:b/>
        </w:rPr>
        <w:t xml:space="preserve">ONG GREFFA </w:t>
      </w:r>
      <w:r w:rsidRPr="007007C9">
        <w:rPr>
          <w:rFonts w:cs="Times New Roman"/>
        </w:rPr>
        <w:t>sur le programme « Fistula Mali » financé par l’</w:t>
      </w:r>
      <w:r w:rsidRPr="007007C9">
        <w:rPr>
          <w:rFonts w:cs="Times New Roman"/>
          <w:b/>
        </w:rPr>
        <w:t>USAID</w:t>
      </w:r>
      <w:r w:rsidRPr="007007C9">
        <w:rPr>
          <w:rFonts w:cs="Times New Roman"/>
        </w:rPr>
        <w:t xml:space="preserve">, exécuté par </w:t>
      </w:r>
      <w:r w:rsidRPr="007007C9">
        <w:rPr>
          <w:rFonts w:cs="Times New Roman"/>
          <w:b/>
        </w:rPr>
        <w:t>GREFFA</w:t>
      </w:r>
      <w:r w:rsidRPr="007007C9">
        <w:rPr>
          <w:rFonts w:cs="Times New Roman"/>
        </w:rPr>
        <w:t xml:space="preserve"> Gao et Intra Heath.</w:t>
      </w:r>
    </w:p>
    <w:p w14:paraId="7DE38F3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Cs/>
          <w:iCs/>
        </w:rPr>
        <w:t>Mars 2015 du 14 au 16 : Formation à l’</w:t>
      </w:r>
      <w:r w:rsidRPr="007007C9">
        <w:rPr>
          <w:rFonts w:cs="Times New Roman"/>
          <w:b/>
          <w:bCs/>
          <w:iCs/>
        </w:rPr>
        <w:t xml:space="preserve">ONG GREFFA </w:t>
      </w:r>
      <w:r w:rsidRPr="007007C9">
        <w:rPr>
          <w:rFonts w:cs="Times New Roman"/>
          <w:bCs/>
          <w:iCs/>
        </w:rPr>
        <w:t>Gao sur le thème intitulé « Femmes élections citoyenneté et vie publique ».</w:t>
      </w:r>
    </w:p>
    <w:p w14:paraId="1DFAE57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Février 2015 du 05 au 09</w:t>
      </w:r>
      <w:r w:rsidRPr="007007C9">
        <w:rPr>
          <w:rFonts w:cs="Times New Roman"/>
        </w:rPr>
        <w:t xml:space="preserve"> : Formation sur les violences basées sur le genre dans la commune urbaine de Gao financé par </w:t>
      </w:r>
      <w:r w:rsidRPr="007007C9">
        <w:rPr>
          <w:rFonts w:cs="Times New Roman"/>
          <w:b/>
        </w:rPr>
        <w:t>WORD-VISION Mondiale</w:t>
      </w:r>
      <w:r w:rsidRPr="007007C9">
        <w:rPr>
          <w:rFonts w:cs="Times New Roman"/>
        </w:rPr>
        <w:t xml:space="preserve"> exécuté par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 </w:t>
      </w:r>
    </w:p>
    <w:p w14:paraId="3D41B2A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Janvier 2015</w:t>
      </w:r>
      <w:r w:rsidRPr="007007C9">
        <w:rPr>
          <w:rFonts w:cs="Times New Roman"/>
        </w:rPr>
        <w:t xml:space="preserve"> Formation sur les violences basés sur le genre et la résolution des conflits et leadership dans la commune urbaine de Gao, Ansongo et Bourem sur le programme </w:t>
      </w:r>
      <w:r w:rsidRPr="007007C9">
        <w:rPr>
          <w:rFonts w:cs="Times New Roman"/>
          <w:b/>
        </w:rPr>
        <w:t>JUPREC</w:t>
      </w:r>
      <w:r w:rsidRPr="007007C9">
        <w:rPr>
          <w:rFonts w:cs="Times New Roman"/>
        </w:rPr>
        <w:t xml:space="preserve"> (justice prévention et réconciliation) exécuté par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w:t>
      </w:r>
    </w:p>
    <w:p w14:paraId="1C6FF29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De Décembre 2014</w:t>
      </w:r>
      <w:r w:rsidRPr="007007C9">
        <w:rPr>
          <w:rFonts w:cs="Times New Roman"/>
        </w:rPr>
        <w:t xml:space="preserve"> à </w:t>
      </w:r>
      <w:r w:rsidRPr="007007C9">
        <w:rPr>
          <w:rFonts w:cs="Times New Roman"/>
          <w:b/>
        </w:rPr>
        <w:t xml:space="preserve">Janvier 2016 </w:t>
      </w:r>
      <w:r w:rsidRPr="007007C9">
        <w:rPr>
          <w:rFonts w:cs="Times New Roman"/>
        </w:rPr>
        <w:t>: Stage pratique à l’</w:t>
      </w:r>
      <w:r w:rsidRPr="007007C9">
        <w:rPr>
          <w:rFonts w:cs="Times New Roman"/>
          <w:b/>
        </w:rPr>
        <w:t xml:space="preserve">ONG GREFFA </w:t>
      </w:r>
      <w:r w:rsidRPr="007007C9">
        <w:rPr>
          <w:rFonts w:cs="Times New Roman"/>
        </w:rPr>
        <w:t>sur le programme intitulé « Appui à la prévention et la prise en charge des survivantes des violences basées sur le genre(</w:t>
      </w:r>
      <w:r w:rsidRPr="007007C9">
        <w:rPr>
          <w:rFonts w:cs="Times New Roman"/>
          <w:b/>
        </w:rPr>
        <w:t>VBG</w:t>
      </w:r>
      <w:r w:rsidRPr="007007C9">
        <w:rPr>
          <w:rFonts w:cs="Times New Roman"/>
        </w:rPr>
        <w:t>) dans la région de Gao cercle d’Ansongo, financé par ONU-Femmes.</w:t>
      </w:r>
    </w:p>
    <w:p w14:paraId="0DBA1B4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Aout 2013 du 15 au 31 Réponses</w:t>
      </w:r>
      <w:r w:rsidRPr="007007C9">
        <w:rPr>
          <w:rFonts w:eastAsia="Times New Roman"/>
        </w:rPr>
        <w:t xml:space="preserve"> d’urgence en sécurité alimentaire et renforcement des moyennes existences durables des ménages affectés par la crise dans la région de Gao à l’ONG ACF (Action contre la faim).</w:t>
      </w:r>
    </w:p>
    <w:p w14:paraId="37B4D113"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bCs/>
        </w:rPr>
        <w:t>Août à Septembre 2012</w:t>
      </w:r>
      <w:r w:rsidRPr="007007C9">
        <w:rPr>
          <w:rFonts w:cs="Times New Roman"/>
          <w:bCs/>
        </w:rPr>
        <w:t xml:space="preserve"> – Handicap International (</w:t>
      </w:r>
      <w:r w:rsidRPr="007007C9">
        <w:rPr>
          <w:rFonts w:cs="Times New Roman"/>
          <w:b/>
          <w:bCs/>
        </w:rPr>
        <w:t>HI</w:t>
      </w:r>
      <w:r w:rsidRPr="007007C9">
        <w:rPr>
          <w:rFonts w:cs="Times New Roman"/>
          <w:bCs/>
        </w:rPr>
        <w:t>) -volontaire et</w:t>
      </w:r>
      <w:r w:rsidRPr="007007C9">
        <w:rPr>
          <w:rFonts w:cs="Times New Roman"/>
        </w:rPr>
        <w:t xml:space="preserve"> Point focal sur la sensibilisation sur le reste des explosifs de guerre et les mines à l’</w:t>
      </w:r>
      <w:r w:rsidRPr="007007C9">
        <w:rPr>
          <w:rFonts w:cs="Times New Roman"/>
          <w:b/>
        </w:rPr>
        <w:t>ONG</w:t>
      </w:r>
      <w:r w:rsidRPr="007007C9">
        <w:rPr>
          <w:rFonts w:cs="Times New Roman"/>
        </w:rPr>
        <w:t xml:space="preserve"> Handicap International, base à Tombouctou.</w:t>
      </w:r>
    </w:p>
    <w:p w14:paraId="700F3C5D" w14:textId="3BC2DC49" w:rsidR="004F7AE7" w:rsidRPr="007007C9" w:rsidRDefault="004F7AE7" w:rsidP="007007C9">
      <w:pPr>
        <w:tabs>
          <w:tab w:val="left" w:pos="1565"/>
        </w:tabs>
        <w:spacing w:after="0"/>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DOMAINES DE COMPETENCE</w:t>
      </w:r>
    </w:p>
    <w:p w14:paraId="7061C58E" w14:textId="0206A056" w:rsidR="004F7AE7" w:rsidRPr="007007C9" w:rsidRDefault="004F7AE7" w:rsidP="00FB2B45">
      <w:pPr>
        <w:pStyle w:val="Paragraphedeliste"/>
        <w:numPr>
          <w:ilvl w:val="0"/>
          <w:numId w:val="34"/>
        </w:numPr>
        <w:spacing w:before="0" w:after="200" w:line="276" w:lineRule="auto"/>
        <w:jc w:val="left"/>
      </w:pPr>
      <w:r w:rsidRPr="007007C9">
        <w:t>Technique d’animation</w:t>
      </w:r>
    </w:p>
    <w:p w14:paraId="71E4C621" w14:textId="5341B66B" w:rsidR="004F7AE7" w:rsidRPr="007007C9" w:rsidRDefault="004F7AE7" w:rsidP="00FB2B45">
      <w:pPr>
        <w:pStyle w:val="Paragraphedeliste"/>
        <w:numPr>
          <w:ilvl w:val="0"/>
          <w:numId w:val="34"/>
        </w:numPr>
        <w:spacing w:before="0" w:after="200" w:line="276" w:lineRule="auto"/>
        <w:jc w:val="left"/>
      </w:pPr>
      <w:r w:rsidRPr="007007C9">
        <w:t xml:space="preserve">Sensibilisation </w:t>
      </w:r>
    </w:p>
    <w:p w14:paraId="7091CF67" w14:textId="1B00030A" w:rsidR="004F7AE7" w:rsidRPr="007007C9" w:rsidRDefault="004F7AE7" w:rsidP="00FB2B45">
      <w:pPr>
        <w:pStyle w:val="Paragraphedeliste"/>
        <w:numPr>
          <w:ilvl w:val="0"/>
          <w:numId w:val="34"/>
        </w:numPr>
        <w:spacing w:before="0" w:after="200" w:line="276" w:lineRule="auto"/>
        <w:jc w:val="left"/>
      </w:pPr>
      <w:r w:rsidRPr="007007C9">
        <w:t xml:space="preserve">Décentralisation </w:t>
      </w:r>
    </w:p>
    <w:p w14:paraId="24CEA685" w14:textId="1E10956E" w:rsidR="004F7AE7" w:rsidRPr="007007C9" w:rsidRDefault="004F7AE7" w:rsidP="00FB2B45">
      <w:pPr>
        <w:pStyle w:val="Paragraphedeliste"/>
        <w:numPr>
          <w:ilvl w:val="0"/>
          <w:numId w:val="34"/>
        </w:numPr>
        <w:spacing w:before="0" w:after="200" w:line="276" w:lineRule="auto"/>
        <w:jc w:val="left"/>
      </w:pPr>
      <w:r>
        <w:t xml:space="preserve">Collecte des données / </w:t>
      </w:r>
      <w:r w:rsidRPr="007007C9">
        <w:t xml:space="preserve">Enquêteur </w:t>
      </w:r>
    </w:p>
    <w:p w14:paraId="26D6F8C9" w14:textId="598EEEF9" w:rsidR="004F7AE7" w:rsidRPr="008725DD" w:rsidRDefault="004F7AE7" w:rsidP="007007C9">
      <w:pPr>
        <w:tabs>
          <w:tab w:val="left" w:pos="1565"/>
        </w:tabs>
        <w:spacing w:after="0"/>
        <w:rPr>
          <w:rFonts w:ascii="Times New Roman" w:hAnsi="Times New Roman" w:cs="Times New Roman"/>
          <w:b/>
          <w:bCs/>
          <w:iCs/>
          <w:sz w:val="32"/>
          <w:szCs w:val="32"/>
          <w:u w:val="single"/>
        </w:rPr>
      </w:pPr>
      <w:r w:rsidRPr="008725DD">
        <w:rPr>
          <w:rFonts w:ascii="Times New Roman" w:hAnsi="Times New Roman" w:cs="Times New Roman"/>
          <w:bCs/>
          <w:iCs/>
          <w:sz w:val="24"/>
          <w:szCs w:val="24"/>
        </w:rPr>
        <w:t xml:space="preserve"> </w:t>
      </w:r>
      <w:r w:rsidRPr="004F7AE7">
        <w:rPr>
          <w:rFonts w:ascii="Times New Roman" w:hAnsi="Times New Roman" w:cs="Times New Roman"/>
          <w:b/>
          <w:bCs/>
          <w:color w:val="0070C0"/>
          <w:sz w:val="24"/>
          <w:szCs w:val="24"/>
        </w:rPr>
        <w:t>CONNAISSANCES INFORMATIQUES</w:t>
      </w:r>
    </w:p>
    <w:p w14:paraId="65FE2153" w14:textId="77777777" w:rsidR="004F7AE7" w:rsidRDefault="004F7AE7" w:rsidP="00FB2B45">
      <w:pPr>
        <w:pStyle w:val="Paragraphedeliste"/>
        <w:numPr>
          <w:ilvl w:val="0"/>
          <w:numId w:val="40"/>
        </w:numPr>
        <w:spacing w:before="0" w:after="0" w:line="276" w:lineRule="auto"/>
        <w:rPr>
          <w:rFonts w:ascii="Times New Roman" w:hAnsi="Times New Roman" w:cs="Times New Roman"/>
          <w:sz w:val="24"/>
          <w:szCs w:val="24"/>
        </w:rPr>
      </w:pPr>
      <w:r w:rsidRPr="004F7AE7">
        <w:rPr>
          <w:rFonts w:ascii="Times New Roman" w:hAnsi="Times New Roman" w:cs="Times New Roman"/>
          <w:sz w:val="24"/>
          <w:szCs w:val="24"/>
        </w:rPr>
        <w:t>Maitrise des logiciels Microsoft (Word, Excel, Power point</w:t>
      </w:r>
    </w:p>
    <w:p w14:paraId="528DB4B5" w14:textId="0264862A" w:rsidR="004F7AE7" w:rsidRDefault="004F7AE7" w:rsidP="00FB2B45">
      <w:pPr>
        <w:pStyle w:val="Paragraphedeliste"/>
        <w:numPr>
          <w:ilvl w:val="0"/>
          <w:numId w:val="40"/>
        </w:numPr>
        <w:spacing w:before="0" w:after="0" w:line="276" w:lineRule="auto"/>
        <w:rPr>
          <w:rFonts w:ascii="Times New Roman" w:hAnsi="Times New Roman" w:cs="Times New Roman"/>
          <w:sz w:val="24"/>
          <w:szCs w:val="24"/>
        </w:rPr>
      </w:pPr>
      <w:r w:rsidRPr="004F7AE7">
        <w:rPr>
          <w:rFonts w:ascii="Times New Roman" w:hAnsi="Times New Roman" w:cs="Times New Roman"/>
          <w:sz w:val="24"/>
          <w:szCs w:val="24"/>
        </w:rPr>
        <w:t>Internet</w:t>
      </w:r>
    </w:p>
    <w:p w14:paraId="657BBC8B" w14:textId="77777777" w:rsidR="00C45041" w:rsidRPr="004F7AE7" w:rsidRDefault="00C45041" w:rsidP="007007C9">
      <w:pPr>
        <w:pStyle w:val="Paragraphedeliste"/>
        <w:spacing w:before="0" w:after="0" w:line="276" w:lineRule="auto"/>
        <w:rPr>
          <w:rFonts w:ascii="Times New Roman" w:hAnsi="Times New Roman" w:cs="Times New Roman"/>
          <w:sz w:val="24"/>
          <w:szCs w:val="24"/>
        </w:rPr>
      </w:pPr>
    </w:p>
    <w:p w14:paraId="215A64B7" w14:textId="5ABA4FA2" w:rsidR="004F7AE7" w:rsidRPr="00FE2BA0" w:rsidRDefault="004F7AE7" w:rsidP="007007C9">
      <w:pPr>
        <w:rPr>
          <w:rFonts w:ascii="Times New Roman" w:hAnsi="Times New Roman" w:cs="Times New Roman"/>
          <w:b/>
          <w:iCs/>
          <w:sz w:val="32"/>
          <w:szCs w:val="32"/>
          <w:u w:val="single"/>
        </w:rPr>
      </w:pPr>
      <w:r w:rsidRPr="007007C9">
        <w:rPr>
          <w:rFonts w:ascii="Times New Roman" w:hAnsi="Times New Roman" w:cs="Times New Roman"/>
          <w:b/>
          <w:bCs/>
          <w:color w:val="0070C0"/>
          <w:sz w:val="24"/>
          <w:szCs w:val="24"/>
        </w:rPr>
        <w:t>LANGUES PARLEES</w:t>
      </w:r>
      <w:r>
        <w:rPr>
          <w:rFonts w:ascii="Times New Roman" w:hAnsi="Times New Roman" w:cs="Times New Roman"/>
          <w:b/>
          <w:bCs/>
          <w:color w:val="0070C0"/>
          <w:sz w:val="24"/>
          <w:szCs w:val="24"/>
        </w:rPr>
        <w:t xml:space="preserve"> &amp; LOISIRS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4F7AE7" w:rsidRPr="004F7AE7" w14:paraId="6B72CBEB" w14:textId="77777777" w:rsidTr="009F5BDE">
        <w:tc>
          <w:tcPr>
            <w:tcW w:w="1666" w:type="pct"/>
            <w:shd w:val="clear" w:color="auto" w:fill="auto"/>
          </w:tcPr>
          <w:p w14:paraId="23D6759B" w14:textId="77777777" w:rsidR="004F7AE7" w:rsidRPr="007007C9" w:rsidRDefault="004F7AE7" w:rsidP="007007C9">
            <w:pPr>
              <w:spacing w:before="0" w:after="0" w:line="276" w:lineRule="auto"/>
              <w:rPr>
                <w:rFonts w:cs="Times New Roman"/>
                <w:b/>
              </w:rPr>
            </w:pPr>
            <w:r w:rsidRPr="007007C9">
              <w:rPr>
                <w:rFonts w:cs="Times New Roman"/>
                <w:b/>
              </w:rPr>
              <w:t xml:space="preserve">Langues </w:t>
            </w:r>
          </w:p>
        </w:tc>
        <w:tc>
          <w:tcPr>
            <w:tcW w:w="1667" w:type="pct"/>
            <w:shd w:val="clear" w:color="auto" w:fill="auto"/>
          </w:tcPr>
          <w:p w14:paraId="756A8CD4" w14:textId="77777777" w:rsidR="004F7AE7" w:rsidRPr="007007C9" w:rsidRDefault="004F7AE7" w:rsidP="007007C9">
            <w:pPr>
              <w:spacing w:before="0" w:after="0" w:line="276" w:lineRule="auto"/>
              <w:rPr>
                <w:rFonts w:cs="Times New Roman"/>
                <w:b/>
              </w:rPr>
            </w:pPr>
            <w:r w:rsidRPr="007007C9">
              <w:rPr>
                <w:rFonts w:cs="Times New Roman"/>
                <w:b/>
              </w:rPr>
              <w:t>Parlées</w:t>
            </w:r>
          </w:p>
        </w:tc>
        <w:tc>
          <w:tcPr>
            <w:tcW w:w="1667" w:type="pct"/>
            <w:shd w:val="clear" w:color="auto" w:fill="auto"/>
          </w:tcPr>
          <w:p w14:paraId="13A992D6" w14:textId="77777777" w:rsidR="004F7AE7" w:rsidRPr="007007C9" w:rsidRDefault="004F7AE7" w:rsidP="007007C9">
            <w:pPr>
              <w:spacing w:before="0" w:after="0" w:line="276" w:lineRule="auto"/>
              <w:rPr>
                <w:rFonts w:cs="Times New Roman"/>
                <w:b/>
              </w:rPr>
            </w:pPr>
            <w:r w:rsidRPr="007007C9">
              <w:rPr>
                <w:rFonts w:cs="Times New Roman"/>
                <w:b/>
              </w:rPr>
              <w:t>Ecrites</w:t>
            </w:r>
          </w:p>
        </w:tc>
      </w:tr>
      <w:tr w:rsidR="004F7AE7" w:rsidRPr="004F7AE7" w14:paraId="0656D2F7" w14:textId="77777777" w:rsidTr="009F5BDE">
        <w:tc>
          <w:tcPr>
            <w:tcW w:w="1666" w:type="pct"/>
            <w:shd w:val="clear" w:color="auto" w:fill="auto"/>
          </w:tcPr>
          <w:p w14:paraId="2E05EEB5" w14:textId="77777777" w:rsidR="004F7AE7" w:rsidRPr="007007C9" w:rsidRDefault="004F7AE7" w:rsidP="007007C9">
            <w:pPr>
              <w:spacing w:before="0" w:after="0" w:line="276" w:lineRule="auto"/>
              <w:rPr>
                <w:rFonts w:cs="Times New Roman"/>
              </w:rPr>
            </w:pPr>
            <w:r w:rsidRPr="007007C9">
              <w:rPr>
                <w:rFonts w:cs="Times New Roman"/>
              </w:rPr>
              <w:t>Français</w:t>
            </w:r>
          </w:p>
        </w:tc>
        <w:tc>
          <w:tcPr>
            <w:tcW w:w="1667" w:type="pct"/>
            <w:shd w:val="clear" w:color="auto" w:fill="auto"/>
          </w:tcPr>
          <w:p w14:paraId="34A364CE" w14:textId="77777777" w:rsidR="004F7AE7" w:rsidRPr="007007C9" w:rsidRDefault="004F7AE7" w:rsidP="007007C9">
            <w:pPr>
              <w:spacing w:before="0" w:after="0" w:line="276" w:lineRule="auto"/>
              <w:rPr>
                <w:rFonts w:cs="Times New Roman"/>
              </w:rPr>
            </w:pPr>
            <w:r w:rsidRPr="007007C9">
              <w:rPr>
                <w:rFonts w:cs="Times New Roman"/>
              </w:rPr>
              <w:t>Très Bien</w:t>
            </w:r>
          </w:p>
        </w:tc>
        <w:tc>
          <w:tcPr>
            <w:tcW w:w="1667" w:type="pct"/>
            <w:shd w:val="clear" w:color="auto" w:fill="auto"/>
          </w:tcPr>
          <w:p w14:paraId="7B5EFE83" w14:textId="77777777" w:rsidR="004F7AE7" w:rsidRPr="007007C9" w:rsidRDefault="004F7AE7" w:rsidP="007007C9">
            <w:pPr>
              <w:spacing w:before="0" w:after="0" w:line="276" w:lineRule="auto"/>
              <w:rPr>
                <w:rFonts w:cs="Times New Roman"/>
              </w:rPr>
            </w:pPr>
            <w:r w:rsidRPr="007007C9">
              <w:rPr>
                <w:rFonts w:cs="Times New Roman"/>
              </w:rPr>
              <w:t>Très Bien</w:t>
            </w:r>
          </w:p>
        </w:tc>
      </w:tr>
      <w:tr w:rsidR="004F7AE7" w:rsidRPr="004F7AE7" w14:paraId="7C0CA80C" w14:textId="77777777" w:rsidTr="009F5BDE">
        <w:tc>
          <w:tcPr>
            <w:tcW w:w="1666" w:type="pct"/>
            <w:shd w:val="clear" w:color="auto" w:fill="auto"/>
          </w:tcPr>
          <w:p w14:paraId="4BE80C72" w14:textId="77777777" w:rsidR="004F7AE7" w:rsidRPr="007007C9" w:rsidRDefault="004F7AE7" w:rsidP="007007C9">
            <w:pPr>
              <w:spacing w:before="0" w:after="0" w:line="276" w:lineRule="auto"/>
              <w:rPr>
                <w:rFonts w:cs="Times New Roman"/>
              </w:rPr>
            </w:pPr>
            <w:r w:rsidRPr="007007C9">
              <w:rPr>
                <w:rFonts w:cs="Times New Roman"/>
              </w:rPr>
              <w:t>SONRHAI</w:t>
            </w:r>
          </w:p>
        </w:tc>
        <w:tc>
          <w:tcPr>
            <w:tcW w:w="1667" w:type="pct"/>
            <w:shd w:val="clear" w:color="auto" w:fill="auto"/>
          </w:tcPr>
          <w:p w14:paraId="20324C87" w14:textId="77777777" w:rsidR="004F7AE7" w:rsidRPr="007007C9" w:rsidRDefault="004F7AE7" w:rsidP="007007C9">
            <w:pPr>
              <w:spacing w:before="0" w:after="0" w:line="276" w:lineRule="auto"/>
              <w:rPr>
                <w:rFonts w:cs="Times New Roman"/>
              </w:rPr>
            </w:pPr>
            <w:r w:rsidRPr="007007C9">
              <w:rPr>
                <w:rFonts w:cs="Times New Roman"/>
              </w:rPr>
              <w:t>Très Bien</w:t>
            </w:r>
          </w:p>
        </w:tc>
        <w:tc>
          <w:tcPr>
            <w:tcW w:w="1667" w:type="pct"/>
            <w:shd w:val="clear" w:color="auto" w:fill="auto"/>
          </w:tcPr>
          <w:p w14:paraId="44AEAC16"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2D4D5E1C" w14:textId="77777777" w:rsidTr="009F5BDE">
        <w:tc>
          <w:tcPr>
            <w:tcW w:w="1666" w:type="pct"/>
            <w:shd w:val="clear" w:color="auto" w:fill="auto"/>
          </w:tcPr>
          <w:p w14:paraId="0C97CF52" w14:textId="77777777" w:rsidR="004F7AE7" w:rsidRPr="007007C9" w:rsidRDefault="004F7AE7" w:rsidP="007007C9">
            <w:pPr>
              <w:spacing w:before="0" w:after="0" w:line="276" w:lineRule="auto"/>
              <w:rPr>
                <w:rFonts w:cs="Times New Roman"/>
                <w:b/>
              </w:rPr>
            </w:pPr>
            <w:r w:rsidRPr="004F7AE7">
              <w:rPr>
                <w:b/>
              </w:rPr>
              <w:t>Tamasheq</w:t>
            </w:r>
          </w:p>
        </w:tc>
        <w:tc>
          <w:tcPr>
            <w:tcW w:w="1667" w:type="pct"/>
            <w:shd w:val="clear" w:color="auto" w:fill="auto"/>
          </w:tcPr>
          <w:p w14:paraId="36F9331D"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112AAD77"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09C884C2" w14:textId="77777777" w:rsidTr="009F5BDE">
        <w:tc>
          <w:tcPr>
            <w:tcW w:w="1666" w:type="pct"/>
            <w:shd w:val="clear" w:color="auto" w:fill="auto"/>
          </w:tcPr>
          <w:p w14:paraId="0C2034A3" w14:textId="77777777" w:rsidR="004F7AE7" w:rsidRPr="007007C9" w:rsidRDefault="004F7AE7" w:rsidP="007007C9">
            <w:pPr>
              <w:spacing w:before="0" w:after="0" w:line="276" w:lineRule="auto"/>
              <w:rPr>
                <w:rFonts w:cs="Times New Roman"/>
              </w:rPr>
            </w:pPr>
            <w:r w:rsidRPr="007007C9">
              <w:rPr>
                <w:rFonts w:cs="Times New Roman"/>
                <w:b/>
              </w:rPr>
              <w:t>Bambara</w:t>
            </w:r>
          </w:p>
        </w:tc>
        <w:tc>
          <w:tcPr>
            <w:tcW w:w="1667" w:type="pct"/>
            <w:shd w:val="clear" w:color="auto" w:fill="auto"/>
          </w:tcPr>
          <w:p w14:paraId="4A900A3C"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12E58268"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07AAB8D6" w14:textId="77777777" w:rsidTr="009F5BDE">
        <w:tc>
          <w:tcPr>
            <w:tcW w:w="1666" w:type="pct"/>
            <w:shd w:val="clear" w:color="auto" w:fill="auto"/>
          </w:tcPr>
          <w:p w14:paraId="6C99CA0F" w14:textId="77777777" w:rsidR="004F7AE7" w:rsidRPr="007007C9" w:rsidRDefault="004F7AE7" w:rsidP="007007C9">
            <w:pPr>
              <w:spacing w:before="0" w:after="0" w:line="276" w:lineRule="auto"/>
              <w:rPr>
                <w:rFonts w:cs="Times New Roman"/>
              </w:rPr>
            </w:pPr>
            <w:r w:rsidRPr="007007C9">
              <w:rPr>
                <w:rFonts w:cs="Times New Roman"/>
              </w:rPr>
              <w:t xml:space="preserve">Anglais </w:t>
            </w:r>
          </w:p>
        </w:tc>
        <w:tc>
          <w:tcPr>
            <w:tcW w:w="1667" w:type="pct"/>
            <w:shd w:val="clear" w:color="auto" w:fill="auto"/>
          </w:tcPr>
          <w:p w14:paraId="62E99B81"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36FFA005" w14:textId="77777777" w:rsidR="004F7AE7" w:rsidRPr="007007C9" w:rsidRDefault="004F7AE7" w:rsidP="007007C9">
            <w:pPr>
              <w:spacing w:before="0" w:after="0" w:line="276" w:lineRule="auto"/>
              <w:rPr>
                <w:rFonts w:cs="Times New Roman"/>
              </w:rPr>
            </w:pPr>
            <w:r w:rsidRPr="007007C9">
              <w:rPr>
                <w:rFonts w:cs="Times New Roman"/>
              </w:rPr>
              <w:t>Bien</w:t>
            </w:r>
          </w:p>
        </w:tc>
      </w:tr>
    </w:tbl>
    <w:p w14:paraId="1F612EC1" w14:textId="77777777" w:rsidR="004F7AE7" w:rsidRDefault="004F7AE7" w:rsidP="004F7AE7">
      <w:pPr>
        <w:spacing w:after="0"/>
        <w:rPr>
          <w:rFonts w:cs="Times New Roman"/>
          <w:b/>
          <w:iCs/>
          <w:sz w:val="24"/>
          <w:szCs w:val="24"/>
          <w:u w:val="single"/>
        </w:rPr>
      </w:pPr>
    </w:p>
    <w:p w14:paraId="7542CCFB" w14:textId="203B560F" w:rsidR="004F7AE7" w:rsidRPr="007007C9" w:rsidRDefault="004F7AE7" w:rsidP="007007C9">
      <w:pPr>
        <w:spacing w:after="0"/>
        <w:rPr>
          <w:rFonts w:cs="Times New Roman"/>
          <w:b/>
          <w:iCs/>
          <w:sz w:val="24"/>
          <w:szCs w:val="24"/>
          <w:u w:val="single"/>
        </w:rPr>
      </w:pPr>
      <w:r w:rsidRPr="007007C9">
        <w:rPr>
          <w:rFonts w:cs="Times New Roman"/>
          <w:b/>
          <w:iCs/>
          <w:sz w:val="24"/>
          <w:szCs w:val="24"/>
          <w:u w:val="single"/>
        </w:rPr>
        <w:t>Loisirs</w:t>
      </w:r>
    </w:p>
    <w:p w14:paraId="1EBEA9A7" w14:textId="77777777" w:rsidR="004F7AE7" w:rsidRPr="008725DD" w:rsidRDefault="004F7AE7" w:rsidP="00FB2B45">
      <w:pPr>
        <w:pStyle w:val="Paragraphedeliste"/>
        <w:numPr>
          <w:ilvl w:val="0"/>
          <w:numId w:val="41"/>
        </w:numPr>
        <w:spacing w:before="0" w:after="0" w:line="276" w:lineRule="auto"/>
        <w:rPr>
          <w:rFonts w:ascii="Times New Roman" w:hAnsi="Times New Roman" w:cs="Times New Roman"/>
          <w:sz w:val="24"/>
          <w:szCs w:val="24"/>
        </w:rPr>
      </w:pPr>
      <w:r w:rsidRPr="008725DD">
        <w:rPr>
          <w:rFonts w:ascii="Times New Roman" w:hAnsi="Times New Roman" w:cs="Times New Roman"/>
          <w:sz w:val="24"/>
          <w:szCs w:val="24"/>
        </w:rPr>
        <w:t>Le Football, Voyage, cinéma, La Lecture,</w:t>
      </w:r>
    </w:p>
    <w:p w14:paraId="137F37E0" w14:textId="6F799A24" w:rsidR="004F7AE7" w:rsidRPr="008725DD" w:rsidRDefault="004F7AE7" w:rsidP="00FB2B45">
      <w:pPr>
        <w:pStyle w:val="Paragraphedeliste"/>
        <w:numPr>
          <w:ilvl w:val="0"/>
          <w:numId w:val="41"/>
        </w:numPr>
        <w:spacing w:before="0" w:after="0" w:line="276" w:lineRule="auto"/>
        <w:rPr>
          <w:rFonts w:ascii="Times New Roman" w:hAnsi="Times New Roman" w:cs="Times New Roman"/>
          <w:sz w:val="24"/>
          <w:szCs w:val="24"/>
        </w:rPr>
      </w:pPr>
      <w:r w:rsidRPr="008725DD">
        <w:rPr>
          <w:rFonts w:ascii="Times New Roman" w:hAnsi="Times New Roman" w:cs="Times New Roman"/>
          <w:sz w:val="24"/>
          <w:szCs w:val="24"/>
        </w:rPr>
        <w:t xml:space="preserve">Déteste </w:t>
      </w:r>
      <w:r>
        <w:rPr>
          <w:rFonts w:ascii="Times New Roman" w:hAnsi="Times New Roman" w:cs="Times New Roman"/>
          <w:sz w:val="24"/>
          <w:szCs w:val="24"/>
        </w:rPr>
        <w:t>l</w:t>
      </w:r>
      <w:r w:rsidRPr="008725DD">
        <w:rPr>
          <w:rFonts w:ascii="Times New Roman" w:hAnsi="Times New Roman" w:cs="Times New Roman"/>
          <w:sz w:val="24"/>
          <w:szCs w:val="24"/>
        </w:rPr>
        <w:t xml:space="preserve">’Injustice, </w:t>
      </w:r>
      <w:r>
        <w:rPr>
          <w:rFonts w:ascii="Times New Roman" w:hAnsi="Times New Roman" w:cs="Times New Roman"/>
          <w:sz w:val="24"/>
          <w:szCs w:val="24"/>
        </w:rPr>
        <w:t>le v</w:t>
      </w:r>
      <w:r w:rsidRPr="008725DD">
        <w:rPr>
          <w:rFonts w:ascii="Times New Roman" w:hAnsi="Times New Roman" w:cs="Times New Roman"/>
          <w:sz w:val="24"/>
          <w:szCs w:val="24"/>
        </w:rPr>
        <w:t xml:space="preserve">ol, </w:t>
      </w:r>
      <w:r>
        <w:rPr>
          <w:rFonts w:ascii="Times New Roman" w:hAnsi="Times New Roman" w:cs="Times New Roman"/>
          <w:sz w:val="24"/>
          <w:szCs w:val="24"/>
        </w:rPr>
        <w:t>l</w:t>
      </w:r>
      <w:r w:rsidRPr="008725DD">
        <w:rPr>
          <w:rFonts w:ascii="Times New Roman" w:hAnsi="Times New Roman" w:cs="Times New Roman"/>
          <w:sz w:val="24"/>
          <w:szCs w:val="24"/>
        </w:rPr>
        <w:t>a violence faite aux femmes.</w:t>
      </w:r>
    </w:p>
    <w:p w14:paraId="1B01D1D9" w14:textId="77777777" w:rsidR="004F7AE7" w:rsidRPr="008725DD" w:rsidRDefault="004F7AE7" w:rsidP="004F7AE7">
      <w:pPr>
        <w:spacing w:after="0"/>
        <w:rPr>
          <w:rFonts w:ascii="Times New Roman" w:hAnsi="Times New Roman" w:cs="Times New Roman"/>
          <w:bCs/>
          <w:sz w:val="24"/>
          <w:szCs w:val="24"/>
        </w:rPr>
      </w:pPr>
    </w:p>
    <w:p w14:paraId="2FDC223D" w14:textId="7EC173C2" w:rsidR="004F7AE7" w:rsidRPr="007007C9" w:rsidRDefault="004F7AE7" w:rsidP="007007C9">
      <w:pPr>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PERSONNES A CONTACTER </w:t>
      </w:r>
    </w:p>
    <w:p w14:paraId="2B1A3EAD" w14:textId="77777777" w:rsidR="004F7AE7" w:rsidRDefault="004F7AE7" w:rsidP="007007C9">
      <w:pPr>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Mme Maiga Salama Dicko, coordinatrice à </w:t>
      </w:r>
      <w:r w:rsidRPr="00600001">
        <w:rPr>
          <w:rFonts w:ascii="Times New Roman" w:hAnsi="Times New Roman" w:cs="Times New Roman"/>
          <w:b/>
          <w:bCs/>
          <w:sz w:val="24"/>
          <w:szCs w:val="24"/>
        </w:rPr>
        <w:t>l’ONG GREFFA GAO</w:t>
      </w:r>
      <w:r>
        <w:rPr>
          <w:rFonts w:ascii="Times New Roman" w:hAnsi="Times New Roman" w:cs="Times New Roman"/>
          <w:bCs/>
          <w:sz w:val="24"/>
          <w:szCs w:val="24"/>
        </w:rPr>
        <w:t> : 66 08 88 55</w:t>
      </w:r>
    </w:p>
    <w:p w14:paraId="28E33563" w14:textId="77777777" w:rsidR="004F7AE7" w:rsidRPr="00265B9A" w:rsidRDefault="004F7AE7" w:rsidP="007007C9">
      <w:pPr>
        <w:spacing w:after="0" w:line="276" w:lineRule="auto"/>
        <w:rPr>
          <w:rFonts w:ascii="Times New Roman" w:hAnsi="Times New Roman" w:cs="Times New Roman"/>
          <w:bCs/>
          <w:sz w:val="24"/>
          <w:szCs w:val="24"/>
          <w:lang w:val="en-US"/>
        </w:rPr>
      </w:pPr>
      <w:r w:rsidRPr="00265B9A">
        <w:rPr>
          <w:rFonts w:ascii="Times New Roman" w:hAnsi="Times New Roman" w:cs="Times New Roman"/>
          <w:bCs/>
          <w:sz w:val="24"/>
          <w:szCs w:val="24"/>
          <w:lang w:val="en-US"/>
        </w:rPr>
        <w:t>Mohamed Ag Almahmoud, coordinateur à l’</w:t>
      </w:r>
      <w:r w:rsidRPr="00265B9A">
        <w:rPr>
          <w:rFonts w:ascii="Times New Roman" w:hAnsi="Times New Roman" w:cs="Times New Roman"/>
          <w:b/>
          <w:bCs/>
          <w:sz w:val="24"/>
          <w:szCs w:val="24"/>
          <w:lang w:val="en-US"/>
        </w:rPr>
        <w:t>ONG HED-TAMAT GAO :</w:t>
      </w:r>
      <w:r w:rsidRPr="00265B9A">
        <w:rPr>
          <w:rFonts w:ascii="Times New Roman" w:hAnsi="Times New Roman" w:cs="Times New Roman"/>
          <w:bCs/>
          <w:sz w:val="24"/>
          <w:szCs w:val="24"/>
          <w:lang w:val="en-US"/>
        </w:rPr>
        <w:t xml:space="preserve"> 77 57 42 80 </w:t>
      </w:r>
    </w:p>
    <w:p w14:paraId="2F83D5D5" w14:textId="146415DB" w:rsidR="004F7AE7" w:rsidRDefault="004F7AE7" w:rsidP="007007C9">
      <w:pPr>
        <w:spacing w:after="0" w:line="276" w:lineRule="auto"/>
        <w:rPr>
          <w:rFonts w:ascii="Times New Roman" w:hAnsi="Times New Roman" w:cs="Times New Roman"/>
          <w:bCs/>
          <w:sz w:val="24"/>
          <w:szCs w:val="24"/>
        </w:rPr>
      </w:pPr>
      <w:r>
        <w:rPr>
          <w:rFonts w:ascii="Times New Roman" w:hAnsi="Times New Roman" w:cs="Times New Roman"/>
          <w:bCs/>
          <w:sz w:val="24"/>
          <w:szCs w:val="24"/>
        </w:rPr>
        <w:t>Mme Dicko Hadéye Abacar, chef de projet à l’ONG GARDEL : 79 30 16 04 / 66 40 33 90</w:t>
      </w:r>
    </w:p>
    <w:p w14:paraId="5EA741E8" w14:textId="519848D5" w:rsidR="004F7AE7" w:rsidRPr="007007C9" w:rsidRDefault="004F7AE7" w:rsidP="004F7AE7">
      <w:pPr>
        <w:spacing w:after="0"/>
        <w:rPr>
          <w:rFonts w:ascii="Times New Roman" w:hAnsi="Times New Roman" w:cs="Times New Roman"/>
          <w:bCs/>
          <w:sz w:val="16"/>
          <w:szCs w:val="16"/>
        </w:rPr>
      </w:pPr>
    </w:p>
    <w:p w14:paraId="55778D34" w14:textId="77777777" w:rsidR="004F7AE7" w:rsidRPr="008725DD" w:rsidRDefault="004F7AE7" w:rsidP="004F7AE7">
      <w:pPr>
        <w:spacing w:after="0"/>
        <w:rPr>
          <w:rFonts w:ascii="Times New Roman" w:hAnsi="Times New Roman" w:cs="Times New Roman"/>
          <w:bCs/>
          <w:sz w:val="24"/>
          <w:szCs w:val="24"/>
        </w:rPr>
      </w:pPr>
      <w:r w:rsidRPr="008725DD">
        <w:rPr>
          <w:rFonts w:ascii="Times New Roman" w:hAnsi="Times New Roman" w:cs="Times New Roman"/>
          <w:bCs/>
          <w:sz w:val="24"/>
          <w:szCs w:val="24"/>
        </w:rPr>
        <w:t xml:space="preserve">Je certifie sur l’honneur, l’exactitude des renseignements portés au présent curriculum vitae </w:t>
      </w:r>
    </w:p>
    <w:p w14:paraId="565B16B4" w14:textId="4DBD8D8A" w:rsidR="004F7AE7" w:rsidRPr="008725DD" w:rsidRDefault="007068E8" w:rsidP="004F7AE7">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4F7AE7">
        <w:rPr>
          <w:rFonts w:ascii="Times New Roman" w:hAnsi="Times New Roman" w:cs="Times New Roman"/>
          <w:b/>
          <w:bCs/>
          <w:sz w:val="24"/>
          <w:szCs w:val="24"/>
        </w:rPr>
        <w:t xml:space="preserve">GAO, </w:t>
      </w:r>
      <w:r w:rsidR="004F7AE7">
        <w:rPr>
          <w:rFonts w:ascii="Times New Roman" w:hAnsi="Times New Roman" w:cs="Times New Roman"/>
          <w:bCs/>
          <w:sz w:val="24"/>
          <w:szCs w:val="24"/>
        </w:rPr>
        <w:t>le 09 /04/2020</w:t>
      </w:r>
    </w:p>
    <w:p w14:paraId="15C00089" w14:textId="77777777" w:rsidR="004F7AE7" w:rsidRDefault="004F7AE7" w:rsidP="004F7AE7">
      <w:pPr>
        <w:spacing w:before="0" w:after="200" w:line="276" w:lineRule="auto"/>
        <w:jc w:val="left"/>
      </w:pPr>
    </w:p>
    <w:p w14:paraId="5326A735" w14:textId="258C73B0" w:rsidR="00C45041" w:rsidRPr="00D623BF" w:rsidRDefault="00C45041" w:rsidP="009F5BDE">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Pr>
          <w:rFonts w:ascii="Times New Roman" w:hAnsi="Times New Roman" w:cs="Times New Roman"/>
          <w:b/>
          <w:bCs/>
          <w:color w:val="0070C0"/>
          <w:sz w:val="24"/>
          <w:szCs w:val="24"/>
        </w:rPr>
        <w:t>OUMAROU YACOUBA Ibrahim</w:t>
      </w:r>
    </w:p>
    <w:p w14:paraId="6F56BEF0" w14:textId="77777777" w:rsidR="00C45041" w:rsidRDefault="00F26DC5" w:rsidP="004F7AE7">
      <w:pPr>
        <w:spacing w:before="0" w:after="200" w:line="276" w:lineRule="auto"/>
        <w:jc w:val="left"/>
      </w:pPr>
      <w:r>
        <w:rPr>
          <w:noProof/>
        </w:rPr>
        <w:pict w14:anchorId="5C25C074">
          <v:shape id="Image 1" o:spid="_x0000_i1027" type="#_x0000_t75" alt="" style="width:455pt;height:543.5pt;visibility:visible;mso-width-percent:0;mso-height-percent:0;mso-width-percent:0;mso-height-percent:0">
            <v:imagedata r:id="rId34" o:title=""/>
          </v:shape>
        </w:pict>
      </w:r>
    </w:p>
    <w:p w14:paraId="6DE7F90B" w14:textId="77777777" w:rsidR="00C45041" w:rsidRDefault="00C45041" w:rsidP="004F7AE7">
      <w:pPr>
        <w:spacing w:before="0" w:after="200" w:line="276" w:lineRule="auto"/>
        <w:jc w:val="left"/>
      </w:pPr>
    </w:p>
    <w:p w14:paraId="7749FE93" w14:textId="77777777" w:rsidR="00C45041" w:rsidRDefault="00C45041" w:rsidP="004F7AE7">
      <w:pPr>
        <w:spacing w:before="0" w:after="200" w:line="276" w:lineRule="auto"/>
        <w:jc w:val="left"/>
      </w:pPr>
    </w:p>
    <w:p w14:paraId="6CB836AD" w14:textId="77777777" w:rsidR="00C45041" w:rsidRDefault="00F26DC5" w:rsidP="004F7AE7">
      <w:pPr>
        <w:spacing w:before="0" w:after="200" w:line="276" w:lineRule="auto"/>
        <w:jc w:val="left"/>
        <w:rPr>
          <w:noProof/>
        </w:rPr>
      </w:pPr>
      <w:r>
        <w:rPr>
          <w:noProof/>
        </w:rPr>
        <w:pict w14:anchorId="58A530CF">
          <v:shape id="Image 2" o:spid="_x0000_i1028" type="#_x0000_t75" alt="" style="width:453.5pt;height:495pt;visibility:visible;mso-width-percent:0;mso-height-percent:0;mso-width-percent:0;mso-height-percent:0">
            <v:imagedata r:id="rId35" o:title=""/>
          </v:shape>
        </w:pict>
      </w:r>
    </w:p>
    <w:p w14:paraId="029E7F61" w14:textId="6E905E08" w:rsidR="00C45041" w:rsidRDefault="00C45041" w:rsidP="00C45041">
      <w:pPr>
        <w:tabs>
          <w:tab w:val="left" w:pos="2763"/>
        </w:tabs>
        <w:rPr>
          <w:noProof/>
        </w:rPr>
      </w:pPr>
      <w:r>
        <w:rPr>
          <w:noProof/>
        </w:rPr>
        <w:tab/>
      </w:r>
    </w:p>
    <w:p w14:paraId="57208230" w14:textId="687ABE07" w:rsidR="00C45041" w:rsidRPr="007007C9" w:rsidRDefault="00C45041" w:rsidP="009F5BDE">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 xml:space="preserve">CV DE </w:t>
      </w:r>
      <w:r w:rsidR="00196934" w:rsidRPr="00196934">
        <w:rPr>
          <w:rFonts w:cs="Times New Roman"/>
          <w:b/>
          <w:bCs/>
          <w:color w:val="0070C0"/>
          <w:sz w:val="24"/>
          <w:szCs w:val="24"/>
        </w:rPr>
        <w:t>Bintou Wallet ASSALEH</w:t>
      </w:r>
      <w:r w:rsidRPr="007007C9">
        <w:rPr>
          <w:rFonts w:cs="Times New Roman"/>
          <w:b/>
          <w:bCs/>
          <w:color w:val="0070C0"/>
          <w:sz w:val="24"/>
          <w:szCs w:val="24"/>
        </w:rPr>
        <w:t xml:space="preserve"> </w:t>
      </w:r>
    </w:p>
    <w:p w14:paraId="5EEE7F5E" w14:textId="2A2C1346" w:rsidR="00C45041" w:rsidRPr="007007C9" w:rsidRDefault="00C45041" w:rsidP="00C45041">
      <w:pPr>
        <w:keepNext/>
        <w:widowControl w:val="0"/>
        <w:autoSpaceDE w:val="0"/>
        <w:autoSpaceDN w:val="0"/>
        <w:adjustRightInd w:val="0"/>
        <w:rPr>
          <w:rFonts w:ascii="Times New Roman" w:hAnsi="Times New Roman" w:cs="Times New Roman"/>
          <w:b/>
          <w:iCs/>
        </w:rPr>
      </w:pPr>
      <w:r w:rsidRPr="007007C9">
        <w:rPr>
          <w:rStyle w:val="Rfrenceintense"/>
          <w:rFonts w:ascii="Times New Roman" w:hAnsi="Times New Roman" w:cs="Times New Roman"/>
          <w:color w:val="365F91"/>
          <w:u w:val="none"/>
        </w:rPr>
        <w:t xml:space="preserve">IDENTITE </w:t>
      </w:r>
    </w:p>
    <w:p w14:paraId="3D6E9C2B" w14:textId="20866DC2" w:rsidR="00196934" w:rsidRPr="007007C9" w:rsidRDefault="00196934" w:rsidP="00FB2B45">
      <w:pPr>
        <w:pStyle w:val="Paragraphedeliste"/>
        <w:numPr>
          <w:ilvl w:val="0"/>
          <w:numId w:val="34"/>
        </w:numPr>
        <w:spacing w:before="0" w:after="200" w:line="276" w:lineRule="auto"/>
        <w:jc w:val="left"/>
        <w:rPr>
          <w:b/>
          <w:bCs/>
        </w:rPr>
      </w:pPr>
      <w:r w:rsidRPr="007007C9">
        <w:rPr>
          <w:b/>
          <w:bCs/>
        </w:rPr>
        <w:t>Nom &amp; Prénom : Bintou Wallet ASSALEH</w:t>
      </w:r>
    </w:p>
    <w:p w14:paraId="0D161705" w14:textId="44B64468" w:rsidR="0002625B" w:rsidRPr="00935B0D" w:rsidRDefault="0002625B" w:rsidP="00FB2B45">
      <w:pPr>
        <w:pStyle w:val="Paragraphedeliste"/>
        <w:numPr>
          <w:ilvl w:val="0"/>
          <w:numId w:val="34"/>
        </w:numPr>
        <w:spacing w:before="0" w:after="200" w:line="276" w:lineRule="auto"/>
        <w:jc w:val="left"/>
      </w:pPr>
      <w:r>
        <w:t xml:space="preserve">Naissance : Née </w:t>
      </w:r>
      <w:r w:rsidRPr="00935B0D">
        <w:t>Vers 1986 à Dire</w:t>
      </w:r>
    </w:p>
    <w:p w14:paraId="5769E6FA" w14:textId="1B3E3AB0" w:rsidR="00196934" w:rsidRPr="007007C9" w:rsidRDefault="0002625B" w:rsidP="00FB2B45">
      <w:pPr>
        <w:pStyle w:val="Paragraphedeliste"/>
        <w:numPr>
          <w:ilvl w:val="0"/>
          <w:numId w:val="34"/>
        </w:numPr>
        <w:spacing w:before="0" w:after="200" w:line="276" w:lineRule="auto"/>
        <w:jc w:val="left"/>
      </w:pPr>
      <w:r>
        <w:t xml:space="preserve">Résidence : </w:t>
      </w:r>
      <w:r w:rsidR="00196934" w:rsidRPr="007007C9">
        <w:t>Tessit</w:t>
      </w:r>
    </w:p>
    <w:p w14:paraId="7D40544B" w14:textId="1900562C" w:rsidR="00196934" w:rsidRPr="007007C9" w:rsidRDefault="0002625B" w:rsidP="00FB2B45">
      <w:pPr>
        <w:pStyle w:val="Paragraphedeliste"/>
        <w:numPr>
          <w:ilvl w:val="0"/>
          <w:numId w:val="34"/>
        </w:numPr>
        <w:spacing w:before="0" w:after="200" w:line="276" w:lineRule="auto"/>
        <w:jc w:val="left"/>
      </w:pPr>
      <w:r>
        <w:t xml:space="preserve">Situation matrimoniale : </w:t>
      </w:r>
      <w:r w:rsidR="00196934" w:rsidRPr="007007C9">
        <w:t>Mariée</w:t>
      </w:r>
    </w:p>
    <w:p w14:paraId="27EEBADB" w14:textId="77777777" w:rsidR="00196934" w:rsidRPr="007007C9" w:rsidRDefault="00196934" w:rsidP="00FB2B45">
      <w:pPr>
        <w:pStyle w:val="Paragraphedeliste"/>
        <w:numPr>
          <w:ilvl w:val="0"/>
          <w:numId w:val="34"/>
        </w:numPr>
        <w:spacing w:before="0" w:after="200" w:line="276" w:lineRule="auto"/>
        <w:jc w:val="left"/>
      </w:pPr>
      <w:r w:rsidRPr="007007C9">
        <w:t xml:space="preserve">Nationalité Malienne </w:t>
      </w:r>
    </w:p>
    <w:p w14:paraId="42B55633" w14:textId="488B269F" w:rsidR="00C45041"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Pr>
          <w:rStyle w:val="Rfrenceintense"/>
          <w:rFonts w:ascii="Times New Roman" w:hAnsi="Times New Roman" w:cs="Times New Roman"/>
          <w:color w:val="365F91"/>
          <w:u w:val="none"/>
        </w:rPr>
        <w:t>DIPLÔMES OBTENUS</w:t>
      </w:r>
    </w:p>
    <w:p w14:paraId="594130DA" w14:textId="4F2CCA86" w:rsidR="0002625B" w:rsidRDefault="0002625B" w:rsidP="00FB2B45">
      <w:pPr>
        <w:pStyle w:val="Paragraphedeliste"/>
        <w:numPr>
          <w:ilvl w:val="0"/>
          <w:numId w:val="34"/>
        </w:numPr>
        <w:spacing w:before="0" w:after="200" w:line="276" w:lineRule="auto"/>
        <w:jc w:val="left"/>
      </w:pPr>
      <w:r w:rsidRPr="0002625B">
        <w:t>2006 Diplôme d’Etudes Fondamentales</w:t>
      </w:r>
    </w:p>
    <w:p w14:paraId="5A0E9CC0" w14:textId="7FA81E54" w:rsidR="0002625B" w:rsidRPr="003551E4"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Pr>
          <w:rStyle w:val="Rfrenceintense"/>
          <w:rFonts w:ascii="Times New Roman" w:hAnsi="Times New Roman" w:cs="Times New Roman"/>
          <w:color w:val="365F91"/>
          <w:u w:val="none"/>
        </w:rPr>
        <w:t>FORMATIONS PROFESSIONNELLES</w:t>
      </w:r>
    </w:p>
    <w:p w14:paraId="61DA249B" w14:textId="5B261FA6" w:rsidR="0002625B" w:rsidRPr="007007C9" w:rsidRDefault="0002625B" w:rsidP="00FB2B45">
      <w:pPr>
        <w:pStyle w:val="Default"/>
        <w:numPr>
          <w:ilvl w:val="0"/>
          <w:numId w:val="34"/>
        </w:numPr>
        <w:rPr>
          <w:rFonts w:ascii="Century Gothic" w:hAnsi="Century Gothic" w:cstheme="minorHAnsi"/>
          <w:sz w:val="22"/>
          <w:szCs w:val="22"/>
        </w:rPr>
      </w:pPr>
      <w:r w:rsidRPr="007007C9">
        <w:rPr>
          <w:rFonts w:ascii="Century Gothic" w:hAnsi="Century Gothic" w:cstheme="minorHAnsi"/>
          <w:bCs/>
          <w:sz w:val="22"/>
          <w:szCs w:val="22"/>
        </w:rPr>
        <w:t>Du 15 mars au 20 mars 2017 : Formation en informatique sur WORD</w:t>
      </w:r>
      <w:r>
        <w:rPr>
          <w:rFonts w:ascii="Century Gothic" w:hAnsi="Century Gothic" w:cstheme="minorHAnsi"/>
          <w:bCs/>
          <w:sz w:val="22"/>
          <w:szCs w:val="22"/>
        </w:rPr>
        <w:t xml:space="preserve"> </w:t>
      </w:r>
      <w:r w:rsidRPr="007007C9">
        <w:rPr>
          <w:rFonts w:ascii="Century Gothic" w:hAnsi="Century Gothic" w:cstheme="minorHAnsi"/>
          <w:bCs/>
          <w:sz w:val="22"/>
          <w:szCs w:val="22"/>
        </w:rPr>
        <w:t xml:space="preserve">; </w:t>
      </w:r>
    </w:p>
    <w:p w14:paraId="08BB3590" w14:textId="77777777" w:rsidR="0002625B" w:rsidRPr="007007C9" w:rsidRDefault="0002625B" w:rsidP="00FB2B45">
      <w:pPr>
        <w:pStyle w:val="Default"/>
        <w:numPr>
          <w:ilvl w:val="0"/>
          <w:numId w:val="34"/>
        </w:numPr>
        <w:rPr>
          <w:rFonts w:ascii="Century Gothic" w:hAnsi="Century Gothic" w:cstheme="minorHAnsi"/>
          <w:sz w:val="22"/>
          <w:szCs w:val="22"/>
        </w:rPr>
      </w:pPr>
      <w:r w:rsidRPr="007007C9">
        <w:rPr>
          <w:rFonts w:ascii="Century Gothic" w:hAnsi="Century Gothic" w:cstheme="minorHAnsi"/>
          <w:bCs/>
          <w:sz w:val="22"/>
          <w:szCs w:val="22"/>
        </w:rPr>
        <w:t>Du 10 Aout au 25 septembre 2009 :</w:t>
      </w:r>
      <w:r w:rsidRPr="007007C9">
        <w:rPr>
          <w:rFonts w:ascii="Century Gothic" w:hAnsi="Century Gothic" w:cstheme="minorHAnsi"/>
          <w:b/>
          <w:bCs/>
          <w:sz w:val="22"/>
          <w:szCs w:val="22"/>
        </w:rPr>
        <w:t xml:space="preserve"> </w:t>
      </w:r>
      <w:r w:rsidRPr="007007C9">
        <w:rPr>
          <w:rFonts w:ascii="Century Gothic" w:hAnsi="Century Gothic" w:cstheme="minorHAnsi"/>
          <w:sz w:val="22"/>
          <w:szCs w:val="22"/>
        </w:rPr>
        <w:t>Formation accélérée sur l’enseignement</w:t>
      </w:r>
    </w:p>
    <w:p w14:paraId="11029455" w14:textId="77777777" w:rsidR="0002625B" w:rsidRPr="007007C9" w:rsidRDefault="0002625B" w:rsidP="00FB2B45">
      <w:pPr>
        <w:pStyle w:val="Default"/>
        <w:numPr>
          <w:ilvl w:val="0"/>
          <w:numId w:val="34"/>
        </w:numPr>
        <w:rPr>
          <w:rFonts w:ascii="Century Gothic" w:hAnsi="Century Gothic" w:cstheme="minorHAnsi"/>
          <w:b/>
          <w:bCs/>
          <w:sz w:val="22"/>
          <w:szCs w:val="22"/>
        </w:rPr>
      </w:pPr>
      <w:r w:rsidRPr="007007C9">
        <w:rPr>
          <w:rFonts w:ascii="Century Gothic" w:hAnsi="Century Gothic" w:cstheme="minorHAnsi"/>
          <w:b/>
          <w:bCs/>
          <w:sz w:val="22"/>
          <w:szCs w:val="22"/>
        </w:rPr>
        <w:t>Formation des agents des radios communautaires par Geek-Corps, 2009</w:t>
      </w:r>
    </w:p>
    <w:p w14:paraId="2B012B24"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rPr>
      </w:pPr>
      <w:r w:rsidRPr="007007C9">
        <w:rPr>
          <w:rFonts w:eastAsia="Batang" w:cstheme="minorHAnsi"/>
        </w:rPr>
        <w:t>Atelier de formation des mentors de l’ONG Mercy Corps,</w:t>
      </w:r>
    </w:p>
    <w:p w14:paraId="66E0C8A3"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rPr>
      </w:pPr>
      <w:r w:rsidRPr="007007C9">
        <w:rPr>
          <w:rFonts w:eastAsia="Batang" w:cstheme="minorHAnsi"/>
        </w:rPr>
        <w:t>Formation sur l’évaluation des analyses des barrières sur l’utilisation des aliments diversifiés pour les enfants de moins d’un an et plus, au compte de l’ONG MERCY CORPS,</w:t>
      </w:r>
    </w:p>
    <w:p w14:paraId="587DF6C5"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sur l’enquête de l’identification des ménages vulnérables IEDA-RELIEF,</w:t>
      </w:r>
    </w:p>
    <w:p w14:paraId="7370D06F"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femmes médias en journalisme organisée par SFCG sur financement ACCORD-USAID,</w:t>
      </w:r>
    </w:p>
    <w:p w14:paraId="49F92F9B"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journalistes des radios communautaires sur la production de magazine par PANOS en partenariat avec Studio Tamani 2018,</w:t>
      </w:r>
    </w:p>
    <w:p w14:paraId="77A41BC1"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associations féminines en entreprenariat, organisée par ACCORD-USAID</w:t>
      </w:r>
    </w:p>
    <w:p w14:paraId="6DC9C222"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associations féminines sur la vie associative et la gestion des conflits, ONU FEMME/CARD</w:t>
      </w:r>
    </w:p>
    <w:p w14:paraId="7029787A"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animateurs PACEN en 2014</w:t>
      </w:r>
    </w:p>
    <w:p w14:paraId="01FFD058"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associations féminines sur la vie associative organisée par Equal Access/Voix De Paix</w:t>
      </w:r>
    </w:p>
    <w:p w14:paraId="4DE8625C" w14:textId="06694EAF"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sur la gestion des ressources naturelles organisée par Tassaght</w:t>
      </w:r>
      <w:r w:rsidR="007068E8">
        <w:rPr>
          <w:rFonts w:eastAsia="Batang" w:cstheme="minorHAnsi"/>
        </w:rPr>
        <w:t xml:space="preserve"> </w:t>
      </w:r>
      <w:r w:rsidRPr="007007C9">
        <w:rPr>
          <w:rFonts w:eastAsia="Batang" w:cstheme="minorHAnsi"/>
        </w:rPr>
        <w:t>en 2021</w:t>
      </w:r>
    </w:p>
    <w:p w14:paraId="67124B93"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sur la mobilisation des ressources au compte des radios communautaires, organisée par Equal Access/Voix De Paix en 202,</w:t>
      </w:r>
    </w:p>
    <w:p w14:paraId="43EA2350"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Comité de Paix et Sécurité CPS de Search For Common Ground sur le bulletin de score, le Do No Arm en 2021</w:t>
      </w:r>
    </w:p>
    <w:p w14:paraId="085996E6"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femmes médias sur les genres et formats radiophoniques, organisée par la Munisma en 2021</w:t>
      </w:r>
    </w:p>
    <w:p w14:paraId="26810E33" w14:textId="77777777" w:rsidR="0002625B" w:rsidRPr="0002625B" w:rsidRDefault="0002625B" w:rsidP="007007C9">
      <w:pPr>
        <w:spacing w:before="0" w:after="200" w:line="276" w:lineRule="auto"/>
        <w:jc w:val="left"/>
      </w:pPr>
    </w:p>
    <w:p w14:paraId="115C302B" w14:textId="77777777" w:rsidR="00C45041" w:rsidRPr="007007C9" w:rsidRDefault="00C45041"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EXPERIENCES PROFESSIONNELLES </w:t>
      </w:r>
    </w:p>
    <w:p w14:paraId="3C9B82B8"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eastAsia="Batang" w:cstheme="minorHAnsi"/>
        </w:rPr>
      </w:pPr>
      <w:r w:rsidRPr="007007C9">
        <w:rPr>
          <w:rFonts w:eastAsia="Batang" w:cstheme="minorHAnsi"/>
          <w:b/>
          <w:bCs/>
        </w:rPr>
        <w:t>De 2009 à nos jours :</w:t>
      </w:r>
      <w:r w:rsidRPr="007007C9">
        <w:rPr>
          <w:rFonts w:eastAsia="Batang" w:cstheme="minorHAnsi"/>
        </w:rPr>
        <w:t xml:space="preserve"> animatrice et technicienne à la radio communautaire de Tessit</w:t>
      </w:r>
    </w:p>
    <w:p w14:paraId="34F2B452" w14:textId="77777777" w:rsidR="0002625B" w:rsidRPr="007007C9" w:rsidRDefault="0002625B" w:rsidP="0002625B">
      <w:pPr>
        <w:pStyle w:val="Default"/>
        <w:rPr>
          <w:rFonts w:ascii="Century Gothic" w:hAnsi="Century Gothic" w:cs="Times New Roman"/>
          <w:b/>
          <w:bCs/>
          <w:sz w:val="22"/>
          <w:szCs w:val="22"/>
          <w:u w:val="single"/>
        </w:rPr>
      </w:pPr>
      <w:r w:rsidRPr="007007C9">
        <w:rPr>
          <w:rFonts w:ascii="Century Gothic" w:hAnsi="Century Gothic" w:cs="Times New Roman"/>
          <w:b/>
          <w:bCs/>
          <w:sz w:val="22"/>
          <w:szCs w:val="22"/>
          <w:u w:val="single"/>
        </w:rPr>
        <w:t xml:space="preserve">Tâches exécutées : </w:t>
      </w:r>
    </w:p>
    <w:p w14:paraId="5DFC81B5"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 sujets de production</w:t>
      </w:r>
    </w:p>
    <w:p w14:paraId="3B08E76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Production de vox pop, interviews</w:t>
      </w:r>
    </w:p>
    <w:p w14:paraId="5FA139EC"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Production d’émissions (tables rondes, émissions interactives préenregistrées et directes)</w:t>
      </w:r>
    </w:p>
    <w:p w14:paraId="4737E9BA"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Couvertures médiatiques en cas d’évènements internes et externes,</w:t>
      </w:r>
    </w:p>
    <w:p w14:paraId="470E59FD"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Traitement et montage des émissions,</w:t>
      </w:r>
    </w:p>
    <w:p w14:paraId="0C9F1B73" w14:textId="058042B2" w:rsidR="0002625B"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Mise en onde des émissions</w:t>
      </w:r>
    </w:p>
    <w:p w14:paraId="248B5CEA" w14:textId="77777777" w:rsidR="0002625B" w:rsidRPr="007007C9" w:rsidRDefault="0002625B" w:rsidP="007007C9">
      <w:pPr>
        <w:pStyle w:val="Default"/>
        <w:rPr>
          <w:rFonts w:ascii="Century Gothic" w:hAnsi="Century Gothic" w:cs="Times New Roman"/>
          <w:sz w:val="22"/>
          <w:szCs w:val="22"/>
        </w:rPr>
      </w:pPr>
    </w:p>
    <w:p w14:paraId="4EECCAC4"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eastAsia="Batang" w:cstheme="minorHAnsi"/>
          <w:b/>
          <w:bCs/>
        </w:rPr>
        <w:t>De Janvier 2013 à Décembre 2013, mentor</w:t>
      </w:r>
      <w:r w:rsidRPr="007007C9">
        <w:rPr>
          <w:rFonts w:cstheme="minorHAnsi"/>
          <w:b/>
          <w:bCs/>
        </w:rPr>
        <w:t xml:space="preserve"> à Tessit au compte de l’ONG Mercy Corps</w:t>
      </w:r>
    </w:p>
    <w:p w14:paraId="6D2B9FAF" w14:textId="77777777" w:rsidR="0002625B" w:rsidRPr="007007C9" w:rsidRDefault="0002625B" w:rsidP="0002625B">
      <w:pPr>
        <w:pStyle w:val="Default"/>
        <w:rPr>
          <w:rFonts w:ascii="Century Gothic" w:hAnsi="Century Gothic" w:cstheme="minorHAnsi"/>
          <w:sz w:val="22"/>
          <w:szCs w:val="22"/>
          <w:u w:val="single"/>
        </w:rPr>
      </w:pPr>
      <w:r w:rsidRPr="007007C9">
        <w:rPr>
          <w:rFonts w:ascii="Century Gothic" w:hAnsi="Century Gothic" w:cstheme="minorHAnsi"/>
          <w:b/>
          <w:bCs/>
          <w:sz w:val="22"/>
          <w:szCs w:val="22"/>
          <w:u w:val="single"/>
        </w:rPr>
        <w:t xml:space="preserve">Tâches exécutées : </w:t>
      </w:r>
    </w:p>
    <w:p w14:paraId="3D99FEA6"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Lutte contre les VBG :</w:t>
      </w:r>
    </w:p>
    <w:p w14:paraId="23B44763" w14:textId="210839CA"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des jeunes filles de 12 à 21 ans,</w:t>
      </w:r>
    </w:p>
    <w:p w14:paraId="5623788E"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Séries de séances de sensibilisation sur les VBG et les grossesses non désirées,</w:t>
      </w:r>
    </w:p>
    <w:p w14:paraId="29D4C664"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Rapports mensuels de suivi</w:t>
      </w:r>
    </w:p>
    <w:p w14:paraId="746C1685" w14:textId="304D5024"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Financement des AGR pour les filles : Cash de 30 000f/ fille ;</w:t>
      </w:r>
      <w:r>
        <w:rPr>
          <w:rFonts w:ascii="Century Gothic" w:hAnsi="Century Gothic" w:cs="Times New Roman"/>
          <w:sz w:val="22"/>
          <w:szCs w:val="22"/>
        </w:rPr>
        <w:t xml:space="preserve"> </w:t>
      </w:r>
      <w:r w:rsidRPr="007007C9">
        <w:rPr>
          <w:rFonts w:ascii="Century Gothic" w:hAnsi="Century Gothic" w:cs="Times New Roman"/>
          <w:sz w:val="22"/>
          <w:szCs w:val="22"/>
        </w:rPr>
        <w:t>Dotation en équipements</w:t>
      </w:r>
    </w:p>
    <w:p w14:paraId="71A8E1BA" w14:textId="662C1E30" w:rsidR="0002625B"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Rapports de suivi</w:t>
      </w:r>
    </w:p>
    <w:p w14:paraId="458EF6F9" w14:textId="77777777" w:rsidR="0002625B" w:rsidRPr="007007C9" w:rsidRDefault="0002625B" w:rsidP="007007C9">
      <w:pPr>
        <w:pStyle w:val="Default"/>
        <w:ind w:left="720"/>
        <w:rPr>
          <w:rFonts w:ascii="Century Gothic" w:hAnsi="Century Gothic" w:cs="Times New Roman"/>
          <w:sz w:val="22"/>
          <w:szCs w:val="22"/>
        </w:rPr>
      </w:pPr>
    </w:p>
    <w:p w14:paraId="52B6C1FD"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cstheme="minorHAnsi"/>
          <w:b/>
          <w:bCs/>
        </w:rPr>
        <w:t>De 2014 à 2016 : Animatrice PACEN à Tessit</w:t>
      </w:r>
    </w:p>
    <w:p w14:paraId="483CEED6" w14:textId="77777777" w:rsidR="0002625B" w:rsidRPr="007007C9" w:rsidRDefault="0002625B" w:rsidP="0002625B">
      <w:pPr>
        <w:pStyle w:val="Default"/>
        <w:rPr>
          <w:rFonts w:ascii="Century Gothic" w:hAnsi="Century Gothic" w:cstheme="minorHAnsi"/>
          <w:b/>
          <w:bCs/>
          <w:sz w:val="22"/>
          <w:szCs w:val="22"/>
          <w:u w:val="single"/>
        </w:rPr>
      </w:pPr>
      <w:r w:rsidRPr="007007C9">
        <w:rPr>
          <w:rFonts w:ascii="Century Gothic" w:hAnsi="Century Gothic" w:cstheme="minorHAnsi"/>
          <w:b/>
          <w:bCs/>
          <w:sz w:val="22"/>
          <w:szCs w:val="22"/>
          <w:u w:val="single"/>
        </w:rPr>
        <w:t xml:space="preserve">Tâches exécutées : </w:t>
      </w:r>
    </w:p>
    <w:p w14:paraId="6A84871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eastAsia="Batang" w:hAnsi="Century Gothic" w:cstheme="minorHAnsi"/>
          <w:sz w:val="22"/>
          <w:szCs w:val="22"/>
        </w:rPr>
        <w:t xml:space="preserve">Identification </w:t>
      </w:r>
      <w:r w:rsidRPr="007007C9">
        <w:rPr>
          <w:rFonts w:ascii="Century Gothic" w:hAnsi="Century Gothic" w:cs="Times New Roman"/>
          <w:sz w:val="22"/>
          <w:szCs w:val="22"/>
        </w:rPr>
        <w:t>des jeunes déscolarisés et non scolarisés de 7 à 12 ans,</w:t>
      </w:r>
    </w:p>
    <w:p w14:paraId="793E8578"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Dotation en outils didactiques</w:t>
      </w:r>
    </w:p>
    <w:p w14:paraId="6E9334D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Formation des enfants</w:t>
      </w:r>
    </w:p>
    <w:p w14:paraId="205E293E"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Évaluation des enfants</w:t>
      </w:r>
    </w:p>
    <w:p w14:paraId="5760F7FA" w14:textId="46C1120F" w:rsidR="0002625B" w:rsidRPr="007007C9" w:rsidRDefault="0002625B" w:rsidP="00FB2B45">
      <w:pPr>
        <w:pStyle w:val="Default"/>
        <w:numPr>
          <w:ilvl w:val="0"/>
          <w:numId w:val="62"/>
        </w:numPr>
        <w:rPr>
          <w:rFonts w:ascii="Century Gothic" w:hAnsi="Century Gothic" w:cstheme="minorHAnsi"/>
          <w:sz w:val="22"/>
          <w:szCs w:val="22"/>
        </w:rPr>
      </w:pPr>
      <w:r w:rsidRPr="007007C9">
        <w:rPr>
          <w:rFonts w:ascii="Century Gothic" w:hAnsi="Century Gothic" w:cs="Times New Roman"/>
          <w:sz w:val="22"/>
          <w:szCs w:val="22"/>
        </w:rPr>
        <w:t>Fournir des rapports mensuels</w:t>
      </w:r>
      <w:r w:rsidRPr="007007C9">
        <w:rPr>
          <w:rFonts w:ascii="Century Gothic" w:eastAsia="Batang" w:hAnsi="Century Gothic" w:cstheme="minorHAnsi"/>
          <w:sz w:val="22"/>
          <w:szCs w:val="22"/>
        </w:rPr>
        <w:t xml:space="preserve"> faisant état de l’évaluation mensuelle</w:t>
      </w:r>
    </w:p>
    <w:p w14:paraId="77DEA9CE" w14:textId="77777777" w:rsidR="0002625B" w:rsidRPr="007007C9" w:rsidRDefault="0002625B" w:rsidP="007007C9">
      <w:pPr>
        <w:pStyle w:val="Default"/>
        <w:ind w:left="720"/>
        <w:rPr>
          <w:rFonts w:ascii="Century Gothic" w:hAnsi="Century Gothic" w:cstheme="minorHAnsi"/>
          <w:sz w:val="22"/>
          <w:szCs w:val="22"/>
        </w:rPr>
      </w:pPr>
    </w:p>
    <w:p w14:paraId="3E162476"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cstheme="minorHAnsi"/>
          <w:b/>
          <w:bCs/>
        </w:rPr>
        <w:t>De Novembre 2020 à nos jours : vice-présidente du comité de gestion de l’école premier cycle de Tessit</w:t>
      </w:r>
    </w:p>
    <w:p w14:paraId="72819942" w14:textId="77777777" w:rsidR="0002625B" w:rsidRPr="007007C9" w:rsidRDefault="0002625B" w:rsidP="0002625B">
      <w:pPr>
        <w:pStyle w:val="Default"/>
        <w:rPr>
          <w:rFonts w:ascii="Century Gothic" w:hAnsi="Century Gothic" w:cstheme="minorHAnsi"/>
          <w:sz w:val="22"/>
          <w:szCs w:val="22"/>
          <w:u w:val="single"/>
        </w:rPr>
      </w:pPr>
      <w:r w:rsidRPr="007007C9">
        <w:rPr>
          <w:rFonts w:ascii="Century Gothic" w:hAnsi="Century Gothic" w:cstheme="minorHAnsi"/>
          <w:b/>
          <w:bCs/>
          <w:sz w:val="22"/>
          <w:szCs w:val="22"/>
          <w:u w:val="single"/>
        </w:rPr>
        <w:t xml:space="preserve">Tâches exécutées : </w:t>
      </w:r>
    </w:p>
    <w:p w14:paraId="70E1635F"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des besoins de l’école</w:t>
      </w:r>
    </w:p>
    <w:p w14:paraId="11AE3105"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Présider les réunions en cas d’empêchement du président</w:t>
      </w:r>
    </w:p>
    <w:p w14:paraId="629B49E2"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 xml:space="preserve">Participe à la planification et la mise en œuvre des activités du comité ; </w:t>
      </w:r>
    </w:p>
    <w:p w14:paraId="7A6E3E5C" w14:textId="77777777" w:rsidR="0002625B" w:rsidRPr="009F5BDE" w:rsidRDefault="0002625B" w:rsidP="0002625B">
      <w:pPr>
        <w:pStyle w:val="Default"/>
        <w:ind w:left="792"/>
        <w:rPr>
          <w:sz w:val="32"/>
        </w:rPr>
      </w:pPr>
    </w:p>
    <w:p w14:paraId="725B58C3"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ENQUETTES MENEES :</w:t>
      </w:r>
    </w:p>
    <w:p w14:paraId="35692F18" w14:textId="77777777"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2010 Enquêtes de l’identification des ménages vulnérables à Tessit</w:t>
      </w:r>
    </w:p>
    <w:p w14:paraId="1F40881C" w14:textId="36FE8E68"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Recensement des</w:t>
      </w:r>
      <w:r w:rsidR="007068E8">
        <w:rPr>
          <w:rFonts w:ascii="Century Gothic" w:hAnsi="Century Gothic" w:cs="Times New Roman"/>
          <w:b/>
          <w:bCs/>
          <w:i/>
          <w:iCs/>
          <w:sz w:val="22"/>
          <w:szCs w:val="22"/>
        </w:rPr>
        <w:t xml:space="preserve"> </w:t>
      </w:r>
      <w:r w:rsidRPr="007007C9">
        <w:rPr>
          <w:rFonts w:ascii="Century Gothic" w:hAnsi="Century Gothic" w:cs="Times New Roman"/>
          <w:b/>
          <w:bCs/>
          <w:i/>
          <w:iCs/>
          <w:sz w:val="22"/>
          <w:szCs w:val="22"/>
        </w:rPr>
        <w:t>déplacés internes dans la commune de Tessit suite aux conflits organisé par UNHCR,</w:t>
      </w:r>
    </w:p>
    <w:p w14:paraId="09B24C3A" w14:textId="34B902E0"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Enquête d’audience sur les productions du programme voix de paix</w:t>
      </w:r>
    </w:p>
    <w:p w14:paraId="38B00BAA" w14:textId="77777777" w:rsidR="0002625B" w:rsidRPr="007007C9" w:rsidRDefault="0002625B" w:rsidP="007007C9">
      <w:pPr>
        <w:pStyle w:val="Default"/>
        <w:ind w:left="720"/>
        <w:rPr>
          <w:rFonts w:ascii="Century Gothic" w:hAnsi="Century Gothic" w:cs="Times New Roman"/>
          <w:sz w:val="22"/>
          <w:szCs w:val="22"/>
        </w:rPr>
      </w:pPr>
    </w:p>
    <w:p w14:paraId="13C7364A"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LANGUES PARLEES :</w:t>
      </w:r>
    </w:p>
    <w:p w14:paraId="5C7A7BFD"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b/>
          <w:bCs/>
          <w:sz w:val="22"/>
          <w:szCs w:val="22"/>
        </w:rPr>
        <w:t xml:space="preserve">Langue courante </w:t>
      </w:r>
      <w:r w:rsidRPr="007007C9">
        <w:rPr>
          <w:rFonts w:ascii="Century Gothic" w:hAnsi="Century Gothic" w:cstheme="minorHAnsi"/>
          <w:sz w:val="22"/>
          <w:szCs w:val="22"/>
        </w:rPr>
        <w:t>: Français, Tamasheq, Songhoï, Bambara.</w:t>
      </w:r>
    </w:p>
    <w:p w14:paraId="61F38135" w14:textId="09ED5B6A"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b/>
          <w:sz w:val="22"/>
          <w:szCs w:val="22"/>
        </w:rPr>
        <w:t>Anglais :</w:t>
      </w:r>
      <w:r w:rsidRPr="007007C9">
        <w:rPr>
          <w:rFonts w:ascii="Century Gothic" w:hAnsi="Century Gothic" w:cstheme="minorHAnsi"/>
          <w:sz w:val="22"/>
          <w:szCs w:val="22"/>
        </w:rPr>
        <w:t xml:space="preserve"> niveau fondamental*</w:t>
      </w:r>
    </w:p>
    <w:p w14:paraId="71D89F96" w14:textId="77777777" w:rsidR="0002625B" w:rsidRPr="007007C9" w:rsidRDefault="0002625B" w:rsidP="0002625B">
      <w:pPr>
        <w:pStyle w:val="Default"/>
        <w:rPr>
          <w:rFonts w:ascii="Century Gothic" w:hAnsi="Century Gothic" w:cstheme="minorHAnsi"/>
          <w:sz w:val="22"/>
          <w:szCs w:val="22"/>
        </w:rPr>
      </w:pPr>
    </w:p>
    <w:p w14:paraId="55B0C876"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 xml:space="preserve">REFERENCES : </w:t>
      </w:r>
    </w:p>
    <w:p w14:paraId="7A073A85" w14:textId="77777777" w:rsidR="0002625B" w:rsidRPr="007007C9" w:rsidRDefault="0002625B" w:rsidP="00FB2B45">
      <w:pPr>
        <w:pStyle w:val="Default"/>
        <w:numPr>
          <w:ilvl w:val="0"/>
          <w:numId w:val="63"/>
        </w:numPr>
        <w:rPr>
          <w:rFonts w:ascii="Century Gothic" w:hAnsi="Century Gothic" w:cstheme="minorHAnsi"/>
          <w:sz w:val="22"/>
          <w:szCs w:val="22"/>
        </w:rPr>
      </w:pPr>
      <w:r w:rsidRPr="007007C9">
        <w:rPr>
          <w:rFonts w:ascii="Century Gothic" w:hAnsi="Century Gothic" w:cstheme="minorHAnsi"/>
          <w:sz w:val="22"/>
          <w:szCs w:val="22"/>
        </w:rPr>
        <w:t>Mohamed Sidi Mohamed, maire de la commune rurale de Tin Hamma</w:t>
      </w:r>
    </w:p>
    <w:p w14:paraId="025CF07D"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sz w:val="22"/>
          <w:szCs w:val="22"/>
        </w:rPr>
        <w:t>Contact : 65 89 73 10</w:t>
      </w:r>
    </w:p>
    <w:p w14:paraId="42829BBD" w14:textId="77777777" w:rsidR="0002625B" w:rsidRPr="007007C9" w:rsidRDefault="0002625B" w:rsidP="00FB2B45">
      <w:pPr>
        <w:pStyle w:val="Default"/>
        <w:numPr>
          <w:ilvl w:val="0"/>
          <w:numId w:val="63"/>
        </w:numPr>
        <w:rPr>
          <w:rFonts w:ascii="Century Gothic" w:hAnsi="Century Gothic" w:cstheme="minorHAnsi"/>
          <w:sz w:val="22"/>
          <w:szCs w:val="22"/>
        </w:rPr>
      </w:pPr>
      <w:r w:rsidRPr="007007C9">
        <w:rPr>
          <w:rFonts w:ascii="Century Gothic" w:hAnsi="Century Gothic" w:cstheme="minorHAnsi"/>
          <w:sz w:val="22"/>
          <w:szCs w:val="22"/>
        </w:rPr>
        <w:t>Soumana Almilou, régisseur commune de Tessit</w:t>
      </w:r>
    </w:p>
    <w:p w14:paraId="279D8193"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sz w:val="22"/>
          <w:szCs w:val="22"/>
        </w:rPr>
        <w:t>Contact : 69 22 85 00</w:t>
      </w:r>
    </w:p>
    <w:p w14:paraId="60809BB3" w14:textId="77777777" w:rsidR="0002625B" w:rsidRPr="007007C9" w:rsidRDefault="0002625B" w:rsidP="007007C9">
      <w:pPr>
        <w:pStyle w:val="Default"/>
        <w:ind w:left="4248" w:firstLine="708"/>
        <w:jc w:val="right"/>
        <w:rPr>
          <w:rFonts w:ascii="Century Gothic" w:hAnsi="Century Gothic" w:cstheme="minorHAnsi"/>
          <w:sz w:val="22"/>
          <w:szCs w:val="22"/>
        </w:rPr>
      </w:pPr>
      <w:r w:rsidRPr="007007C9">
        <w:rPr>
          <w:rFonts w:ascii="Century Gothic" w:hAnsi="Century Gothic" w:cstheme="minorHAnsi"/>
          <w:sz w:val="22"/>
          <w:szCs w:val="22"/>
        </w:rPr>
        <w:t>Tessit, le 21 juin 2021</w:t>
      </w:r>
    </w:p>
    <w:p w14:paraId="40E1FDD1" w14:textId="77777777" w:rsidR="0002625B" w:rsidRPr="007007C9" w:rsidRDefault="0002625B" w:rsidP="007007C9">
      <w:pPr>
        <w:ind w:left="4248" w:firstLine="708"/>
        <w:jc w:val="right"/>
        <w:rPr>
          <w:rFonts w:cstheme="minorHAnsi"/>
        </w:rPr>
      </w:pPr>
      <w:r w:rsidRPr="007007C9">
        <w:rPr>
          <w:rFonts w:cstheme="minorHAnsi"/>
        </w:rPr>
        <w:t>Mme Bintou W Assalah</w:t>
      </w:r>
    </w:p>
    <w:p w14:paraId="3B2A09FD" w14:textId="77777777" w:rsidR="00A369F7" w:rsidRPr="007007C9" w:rsidRDefault="00A369F7" w:rsidP="00C45041">
      <w:pPr>
        <w:jc w:val="right"/>
        <w:rPr>
          <w:b/>
        </w:rPr>
      </w:pPr>
    </w:p>
    <w:p w14:paraId="4B7770C4" w14:textId="62D78B43" w:rsidR="00A369F7" w:rsidRPr="007007C9" w:rsidRDefault="00A369F7" w:rsidP="009F5BDE">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 xml:space="preserve">CV DE </w:t>
      </w:r>
      <w:r w:rsidRPr="00B845C5">
        <w:rPr>
          <w:b/>
          <w:bCs/>
          <w:color w:val="0070C0"/>
          <w:sz w:val="24"/>
          <w:szCs w:val="24"/>
        </w:rPr>
        <w:t>ABDOULAYE Oumarou</w:t>
      </w:r>
    </w:p>
    <w:p w14:paraId="0C7C4742" w14:textId="1ECFE9F4" w:rsidR="003D11C5" w:rsidRPr="007007C9" w:rsidRDefault="003D11C5" w:rsidP="007007C9">
      <w:pPr>
        <w:tabs>
          <w:tab w:val="left" w:pos="2763"/>
        </w:tabs>
        <w:jc w:val="left"/>
        <w:rPr>
          <w:b/>
          <w:bCs/>
          <w:color w:val="0070C0"/>
          <w:sz w:val="24"/>
          <w:szCs w:val="24"/>
        </w:rPr>
      </w:pPr>
      <w:r w:rsidRPr="007007C9">
        <w:rPr>
          <w:b/>
          <w:bCs/>
          <w:color w:val="0070C0"/>
          <w:sz w:val="24"/>
          <w:szCs w:val="24"/>
        </w:rPr>
        <w:t xml:space="preserve">IDENTITE </w:t>
      </w:r>
    </w:p>
    <w:p w14:paraId="3A3A38BF" w14:textId="1941CDAE" w:rsidR="00A369F7" w:rsidRPr="007007C9" w:rsidRDefault="00A369F7" w:rsidP="00FB2B45">
      <w:pPr>
        <w:pStyle w:val="Paragraphedeliste"/>
        <w:numPr>
          <w:ilvl w:val="0"/>
          <w:numId w:val="42"/>
        </w:numPr>
        <w:tabs>
          <w:tab w:val="left" w:pos="2763"/>
        </w:tabs>
        <w:spacing w:line="276" w:lineRule="auto"/>
        <w:jc w:val="left"/>
        <w:rPr>
          <w:b/>
          <w:bCs/>
          <w:color w:val="000000"/>
        </w:rPr>
      </w:pPr>
      <w:r w:rsidRPr="007007C9">
        <w:rPr>
          <w:b/>
          <w:bCs/>
          <w:color w:val="000000"/>
        </w:rPr>
        <w:t>Nom : Abdoulaye</w:t>
      </w:r>
    </w:p>
    <w:p w14:paraId="272AA63F" w14:textId="77777777" w:rsidR="00A369F7" w:rsidRDefault="00A369F7" w:rsidP="00FB2B45">
      <w:pPr>
        <w:pStyle w:val="Paragraphedeliste"/>
        <w:numPr>
          <w:ilvl w:val="0"/>
          <w:numId w:val="42"/>
        </w:numPr>
        <w:tabs>
          <w:tab w:val="left" w:pos="2763"/>
        </w:tabs>
        <w:spacing w:line="276" w:lineRule="auto"/>
        <w:jc w:val="left"/>
        <w:rPr>
          <w:b/>
          <w:bCs/>
          <w:color w:val="000000"/>
        </w:rPr>
      </w:pPr>
      <w:r w:rsidRPr="007007C9">
        <w:rPr>
          <w:b/>
          <w:bCs/>
          <w:color w:val="000000"/>
        </w:rPr>
        <w:t>Pr</w:t>
      </w:r>
      <w:r w:rsidRPr="007007C9">
        <w:rPr>
          <w:rFonts w:hint="eastAsia"/>
          <w:b/>
          <w:bCs/>
          <w:color w:val="000000"/>
        </w:rPr>
        <w:t>é</w:t>
      </w:r>
      <w:r w:rsidRPr="007007C9">
        <w:rPr>
          <w:b/>
          <w:bCs/>
          <w:color w:val="000000"/>
        </w:rPr>
        <w:t>nom : Oumarou</w:t>
      </w:r>
    </w:p>
    <w:p w14:paraId="178D045B" w14:textId="77777777" w:rsidR="00A369F7" w:rsidRPr="007007C9" w:rsidRDefault="00A369F7" w:rsidP="00FB2B45">
      <w:pPr>
        <w:pStyle w:val="Paragraphedeliste"/>
        <w:numPr>
          <w:ilvl w:val="0"/>
          <w:numId w:val="42"/>
        </w:numPr>
        <w:tabs>
          <w:tab w:val="left" w:pos="2763"/>
        </w:tabs>
        <w:spacing w:line="276" w:lineRule="auto"/>
        <w:jc w:val="left"/>
        <w:rPr>
          <w:color w:val="000000"/>
        </w:rPr>
      </w:pPr>
      <w:r w:rsidRPr="007007C9">
        <w:rPr>
          <w:color w:val="000000"/>
        </w:rPr>
        <w:t xml:space="preserve">Date et lieu de naissance : Vers 1978 </w:t>
      </w:r>
      <w:r w:rsidRPr="007007C9">
        <w:rPr>
          <w:rFonts w:hint="eastAsia"/>
          <w:color w:val="000000"/>
        </w:rPr>
        <w:t>à</w:t>
      </w:r>
      <w:r w:rsidRPr="007007C9">
        <w:rPr>
          <w:color w:val="000000"/>
        </w:rPr>
        <w:t xml:space="preserve"> Ayorou</w:t>
      </w:r>
    </w:p>
    <w:p w14:paraId="5CF0E3A8" w14:textId="77777777" w:rsidR="00A369F7" w:rsidRPr="007007C9" w:rsidRDefault="00A369F7" w:rsidP="00FB2B45">
      <w:pPr>
        <w:pStyle w:val="Paragraphedeliste"/>
        <w:numPr>
          <w:ilvl w:val="0"/>
          <w:numId w:val="42"/>
        </w:numPr>
        <w:tabs>
          <w:tab w:val="left" w:pos="2763"/>
        </w:tabs>
        <w:spacing w:line="276" w:lineRule="auto"/>
        <w:jc w:val="left"/>
        <w:rPr>
          <w:color w:val="000000"/>
        </w:rPr>
      </w:pPr>
      <w:r w:rsidRPr="007007C9">
        <w:rPr>
          <w:color w:val="000000"/>
        </w:rPr>
        <w:t>Nationalit</w:t>
      </w:r>
      <w:r w:rsidRPr="007007C9">
        <w:rPr>
          <w:rFonts w:hint="eastAsia"/>
          <w:color w:val="000000"/>
        </w:rPr>
        <w:t>é</w:t>
      </w:r>
      <w:r w:rsidRPr="007007C9">
        <w:rPr>
          <w:color w:val="000000"/>
        </w:rPr>
        <w:t xml:space="preserve"> : Nig</w:t>
      </w:r>
      <w:r w:rsidRPr="007007C9">
        <w:rPr>
          <w:rFonts w:hint="eastAsia"/>
          <w:color w:val="000000"/>
        </w:rPr>
        <w:t>é</w:t>
      </w:r>
      <w:r w:rsidRPr="007007C9">
        <w:rPr>
          <w:color w:val="000000"/>
        </w:rPr>
        <w:t>rienne</w:t>
      </w:r>
    </w:p>
    <w:p w14:paraId="4C1A363C" w14:textId="721CFBB3" w:rsidR="00A369F7" w:rsidRPr="007007C9" w:rsidRDefault="00A369F7" w:rsidP="00FB2B45">
      <w:pPr>
        <w:pStyle w:val="Paragraphedeliste"/>
        <w:numPr>
          <w:ilvl w:val="0"/>
          <w:numId w:val="42"/>
        </w:numPr>
        <w:tabs>
          <w:tab w:val="left" w:pos="2763"/>
        </w:tabs>
        <w:jc w:val="left"/>
        <w:rPr>
          <w:color w:val="000000"/>
        </w:rPr>
      </w:pPr>
      <w:r w:rsidRPr="007007C9">
        <w:rPr>
          <w:color w:val="000000"/>
        </w:rPr>
        <w:t>Situation matrimoniale : Mari</w:t>
      </w:r>
      <w:r w:rsidRPr="007007C9">
        <w:rPr>
          <w:rFonts w:hint="eastAsia"/>
          <w:color w:val="000000"/>
        </w:rPr>
        <w:t>é</w:t>
      </w:r>
      <w:r w:rsidRPr="007007C9">
        <w:rPr>
          <w:color w:val="000000"/>
        </w:rPr>
        <w:t xml:space="preserve"> et p</w:t>
      </w:r>
      <w:r w:rsidRPr="007007C9">
        <w:rPr>
          <w:rFonts w:hint="eastAsia"/>
          <w:color w:val="000000"/>
        </w:rPr>
        <w:t>è</w:t>
      </w:r>
      <w:r w:rsidRPr="007007C9">
        <w:rPr>
          <w:color w:val="000000"/>
        </w:rPr>
        <w:t>re de 4 enfants</w:t>
      </w:r>
    </w:p>
    <w:p w14:paraId="2E09726E" w14:textId="68BE6A2B" w:rsidR="00A369F7" w:rsidRPr="007007C9" w:rsidRDefault="00A369F7" w:rsidP="00A369F7">
      <w:pPr>
        <w:tabs>
          <w:tab w:val="left" w:pos="2763"/>
        </w:tabs>
        <w:jc w:val="left"/>
        <w:rPr>
          <w:color w:val="000000"/>
          <w:sz w:val="2"/>
          <w:szCs w:val="2"/>
        </w:rPr>
      </w:pPr>
    </w:p>
    <w:p w14:paraId="6BFBE270" w14:textId="32FD8EB5" w:rsidR="00A369F7" w:rsidRPr="007007C9" w:rsidRDefault="00A369F7" w:rsidP="00A369F7">
      <w:pPr>
        <w:tabs>
          <w:tab w:val="left" w:pos="2763"/>
        </w:tabs>
        <w:jc w:val="left"/>
        <w:rPr>
          <w:b/>
          <w:bCs/>
          <w:color w:val="0070C0"/>
          <w:sz w:val="24"/>
          <w:szCs w:val="24"/>
        </w:rPr>
      </w:pPr>
      <w:r w:rsidRPr="007007C9">
        <w:rPr>
          <w:b/>
          <w:bCs/>
          <w:color w:val="0070C0"/>
          <w:sz w:val="24"/>
          <w:szCs w:val="24"/>
        </w:rPr>
        <w:t xml:space="preserve">CURSUS SCOLAIRE </w:t>
      </w:r>
      <w:r w:rsidR="003D11C5" w:rsidRPr="007007C9">
        <w:rPr>
          <w:b/>
          <w:bCs/>
          <w:color w:val="0070C0"/>
          <w:sz w:val="24"/>
          <w:szCs w:val="24"/>
        </w:rPr>
        <w:t>&amp; DIPLOMES OBTENUS</w:t>
      </w:r>
    </w:p>
    <w:p w14:paraId="38DBFA95" w14:textId="77777777" w:rsidR="003D11C5" w:rsidRDefault="00A369F7" w:rsidP="00FB2B45">
      <w:pPr>
        <w:pStyle w:val="Paragraphedeliste"/>
        <w:numPr>
          <w:ilvl w:val="0"/>
          <w:numId w:val="42"/>
        </w:numPr>
        <w:tabs>
          <w:tab w:val="left" w:pos="2763"/>
        </w:tabs>
        <w:jc w:val="left"/>
        <w:rPr>
          <w:color w:val="000000"/>
        </w:rPr>
      </w:pPr>
      <w:r w:rsidRPr="00A369F7">
        <w:rPr>
          <w:color w:val="000000"/>
        </w:rPr>
        <w:t>1993-1997 : BEPC à l’école Famey de Niamey</w:t>
      </w:r>
    </w:p>
    <w:p w14:paraId="16C9B511" w14:textId="77777777" w:rsidR="00A369F7" w:rsidRDefault="00A369F7" w:rsidP="00FB2B45">
      <w:pPr>
        <w:pStyle w:val="Paragraphedeliste"/>
        <w:numPr>
          <w:ilvl w:val="0"/>
          <w:numId w:val="42"/>
        </w:numPr>
        <w:tabs>
          <w:tab w:val="left" w:pos="2763"/>
        </w:tabs>
        <w:jc w:val="left"/>
        <w:rPr>
          <w:color w:val="000000"/>
        </w:rPr>
      </w:pPr>
      <w:r w:rsidRPr="00A369F7">
        <w:rPr>
          <w:color w:val="000000"/>
        </w:rPr>
        <w:t>1997-2000 : Terminale, SérieA4 au Lycée Municipal de Niamey</w:t>
      </w:r>
    </w:p>
    <w:p w14:paraId="6FDDBA54" w14:textId="77777777" w:rsidR="003D11C5" w:rsidRPr="007007C9" w:rsidRDefault="003D11C5" w:rsidP="003D11C5">
      <w:pPr>
        <w:tabs>
          <w:tab w:val="left" w:pos="2763"/>
        </w:tabs>
        <w:jc w:val="left"/>
        <w:rPr>
          <w:b/>
          <w:bCs/>
          <w:color w:val="0070C0"/>
          <w:sz w:val="24"/>
          <w:szCs w:val="24"/>
        </w:rPr>
      </w:pPr>
      <w:r w:rsidRPr="007007C9">
        <w:rPr>
          <w:b/>
          <w:bCs/>
          <w:color w:val="0070C0"/>
          <w:sz w:val="24"/>
          <w:szCs w:val="24"/>
        </w:rPr>
        <w:t xml:space="preserve">FORMATIONS </w:t>
      </w:r>
    </w:p>
    <w:p w14:paraId="0848BCA5" w14:textId="0D6FC58F"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11 d</w:t>
      </w:r>
      <w:r w:rsidRPr="007007C9">
        <w:rPr>
          <w:rFonts w:hint="eastAsia"/>
          <w:b/>
          <w:bCs/>
          <w:color w:val="000000"/>
        </w:rPr>
        <w:t>é</w:t>
      </w:r>
      <w:r w:rsidRPr="007007C9">
        <w:rPr>
          <w:b/>
          <w:bCs/>
          <w:color w:val="000000"/>
        </w:rPr>
        <w:t>cembre au 20 d</w:t>
      </w:r>
      <w:r w:rsidRPr="007007C9">
        <w:rPr>
          <w:rFonts w:hint="eastAsia"/>
          <w:b/>
          <w:bCs/>
          <w:color w:val="000000"/>
        </w:rPr>
        <w:t>é</w:t>
      </w:r>
      <w:r w:rsidRPr="007007C9">
        <w:rPr>
          <w:b/>
          <w:bCs/>
          <w:color w:val="000000"/>
        </w:rPr>
        <w:t xml:space="preserve">cembre 2020 </w:t>
      </w:r>
      <w:r w:rsidRPr="007007C9">
        <w:rPr>
          <w:rFonts w:cs="Calibri"/>
          <w:color w:val="000000"/>
        </w:rPr>
        <w:t>: consultant pour la formation de comités de paix du</w:t>
      </w:r>
      <w:r>
        <w:rPr>
          <w:rFonts w:cs="Calibri"/>
          <w:color w:val="000000"/>
        </w:rPr>
        <w:t xml:space="preserve"> </w:t>
      </w:r>
      <w:r w:rsidRPr="007007C9">
        <w:rPr>
          <w:rFonts w:cs="Calibri"/>
          <w:color w:val="000000"/>
        </w:rPr>
        <w:t>département D'AYOROU avec le PCCN/OIM</w:t>
      </w:r>
    </w:p>
    <w:p w14:paraId="32ED1EA4" w14:textId="3A61A50C"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24 novembre au au 09 d</w:t>
      </w:r>
      <w:r w:rsidRPr="007007C9">
        <w:rPr>
          <w:rFonts w:hint="eastAsia"/>
          <w:b/>
          <w:bCs/>
          <w:color w:val="000000"/>
        </w:rPr>
        <w:t>é</w:t>
      </w:r>
      <w:r w:rsidRPr="007007C9">
        <w:rPr>
          <w:b/>
          <w:bCs/>
          <w:color w:val="000000"/>
        </w:rPr>
        <w:t xml:space="preserve">cembre 2020 </w:t>
      </w:r>
      <w:r w:rsidRPr="007007C9">
        <w:rPr>
          <w:rFonts w:cs="Calibri"/>
          <w:color w:val="000000"/>
        </w:rPr>
        <w:t>: consultant pour l'étude de</w:t>
      </w:r>
      <w:r w:rsidR="007068E8">
        <w:rPr>
          <w:rFonts w:cs="Calibri"/>
          <w:color w:val="000000"/>
        </w:rPr>
        <w:t xml:space="preserve"> </w:t>
      </w:r>
      <w:r>
        <w:rPr>
          <w:rFonts w:cs="Calibri"/>
          <w:color w:val="000000"/>
        </w:rPr>
        <w:t>P</w:t>
      </w:r>
      <w:r w:rsidRPr="007007C9">
        <w:rPr>
          <w:rFonts w:cs="Calibri"/>
          <w:color w:val="000000"/>
        </w:rPr>
        <w:t>erception des</w:t>
      </w:r>
      <w:r>
        <w:rPr>
          <w:rFonts w:cs="Calibri"/>
          <w:color w:val="000000"/>
        </w:rPr>
        <w:t xml:space="preserve"> </w:t>
      </w:r>
      <w:r w:rsidRPr="007007C9">
        <w:rPr>
          <w:rFonts w:cs="Calibri"/>
          <w:color w:val="000000"/>
        </w:rPr>
        <w:t>relations entre les FDS et la population dans le nord Tillaberi pour l'ONG PROMEDIATION</w:t>
      </w:r>
    </w:p>
    <w:p w14:paraId="35C0C798"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Octobre 2020 : </w:t>
      </w:r>
      <w:r w:rsidRPr="007007C9">
        <w:rPr>
          <w:color w:val="000000"/>
        </w:rPr>
        <w:t>formation para juriste avec l’ONG RAIL</w:t>
      </w:r>
    </w:p>
    <w:p w14:paraId="342C5DD2"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2020 </w:t>
      </w:r>
      <w:r w:rsidRPr="007007C9">
        <w:rPr>
          <w:color w:val="000000"/>
        </w:rPr>
        <w:t>: formation et enquête sur la cartographie des infrastructures</w:t>
      </w:r>
      <w:r w:rsidRPr="007007C9">
        <w:rPr>
          <w:color w:val="000000"/>
        </w:rPr>
        <w:br/>
        <w:t>sur les sites des déplacés internes de la région de Tillabéri avec l’ONG ACTED</w:t>
      </w:r>
    </w:p>
    <w:p w14:paraId="05A5593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F</w:t>
      </w:r>
      <w:r w:rsidRPr="007007C9">
        <w:rPr>
          <w:rFonts w:hint="eastAsia"/>
          <w:b/>
          <w:bCs/>
          <w:color w:val="000000"/>
        </w:rPr>
        <w:t>é</w:t>
      </w:r>
      <w:r w:rsidRPr="007007C9">
        <w:rPr>
          <w:b/>
          <w:bCs/>
          <w:color w:val="000000"/>
        </w:rPr>
        <w:t xml:space="preserve">vrier 2020 </w:t>
      </w:r>
      <w:r w:rsidRPr="007007C9">
        <w:rPr>
          <w:color w:val="000000"/>
        </w:rPr>
        <w:t>: consultant pour la formation de 90 jeunes de la commune</w:t>
      </w:r>
      <w:r w:rsidRPr="007007C9">
        <w:rPr>
          <w:color w:val="000000"/>
        </w:rPr>
        <w:br/>
        <w:t>d’Ayorou et inates sur la violence base sur le genre, citoyenneté et leadership</w:t>
      </w:r>
      <w:r w:rsidRPr="007007C9">
        <w:rPr>
          <w:color w:val="000000"/>
        </w:rPr>
        <w:br/>
        <w:t>avec l’ONG APPADEN /PBF</w:t>
      </w:r>
    </w:p>
    <w:p w14:paraId="44ADDF1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Janvier 2020 </w:t>
      </w:r>
      <w:r w:rsidRPr="007007C9">
        <w:rPr>
          <w:color w:val="000000"/>
        </w:rPr>
        <w:t>: facilitateur pour la formation de 70 maitres makaranta de la</w:t>
      </w:r>
      <w:r w:rsidRPr="007007C9">
        <w:rPr>
          <w:color w:val="000000"/>
        </w:rPr>
        <w:br/>
        <w:t>région de Tillabéri sur l’islam et la paix, la culture de la paix et prévention et</w:t>
      </w:r>
      <w:r w:rsidRPr="007007C9">
        <w:rPr>
          <w:color w:val="000000"/>
        </w:rPr>
        <w:br/>
        <w:t>gestion non violente des conflits avec l’ONG APPADN (action pour plus de</w:t>
      </w:r>
      <w:r w:rsidRPr="007007C9">
        <w:rPr>
          <w:color w:val="000000"/>
        </w:rPr>
        <w:br/>
        <w:t>développement au Niger)</w:t>
      </w:r>
    </w:p>
    <w:p w14:paraId="6DA32E8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10 janvier 2020 </w:t>
      </w:r>
      <w:r w:rsidRPr="007007C9">
        <w:rPr>
          <w:color w:val="000000"/>
        </w:rPr>
        <w:t>: certificat de reconnaissance décerner par le PCCN/OIM</w:t>
      </w:r>
    </w:p>
    <w:p w14:paraId="42356831" w14:textId="778A56AB"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20 au 26 d</w:t>
      </w:r>
      <w:r w:rsidRPr="007007C9">
        <w:rPr>
          <w:rFonts w:hint="eastAsia"/>
          <w:b/>
          <w:bCs/>
          <w:color w:val="000000"/>
        </w:rPr>
        <w:t>é</w:t>
      </w:r>
      <w:r w:rsidRPr="007007C9">
        <w:rPr>
          <w:b/>
          <w:bCs/>
          <w:color w:val="000000"/>
        </w:rPr>
        <w:t xml:space="preserve">cembre 2019 </w:t>
      </w:r>
      <w:r w:rsidRPr="007007C9">
        <w:rPr>
          <w:rFonts w:cs="Calibri"/>
          <w:color w:val="000000"/>
        </w:rPr>
        <w:t>: consultant pour la formation de 90 jeunes de la</w:t>
      </w:r>
      <w:r w:rsidRPr="007007C9">
        <w:rPr>
          <w:rFonts w:cs="Calibri"/>
          <w:color w:val="000000"/>
        </w:rPr>
        <w:br/>
        <w:t>commune de Tera sur la culture de paix, la prévention et gestion des conflits avec le</w:t>
      </w:r>
      <w:r>
        <w:rPr>
          <w:rFonts w:cs="Calibri"/>
          <w:color w:val="000000"/>
        </w:rPr>
        <w:t xml:space="preserve"> </w:t>
      </w:r>
      <w:r w:rsidRPr="007007C9">
        <w:rPr>
          <w:rFonts w:cs="Calibri"/>
          <w:color w:val="000000"/>
        </w:rPr>
        <w:t xml:space="preserve">programme PBF/UNFPE (le font des nation unis pour la population) </w:t>
      </w:r>
      <w:r w:rsidRPr="007007C9">
        <w:rPr>
          <w:color w:val="000000"/>
        </w:rPr>
        <w:t>dans le cadre de</w:t>
      </w:r>
      <w:r>
        <w:rPr>
          <w:color w:val="000000"/>
        </w:rPr>
        <w:t xml:space="preserve"> </w:t>
      </w:r>
      <w:r w:rsidRPr="007007C9">
        <w:rPr>
          <w:color w:val="000000"/>
        </w:rPr>
        <w:t>la mise en œuvre du projet liptako intitulé « implication des jeunes et femmes</w:t>
      </w:r>
      <w:r>
        <w:rPr>
          <w:color w:val="000000"/>
        </w:rPr>
        <w:t xml:space="preserve"> </w:t>
      </w:r>
      <w:r w:rsidRPr="007007C9">
        <w:rPr>
          <w:color w:val="000000"/>
        </w:rPr>
        <w:t>dans la résolution pacifique des conflits communautaires dans le nord Tillabéri »</w:t>
      </w:r>
      <w:r>
        <w:rPr>
          <w:color w:val="000000"/>
        </w:rPr>
        <w:t xml:space="preserve"> </w:t>
      </w:r>
      <w:r w:rsidRPr="007007C9">
        <w:rPr>
          <w:color w:val="000000"/>
        </w:rPr>
        <w:t>avec l’ONG APPADN/PBF</w:t>
      </w:r>
    </w:p>
    <w:p w14:paraId="25B24A3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w:t>
      </w:r>
      <w:r w:rsidRPr="007007C9">
        <w:rPr>
          <w:rFonts w:hint="eastAsia"/>
          <w:b/>
          <w:bCs/>
          <w:color w:val="000000"/>
        </w:rPr>
        <w:t>é</w:t>
      </w:r>
      <w:r w:rsidRPr="007007C9">
        <w:rPr>
          <w:b/>
          <w:bCs/>
          <w:color w:val="000000"/>
        </w:rPr>
        <w:t xml:space="preserve">cembre 2019 : </w:t>
      </w:r>
      <w:r w:rsidRPr="007007C9">
        <w:rPr>
          <w:color w:val="000000"/>
        </w:rPr>
        <w:t>formation et enquête sur le monitoring post distribution avec</w:t>
      </w:r>
      <w:r w:rsidRPr="007007C9">
        <w:rPr>
          <w:color w:val="000000"/>
        </w:rPr>
        <w:br/>
        <w:t>l’ONG RICO/PAM</w:t>
      </w:r>
    </w:p>
    <w:p w14:paraId="6C4E1D0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19 AU 21 NOVEMBRE 2019 </w:t>
      </w:r>
      <w:r w:rsidRPr="007007C9">
        <w:rPr>
          <w:rFonts w:cs="Calibri"/>
          <w:color w:val="000000"/>
        </w:rPr>
        <w:t xml:space="preserve">: </w:t>
      </w:r>
      <w:r w:rsidRPr="007007C9">
        <w:rPr>
          <w:color w:val="000000"/>
        </w:rPr>
        <w:t>formation sur la matrice de suivi de déplacés</w:t>
      </w:r>
      <w:r w:rsidRPr="007007C9">
        <w:rPr>
          <w:color w:val="000000"/>
        </w:rPr>
        <w:br/>
        <w:t>dans la région de Tillabéri (DTM) par OIM</w:t>
      </w:r>
    </w:p>
    <w:p w14:paraId="0E7A8AD1" w14:textId="239933C6"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Octobre 2019 : </w:t>
      </w:r>
      <w:r w:rsidRPr="007007C9">
        <w:rPr>
          <w:color w:val="000000"/>
        </w:rPr>
        <w:t>formation et enquête sur l’évaluation de la sécurité</w:t>
      </w:r>
      <w:r w:rsidR="00246464">
        <w:rPr>
          <w:color w:val="000000"/>
        </w:rPr>
        <w:t xml:space="preserve"> a</w:t>
      </w:r>
      <w:r w:rsidRPr="007007C9">
        <w:rPr>
          <w:color w:val="000000"/>
        </w:rPr>
        <w:t>limentaire</w:t>
      </w:r>
      <w:r>
        <w:rPr>
          <w:color w:val="000000"/>
        </w:rPr>
        <w:t xml:space="preserve"> </w:t>
      </w:r>
      <w:r w:rsidRPr="007007C9">
        <w:rPr>
          <w:color w:val="000000"/>
        </w:rPr>
        <w:t>en période d’urgence(EFSA) dans la région de Tillabéri avec l’ONG RICO /PAM</w:t>
      </w:r>
    </w:p>
    <w:p w14:paraId="35D984D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AVRIL 2019 au d</w:t>
      </w:r>
      <w:r w:rsidRPr="007007C9">
        <w:rPr>
          <w:rFonts w:hint="eastAsia"/>
          <w:b/>
          <w:bCs/>
          <w:color w:val="000000"/>
        </w:rPr>
        <w:t>é</w:t>
      </w:r>
      <w:r w:rsidRPr="007007C9">
        <w:rPr>
          <w:b/>
          <w:bCs/>
          <w:color w:val="000000"/>
        </w:rPr>
        <w:t xml:space="preserve">cembre 2020 </w:t>
      </w:r>
      <w:r w:rsidRPr="007007C9">
        <w:rPr>
          <w:rFonts w:cs="Calibri"/>
          <w:color w:val="000000"/>
        </w:rPr>
        <w:t xml:space="preserve">: </w:t>
      </w:r>
      <w:r w:rsidRPr="007007C9">
        <w:rPr>
          <w:color w:val="000000"/>
        </w:rPr>
        <w:t>Agent de suivi pour l’ONG RICO</w:t>
      </w:r>
      <w:r w:rsidRPr="007007C9">
        <w:rPr>
          <w:color w:val="000000"/>
        </w:rPr>
        <w:br/>
        <w:t>(renforcement des initiatives communautaire au Niger) dans les cadres des</w:t>
      </w:r>
      <w:r w:rsidRPr="007007C9">
        <w:rPr>
          <w:color w:val="000000"/>
        </w:rPr>
        <w:br/>
        <w:t>activités du PAM (PROGRAMME ALIMENTAIRE MONDIAL) dans la région de</w:t>
      </w:r>
      <w:r w:rsidRPr="007007C9">
        <w:rPr>
          <w:color w:val="000000"/>
        </w:rPr>
        <w:br/>
        <w:t>Tillabéri</w:t>
      </w:r>
    </w:p>
    <w:p w14:paraId="4BDDFD0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15 Avril au 05 Mai 2019 : </w:t>
      </w:r>
      <w:r w:rsidRPr="007007C9">
        <w:rPr>
          <w:color w:val="000000"/>
        </w:rPr>
        <w:t>Formation et supervision de l'enquête de ciblage</w:t>
      </w:r>
      <w:r w:rsidRPr="007007C9">
        <w:rPr>
          <w:color w:val="000000"/>
        </w:rPr>
        <w:br/>
        <w:t>des ménages pauvre organisée par ONG RICO/PAM</w:t>
      </w:r>
    </w:p>
    <w:p w14:paraId="4C7B8187"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Mai 2019 : </w:t>
      </w:r>
      <w:r w:rsidRPr="007007C9">
        <w:rPr>
          <w:color w:val="000000"/>
        </w:rPr>
        <w:t>facilitateur dans l’activité des ruptures collectives des jeune pour le</w:t>
      </w:r>
      <w:r w:rsidRPr="007007C9">
        <w:rPr>
          <w:color w:val="000000"/>
        </w:rPr>
        <w:br/>
        <w:t>PCCN /OIM</w:t>
      </w:r>
    </w:p>
    <w:p w14:paraId="26E327A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Septembre 2019 : </w:t>
      </w:r>
      <w:r w:rsidRPr="007007C9">
        <w:rPr>
          <w:color w:val="000000"/>
        </w:rPr>
        <w:t>formation en gestion non violente des conflits locaux et la</w:t>
      </w:r>
      <w:r w:rsidRPr="007007C9">
        <w:rPr>
          <w:color w:val="000000"/>
        </w:rPr>
        <w:br/>
        <w:t>cohésion sociale avec l’ONG mercy corps</w:t>
      </w:r>
    </w:p>
    <w:p w14:paraId="4267C48C" w14:textId="324CDC88"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Aout 2019 : </w:t>
      </w:r>
      <w:r w:rsidRPr="007007C9">
        <w:rPr>
          <w:color w:val="000000"/>
        </w:rPr>
        <w:t>formation en capacité organisationnelle et leadership avec l’ONGJMED et CERCLE DEV à Ayorou</w:t>
      </w:r>
    </w:p>
    <w:p w14:paraId="2AD1726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03 au 12 Avril 2019 : </w:t>
      </w:r>
      <w:r w:rsidRPr="007007C9">
        <w:rPr>
          <w:color w:val="000000"/>
        </w:rPr>
        <w:t>Preneur de notes pour la restitution de la formation</w:t>
      </w:r>
      <w:r w:rsidRPr="007007C9">
        <w:rPr>
          <w:color w:val="000000"/>
        </w:rPr>
        <w:br/>
        <w:t>sur la prévention et la gestion non violente des conflits locaux au PCCN/ OIM</w:t>
      </w:r>
    </w:p>
    <w:p w14:paraId="28ADA6A2"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21 au 23 Mars : </w:t>
      </w:r>
      <w:r w:rsidRPr="007007C9">
        <w:rPr>
          <w:color w:val="000000"/>
        </w:rPr>
        <w:t>Formation sur la prévention et la gestion non violente des</w:t>
      </w:r>
      <w:r w:rsidRPr="007007C9">
        <w:rPr>
          <w:color w:val="000000"/>
        </w:rPr>
        <w:br/>
        <w:t>conflits locaux au PCCN/OIM</w:t>
      </w:r>
    </w:p>
    <w:p w14:paraId="1FE48B3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07 au 10 F</w:t>
      </w:r>
      <w:r w:rsidRPr="007007C9">
        <w:rPr>
          <w:rFonts w:hint="eastAsia"/>
          <w:b/>
          <w:bCs/>
          <w:color w:val="000000"/>
        </w:rPr>
        <w:t>é</w:t>
      </w:r>
      <w:r w:rsidRPr="007007C9">
        <w:rPr>
          <w:b/>
          <w:bCs/>
          <w:color w:val="000000"/>
        </w:rPr>
        <w:t xml:space="preserve">vrier 2019 : </w:t>
      </w:r>
      <w:r w:rsidRPr="007007C9">
        <w:rPr>
          <w:color w:val="000000"/>
        </w:rPr>
        <w:t>Caravane de sensiblisaion sur la paix, la sécurité et</w:t>
      </w:r>
      <w:r w:rsidRPr="007007C9">
        <w:rPr>
          <w:color w:val="000000"/>
        </w:rPr>
        <w:br/>
        <w:t>la collaboration avec les forces de défense et sécurité organisée par OIM</w:t>
      </w:r>
    </w:p>
    <w:p w14:paraId="54E867E9"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w:t>
      </w:r>
      <w:r w:rsidRPr="007007C9">
        <w:rPr>
          <w:rFonts w:hint="eastAsia"/>
          <w:b/>
          <w:bCs/>
          <w:color w:val="000000"/>
        </w:rPr>
        <w:t>é</w:t>
      </w:r>
      <w:r w:rsidRPr="007007C9">
        <w:rPr>
          <w:b/>
          <w:bCs/>
          <w:color w:val="000000"/>
        </w:rPr>
        <w:t xml:space="preserve">cembre 2018 </w:t>
      </w:r>
      <w:r w:rsidRPr="007007C9">
        <w:rPr>
          <w:color w:val="000000"/>
        </w:rPr>
        <w:t>: Formation sur les techniques d’animation des fadas et la</w:t>
      </w:r>
      <w:r w:rsidRPr="007007C9">
        <w:rPr>
          <w:color w:val="000000"/>
        </w:rPr>
        <w:br/>
        <w:t>communication non violente au PCCN/OIM</w:t>
      </w:r>
    </w:p>
    <w:p w14:paraId="32C6926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2018 : </w:t>
      </w:r>
      <w:r w:rsidRPr="007007C9">
        <w:rPr>
          <w:color w:val="000000"/>
        </w:rPr>
        <w:t>Formation sur le système de résilience communautaire</w:t>
      </w:r>
      <w:r w:rsidRPr="007007C9">
        <w:rPr>
          <w:color w:val="000000"/>
        </w:rPr>
        <w:br/>
        <w:t>organisé par le DDG</w:t>
      </w:r>
    </w:p>
    <w:p w14:paraId="4825B340" w14:textId="77777777" w:rsidR="00246464"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2018 </w:t>
      </w:r>
      <w:r w:rsidRPr="007007C9">
        <w:rPr>
          <w:color w:val="000000"/>
        </w:rPr>
        <w:t>: Formation sur l’importance de la cohabitation pacifique avec ACTED</w:t>
      </w:r>
    </w:p>
    <w:p w14:paraId="172E7DC5" w14:textId="47C76976"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2018 </w:t>
      </w:r>
      <w:r w:rsidRPr="007007C9">
        <w:rPr>
          <w:color w:val="000000"/>
        </w:rPr>
        <w:t>: Formation sur le système national d’alerte précoce au Niger avec le PNUD</w:t>
      </w:r>
    </w:p>
    <w:p w14:paraId="7B11C356"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F</w:t>
      </w:r>
      <w:r w:rsidRPr="007007C9">
        <w:rPr>
          <w:rFonts w:hint="eastAsia"/>
          <w:b/>
          <w:bCs/>
          <w:color w:val="000000"/>
        </w:rPr>
        <w:t>é</w:t>
      </w:r>
      <w:r w:rsidRPr="007007C9">
        <w:rPr>
          <w:b/>
          <w:bCs/>
          <w:color w:val="000000"/>
        </w:rPr>
        <w:t xml:space="preserve">vrier 2018 </w:t>
      </w:r>
      <w:r w:rsidRPr="007007C9">
        <w:rPr>
          <w:color w:val="000000"/>
        </w:rPr>
        <w:t>: Formation sur les méthodes d’évaluation avec OIM</w:t>
      </w:r>
    </w:p>
    <w:p w14:paraId="2021143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2018 </w:t>
      </w:r>
      <w:r w:rsidRPr="007007C9">
        <w:rPr>
          <w:color w:val="000000"/>
        </w:rPr>
        <w:t>: Formation sur le leadership, l’extrémisme violent et la cohésion</w:t>
      </w:r>
      <w:r w:rsidRPr="007007C9">
        <w:rPr>
          <w:color w:val="000000"/>
        </w:rPr>
        <w:br/>
        <w:t>sociale au PCCN/OIM</w:t>
      </w:r>
    </w:p>
    <w:p w14:paraId="523E09D6"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2017 </w:t>
      </w:r>
      <w:r w:rsidRPr="007007C9">
        <w:rPr>
          <w:color w:val="000000"/>
        </w:rPr>
        <w:t>: Formation sur la lutte contre l’extrémisme violent et</w:t>
      </w:r>
      <w:r w:rsidRPr="007007C9">
        <w:rPr>
          <w:color w:val="000000"/>
        </w:rPr>
        <w:br/>
        <w:t>l’importance de la cohésion sociale</w:t>
      </w:r>
    </w:p>
    <w:p w14:paraId="62F24C8F"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w:t>
      </w:r>
      <w:r w:rsidRPr="007007C9">
        <w:rPr>
          <w:color w:val="000000"/>
        </w:rPr>
        <w:t>2017 : Formation sur l’extrémisme violent au PCCN/OIM</w:t>
      </w:r>
    </w:p>
    <w:p w14:paraId="2419386D"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2017 : </w:t>
      </w:r>
      <w:r w:rsidRPr="007007C9">
        <w:rPr>
          <w:color w:val="000000"/>
        </w:rPr>
        <w:t>Formation sur la gestion non violente des conflits organisée par la haute</w:t>
      </w:r>
      <w:r w:rsidRPr="007007C9">
        <w:rPr>
          <w:color w:val="000000"/>
        </w:rPr>
        <w:br/>
        <w:t>autorité à la consolidation de la paix</w:t>
      </w:r>
    </w:p>
    <w:p w14:paraId="63AC9A59" w14:textId="77777777" w:rsidR="003D11C5"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2017 :</w:t>
      </w:r>
      <w:r w:rsidRPr="007007C9">
        <w:rPr>
          <w:color w:val="000000"/>
        </w:rPr>
        <w:t xml:space="preserve"> Participation à l’atelier de formation sur le renforcement de capacité des</w:t>
      </w:r>
      <w:r w:rsidR="00246464">
        <w:rPr>
          <w:color w:val="000000"/>
        </w:rPr>
        <w:t xml:space="preserve"> </w:t>
      </w:r>
      <w:r w:rsidRPr="007007C9">
        <w:rPr>
          <w:color w:val="000000"/>
        </w:rPr>
        <w:t>leaders d’opinion du nord Tillaberi organisée par la haute autorité</w:t>
      </w:r>
    </w:p>
    <w:p w14:paraId="0992B500" w14:textId="77777777" w:rsidR="00246464" w:rsidRDefault="00246464" w:rsidP="00246464">
      <w:pPr>
        <w:tabs>
          <w:tab w:val="left" w:pos="2763"/>
        </w:tabs>
        <w:jc w:val="left"/>
        <w:rPr>
          <w:color w:val="000000"/>
        </w:rPr>
      </w:pPr>
    </w:p>
    <w:p w14:paraId="2E9B2F74" w14:textId="2185AEA6" w:rsidR="00246464" w:rsidRPr="007007C9" w:rsidRDefault="00246464" w:rsidP="00246464">
      <w:pPr>
        <w:tabs>
          <w:tab w:val="left" w:pos="2763"/>
        </w:tabs>
        <w:jc w:val="left"/>
        <w:rPr>
          <w:b/>
          <w:bCs/>
          <w:color w:val="0070C0"/>
          <w:sz w:val="24"/>
          <w:szCs w:val="24"/>
        </w:rPr>
      </w:pPr>
      <w:r w:rsidRPr="007007C9">
        <w:rPr>
          <w:b/>
          <w:bCs/>
          <w:color w:val="0070C0"/>
          <w:sz w:val="24"/>
          <w:szCs w:val="24"/>
        </w:rPr>
        <w:t>EXPERIENCE PROFESSIONELLE</w:t>
      </w:r>
    </w:p>
    <w:p w14:paraId="2F024821" w14:textId="42F85A1C"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De 2016 au 18 F</w:t>
      </w:r>
      <w:r w:rsidRPr="007007C9">
        <w:rPr>
          <w:rFonts w:hint="eastAsia"/>
          <w:b/>
          <w:bCs/>
          <w:color w:val="000000"/>
          <w:sz w:val="24"/>
          <w:szCs w:val="24"/>
        </w:rPr>
        <w:t>é</w:t>
      </w:r>
      <w:r w:rsidRPr="007007C9">
        <w:rPr>
          <w:b/>
          <w:bCs/>
          <w:color w:val="000000"/>
          <w:sz w:val="24"/>
          <w:szCs w:val="24"/>
        </w:rPr>
        <w:t xml:space="preserve">vrier 2019 : </w:t>
      </w:r>
      <w:r w:rsidRPr="007007C9">
        <w:rPr>
          <w:color w:val="000000"/>
          <w:sz w:val="24"/>
          <w:szCs w:val="24"/>
        </w:rPr>
        <w:t>Pr</w:t>
      </w:r>
      <w:r w:rsidRPr="007007C9">
        <w:rPr>
          <w:rFonts w:hint="eastAsia"/>
          <w:color w:val="000000"/>
          <w:sz w:val="24"/>
          <w:szCs w:val="24"/>
        </w:rPr>
        <w:t>é</w:t>
      </w:r>
      <w:r w:rsidRPr="007007C9">
        <w:rPr>
          <w:color w:val="000000"/>
          <w:sz w:val="24"/>
          <w:szCs w:val="24"/>
        </w:rPr>
        <w:t>sident du conseil communal de la jeunesse et</w:t>
      </w:r>
      <w:r>
        <w:rPr>
          <w:color w:val="000000"/>
          <w:sz w:val="24"/>
          <w:szCs w:val="24"/>
        </w:rPr>
        <w:t xml:space="preserve"> </w:t>
      </w:r>
      <w:r w:rsidRPr="007007C9">
        <w:rPr>
          <w:color w:val="000000"/>
          <w:sz w:val="24"/>
          <w:szCs w:val="24"/>
        </w:rPr>
        <w:t>rapporteur du conseil d</w:t>
      </w:r>
      <w:r w:rsidRPr="007007C9">
        <w:rPr>
          <w:rFonts w:hint="eastAsia"/>
          <w:color w:val="000000"/>
          <w:sz w:val="24"/>
          <w:szCs w:val="24"/>
        </w:rPr>
        <w:t>é</w:t>
      </w:r>
      <w:r w:rsidRPr="007007C9">
        <w:rPr>
          <w:color w:val="000000"/>
          <w:sz w:val="24"/>
          <w:szCs w:val="24"/>
        </w:rPr>
        <w:t>partemental de la jeunesse d</w:t>
      </w:r>
      <w:r w:rsidRPr="007007C9">
        <w:rPr>
          <w:rFonts w:hint="eastAsia"/>
          <w:color w:val="000000"/>
          <w:sz w:val="24"/>
          <w:szCs w:val="24"/>
        </w:rPr>
        <w:t>’</w:t>
      </w:r>
      <w:r w:rsidRPr="007007C9">
        <w:rPr>
          <w:color w:val="000000"/>
          <w:sz w:val="24"/>
          <w:szCs w:val="24"/>
        </w:rPr>
        <w:t>Ayorou</w:t>
      </w:r>
    </w:p>
    <w:p w14:paraId="453AA2CC" w14:textId="0B6C224D"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F</w:t>
      </w:r>
      <w:r w:rsidRPr="007007C9">
        <w:rPr>
          <w:rFonts w:hint="eastAsia"/>
          <w:b/>
          <w:bCs/>
          <w:color w:val="000000"/>
          <w:sz w:val="24"/>
          <w:szCs w:val="24"/>
        </w:rPr>
        <w:t>é</w:t>
      </w:r>
      <w:r w:rsidRPr="007007C9">
        <w:rPr>
          <w:b/>
          <w:bCs/>
          <w:color w:val="000000"/>
          <w:sz w:val="24"/>
          <w:szCs w:val="24"/>
        </w:rPr>
        <w:t xml:space="preserve">vrier 2019 : </w:t>
      </w:r>
      <w:r w:rsidRPr="007007C9">
        <w:rPr>
          <w:color w:val="000000"/>
          <w:sz w:val="24"/>
          <w:szCs w:val="24"/>
        </w:rPr>
        <w:t xml:space="preserve">Animateur </w:t>
      </w:r>
      <w:r w:rsidRPr="007007C9">
        <w:rPr>
          <w:rFonts w:hint="eastAsia"/>
          <w:color w:val="000000"/>
          <w:sz w:val="24"/>
          <w:szCs w:val="24"/>
        </w:rPr>
        <w:t>à</w:t>
      </w:r>
      <w:r w:rsidRPr="007007C9">
        <w:rPr>
          <w:color w:val="000000"/>
          <w:sz w:val="24"/>
          <w:szCs w:val="24"/>
        </w:rPr>
        <w:t xml:space="preserve"> la caravane sur l</w:t>
      </w:r>
      <w:r w:rsidRPr="007007C9">
        <w:rPr>
          <w:rFonts w:hint="eastAsia"/>
          <w:color w:val="000000"/>
          <w:sz w:val="24"/>
          <w:szCs w:val="24"/>
        </w:rPr>
        <w:t>’</w:t>
      </w:r>
      <w:r w:rsidRPr="007007C9">
        <w:rPr>
          <w:color w:val="000000"/>
          <w:sz w:val="24"/>
          <w:szCs w:val="24"/>
        </w:rPr>
        <w:t>importance de la collaboration entre</w:t>
      </w:r>
      <w:r>
        <w:rPr>
          <w:color w:val="000000"/>
          <w:sz w:val="24"/>
          <w:szCs w:val="24"/>
        </w:rPr>
        <w:t xml:space="preserve"> </w:t>
      </w:r>
      <w:r w:rsidRPr="007007C9">
        <w:rPr>
          <w:color w:val="000000"/>
          <w:sz w:val="24"/>
          <w:szCs w:val="24"/>
        </w:rPr>
        <w:t>FDS et population locale de l</w:t>
      </w:r>
      <w:r w:rsidRPr="007007C9">
        <w:rPr>
          <w:rFonts w:hint="eastAsia"/>
          <w:color w:val="000000"/>
          <w:sz w:val="24"/>
          <w:szCs w:val="24"/>
        </w:rPr>
        <w:t>’</w:t>
      </w:r>
      <w:r w:rsidRPr="007007C9">
        <w:rPr>
          <w:color w:val="000000"/>
          <w:sz w:val="24"/>
          <w:szCs w:val="24"/>
        </w:rPr>
        <w:t>OIM dans la commune d</w:t>
      </w:r>
      <w:r w:rsidRPr="007007C9">
        <w:rPr>
          <w:rFonts w:hint="eastAsia"/>
          <w:color w:val="000000"/>
          <w:sz w:val="24"/>
          <w:szCs w:val="24"/>
        </w:rPr>
        <w:t>’</w:t>
      </w:r>
      <w:r w:rsidRPr="007007C9">
        <w:rPr>
          <w:color w:val="000000"/>
          <w:sz w:val="24"/>
          <w:szCs w:val="24"/>
        </w:rPr>
        <w:t>Ayorou ;</w:t>
      </w:r>
    </w:p>
    <w:p w14:paraId="577C547F" w14:textId="3A1444C2"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w:t>
      </w:r>
      <w:r w:rsidRPr="007007C9">
        <w:rPr>
          <w:rFonts w:hint="eastAsia"/>
          <w:b/>
          <w:bCs/>
          <w:color w:val="000000"/>
          <w:sz w:val="24"/>
          <w:szCs w:val="24"/>
        </w:rPr>
        <w:t>é</w:t>
      </w:r>
      <w:r w:rsidRPr="007007C9">
        <w:rPr>
          <w:b/>
          <w:bCs/>
          <w:color w:val="000000"/>
          <w:sz w:val="24"/>
          <w:szCs w:val="24"/>
        </w:rPr>
        <w:t xml:space="preserve">cembre 2018 : </w:t>
      </w:r>
      <w:r w:rsidRPr="007007C9">
        <w:rPr>
          <w:color w:val="000000"/>
          <w:sz w:val="24"/>
          <w:szCs w:val="24"/>
        </w:rPr>
        <w:t>Membre du comit</w:t>
      </w:r>
      <w:r w:rsidRPr="007007C9">
        <w:rPr>
          <w:rFonts w:hint="eastAsia"/>
          <w:color w:val="000000"/>
          <w:sz w:val="24"/>
          <w:szCs w:val="24"/>
        </w:rPr>
        <w:t>é</w:t>
      </w:r>
      <w:r w:rsidRPr="007007C9">
        <w:rPr>
          <w:color w:val="000000"/>
          <w:sz w:val="24"/>
          <w:szCs w:val="24"/>
        </w:rPr>
        <w:t xml:space="preserve"> de pilotage pour une activit</w:t>
      </w:r>
      <w:r w:rsidRPr="007007C9">
        <w:rPr>
          <w:rFonts w:hint="eastAsia"/>
          <w:color w:val="000000"/>
          <w:sz w:val="24"/>
          <w:szCs w:val="24"/>
        </w:rPr>
        <w:t>é</w:t>
      </w:r>
      <w:r w:rsidRPr="007007C9">
        <w:rPr>
          <w:color w:val="000000"/>
          <w:sz w:val="24"/>
          <w:szCs w:val="24"/>
        </w:rPr>
        <w:t xml:space="preserve"> de s</w:t>
      </w:r>
      <w:r w:rsidRPr="007007C9">
        <w:rPr>
          <w:rFonts w:hint="eastAsia"/>
          <w:color w:val="000000"/>
          <w:sz w:val="24"/>
          <w:szCs w:val="24"/>
        </w:rPr>
        <w:t>é</w:t>
      </w:r>
      <w:r w:rsidRPr="007007C9">
        <w:rPr>
          <w:color w:val="000000"/>
          <w:sz w:val="24"/>
          <w:szCs w:val="24"/>
        </w:rPr>
        <w:t>ances de th</w:t>
      </w:r>
      <w:r w:rsidRPr="007007C9">
        <w:rPr>
          <w:rFonts w:hint="eastAsia"/>
          <w:color w:val="000000"/>
          <w:sz w:val="24"/>
          <w:szCs w:val="24"/>
        </w:rPr>
        <w:t>é</w:t>
      </w:r>
      <w:r w:rsidRPr="007007C9">
        <w:rPr>
          <w:color w:val="000000"/>
          <w:sz w:val="24"/>
          <w:szCs w:val="24"/>
        </w:rPr>
        <w:t>s</w:t>
      </w:r>
      <w:r>
        <w:rPr>
          <w:color w:val="000000"/>
          <w:sz w:val="24"/>
          <w:szCs w:val="24"/>
        </w:rPr>
        <w:t xml:space="preserve"> </w:t>
      </w:r>
      <w:r w:rsidRPr="007007C9">
        <w:rPr>
          <w:color w:val="000000"/>
          <w:sz w:val="24"/>
          <w:szCs w:val="24"/>
        </w:rPr>
        <w:t>d</w:t>
      </w:r>
      <w:r w:rsidRPr="007007C9">
        <w:rPr>
          <w:rFonts w:hint="eastAsia"/>
          <w:color w:val="000000"/>
          <w:sz w:val="24"/>
          <w:szCs w:val="24"/>
        </w:rPr>
        <w:t>é</w:t>
      </w:r>
      <w:r w:rsidRPr="007007C9">
        <w:rPr>
          <w:color w:val="000000"/>
          <w:sz w:val="24"/>
          <w:szCs w:val="24"/>
        </w:rPr>
        <w:t>bat sur la paix et la coh</w:t>
      </w:r>
      <w:r w:rsidRPr="007007C9">
        <w:rPr>
          <w:rFonts w:hint="eastAsia"/>
          <w:color w:val="000000"/>
          <w:sz w:val="24"/>
          <w:szCs w:val="24"/>
        </w:rPr>
        <w:t>é</w:t>
      </w:r>
      <w:r w:rsidRPr="007007C9">
        <w:rPr>
          <w:color w:val="000000"/>
          <w:sz w:val="24"/>
          <w:szCs w:val="24"/>
        </w:rPr>
        <w:t>sion sociale dans la commune d</w:t>
      </w:r>
      <w:r w:rsidRPr="007007C9">
        <w:rPr>
          <w:rFonts w:hint="eastAsia"/>
          <w:color w:val="000000"/>
          <w:sz w:val="24"/>
          <w:szCs w:val="24"/>
        </w:rPr>
        <w:t>’</w:t>
      </w:r>
      <w:r w:rsidRPr="007007C9">
        <w:rPr>
          <w:color w:val="000000"/>
          <w:sz w:val="24"/>
          <w:szCs w:val="24"/>
        </w:rPr>
        <w:t>Ayorou avec PCCN/OIM ;</w:t>
      </w:r>
    </w:p>
    <w:p w14:paraId="2E52C495" w14:textId="6886C0B8"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De f</w:t>
      </w:r>
      <w:r w:rsidRPr="007007C9">
        <w:rPr>
          <w:rFonts w:hint="eastAsia"/>
          <w:b/>
          <w:bCs/>
          <w:color w:val="000000"/>
          <w:sz w:val="24"/>
          <w:szCs w:val="24"/>
        </w:rPr>
        <w:t>é</w:t>
      </w:r>
      <w:r w:rsidRPr="007007C9">
        <w:rPr>
          <w:b/>
          <w:bCs/>
          <w:color w:val="000000"/>
          <w:sz w:val="24"/>
          <w:szCs w:val="24"/>
        </w:rPr>
        <w:t xml:space="preserve">vrier </w:t>
      </w:r>
      <w:r w:rsidRPr="007007C9">
        <w:rPr>
          <w:rFonts w:hint="eastAsia"/>
          <w:b/>
          <w:bCs/>
          <w:color w:val="000000"/>
          <w:sz w:val="24"/>
          <w:szCs w:val="24"/>
        </w:rPr>
        <w:t>à</w:t>
      </w:r>
      <w:r w:rsidRPr="007007C9">
        <w:rPr>
          <w:b/>
          <w:bCs/>
          <w:color w:val="000000"/>
          <w:sz w:val="24"/>
          <w:szCs w:val="24"/>
        </w:rPr>
        <w:t xml:space="preserve"> Mars 2018 : </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rFonts w:hint="eastAsia"/>
          <w:color w:val="000000"/>
          <w:sz w:val="24"/>
          <w:szCs w:val="24"/>
        </w:rPr>
        <w:t>é</w:t>
      </w:r>
      <w:r w:rsidRPr="007007C9">
        <w:rPr>
          <w:color w:val="000000"/>
          <w:sz w:val="24"/>
          <w:szCs w:val="24"/>
        </w:rPr>
        <w:t>valuation des communaut</w:t>
      </w:r>
      <w:r w:rsidRPr="007007C9">
        <w:rPr>
          <w:rFonts w:hint="eastAsia"/>
          <w:color w:val="000000"/>
          <w:sz w:val="24"/>
          <w:szCs w:val="24"/>
        </w:rPr>
        <w:t>é</w:t>
      </w:r>
      <w:r w:rsidRPr="007007C9">
        <w:rPr>
          <w:color w:val="000000"/>
          <w:sz w:val="24"/>
          <w:szCs w:val="24"/>
        </w:rPr>
        <w:t>s locales de la</w:t>
      </w:r>
      <w:r>
        <w:rPr>
          <w:color w:val="000000"/>
          <w:sz w:val="24"/>
          <w:szCs w:val="24"/>
        </w:rPr>
        <w:t xml:space="preserve"> </w:t>
      </w:r>
      <w:r w:rsidRPr="007007C9">
        <w:rPr>
          <w:color w:val="000000"/>
          <w:sz w:val="24"/>
          <w:szCs w:val="24"/>
        </w:rPr>
        <w:t>r</w:t>
      </w:r>
      <w:r w:rsidRPr="007007C9">
        <w:rPr>
          <w:rFonts w:hint="eastAsia"/>
          <w:color w:val="000000"/>
          <w:sz w:val="24"/>
          <w:szCs w:val="24"/>
        </w:rPr>
        <w:t>é</w:t>
      </w:r>
      <w:r w:rsidRPr="007007C9">
        <w:rPr>
          <w:color w:val="000000"/>
          <w:sz w:val="24"/>
          <w:szCs w:val="24"/>
        </w:rPr>
        <w:t>gion de Tillab</w:t>
      </w:r>
      <w:r w:rsidRPr="007007C9">
        <w:rPr>
          <w:rFonts w:hint="eastAsia"/>
          <w:color w:val="000000"/>
          <w:sz w:val="24"/>
          <w:szCs w:val="24"/>
        </w:rPr>
        <w:t>é</w:t>
      </w:r>
      <w:r w:rsidRPr="007007C9">
        <w:rPr>
          <w:color w:val="000000"/>
          <w:sz w:val="24"/>
          <w:szCs w:val="24"/>
        </w:rPr>
        <w:t>ry dans le cadre du projet engager les communaut</w:t>
      </w:r>
      <w:r w:rsidRPr="007007C9">
        <w:rPr>
          <w:rFonts w:hint="eastAsia"/>
          <w:color w:val="000000"/>
          <w:sz w:val="24"/>
          <w:szCs w:val="24"/>
        </w:rPr>
        <w:t>é</w:t>
      </w:r>
      <w:r w:rsidRPr="007007C9">
        <w:rPr>
          <w:color w:val="000000"/>
          <w:sz w:val="24"/>
          <w:szCs w:val="24"/>
        </w:rPr>
        <w:t>s locales dans la</w:t>
      </w:r>
      <w:r>
        <w:rPr>
          <w:color w:val="000000"/>
          <w:sz w:val="24"/>
          <w:szCs w:val="24"/>
        </w:rPr>
        <w:t xml:space="preserve"> </w:t>
      </w:r>
      <w:r w:rsidRPr="007007C9">
        <w:rPr>
          <w:color w:val="000000"/>
          <w:sz w:val="24"/>
          <w:szCs w:val="24"/>
        </w:rPr>
        <w:t>gestion des fronti</w:t>
      </w:r>
      <w:r w:rsidRPr="007007C9">
        <w:rPr>
          <w:rFonts w:hint="eastAsia"/>
          <w:color w:val="000000"/>
          <w:sz w:val="24"/>
          <w:szCs w:val="24"/>
        </w:rPr>
        <w:t>è</w:t>
      </w:r>
      <w:r w:rsidRPr="007007C9">
        <w:rPr>
          <w:color w:val="000000"/>
          <w:sz w:val="24"/>
          <w:szCs w:val="24"/>
        </w:rPr>
        <w:t xml:space="preserve">res au Niger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OIM ;</w:t>
      </w:r>
    </w:p>
    <w:p w14:paraId="68CCDCE7" w14:textId="4B44CF60"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2018 : </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ACTED dans le cadre de la cohabitation pacifique entre la</w:t>
      </w:r>
      <w:r>
        <w:rPr>
          <w:color w:val="000000"/>
          <w:sz w:val="24"/>
          <w:szCs w:val="24"/>
        </w:rPr>
        <w:t xml:space="preserve"> </w:t>
      </w:r>
      <w:r w:rsidRPr="007007C9">
        <w:rPr>
          <w:color w:val="000000"/>
          <w:sz w:val="24"/>
          <w:szCs w:val="24"/>
        </w:rPr>
        <w:t>population h</w:t>
      </w:r>
      <w:r w:rsidRPr="007007C9">
        <w:rPr>
          <w:rFonts w:hint="eastAsia"/>
          <w:color w:val="000000"/>
          <w:sz w:val="24"/>
          <w:szCs w:val="24"/>
        </w:rPr>
        <w:t>ô</w:t>
      </w:r>
      <w:r w:rsidRPr="007007C9">
        <w:rPr>
          <w:color w:val="000000"/>
          <w:sz w:val="24"/>
          <w:szCs w:val="24"/>
        </w:rPr>
        <w:t>te et les r</w:t>
      </w:r>
      <w:r w:rsidRPr="007007C9">
        <w:rPr>
          <w:rFonts w:hint="eastAsia"/>
          <w:color w:val="000000"/>
          <w:sz w:val="24"/>
          <w:szCs w:val="24"/>
        </w:rPr>
        <w:t>é</w:t>
      </w:r>
      <w:r w:rsidRPr="007007C9">
        <w:rPr>
          <w:color w:val="000000"/>
          <w:sz w:val="24"/>
          <w:szCs w:val="24"/>
        </w:rPr>
        <w:t>fugi</w:t>
      </w:r>
      <w:r w:rsidRPr="007007C9">
        <w:rPr>
          <w:rFonts w:hint="eastAsia"/>
          <w:color w:val="000000"/>
          <w:sz w:val="24"/>
          <w:szCs w:val="24"/>
        </w:rPr>
        <w:t>é</w:t>
      </w:r>
      <w:r w:rsidRPr="007007C9">
        <w:rPr>
          <w:color w:val="000000"/>
          <w:sz w:val="24"/>
          <w:szCs w:val="24"/>
        </w:rPr>
        <w:t>s ;</w:t>
      </w:r>
    </w:p>
    <w:p w14:paraId="5C2A0B65" w14:textId="59272A9D"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Juillet 2014 </w:t>
      </w:r>
      <w:r w:rsidRPr="007007C9">
        <w:rPr>
          <w:color w:val="000000"/>
          <w:sz w:val="24"/>
          <w:szCs w:val="24"/>
        </w:rPr>
        <w:t>: 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 nationale sur la nutrition des enfants </w:t>
      </w:r>
      <w:r w:rsidRPr="007007C9">
        <w:rPr>
          <w:rFonts w:hint="eastAsia"/>
          <w:color w:val="000000"/>
          <w:sz w:val="24"/>
          <w:szCs w:val="24"/>
        </w:rPr>
        <w:t>à</w:t>
      </w:r>
      <w:r>
        <w:rPr>
          <w:color w:val="000000"/>
          <w:sz w:val="24"/>
          <w:szCs w:val="24"/>
        </w:rPr>
        <w:t xml:space="preserve"> </w:t>
      </w:r>
      <w:r w:rsidRPr="007007C9">
        <w:rPr>
          <w:color w:val="000000"/>
          <w:sz w:val="24"/>
          <w:szCs w:val="24"/>
        </w:rPr>
        <w:t>l</w:t>
      </w:r>
      <w:r w:rsidRPr="007007C9">
        <w:rPr>
          <w:rFonts w:hint="eastAsia"/>
          <w:color w:val="000000"/>
          <w:sz w:val="24"/>
          <w:szCs w:val="24"/>
        </w:rPr>
        <w:t>’</w:t>
      </w:r>
      <w:r w:rsidRPr="007007C9">
        <w:rPr>
          <w:color w:val="000000"/>
          <w:sz w:val="24"/>
          <w:szCs w:val="24"/>
        </w:rPr>
        <w:t>INS</w:t>
      </w:r>
    </w:p>
    <w:p w14:paraId="63F0829D" w14:textId="21BC8F9F"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Janvier 2009 </w:t>
      </w:r>
      <w:r w:rsidRPr="007007C9">
        <w:rPr>
          <w:color w:val="000000"/>
          <w:sz w:val="24"/>
          <w:szCs w:val="24"/>
        </w:rPr>
        <w:t>: 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te nationale sur le travail des</w:t>
      </w:r>
      <w:r>
        <w:rPr>
          <w:color w:val="000000"/>
          <w:sz w:val="24"/>
          <w:szCs w:val="24"/>
        </w:rPr>
        <w:t xml:space="preserve"> e</w:t>
      </w:r>
      <w:r w:rsidRPr="007007C9">
        <w:rPr>
          <w:color w:val="000000"/>
          <w:sz w:val="24"/>
          <w:szCs w:val="24"/>
        </w:rPr>
        <w:t xml:space="preserve">nfants </w:t>
      </w:r>
      <w:r w:rsidRPr="007007C9">
        <w:rPr>
          <w:rFonts w:hint="eastAsia"/>
          <w:color w:val="000000"/>
          <w:sz w:val="24"/>
          <w:szCs w:val="24"/>
        </w:rPr>
        <w:t>à</w:t>
      </w:r>
      <w:r>
        <w:rPr>
          <w:color w:val="000000"/>
          <w:sz w:val="24"/>
          <w:szCs w:val="24"/>
        </w:rPr>
        <w:t xml:space="preserve"> </w:t>
      </w:r>
      <w:r w:rsidRPr="007007C9">
        <w:rPr>
          <w:color w:val="000000"/>
          <w:sz w:val="24"/>
          <w:szCs w:val="24"/>
        </w:rPr>
        <w:t>l</w:t>
      </w:r>
      <w:r w:rsidRPr="007007C9">
        <w:rPr>
          <w:rFonts w:hint="eastAsia"/>
          <w:color w:val="000000"/>
          <w:sz w:val="24"/>
          <w:szCs w:val="24"/>
        </w:rPr>
        <w:t>’</w:t>
      </w:r>
      <w:r w:rsidRPr="007007C9">
        <w:rPr>
          <w:color w:val="000000"/>
          <w:sz w:val="24"/>
          <w:szCs w:val="24"/>
        </w:rPr>
        <w:t>INS</w:t>
      </w:r>
    </w:p>
    <w:p w14:paraId="1C7A0D6E" w14:textId="77777777"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Mai 2009 : </w:t>
      </w:r>
      <w:r w:rsidRPr="007007C9">
        <w:rPr>
          <w:color w:val="000000"/>
          <w:sz w:val="24"/>
          <w:szCs w:val="24"/>
        </w:rPr>
        <w:t>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 sur la nutrition des enfants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INS</w:t>
      </w:r>
    </w:p>
    <w:p w14:paraId="45428AD9" w14:textId="77777777"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Juillet 2008 : </w:t>
      </w:r>
      <w:r w:rsidRPr="007007C9">
        <w:rPr>
          <w:color w:val="000000"/>
          <w:sz w:val="24"/>
          <w:szCs w:val="24"/>
        </w:rPr>
        <w:t>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te nationale sur les barri</w:t>
      </w:r>
      <w:r w:rsidRPr="007007C9">
        <w:rPr>
          <w:rFonts w:hint="eastAsia"/>
          <w:color w:val="000000"/>
          <w:sz w:val="24"/>
          <w:szCs w:val="24"/>
        </w:rPr>
        <w:t>è</w:t>
      </w:r>
      <w:r w:rsidRPr="007007C9">
        <w:rPr>
          <w:color w:val="000000"/>
          <w:sz w:val="24"/>
          <w:szCs w:val="24"/>
        </w:rPr>
        <w:t xml:space="preserve">res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utilisation</w:t>
      </w:r>
      <w:r w:rsidRPr="00246464">
        <w:rPr>
          <w:color w:val="000000"/>
          <w:sz w:val="24"/>
          <w:szCs w:val="24"/>
        </w:rPr>
        <w:t xml:space="preserve"> </w:t>
      </w:r>
      <w:r w:rsidRPr="007007C9">
        <w:rPr>
          <w:color w:val="000000"/>
          <w:sz w:val="24"/>
          <w:szCs w:val="24"/>
        </w:rPr>
        <w:t xml:space="preserve">des moustiquaires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INS</w:t>
      </w:r>
    </w:p>
    <w:p w14:paraId="01AC00BF" w14:textId="77777777" w:rsidR="00246464" w:rsidRPr="007007C9" w:rsidRDefault="00246464" w:rsidP="007007C9">
      <w:pPr>
        <w:tabs>
          <w:tab w:val="left" w:pos="2763"/>
        </w:tabs>
        <w:spacing w:before="0" w:after="0"/>
        <w:jc w:val="left"/>
        <w:rPr>
          <w:b/>
          <w:bCs/>
          <w:color w:val="0070C0"/>
        </w:rPr>
      </w:pPr>
      <w:r w:rsidRPr="007007C9">
        <w:rPr>
          <w:b/>
          <w:bCs/>
          <w:color w:val="0070C0"/>
        </w:rPr>
        <w:t>CONNAISSANCE DES LANGUES</w:t>
      </w:r>
    </w:p>
    <w:p w14:paraId="4EEE5F0C" w14:textId="77777777" w:rsidR="00246464" w:rsidRDefault="00246464" w:rsidP="00FB2B45">
      <w:pPr>
        <w:pStyle w:val="Paragraphedeliste"/>
        <w:numPr>
          <w:ilvl w:val="0"/>
          <w:numId w:val="43"/>
        </w:numPr>
        <w:tabs>
          <w:tab w:val="left" w:pos="2763"/>
        </w:tabs>
        <w:spacing w:before="0" w:line="276" w:lineRule="auto"/>
        <w:jc w:val="left"/>
        <w:rPr>
          <w:color w:val="000000"/>
          <w:sz w:val="24"/>
          <w:szCs w:val="24"/>
        </w:rPr>
      </w:pPr>
      <w:r w:rsidRPr="007007C9">
        <w:rPr>
          <w:color w:val="000000"/>
          <w:sz w:val="24"/>
          <w:szCs w:val="24"/>
        </w:rPr>
        <w:t>Fran</w:t>
      </w:r>
      <w:r w:rsidRPr="007007C9">
        <w:rPr>
          <w:rFonts w:hint="eastAsia"/>
          <w:color w:val="000000"/>
          <w:sz w:val="24"/>
          <w:szCs w:val="24"/>
        </w:rPr>
        <w:t>ç</w:t>
      </w:r>
      <w:r w:rsidRPr="007007C9">
        <w:rPr>
          <w:color w:val="000000"/>
          <w:sz w:val="24"/>
          <w:szCs w:val="24"/>
        </w:rPr>
        <w:t>ais (parl</w:t>
      </w:r>
      <w:r w:rsidRPr="007007C9">
        <w:rPr>
          <w:rFonts w:hint="eastAsia"/>
          <w:color w:val="000000"/>
          <w:sz w:val="24"/>
          <w:szCs w:val="24"/>
        </w:rPr>
        <w:t>é</w:t>
      </w:r>
      <w:r w:rsidRPr="007007C9">
        <w:rPr>
          <w:color w:val="000000"/>
          <w:sz w:val="24"/>
          <w:szCs w:val="24"/>
        </w:rPr>
        <w:t xml:space="preserve"> et </w:t>
      </w:r>
      <w:r w:rsidRPr="007007C9">
        <w:rPr>
          <w:rFonts w:hint="eastAsia"/>
          <w:color w:val="000000"/>
          <w:sz w:val="24"/>
          <w:szCs w:val="24"/>
        </w:rPr>
        <w:t>é</w:t>
      </w:r>
      <w:r w:rsidRPr="007007C9">
        <w:rPr>
          <w:color w:val="000000"/>
          <w:sz w:val="24"/>
          <w:szCs w:val="24"/>
        </w:rPr>
        <w:t>crit correctement)</w:t>
      </w:r>
    </w:p>
    <w:p w14:paraId="48855E3A"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zarma- sonrai (parl</w:t>
      </w:r>
      <w:r w:rsidRPr="007007C9">
        <w:rPr>
          <w:rFonts w:hint="eastAsia"/>
          <w:color w:val="000000"/>
          <w:sz w:val="24"/>
          <w:szCs w:val="24"/>
        </w:rPr>
        <w:t>é</w:t>
      </w:r>
      <w:r w:rsidRPr="007007C9">
        <w:rPr>
          <w:color w:val="000000"/>
          <w:sz w:val="24"/>
          <w:szCs w:val="24"/>
        </w:rPr>
        <w:t xml:space="preserve"> correctement)</w:t>
      </w:r>
    </w:p>
    <w:p w14:paraId="3586B9BB"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Haoussa (parl</w:t>
      </w:r>
      <w:r w:rsidRPr="007007C9">
        <w:rPr>
          <w:rFonts w:hint="eastAsia"/>
          <w:color w:val="000000"/>
          <w:sz w:val="24"/>
          <w:szCs w:val="24"/>
        </w:rPr>
        <w:t>é</w:t>
      </w:r>
      <w:r w:rsidRPr="007007C9">
        <w:rPr>
          <w:color w:val="000000"/>
          <w:sz w:val="24"/>
          <w:szCs w:val="24"/>
        </w:rPr>
        <w:t xml:space="preserve"> correctement)</w:t>
      </w:r>
    </w:p>
    <w:p w14:paraId="0E8B00D4"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Tamachek (parl</w:t>
      </w:r>
      <w:r w:rsidRPr="007007C9">
        <w:rPr>
          <w:rFonts w:hint="eastAsia"/>
          <w:color w:val="000000"/>
          <w:sz w:val="24"/>
          <w:szCs w:val="24"/>
        </w:rPr>
        <w:t>é</w:t>
      </w:r>
      <w:r w:rsidRPr="007007C9">
        <w:rPr>
          <w:color w:val="000000"/>
          <w:sz w:val="24"/>
          <w:szCs w:val="24"/>
        </w:rPr>
        <w:t xml:space="preserve"> moyennement)</w:t>
      </w:r>
    </w:p>
    <w:p w14:paraId="0F9B0D2D" w14:textId="054A717E" w:rsidR="00246464" w:rsidRDefault="00246464" w:rsidP="007007C9">
      <w:pPr>
        <w:tabs>
          <w:tab w:val="left" w:pos="2763"/>
        </w:tabs>
        <w:spacing w:before="360" w:after="0"/>
        <w:jc w:val="left"/>
        <w:rPr>
          <w:b/>
          <w:bCs/>
          <w:color w:val="0070C0"/>
          <w:sz w:val="24"/>
          <w:szCs w:val="24"/>
        </w:rPr>
      </w:pPr>
      <w:r>
        <w:rPr>
          <w:b/>
          <w:bCs/>
          <w:color w:val="0070C0"/>
          <w:sz w:val="24"/>
          <w:szCs w:val="24"/>
        </w:rPr>
        <w:t>AUTRES CONNAISSANCES</w:t>
      </w:r>
    </w:p>
    <w:p w14:paraId="049BFF5B" w14:textId="77777777" w:rsidR="00246464" w:rsidRDefault="00246464" w:rsidP="00FB2B45">
      <w:pPr>
        <w:pStyle w:val="Paragraphedeliste"/>
        <w:numPr>
          <w:ilvl w:val="0"/>
          <w:numId w:val="43"/>
        </w:numPr>
        <w:tabs>
          <w:tab w:val="left" w:pos="2763"/>
        </w:tabs>
        <w:spacing w:before="0" w:line="276" w:lineRule="auto"/>
        <w:jc w:val="left"/>
        <w:rPr>
          <w:color w:val="000000"/>
          <w:sz w:val="24"/>
          <w:szCs w:val="24"/>
        </w:rPr>
      </w:pPr>
      <w:r w:rsidRPr="007007C9">
        <w:rPr>
          <w:color w:val="000000"/>
          <w:sz w:val="24"/>
          <w:szCs w:val="24"/>
        </w:rPr>
        <w:t>Permis de conduire cat</w:t>
      </w:r>
      <w:r w:rsidRPr="007007C9">
        <w:rPr>
          <w:rFonts w:hint="eastAsia"/>
          <w:color w:val="000000"/>
          <w:sz w:val="24"/>
          <w:szCs w:val="24"/>
        </w:rPr>
        <w:t>é</w:t>
      </w:r>
      <w:r w:rsidRPr="007007C9">
        <w:rPr>
          <w:color w:val="000000"/>
          <w:sz w:val="24"/>
          <w:szCs w:val="24"/>
        </w:rPr>
        <w:t>gorie B et bonne capacit</w:t>
      </w:r>
      <w:r w:rsidRPr="007007C9">
        <w:rPr>
          <w:rFonts w:hint="eastAsia"/>
          <w:color w:val="000000"/>
          <w:sz w:val="24"/>
          <w:szCs w:val="24"/>
        </w:rPr>
        <w:t>é</w:t>
      </w:r>
      <w:r w:rsidRPr="007007C9">
        <w:rPr>
          <w:color w:val="000000"/>
          <w:sz w:val="24"/>
          <w:szCs w:val="24"/>
        </w:rPr>
        <w:t xml:space="preserve"> de conduite de la moto ;</w:t>
      </w:r>
    </w:p>
    <w:p w14:paraId="120BA89B"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Word, Excel</w:t>
      </w:r>
    </w:p>
    <w:p w14:paraId="736E5DFE"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Applications KOBO et ODK collecte</w:t>
      </w:r>
    </w:p>
    <w:p w14:paraId="34EC99CC"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Parfaite relation avec les autorit</w:t>
      </w:r>
      <w:r w:rsidRPr="007007C9">
        <w:rPr>
          <w:rFonts w:hint="eastAsia"/>
          <w:color w:val="000000"/>
          <w:sz w:val="24"/>
          <w:szCs w:val="24"/>
        </w:rPr>
        <w:t>é</w:t>
      </w:r>
      <w:r w:rsidRPr="007007C9">
        <w:rPr>
          <w:color w:val="000000"/>
          <w:sz w:val="24"/>
          <w:szCs w:val="24"/>
        </w:rPr>
        <w:t>s (communales, administratives et coutumi</w:t>
      </w:r>
      <w:r w:rsidRPr="007007C9">
        <w:rPr>
          <w:rFonts w:hint="eastAsia"/>
          <w:color w:val="000000"/>
          <w:sz w:val="24"/>
          <w:szCs w:val="24"/>
        </w:rPr>
        <w:t>è</w:t>
      </w:r>
      <w:r w:rsidRPr="007007C9">
        <w:rPr>
          <w:color w:val="000000"/>
          <w:sz w:val="24"/>
          <w:szCs w:val="24"/>
        </w:rPr>
        <w:t>res) de la</w:t>
      </w:r>
      <w:r>
        <w:rPr>
          <w:color w:val="000000"/>
          <w:sz w:val="24"/>
          <w:szCs w:val="24"/>
        </w:rPr>
        <w:t xml:space="preserve"> </w:t>
      </w:r>
      <w:r w:rsidRPr="007007C9">
        <w:rPr>
          <w:color w:val="000000"/>
          <w:sz w:val="24"/>
          <w:szCs w:val="24"/>
        </w:rPr>
        <w:t>r</w:t>
      </w:r>
      <w:r w:rsidRPr="007007C9">
        <w:rPr>
          <w:rFonts w:hint="eastAsia"/>
          <w:color w:val="000000"/>
          <w:sz w:val="24"/>
          <w:szCs w:val="24"/>
        </w:rPr>
        <w:t>é</w:t>
      </w:r>
      <w:r w:rsidRPr="007007C9">
        <w:rPr>
          <w:color w:val="000000"/>
          <w:sz w:val="24"/>
          <w:szCs w:val="24"/>
        </w:rPr>
        <w:t>gion de Tillab</w:t>
      </w:r>
      <w:r w:rsidRPr="007007C9">
        <w:rPr>
          <w:rFonts w:hint="eastAsia"/>
          <w:color w:val="000000"/>
          <w:sz w:val="24"/>
          <w:szCs w:val="24"/>
        </w:rPr>
        <w:t>é</w:t>
      </w:r>
      <w:r w:rsidRPr="007007C9">
        <w:rPr>
          <w:color w:val="000000"/>
          <w:sz w:val="24"/>
          <w:szCs w:val="24"/>
        </w:rPr>
        <w:t>ri</w:t>
      </w:r>
    </w:p>
    <w:p w14:paraId="39BBAF70" w14:textId="09928DD8" w:rsidR="00246464" w:rsidRPr="007007C9" w:rsidRDefault="00B845C5" w:rsidP="00246464">
      <w:pPr>
        <w:tabs>
          <w:tab w:val="left" w:pos="2763"/>
        </w:tabs>
        <w:spacing w:line="276" w:lineRule="auto"/>
        <w:jc w:val="left"/>
        <w:rPr>
          <w:b/>
          <w:bCs/>
          <w:color w:val="0070C0"/>
          <w:sz w:val="24"/>
          <w:szCs w:val="24"/>
        </w:rPr>
      </w:pPr>
      <w:r w:rsidRPr="007007C9">
        <w:rPr>
          <w:b/>
          <w:bCs/>
          <w:color w:val="0070C0"/>
          <w:sz w:val="24"/>
          <w:szCs w:val="24"/>
        </w:rPr>
        <w:t xml:space="preserve">LOISIR </w:t>
      </w:r>
    </w:p>
    <w:p w14:paraId="13E9BB78" w14:textId="77777777" w:rsidR="00B845C5" w:rsidRPr="007007C9" w:rsidRDefault="00246464" w:rsidP="00246464">
      <w:pPr>
        <w:tabs>
          <w:tab w:val="left" w:pos="2763"/>
        </w:tabs>
        <w:spacing w:line="276" w:lineRule="auto"/>
        <w:jc w:val="left"/>
        <w:rPr>
          <w:i/>
          <w:iCs/>
          <w:color w:val="000000"/>
        </w:rPr>
      </w:pPr>
      <w:r w:rsidRPr="007007C9">
        <w:rPr>
          <w:rFonts w:hint="eastAsia"/>
          <w:color w:val="000000"/>
        </w:rPr>
        <w:t>É</w:t>
      </w:r>
      <w:r w:rsidRPr="007007C9">
        <w:rPr>
          <w:color w:val="000000"/>
        </w:rPr>
        <w:t>ducation physique, Lecture, Radio et T</w:t>
      </w:r>
      <w:r w:rsidRPr="007007C9">
        <w:rPr>
          <w:rFonts w:hint="eastAsia"/>
          <w:color w:val="000000"/>
        </w:rPr>
        <w:t>é</w:t>
      </w:r>
      <w:r w:rsidRPr="007007C9">
        <w:rPr>
          <w:color w:val="000000"/>
        </w:rPr>
        <w:t>l</w:t>
      </w:r>
      <w:r w:rsidRPr="007007C9">
        <w:rPr>
          <w:rFonts w:hint="eastAsia"/>
          <w:color w:val="000000"/>
        </w:rPr>
        <w:t>é</w:t>
      </w:r>
      <w:r w:rsidRPr="007007C9">
        <w:rPr>
          <w:color w:val="000000"/>
        </w:rPr>
        <w:t>vision, Internet.</w:t>
      </w:r>
      <w:r w:rsidRPr="007007C9">
        <w:rPr>
          <w:color w:val="000000"/>
          <w:sz w:val="20"/>
          <w:szCs w:val="20"/>
        </w:rPr>
        <w:br/>
      </w:r>
    </w:p>
    <w:p w14:paraId="10AAE772" w14:textId="77777777" w:rsidR="00246464" w:rsidRDefault="00246464" w:rsidP="00246464">
      <w:pPr>
        <w:tabs>
          <w:tab w:val="left" w:pos="2763"/>
        </w:tabs>
        <w:spacing w:line="276" w:lineRule="auto"/>
        <w:jc w:val="left"/>
        <w:rPr>
          <w:i/>
          <w:iCs/>
          <w:color w:val="000000"/>
        </w:rPr>
      </w:pPr>
      <w:r w:rsidRPr="007007C9">
        <w:rPr>
          <w:i/>
          <w:iCs/>
          <w:color w:val="000000"/>
        </w:rPr>
        <w:t>J</w:t>
      </w:r>
      <w:r w:rsidRPr="007007C9">
        <w:rPr>
          <w:rFonts w:hint="eastAsia"/>
          <w:i/>
          <w:iCs/>
          <w:color w:val="000000"/>
        </w:rPr>
        <w:t>’</w:t>
      </w:r>
      <w:r w:rsidRPr="007007C9">
        <w:rPr>
          <w:i/>
          <w:iCs/>
          <w:color w:val="000000"/>
        </w:rPr>
        <w:t>atteste par les donn</w:t>
      </w:r>
      <w:r w:rsidRPr="007007C9">
        <w:rPr>
          <w:rFonts w:hint="eastAsia"/>
          <w:i/>
          <w:iCs/>
          <w:color w:val="000000"/>
        </w:rPr>
        <w:t>é</w:t>
      </w:r>
      <w:r w:rsidRPr="007007C9">
        <w:rPr>
          <w:i/>
          <w:iCs/>
          <w:color w:val="000000"/>
        </w:rPr>
        <w:t xml:space="preserve">es </w:t>
      </w:r>
      <w:r w:rsidRPr="007007C9">
        <w:rPr>
          <w:rFonts w:hint="eastAsia"/>
          <w:i/>
          <w:iCs/>
          <w:color w:val="000000"/>
        </w:rPr>
        <w:t>à</w:t>
      </w:r>
      <w:r w:rsidRPr="007007C9">
        <w:rPr>
          <w:i/>
          <w:iCs/>
          <w:color w:val="000000"/>
        </w:rPr>
        <w:t xml:space="preserve"> ma disposition que le pr</w:t>
      </w:r>
      <w:r w:rsidRPr="007007C9">
        <w:rPr>
          <w:rFonts w:hint="eastAsia"/>
          <w:i/>
          <w:iCs/>
          <w:color w:val="000000"/>
        </w:rPr>
        <w:t>é</w:t>
      </w:r>
      <w:r w:rsidRPr="007007C9">
        <w:rPr>
          <w:i/>
          <w:iCs/>
          <w:color w:val="000000"/>
        </w:rPr>
        <w:t>sent CV rend compte fid</w:t>
      </w:r>
      <w:r w:rsidRPr="007007C9">
        <w:rPr>
          <w:rFonts w:hint="eastAsia"/>
          <w:i/>
          <w:iCs/>
          <w:color w:val="000000"/>
        </w:rPr>
        <w:t>è</w:t>
      </w:r>
      <w:r w:rsidRPr="007007C9">
        <w:rPr>
          <w:i/>
          <w:iCs/>
          <w:color w:val="000000"/>
        </w:rPr>
        <w:t>lement de mes</w:t>
      </w:r>
      <w:r w:rsidR="00B845C5">
        <w:rPr>
          <w:i/>
          <w:iCs/>
          <w:color w:val="000000"/>
        </w:rPr>
        <w:t xml:space="preserve"> </w:t>
      </w:r>
      <w:r w:rsidRPr="007007C9">
        <w:rPr>
          <w:i/>
          <w:iCs/>
          <w:color w:val="000000"/>
        </w:rPr>
        <w:t>qualit</w:t>
      </w:r>
      <w:r w:rsidRPr="007007C9">
        <w:rPr>
          <w:rFonts w:hint="eastAsia"/>
          <w:i/>
          <w:iCs/>
          <w:color w:val="000000"/>
        </w:rPr>
        <w:t>é</w:t>
      </w:r>
      <w:r w:rsidRPr="007007C9">
        <w:rPr>
          <w:i/>
          <w:iCs/>
          <w:color w:val="000000"/>
        </w:rPr>
        <w:t>s, comp</w:t>
      </w:r>
      <w:r w:rsidRPr="007007C9">
        <w:rPr>
          <w:rFonts w:hint="eastAsia"/>
          <w:i/>
          <w:iCs/>
          <w:color w:val="000000"/>
        </w:rPr>
        <w:t>é</w:t>
      </w:r>
      <w:r w:rsidRPr="007007C9">
        <w:rPr>
          <w:i/>
          <w:iCs/>
          <w:color w:val="000000"/>
        </w:rPr>
        <w:t>tences et exp</w:t>
      </w:r>
      <w:r w:rsidRPr="007007C9">
        <w:rPr>
          <w:rFonts w:hint="eastAsia"/>
          <w:i/>
          <w:iCs/>
          <w:color w:val="000000"/>
        </w:rPr>
        <w:t>é</w:t>
      </w:r>
      <w:r w:rsidRPr="007007C9">
        <w:rPr>
          <w:i/>
          <w:iCs/>
          <w:color w:val="000000"/>
        </w:rPr>
        <w:t>riences professionnelles</w:t>
      </w:r>
    </w:p>
    <w:p w14:paraId="7027A338" w14:textId="77777777" w:rsidR="00B845C5" w:rsidRDefault="00B845C5" w:rsidP="00246464">
      <w:pPr>
        <w:tabs>
          <w:tab w:val="left" w:pos="2763"/>
        </w:tabs>
        <w:spacing w:line="276" w:lineRule="auto"/>
        <w:jc w:val="left"/>
        <w:rPr>
          <w:i/>
          <w:iCs/>
          <w:color w:val="000000"/>
        </w:rPr>
      </w:pPr>
    </w:p>
    <w:p w14:paraId="40AB0123" w14:textId="1F9C9AAB" w:rsidR="00B845C5" w:rsidRPr="00D623BF" w:rsidRDefault="00B845C5" w:rsidP="0060123A">
      <w:pPr>
        <w:shd w:val="clear" w:color="auto" w:fill="FFD966"/>
        <w:tabs>
          <w:tab w:val="left" w:pos="1565"/>
        </w:tabs>
        <w:rPr>
          <w:rFonts w:cs="Times New Roman"/>
          <w:b/>
          <w:bCs/>
          <w:color w:val="0070C0"/>
          <w:sz w:val="24"/>
          <w:szCs w:val="24"/>
        </w:rPr>
      </w:pPr>
      <w:r w:rsidRPr="00D623BF">
        <w:rPr>
          <w:rFonts w:cs="Times New Roman"/>
          <w:b/>
          <w:bCs/>
          <w:color w:val="0070C0"/>
          <w:sz w:val="24"/>
          <w:szCs w:val="24"/>
        </w:rPr>
        <w:t xml:space="preserve">CV DE </w:t>
      </w:r>
      <w:r>
        <w:rPr>
          <w:b/>
          <w:bCs/>
          <w:color w:val="0070C0"/>
          <w:sz w:val="24"/>
          <w:szCs w:val="24"/>
        </w:rPr>
        <w:t>RAMATOU Mamoudou</w:t>
      </w:r>
    </w:p>
    <w:p w14:paraId="0B2FDE79" w14:textId="0BEE52D1"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INFORMATIONS PERSONNEL</w:t>
      </w:r>
      <w:r>
        <w:rPr>
          <w:b/>
          <w:bCs/>
          <w:color w:val="0070C0"/>
          <w:sz w:val="24"/>
          <w:szCs w:val="24"/>
        </w:rPr>
        <w:t>LES</w:t>
      </w:r>
    </w:p>
    <w:p w14:paraId="467684F3" w14:textId="77777777" w:rsidR="00B845C5" w:rsidRPr="007007C9" w:rsidRDefault="00B845C5" w:rsidP="00FB2B45">
      <w:pPr>
        <w:pStyle w:val="Paragraphedeliste"/>
        <w:numPr>
          <w:ilvl w:val="0"/>
          <w:numId w:val="58"/>
        </w:numPr>
        <w:spacing w:before="0" w:after="200" w:line="276" w:lineRule="auto"/>
        <w:jc w:val="left"/>
        <w:rPr>
          <w:b/>
        </w:rPr>
      </w:pPr>
      <w:r w:rsidRPr="00B845C5">
        <w:rPr>
          <w:b/>
          <w:sz w:val="24"/>
        </w:rPr>
        <w:t>Nom</w:t>
      </w:r>
      <w:r w:rsidRPr="007007C9">
        <w:rPr>
          <w:b/>
        </w:rPr>
        <w:t> : Ramatou</w:t>
      </w:r>
    </w:p>
    <w:p w14:paraId="4BD73292" w14:textId="7EAF57A6" w:rsidR="00B845C5" w:rsidRPr="00A945F6" w:rsidRDefault="00B845C5" w:rsidP="00FB2B45">
      <w:pPr>
        <w:pStyle w:val="Paragraphedeliste"/>
        <w:numPr>
          <w:ilvl w:val="0"/>
          <w:numId w:val="58"/>
        </w:numPr>
        <w:spacing w:before="0" w:after="200" w:line="276" w:lineRule="auto"/>
        <w:jc w:val="left"/>
      </w:pPr>
      <w:r w:rsidRPr="00A945F6">
        <w:rPr>
          <w:b/>
          <w:sz w:val="24"/>
        </w:rPr>
        <w:t>Prénoms</w:t>
      </w:r>
      <w:r>
        <w:rPr>
          <w:b/>
          <w:sz w:val="24"/>
        </w:rPr>
        <w:t xml:space="preserve"> : </w:t>
      </w:r>
      <w:r w:rsidRPr="00A945F6">
        <w:rPr>
          <w:b/>
          <w:sz w:val="24"/>
        </w:rPr>
        <w:t>Mamoudou</w:t>
      </w:r>
    </w:p>
    <w:p w14:paraId="19BBF225" w14:textId="77777777" w:rsidR="00B845C5" w:rsidRPr="003551E4" w:rsidRDefault="00B845C5" w:rsidP="00FB2B45">
      <w:pPr>
        <w:pStyle w:val="Paragraphedeliste"/>
        <w:numPr>
          <w:ilvl w:val="0"/>
          <w:numId w:val="58"/>
        </w:numPr>
        <w:spacing w:before="0" w:after="200" w:line="276" w:lineRule="auto"/>
        <w:jc w:val="left"/>
        <w:rPr>
          <w:bCs/>
        </w:rPr>
      </w:pPr>
      <w:r w:rsidRPr="007007C9">
        <w:rPr>
          <w:bCs/>
          <w:sz w:val="24"/>
        </w:rPr>
        <w:t>Date et lieu de naissance</w:t>
      </w:r>
      <w:r w:rsidRPr="003551E4">
        <w:rPr>
          <w:bCs/>
          <w:sz w:val="24"/>
        </w:rPr>
        <w:t> </w:t>
      </w:r>
      <w:r w:rsidRPr="003551E4">
        <w:rPr>
          <w:bCs/>
        </w:rPr>
        <w:t>: 10 /07/1982</w:t>
      </w:r>
    </w:p>
    <w:p w14:paraId="5A452685" w14:textId="77777777" w:rsidR="00B845C5" w:rsidRPr="003551E4" w:rsidRDefault="00B845C5" w:rsidP="00FB2B45">
      <w:pPr>
        <w:pStyle w:val="Paragraphedeliste"/>
        <w:numPr>
          <w:ilvl w:val="0"/>
          <w:numId w:val="58"/>
        </w:numPr>
        <w:spacing w:before="0" w:after="200" w:line="276" w:lineRule="auto"/>
        <w:jc w:val="left"/>
        <w:rPr>
          <w:bCs/>
        </w:rPr>
      </w:pPr>
      <w:r w:rsidRPr="007007C9">
        <w:rPr>
          <w:bCs/>
          <w:sz w:val="24"/>
        </w:rPr>
        <w:t>Situation matrimoniale</w:t>
      </w:r>
      <w:r w:rsidRPr="003551E4">
        <w:rPr>
          <w:bCs/>
          <w:sz w:val="24"/>
        </w:rPr>
        <w:t> </w:t>
      </w:r>
      <w:r w:rsidRPr="003551E4">
        <w:rPr>
          <w:bCs/>
        </w:rPr>
        <w:t>: Mariée</w:t>
      </w:r>
    </w:p>
    <w:p w14:paraId="29E3952F" w14:textId="77777777" w:rsidR="00B845C5" w:rsidRPr="003551E4" w:rsidRDefault="00B845C5" w:rsidP="00FB2B45">
      <w:pPr>
        <w:pStyle w:val="Paragraphedeliste"/>
        <w:numPr>
          <w:ilvl w:val="0"/>
          <w:numId w:val="58"/>
        </w:numPr>
        <w:spacing w:before="0" w:after="200" w:line="276" w:lineRule="auto"/>
        <w:jc w:val="left"/>
        <w:rPr>
          <w:bCs/>
        </w:rPr>
      </w:pPr>
      <w:r w:rsidRPr="007007C9">
        <w:rPr>
          <w:bCs/>
        </w:rPr>
        <w:t>Nationalité </w:t>
      </w:r>
      <w:r w:rsidRPr="003551E4">
        <w:rPr>
          <w:bCs/>
        </w:rPr>
        <w:t>: nigérienne</w:t>
      </w:r>
    </w:p>
    <w:p w14:paraId="75A599B3" w14:textId="221554CF"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CURSUS SCOLAIRE</w:t>
      </w:r>
    </w:p>
    <w:p w14:paraId="27610DA2" w14:textId="254128CC" w:rsidR="00B845C5" w:rsidRPr="00A945F6" w:rsidRDefault="00B845C5" w:rsidP="00FB2B45">
      <w:pPr>
        <w:pStyle w:val="Paragraphedeliste"/>
        <w:numPr>
          <w:ilvl w:val="0"/>
          <w:numId w:val="58"/>
        </w:numPr>
        <w:spacing w:before="0" w:after="200" w:line="276" w:lineRule="auto"/>
        <w:jc w:val="left"/>
      </w:pPr>
      <w:r w:rsidRPr="00B845C5">
        <w:rPr>
          <w:b/>
          <w:sz w:val="24"/>
        </w:rPr>
        <w:t>1989 -1996</w:t>
      </w:r>
      <w:r w:rsidRPr="00A945F6">
        <w:rPr>
          <w:sz w:val="24"/>
        </w:rPr>
        <w:t> </w:t>
      </w:r>
      <w:r>
        <w:t>: Ecole Primaire de</w:t>
      </w:r>
      <w:r w:rsidR="007068E8">
        <w:t xml:space="preserve"> </w:t>
      </w:r>
      <w:r>
        <w:t>Banibangou, diplôme obtenu CFEPD</w:t>
      </w:r>
    </w:p>
    <w:p w14:paraId="5154D232" w14:textId="77777777" w:rsidR="00B845C5" w:rsidRDefault="00B845C5" w:rsidP="00FB2B45">
      <w:pPr>
        <w:pStyle w:val="Paragraphedeliste"/>
        <w:numPr>
          <w:ilvl w:val="0"/>
          <w:numId w:val="59"/>
        </w:numPr>
        <w:spacing w:before="0" w:after="200" w:line="276" w:lineRule="auto"/>
        <w:ind w:left="360"/>
        <w:jc w:val="left"/>
      </w:pPr>
      <w:r>
        <w:rPr>
          <w:b/>
        </w:rPr>
        <w:t>1996</w:t>
      </w:r>
      <w:r w:rsidRPr="00F90D98">
        <w:rPr>
          <w:b/>
        </w:rPr>
        <w:t>-</w:t>
      </w:r>
      <w:r>
        <w:rPr>
          <w:b/>
        </w:rPr>
        <w:t>2001</w:t>
      </w:r>
      <w:r>
        <w:t> : CEG1 de Ouallam 4eme</w:t>
      </w:r>
    </w:p>
    <w:p w14:paraId="3E10B9E8" w14:textId="77777777" w:rsidR="00B845C5" w:rsidRDefault="00B845C5" w:rsidP="00FB2B45">
      <w:pPr>
        <w:pStyle w:val="Paragraphedeliste"/>
        <w:numPr>
          <w:ilvl w:val="0"/>
          <w:numId w:val="59"/>
        </w:numPr>
        <w:spacing w:before="0" w:after="200" w:line="276" w:lineRule="auto"/>
        <w:ind w:left="360"/>
        <w:jc w:val="left"/>
      </w:pPr>
      <w:r>
        <w:rPr>
          <w:b/>
        </w:rPr>
        <w:t>2009</w:t>
      </w:r>
      <w:r w:rsidRPr="00F90D98">
        <w:rPr>
          <w:b/>
        </w:rPr>
        <w:t>-2</w:t>
      </w:r>
      <w:r>
        <w:rPr>
          <w:b/>
        </w:rPr>
        <w:t>012</w:t>
      </w:r>
      <w:r>
        <w:t> : CES banibangou (CL) , diplôme obtenu BEPC</w:t>
      </w:r>
    </w:p>
    <w:p w14:paraId="22B8C8C8" w14:textId="128617BA" w:rsidR="00B845C5" w:rsidRDefault="00B845C5" w:rsidP="00FB2B45">
      <w:pPr>
        <w:pStyle w:val="Paragraphedeliste"/>
        <w:numPr>
          <w:ilvl w:val="0"/>
          <w:numId w:val="59"/>
        </w:numPr>
        <w:spacing w:before="0" w:after="200" w:line="276" w:lineRule="auto"/>
        <w:ind w:left="360"/>
        <w:jc w:val="left"/>
      </w:pPr>
      <w:r>
        <w:rPr>
          <w:b/>
        </w:rPr>
        <w:t>2012 :</w:t>
      </w:r>
      <w:r w:rsidR="007068E8">
        <w:rPr>
          <w:b/>
        </w:rPr>
        <w:t xml:space="preserve"> </w:t>
      </w:r>
      <w:r>
        <w:rPr>
          <w:b/>
        </w:rPr>
        <w:t>30 jours de formation à l’école normale Tanimoune de Tillaberi diplôme obtenu attestation de participation</w:t>
      </w:r>
      <w:r w:rsidR="007068E8">
        <w:rPr>
          <w:b/>
        </w:rPr>
        <w:t xml:space="preserve"> </w:t>
      </w:r>
    </w:p>
    <w:p w14:paraId="39FC1E4E" w14:textId="58CDEBE2"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 xml:space="preserve">EXPERIENCE PROFESSIONNELLE </w:t>
      </w:r>
    </w:p>
    <w:p w14:paraId="1823573A" w14:textId="77777777" w:rsidR="00B845C5" w:rsidRDefault="00B845C5" w:rsidP="00FB2B45">
      <w:pPr>
        <w:pStyle w:val="Paragraphedeliste"/>
        <w:numPr>
          <w:ilvl w:val="0"/>
          <w:numId w:val="61"/>
        </w:numPr>
        <w:spacing w:before="0" w:after="200" w:line="276" w:lineRule="auto"/>
        <w:ind w:left="360"/>
        <w:jc w:val="left"/>
      </w:pPr>
      <w:r>
        <w:t xml:space="preserve">2012-2013 : Enseignante à l’école primaire de Kabéfo </w:t>
      </w:r>
    </w:p>
    <w:p w14:paraId="1ED60B16" w14:textId="62893997" w:rsidR="00B845C5" w:rsidRDefault="00B845C5" w:rsidP="00FB2B45">
      <w:pPr>
        <w:pStyle w:val="Paragraphedeliste"/>
        <w:numPr>
          <w:ilvl w:val="0"/>
          <w:numId w:val="61"/>
        </w:numPr>
        <w:spacing w:before="0" w:after="200" w:line="276" w:lineRule="auto"/>
        <w:ind w:left="360"/>
        <w:jc w:val="left"/>
      </w:pPr>
      <w:r>
        <w:t>2013-2016 : Enseignante à l’école primaire de banibangou</w:t>
      </w:r>
      <w:r w:rsidR="007068E8">
        <w:t xml:space="preserve"> </w:t>
      </w:r>
      <w:r>
        <w:t>a ce jour résilié</w:t>
      </w:r>
    </w:p>
    <w:p w14:paraId="14741B9E" w14:textId="77777777" w:rsidR="00B845C5" w:rsidRPr="007007C9" w:rsidRDefault="00B845C5" w:rsidP="00FB2B45">
      <w:pPr>
        <w:pStyle w:val="Paragraphedeliste"/>
        <w:numPr>
          <w:ilvl w:val="0"/>
          <w:numId w:val="61"/>
        </w:numPr>
        <w:spacing w:before="0" w:after="200" w:line="276" w:lineRule="auto"/>
        <w:ind w:left="360"/>
        <w:jc w:val="left"/>
        <w:rPr>
          <w:b/>
          <w:bCs/>
        </w:rPr>
      </w:pPr>
      <w:r w:rsidRPr="007007C9">
        <w:rPr>
          <w:b/>
          <w:bCs/>
        </w:rPr>
        <w:t>2017-2018 : enquêteur au projet ACTED- OXFAM-CARE-ANTD, animatrice Espace Ami des enfants</w:t>
      </w:r>
    </w:p>
    <w:p w14:paraId="455440F5" w14:textId="7EB8C263" w:rsidR="00B845C5" w:rsidRPr="007007C9" w:rsidRDefault="00B845C5" w:rsidP="00FB2B45">
      <w:pPr>
        <w:pStyle w:val="Paragraphedeliste"/>
        <w:numPr>
          <w:ilvl w:val="0"/>
          <w:numId w:val="60"/>
        </w:numPr>
        <w:spacing w:before="0" w:after="200" w:line="276" w:lineRule="auto"/>
        <w:ind w:left="394"/>
        <w:jc w:val="left"/>
        <w:rPr>
          <w:b/>
          <w:bCs/>
        </w:rPr>
      </w:pPr>
      <w:r w:rsidRPr="007007C9">
        <w:rPr>
          <w:b/>
          <w:bCs/>
        </w:rPr>
        <w:t xml:space="preserve">Mai : 2021 enquêtrice RRM au projet ACTED aux déplacés de Banibangou </w:t>
      </w:r>
    </w:p>
    <w:p w14:paraId="4C4CD88F" w14:textId="153AA269"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 xml:space="preserve">LANGUES PARLEES </w:t>
      </w:r>
      <w:r>
        <w:rPr>
          <w:b/>
          <w:bCs/>
          <w:color w:val="0070C0"/>
          <w:sz w:val="24"/>
          <w:szCs w:val="24"/>
        </w:rPr>
        <w:t xml:space="preserve">&amp; </w:t>
      </w:r>
      <w:r w:rsidRPr="00D623BF">
        <w:rPr>
          <w:b/>
          <w:bCs/>
          <w:color w:val="0070C0"/>
          <w:sz w:val="24"/>
          <w:szCs w:val="24"/>
        </w:rPr>
        <w:t>LOISIR</w:t>
      </w:r>
    </w:p>
    <w:p w14:paraId="3B1CD2D2" w14:textId="77777777" w:rsidR="00B845C5" w:rsidRPr="00A945F6" w:rsidRDefault="00B845C5" w:rsidP="00FB2B45">
      <w:pPr>
        <w:pStyle w:val="Paragraphedeliste"/>
        <w:numPr>
          <w:ilvl w:val="0"/>
          <w:numId w:val="61"/>
        </w:numPr>
        <w:spacing w:before="0" w:after="200" w:line="276" w:lineRule="auto"/>
        <w:jc w:val="left"/>
      </w:pPr>
      <w:r w:rsidRPr="00A945F6">
        <w:t>Français : parlé et écrit</w:t>
      </w:r>
    </w:p>
    <w:p w14:paraId="5BD09934" w14:textId="420EEBDB" w:rsidR="00B845C5" w:rsidRDefault="00B845C5" w:rsidP="00FB2B45">
      <w:pPr>
        <w:pStyle w:val="Paragraphedeliste"/>
        <w:numPr>
          <w:ilvl w:val="0"/>
          <w:numId w:val="61"/>
        </w:numPr>
        <w:spacing w:before="0" w:after="200" w:line="276" w:lineRule="auto"/>
        <w:jc w:val="left"/>
      </w:pPr>
      <w:r w:rsidRPr="00A945F6">
        <w:t>Zarma : parlé et écrit</w:t>
      </w:r>
    </w:p>
    <w:p w14:paraId="2E99FCFE" w14:textId="109D7A7C" w:rsidR="00B845C5" w:rsidRPr="00A945F6" w:rsidRDefault="00B845C5" w:rsidP="007007C9">
      <w:pPr>
        <w:spacing w:before="0" w:after="200" w:line="276" w:lineRule="auto"/>
        <w:jc w:val="left"/>
      </w:pPr>
      <w:r>
        <w:t xml:space="preserve">Loisir : </w:t>
      </w:r>
      <w:r w:rsidRPr="00A945F6">
        <w:t>Lecture</w:t>
      </w:r>
      <w:r>
        <w:t xml:space="preserve"> et Athlétisme </w:t>
      </w:r>
    </w:p>
    <w:p w14:paraId="399981DA" w14:textId="01851B34" w:rsidR="00B845C5" w:rsidRPr="00A945F6" w:rsidRDefault="00B845C5" w:rsidP="00B845C5">
      <w:r w:rsidRPr="00A945F6">
        <w:t>Je soussigné</w:t>
      </w:r>
      <w:r>
        <w:t xml:space="preserve">e </w:t>
      </w:r>
      <w:r>
        <w:rPr>
          <w:b/>
        </w:rPr>
        <w:t>Ramatou Mamoudou</w:t>
      </w:r>
      <w:r>
        <w:t xml:space="preserve"> </w:t>
      </w:r>
      <w:r w:rsidRPr="00A945F6">
        <w:t xml:space="preserve">atteste sur l’honneur </w:t>
      </w:r>
      <w:r>
        <w:t>que les informations ci-dessus sont sincères et honnêtes</w:t>
      </w:r>
      <w:r w:rsidRPr="00A945F6">
        <w:t>.</w:t>
      </w:r>
    </w:p>
    <w:p w14:paraId="196CB779" w14:textId="77777777" w:rsidR="00B845C5" w:rsidRDefault="00B845C5" w:rsidP="00246464">
      <w:pPr>
        <w:tabs>
          <w:tab w:val="left" w:pos="2763"/>
        </w:tabs>
        <w:spacing w:line="276" w:lineRule="auto"/>
        <w:jc w:val="left"/>
        <w:rPr>
          <w:color w:val="000000"/>
        </w:rPr>
      </w:pPr>
    </w:p>
    <w:p w14:paraId="27D67782" w14:textId="77777777" w:rsidR="00B845C5" w:rsidRPr="00D623BF" w:rsidRDefault="00B845C5" w:rsidP="0060123A">
      <w:pPr>
        <w:shd w:val="clear" w:color="auto" w:fill="FFD966"/>
        <w:tabs>
          <w:tab w:val="left" w:pos="1565"/>
        </w:tabs>
        <w:rPr>
          <w:rFonts w:cs="Times New Roman"/>
          <w:b/>
          <w:bCs/>
          <w:color w:val="0070C0"/>
          <w:sz w:val="24"/>
          <w:szCs w:val="24"/>
        </w:rPr>
      </w:pPr>
      <w:r w:rsidRPr="00D623BF">
        <w:rPr>
          <w:rFonts w:cs="Times New Roman"/>
          <w:b/>
          <w:bCs/>
          <w:color w:val="0070C0"/>
          <w:sz w:val="24"/>
          <w:szCs w:val="24"/>
        </w:rPr>
        <w:t xml:space="preserve">CV DE </w:t>
      </w:r>
      <w:r>
        <w:rPr>
          <w:b/>
          <w:bCs/>
          <w:color w:val="0070C0"/>
          <w:sz w:val="24"/>
          <w:szCs w:val="24"/>
        </w:rPr>
        <w:t>RAMATOU Mamoudou</w:t>
      </w:r>
    </w:p>
    <w:p w14:paraId="72166CA0" w14:textId="77777777" w:rsidR="00B845C5" w:rsidRDefault="00F26DC5" w:rsidP="00246464">
      <w:pPr>
        <w:tabs>
          <w:tab w:val="left" w:pos="2763"/>
        </w:tabs>
        <w:spacing w:line="276" w:lineRule="auto"/>
        <w:jc w:val="left"/>
        <w:rPr>
          <w:color w:val="000000"/>
        </w:rPr>
      </w:pPr>
      <w:r>
        <w:rPr>
          <w:noProof/>
        </w:rPr>
        <w:pict w14:anchorId="7B23DF46">
          <v:shape id="Image 4" o:spid="_x0000_i1029" type="#_x0000_t75" alt="" style="width:453.5pt;height:105pt;visibility:visible;mso-width-percent:0;mso-height-percent:0;mso-width-percent:0;mso-height-percent:0">
            <v:imagedata r:id="rId36" o:title=""/>
          </v:shape>
        </w:pict>
      </w:r>
    </w:p>
    <w:p w14:paraId="615237F9" w14:textId="77777777" w:rsidR="00B845C5" w:rsidRPr="007007C9" w:rsidRDefault="00B845C5" w:rsidP="00246464">
      <w:pPr>
        <w:tabs>
          <w:tab w:val="left" w:pos="2763"/>
        </w:tabs>
        <w:spacing w:line="276" w:lineRule="auto"/>
        <w:jc w:val="left"/>
        <w:rPr>
          <w:color w:val="000000"/>
          <w:sz w:val="10"/>
          <w:szCs w:val="10"/>
        </w:rPr>
      </w:pPr>
    </w:p>
    <w:p w14:paraId="2A3A436B" w14:textId="77777777" w:rsidR="00AB6075" w:rsidRDefault="00F26DC5" w:rsidP="002877BF">
      <w:pPr>
        <w:tabs>
          <w:tab w:val="left" w:pos="2763"/>
        </w:tabs>
        <w:spacing w:line="276" w:lineRule="auto"/>
        <w:jc w:val="left"/>
      </w:pPr>
      <w:r>
        <w:rPr>
          <w:noProof/>
        </w:rPr>
        <w:pict w14:anchorId="36BFCFEB">
          <v:shape id="Image 5" o:spid="_x0000_i1030" type="#_x0000_t75" alt="" style="width:453.5pt;height:453.5pt;visibility:visible;mso-width-percent:0;mso-height-percent:0;mso-width-percent:0;mso-height-percent:0">
            <v:imagedata r:id="rId37" o:title=""/>
          </v:shape>
        </w:pict>
      </w:r>
    </w:p>
    <w:p w14:paraId="58C45B9E" w14:textId="7FFB911A" w:rsidR="002D3E79" w:rsidRDefault="002D3E79">
      <w:pPr>
        <w:spacing w:before="0" w:after="160" w:line="259" w:lineRule="auto"/>
        <w:jc w:val="left"/>
      </w:pPr>
      <w:r>
        <w:br w:type="page"/>
      </w:r>
    </w:p>
    <w:p w14:paraId="56F5A631" w14:textId="28532F9E" w:rsidR="002D3E79" w:rsidRDefault="002D3E79" w:rsidP="003A3323">
      <w:pPr>
        <w:pStyle w:val="Titre2"/>
        <w:numPr>
          <w:ilvl w:val="0"/>
          <w:numId w:val="0"/>
        </w:numPr>
        <w:ind w:left="720" w:hanging="720"/>
      </w:pPr>
      <w:bookmarkStart w:id="1018" w:name="_Toc95451892"/>
      <w:r>
        <w:t xml:space="preserve">Annexe </w:t>
      </w:r>
      <w:r w:rsidR="00711328">
        <w:t>13</w:t>
      </w:r>
      <w:r>
        <w:t xml:space="preserve"> : </w:t>
      </w:r>
      <w:r w:rsidR="00BB38DB">
        <w:t>R</w:t>
      </w:r>
      <w:r>
        <w:t>ésultats de l’enquête quantitative auprès des bénéficiaires directs</w:t>
      </w:r>
      <w:bookmarkEnd w:id="1018"/>
      <w:r>
        <w:t xml:space="preserve"> </w:t>
      </w:r>
    </w:p>
    <w:p w14:paraId="5BE9EB68" w14:textId="40CD0567" w:rsidR="00702BC3" w:rsidRPr="00055AA2" w:rsidRDefault="008D3C5A" w:rsidP="00031E34">
      <w:pPr>
        <w:pStyle w:val="Lgende"/>
        <w:keepNext/>
        <w:rPr>
          <w:bCs/>
          <w:sz w:val="20"/>
          <w:szCs w:val="20"/>
          <w:highlight w:val="yellow"/>
        </w:rPr>
      </w:pPr>
      <w:bookmarkStart w:id="1019" w:name="_Toc92262108"/>
      <w:r>
        <w:t xml:space="preserve">Tableau </w:t>
      </w:r>
      <w:r>
        <w:fldChar w:fldCharType="begin"/>
      </w:r>
      <w:r>
        <w:instrText>SEQ Tableau \* ARABIC</w:instrText>
      </w:r>
      <w:r>
        <w:fldChar w:fldCharType="separate"/>
      </w:r>
      <w:r w:rsidR="0046716F">
        <w:rPr>
          <w:noProof/>
        </w:rPr>
        <w:t>7</w:t>
      </w:r>
      <w:r>
        <w:fldChar w:fldCharType="end"/>
      </w:r>
      <w:r>
        <w:t xml:space="preserve"> :</w:t>
      </w:r>
      <w:r w:rsidR="003E0E9A">
        <w:t xml:space="preserve"> </w:t>
      </w:r>
      <w:r w:rsidRPr="00AC6BA7">
        <w:t>Caractéristiques socio-démographique des bénéficiaires directs</w:t>
      </w:r>
      <w:bookmarkEnd w:id="1019"/>
    </w:p>
    <w:tbl>
      <w:tblPr>
        <w:tblW w:w="5000" w:type="pct"/>
        <w:tblLook w:val="04A0" w:firstRow="1" w:lastRow="0" w:firstColumn="1" w:lastColumn="0" w:noHBand="0" w:noVBand="1"/>
      </w:tblPr>
      <w:tblGrid>
        <w:gridCol w:w="1376"/>
        <w:gridCol w:w="2779"/>
        <w:gridCol w:w="784"/>
        <w:gridCol w:w="842"/>
        <w:gridCol w:w="815"/>
        <w:gridCol w:w="864"/>
        <w:gridCol w:w="887"/>
        <w:gridCol w:w="725"/>
      </w:tblGrid>
      <w:tr w:rsidR="00F01CB8" w:rsidRPr="000A6C72" w14:paraId="43329AD8" w14:textId="77777777" w:rsidTr="009E2DEE">
        <w:trPr>
          <w:trHeight w:val="20"/>
        </w:trPr>
        <w:tc>
          <w:tcPr>
            <w:tcW w:w="2273" w:type="pct"/>
            <w:gridSpan w:val="2"/>
            <w:vMerge w:val="restart"/>
            <w:tcBorders>
              <w:top w:val="single" w:sz="8" w:space="0" w:color="0070C0"/>
              <w:left w:val="nil"/>
              <w:bottom w:val="single" w:sz="8" w:space="0" w:color="0070C0"/>
              <w:right w:val="single" w:sz="8" w:space="0" w:color="0070C0"/>
            </w:tcBorders>
            <w:shd w:val="clear" w:color="000000" w:fill="00B0F0"/>
            <w:vAlign w:val="center"/>
            <w:hideMark/>
          </w:tcPr>
          <w:p w14:paraId="37F8DC7C" w14:textId="77777777" w:rsidR="00702BC3" w:rsidRPr="000A6C72" w:rsidRDefault="00702BC3" w:rsidP="00031E34">
            <w:pPr>
              <w:keepNext/>
              <w:spacing w:before="0" w:after="0" w:line="240" w:lineRule="auto"/>
              <w:jc w:val="left"/>
              <w:rPr>
                <w:rFonts w:ascii="Calibri" w:eastAsia="Times New Roman" w:hAnsi="Calibri" w:cs="Calibri"/>
                <w:color w:val="000000"/>
              </w:rPr>
            </w:pPr>
            <w:r w:rsidRPr="000A6C72">
              <w:rPr>
                <w:rFonts w:ascii="Calibri" w:eastAsia="Times New Roman" w:hAnsi="Calibri" w:cs="Calibri"/>
                <w:color w:val="000000"/>
              </w:rPr>
              <w:t> </w:t>
            </w:r>
          </w:p>
        </w:tc>
        <w:tc>
          <w:tcPr>
            <w:tcW w:w="908" w:type="pct"/>
            <w:gridSpan w:val="2"/>
            <w:tcBorders>
              <w:top w:val="single" w:sz="8" w:space="0" w:color="0070C0"/>
              <w:left w:val="nil"/>
              <w:bottom w:val="single" w:sz="8" w:space="0" w:color="0070C0"/>
              <w:right w:val="single" w:sz="8" w:space="0" w:color="0070C0"/>
            </w:tcBorders>
            <w:shd w:val="clear" w:color="000000" w:fill="00B0F0"/>
            <w:vAlign w:val="center"/>
            <w:hideMark/>
          </w:tcPr>
          <w:p w14:paraId="612F4382"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Féminin</w:t>
            </w:r>
          </w:p>
        </w:tc>
        <w:tc>
          <w:tcPr>
            <w:tcW w:w="937" w:type="pct"/>
            <w:gridSpan w:val="2"/>
            <w:tcBorders>
              <w:top w:val="single" w:sz="8" w:space="0" w:color="0070C0"/>
              <w:left w:val="nil"/>
              <w:bottom w:val="single" w:sz="8" w:space="0" w:color="0070C0"/>
              <w:right w:val="single" w:sz="8" w:space="0" w:color="0070C0"/>
            </w:tcBorders>
            <w:shd w:val="clear" w:color="000000" w:fill="00B0F0"/>
            <w:vAlign w:val="center"/>
            <w:hideMark/>
          </w:tcPr>
          <w:p w14:paraId="6D3DB07C"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Masculin</w:t>
            </w:r>
          </w:p>
        </w:tc>
        <w:tc>
          <w:tcPr>
            <w:tcW w:w="882" w:type="pct"/>
            <w:gridSpan w:val="2"/>
            <w:tcBorders>
              <w:top w:val="single" w:sz="8" w:space="0" w:color="0070C0"/>
              <w:left w:val="nil"/>
              <w:bottom w:val="single" w:sz="8" w:space="0" w:color="0070C0"/>
              <w:right w:val="nil"/>
            </w:tcBorders>
            <w:shd w:val="clear" w:color="000000" w:fill="00B0F0"/>
            <w:vAlign w:val="center"/>
            <w:hideMark/>
          </w:tcPr>
          <w:p w14:paraId="72A87237"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Total</w:t>
            </w:r>
          </w:p>
        </w:tc>
      </w:tr>
      <w:tr w:rsidR="00F01CB8" w:rsidRPr="000A6C72" w14:paraId="729D16F7" w14:textId="77777777" w:rsidTr="009E2DEE">
        <w:trPr>
          <w:trHeight w:val="20"/>
        </w:trPr>
        <w:tc>
          <w:tcPr>
            <w:tcW w:w="2273" w:type="pct"/>
            <w:gridSpan w:val="2"/>
            <w:vMerge/>
            <w:tcBorders>
              <w:top w:val="single" w:sz="8" w:space="0" w:color="0070C0"/>
              <w:left w:val="nil"/>
              <w:bottom w:val="single" w:sz="8" w:space="0" w:color="0070C0"/>
              <w:right w:val="single" w:sz="8" w:space="0" w:color="0070C0"/>
            </w:tcBorders>
            <w:vAlign w:val="center"/>
            <w:hideMark/>
          </w:tcPr>
          <w:p w14:paraId="076B3BD8"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p>
        </w:tc>
        <w:tc>
          <w:tcPr>
            <w:tcW w:w="438" w:type="pct"/>
            <w:tcBorders>
              <w:top w:val="nil"/>
              <w:left w:val="nil"/>
              <w:bottom w:val="single" w:sz="8" w:space="0" w:color="0070C0"/>
              <w:right w:val="nil"/>
            </w:tcBorders>
            <w:shd w:val="clear" w:color="000000" w:fill="00B0F0"/>
            <w:vAlign w:val="center"/>
            <w:hideMark/>
          </w:tcPr>
          <w:p w14:paraId="37E38C1C"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r>
              <w:rPr>
                <w:rStyle w:val="Appelnotedebasdep"/>
                <w:rFonts w:eastAsia="Times New Roman" w:cs="Calibri"/>
                <w:b/>
                <w:bCs/>
                <w:color w:val="FFFFFF"/>
                <w:sz w:val="18"/>
                <w:szCs w:val="18"/>
              </w:rPr>
              <w:footnoteReference w:id="49"/>
            </w:r>
          </w:p>
        </w:tc>
        <w:tc>
          <w:tcPr>
            <w:tcW w:w="470" w:type="pct"/>
            <w:tcBorders>
              <w:top w:val="nil"/>
              <w:left w:val="nil"/>
              <w:bottom w:val="single" w:sz="8" w:space="0" w:color="0070C0"/>
              <w:right w:val="single" w:sz="8" w:space="0" w:color="0070C0"/>
            </w:tcBorders>
            <w:shd w:val="clear" w:color="000000" w:fill="00B0F0"/>
            <w:vAlign w:val="center"/>
            <w:hideMark/>
          </w:tcPr>
          <w:p w14:paraId="2F82E251"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r>
              <w:rPr>
                <w:rStyle w:val="Appelnotedebasdep"/>
                <w:rFonts w:eastAsia="Times New Roman" w:cs="Calibri"/>
                <w:b/>
                <w:bCs/>
                <w:color w:val="FFFFFF"/>
                <w:sz w:val="18"/>
                <w:szCs w:val="18"/>
              </w:rPr>
              <w:footnoteReference w:id="50"/>
            </w:r>
          </w:p>
        </w:tc>
        <w:tc>
          <w:tcPr>
            <w:tcW w:w="455" w:type="pct"/>
            <w:tcBorders>
              <w:top w:val="nil"/>
              <w:left w:val="nil"/>
              <w:bottom w:val="single" w:sz="8" w:space="0" w:color="0070C0"/>
              <w:right w:val="nil"/>
            </w:tcBorders>
            <w:shd w:val="clear" w:color="000000" w:fill="00B0F0"/>
            <w:vAlign w:val="center"/>
            <w:hideMark/>
          </w:tcPr>
          <w:p w14:paraId="4B311697"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p>
        </w:tc>
        <w:tc>
          <w:tcPr>
            <w:tcW w:w="482" w:type="pct"/>
            <w:tcBorders>
              <w:top w:val="nil"/>
              <w:left w:val="nil"/>
              <w:bottom w:val="single" w:sz="8" w:space="0" w:color="0070C0"/>
              <w:right w:val="single" w:sz="8" w:space="0" w:color="0070C0"/>
            </w:tcBorders>
            <w:shd w:val="clear" w:color="000000" w:fill="00B0F0"/>
            <w:vAlign w:val="center"/>
            <w:hideMark/>
          </w:tcPr>
          <w:p w14:paraId="353C7E8A"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p>
        </w:tc>
        <w:tc>
          <w:tcPr>
            <w:tcW w:w="495" w:type="pct"/>
            <w:tcBorders>
              <w:top w:val="nil"/>
              <w:left w:val="nil"/>
              <w:bottom w:val="single" w:sz="8" w:space="0" w:color="0070C0"/>
              <w:right w:val="nil"/>
            </w:tcBorders>
            <w:shd w:val="clear" w:color="000000" w:fill="00B0F0"/>
            <w:vAlign w:val="center"/>
            <w:hideMark/>
          </w:tcPr>
          <w:p w14:paraId="6CCF4C3F"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p>
        </w:tc>
        <w:tc>
          <w:tcPr>
            <w:tcW w:w="387" w:type="pct"/>
            <w:tcBorders>
              <w:top w:val="nil"/>
              <w:left w:val="nil"/>
              <w:bottom w:val="single" w:sz="8" w:space="0" w:color="0070C0"/>
              <w:right w:val="nil"/>
            </w:tcBorders>
            <w:shd w:val="clear" w:color="000000" w:fill="00B0F0"/>
            <w:vAlign w:val="center"/>
            <w:hideMark/>
          </w:tcPr>
          <w:p w14:paraId="67ACFE1A"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p>
        </w:tc>
      </w:tr>
      <w:tr w:rsidR="00F01CB8" w:rsidRPr="000A6C72" w14:paraId="76901B5C"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0F86F4AC"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Tranche d'âge</w:t>
            </w:r>
          </w:p>
        </w:tc>
        <w:tc>
          <w:tcPr>
            <w:tcW w:w="1538" w:type="pct"/>
            <w:tcBorders>
              <w:top w:val="nil"/>
              <w:left w:val="nil"/>
              <w:bottom w:val="nil"/>
              <w:right w:val="single" w:sz="8" w:space="0" w:color="0070C0"/>
            </w:tcBorders>
            <w:shd w:val="clear" w:color="auto" w:fill="auto"/>
            <w:vAlign w:val="center"/>
            <w:hideMark/>
          </w:tcPr>
          <w:p w14:paraId="4765368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18 ans - 34 ans</w:t>
            </w:r>
          </w:p>
        </w:tc>
        <w:tc>
          <w:tcPr>
            <w:tcW w:w="438" w:type="pct"/>
            <w:tcBorders>
              <w:top w:val="nil"/>
              <w:left w:val="nil"/>
              <w:bottom w:val="nil"/>
              <w:right w:val="nil"/>
            </w:tcBorders>
            <w:shd w:val="clear" w:color="auto" w:fill="auto"/>
            <w:noWrap/>
            <w:vAlign w:val="center"/>
            <w:hideMark/>
          </w:tcPr>
          <w:p w14:paraId="10EA0DA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67</w:t>
            </w:r>
          </w:p>
        </w:tc>
        <w:tc>
          <w:tcPr>
            <w:tcW w:w="470" w:type="pct"/>
            <w:tcBorders>
              <w:top w:val="nil"/>
              <w:left w:val="nil"/>
              <w:bottom w:val="nil"/>
              <w:right w:val="single" w:sz="8" w:space="0" w:color="0070C0"/>
            </w:tcBorders>
            <w:shd w:val="clear" w:color="auto" w:fill="auto"/>
            <w:noWrap/>
            <w:vAlign w:val="center"/>
            <w:hideMark/>
          </w:tcPr>
          <w:p w14:paraId="7E195D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26%</w:t>
            </w:r>
          </w:p>
        </w:tc>
        <w:tc>
          <w:tcPr>
            <w:tcW w:w="455" w:type="pct"/>
            <w:tcBorders>
              <w:top w:val="nil"/>
              <w:left w:val="nil"/>
              <w:bottom w:val="nil"/>
              <w:right w:val="nil"/>
            </w:tcBorders>
            <w:shd w:val="clear" w:color="auto" w:fill="auto"/>
            <w:noWrap/>
            <w:vAlign w:val="center"/>
            <w:hideMark/>
          </w:tcPr>
          <w:p w14:paraId="2E17C3E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74</w:t>
            </w:r>
          </w:p>
        </w:tc>
        <w:tc>
          <w:tcPr>
            <w:tcW w:w="482" w:type="pct"/>
            <w:tcBorders>
              <w:top w:val="nil"/>
              <w:left w:val="nil"/>
              <w:bottom w:val="nil"/>
              <w:right w:val="single" w:sz="8" w:space="0" w:color="0070C0"/>
            </w:tcBorders>
            <w:shd w:val="clear" w:color="auto" w:fill="auto"/>
            <w:noWrap/>
            <w:vAlign w:val="center"/>
            <w:hideMark/>
          </w:tcPr>
          <w:p w14:paraId="60C3AF9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40%</w:t>
            </w:r>
          </w:p>
        </w:tc>
        <w:tc>
          <w:tcPr>
            <w:tcW w:w="495" w:type="pct"/>
            <w:tcBorders>
              <w:top w:val="nil"/>
              <w:left w:val="nil"/>
              <w:bottom w:val="nil"/>
              <w:right w:val="nil"/>
            </w:tcBorders>
            <w:shd w:val="clear" w:color="auto" w:fill="auto"/>
            <w:noWrap/>
            <w:vAlign w:val="center"/>
            <w:hideMark/>
          </w:tcPr>
          <w:p w14:paraId="4E33130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141</w:t>
            </w:r>
          </w:p>
        </w:tc>
        <w:tc>
          <w:tcPr>
            <w:tcW w:w="387" w:type="pct"/>
            <w:tcBorders>
              <w:top w:val="nil"/>
              <w:left w:val="nil"/>
              <w:bottom w:val="nil"/>
              <w:right w:val="nil"/>
            </w:tcBorders>
            <w:shd w:val="clear" w:color="auto" w:fill="auto"/>
            <w:noWrap/>
            <w:vAlign w:val="center"/>
            <w:hideMark/>
          </w:tcPr>
          <w:p w14:paraId="186F07E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32%</w:t>
            </w:r>
          </w:p>
        </w:tc>
      </w:tr>
      <w:tr w:rsidR="00F01CB8" w:rsidRPr="000A6C72" w14:paraId="4186A242" w14:textId="77777777" w:rsidTr="009E2DEE">
        <w:trPr>
          <w:trHeight w:val="20"/>
        </w:trPr>
        <w:tc>
          <w:tcPr>
            <w:tcW w:w="735" w:type="pct"/>
            <w:vMerge/>
            <w:tcBorders>
              <w:top w:val="nil"/>
              <w:left w:val="nil"/>
              <w:bottom w:val="single" w:sz="8" w:space="0" w:color="0070C0"/>
              <w:right w:val="nil"/>
            </w:tcBorders>
            <w:vAlign w:val="center"/>
            <w:hideMark/>
          </w:tcPr>
          <w:p w14:paraId="117699D4"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0DF801C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35 ans et plus</w:t>
            </w:r>
          </w:p>
        </w:tc>
        <w:tc>
          <w:tcPr>
            <w:tcW w:w="438" w:type="pct"/>
            <w:tcBorders>
              <w:top w:val="nil"/>
              <w:left w:val="nil"/>
              <w:bottom w:val="nil"/>
              <w:right w:val="nil"/>
            </w:tcBorders>
            <w:shd w:val="clear" w:color="auto" w:fill="auto"/>
            <w:noWrap/>
            <w:vAlign w:val="center"/>
            <w:hideMark/>
          </w:tcPr>
          <w:p w14:paraId="7E6A009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187</w:t>
            </w:r>
          </w:p>
        </w:tc>
        <w:tc>
          <w:tcPr>
            <w:tcW w:w="470" w:type="pct"/>
            <w:tcBorders>
              <w:top w:val="nil"/>
              <w:left w:val="nil"/>
              <w:bottom w:val="nil"/>
              <w:right w:val="single" w:sz="8" w:space="0" w:color="0070C0"/>
            </w:tcBorders>
            <w:shd w:val="clear" w:color="auto" w:fill="auto"/>
            <w:noWrap/>
            <w:vAlign w:val="center"/>
            <w:hideMark/>
          </w:tcPr>
          <w:p w14:paraId="43A6A3D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74%</w:t>
            </w:r>
          </w:p>
        </w:tc>
        <w:tc>
          <w:tcPr>
            <w:tcW w:w="455" w:type="pct"/>
            <w:tcBorders>
              <w:top w:val="nil"/>
              <w:left w:val="nil"/>
              <w:bottom w:val="nil"/>
              <w:right w:val="nil"/>
            </w:tcBorders>
            <w:shd w:val="clear" w:color="auto" w:fill="auto"/>
            <w:noWrap/>
            <w:vAlign w:val="center"/>
            <w:hideMark/>
          </w:tcPr>
          <w:p w14:paraId="6AE90F8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112</w:t>
            </w:r>
          </w:p>
        </w:tc>
        <w:tc>
          <w:tcPr>
            <w:tcW w:w="482" w:type="pct"/>
            <w:tcBorders>
              <w:top w:val="nil"/>
              <w:left w:val="nil"/>
              <w:bottom w:val="nil"/>
              <w:right w:val="single" w:sz="8" w:space="0" w:color="0070C0"/>
            </w:tcBorders>
            <w:shd w:val="clear" w:color="auto" w:fill="auto"/>
            <w:noWrap/>
            <w:vAlign w:val="center"/>
            <w:hideMark/>
          </w:tcPr>
          <w:p w14:paraId="0A04A6E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60%</w:t>
            </w:r>
          </w:p>
        </w:tc>
        <w:tc>
          <w:tcPr>
            <w:tcW w:w="495" w:type="pct"/>
            <w:tcBorders>
              <w:top w:val="nil"/>
              <w:left w:val="nil"/>
              <w:bottom w:val="nil"/>
              <w:right w:val="nil"/>
            </w:tcBorders>
            <w:shd w:val="clear" w:color="auto" w:fill="auto"/>
            <w:noWrap/>
            <w:vAlign w:val="center"/>
            <w:hideMark/>
          </w:tcPr>
          <w:p w14:paraId="6F829F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299</w:t>
            </w:r>
          </w:p>
        </w:tc>
        <w:tc>
          <w:tcPr>
            <w:tcW w:w="387" w:type="pct"/>
            <w:tcBorders>
              <w:top w:val="nil"/>
              <w:left w:val="nil"/>
              <w:bottom w:val="nil"/>
              <w:right w:val="nil"/>
            </w:tcBorders>
            <w:shd w:val="clear" w:color="auto" w:fill="auto"/>
            <w:noWrap/>
            <w:vAlign w:val="center"/>
            <w:hideMark/>
          </w:tcPr>
          <w:p w14:paraId="011FF1A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68%</w:t>
            </w:r>
          </w:p>
        </w:tc>
      </w:tr>
      <w:tr w:rsidR="00F01CB8" w:rsidRPr="000A6C72" w14:paraId="41F9F55B" w14:textId="77777777" w:rsidTr="009E2DEE">
        <w:trPr>
          <w:trHeight w:val="20"/>
        </w:trPr>
        <w:tc>
          <w:tcPr>
            <w:tcW w:w="735" w:type="pct"/>
            <w:vMerge/>
            <w:tcBorders>
              <w:top w:val="nil"/>
              <w:left w:val="nil"/>
              <w:bottom w:val="single" w:sz="8" w:space="0" w:color="0070C0"/>
              <w:right w:val="nil"/>
            </w:tcBorders>
            <w:vAlign w:val="center"/>
            <w:hideMark/>
          </w:tcPr>
          <w:p w14:paraId="650B8ADA"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06DAC07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11154A1A"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78C890DF"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416ABB84"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36A87E36"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78FEAD7D"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5D52866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7D6D49D1"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2D466DCA"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 xml:space="preserve">Statut de résidence </w:t>
            </w:r>
          </w:p>
        </w:tc>
        <w:tc>
          <w:tcPr>
            <w:tcW w:w="1538" w:type="pct"/>
            <w:tcBorders>
              <w:top w:val="nil"/>
              <w:left w:val="nil"/>
              <w:bottom w:val="nil"/>
              <w:right w:val="single" w:sz="8" w:space="0" w:color="0070C0"/>
            </w:tcBorders>
            <w:shd w:val="clear" w:color="000000" w:fill="F2F2F2"/>
            <w:vAlign w:val="center"/>
            <w:hideMark/>
          </w:tcPr>
          <w:p w14:paraId="01EEAE0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Autochtone</w:t>
            </w:r>
          </w:p>
        </w:tc>
        <w:tc>
          <w:tcPr>
            <w:tcW w:w="438" w:type="pct"/>
            <w:tcBorders>
              <w:top w:val="nil"/>
              <w:left w:val="nil"/>
              <w:bottom w:val="nil"/>
              <w:right w:val="nil"/>
            </w:tcBorders>
            <w:shd w:val="clear" w:color="000000" w:fill="F2F2F2"/>
            <w:noWrap/>
            <w:vAlign w:val="center"/>
            <w:hideMark/>
          </w:tcPr>
          <w:p w14:paraId="3C9745F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219</w:t>
            </w:r>
          </w:p>
        </w:tc>
        <w:tc>
          <w:tcPr>
            <w:tcW w:w="470" w:type="pct"/>
            <w:tcBorders>
              <w:top w:val="nil"/>
              <w:left w:val="nil"/>
              <w:bottom w:val="nil"/>
              <w:right w:val="single" w:sz="8" w:space="0" w:color="0070C0"/>
            </w:tcBorders>
            <w:shd w:val="clear" w:color="000000" w:fill="F2F2F2"/>
            <w:noWrap/>
            <w:vAlign w:val="center"/>
            <w:hideMark/>
          </w:tcPr>
          <w:p w14:paraId="1264058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86%</w:t>
            </w:r>
          </w:p>
        </w:tc>
        <w:tc>
          <w:tcPr>
            <w:tcW w:w="455" w:type="pct"/>
            <w:tcBorders>
              <w:top w:val="nil"/>
              <w:left w:val="nil"/>
              <w:bottom w:val="nil"/>
              <w:right w:val="nil"/>
            </w:tcBorders>
            <w:shd w:val="clear" w:color="000000" w:fill="F2F2F2"/>
            <w:noWrap/>
            <w:vAlign w:val="center"/>
            <w:hideMark/>
          </w:tcPr>
          <w:p w14:paraId="2233D82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145</w:t>
            </w:r>
          </w:p>
        </w:tc>
        <w:tc>
          <w:tcPr>
            <w:tcW w:w="482" w:type="pct"/>
            <w:tcBorders>
              <w:top w:val="nil"/>
              <w:left w:val="nil"/>
              <w:bottom w:val="nil"/>
              <w:right w:val="single" w:sz="8" w:space="0" w:color="0070C0"/>
            </w:tcBorders>
            <w:shd w:val="clear" w:color="000000" w:fill="F2F2F2"/>
            <w:noWrap/>
            <w:vAlign w:val="center"/>
            <w:hideMark/>
          </w:tcPr>
          <w:p w14:paraId="39F7B25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78%</w:t>
            </w:r>
          </w:p>
        </w:tc>
        <w:tc>
          <w:tcPr>
            <w:tcW w:w="495" w:type="pct"/>
            <w:tcBorders>
              <w:top w:val="nil"/>
              <w:left w:val="nil"/>
              <w:bottom w:val="nil"/>
              <w:right w:val="nil"/>
            </w:tcBorders>
            <w:shd w:val="clear" w:color="000000" w:fill="F2F2F2"/>
            <w:noWrap/>
            <w:vAlign w:val="center"/>
            <w:hideMark/>
          </w:tcPr>
          <w:p w14:paraId="6E81CEE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364</w:t>
            </w:r>
          </w:p>
        </w:tc>
        <w:tc>
          <w:tcPr>
            <w:tcW w:w="387" w:type="pct"/>
            <w:tcBorders>
              <w:top w:val="nil"/>
              <w:left w:val="nil"/>
              <w:bottom w:val="nil"/>
              <w:right w:val="nil"/>
            </w:tcBorders>
            <w:shd w:val="clear" w:color="000000" w:fill="F2F2F2"/>
            <w:noWrap/>
            <w:vAlign w:val="center"/>
            <w:hideMark/>
          </w:tcPr>
          <w:p w14:paraId="04EC6F0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83%</w:t>
            </w:r>
          </w:p>
        </w:tc>
      </w:tr>
      <w:tr w:rsidR="00F01CB8" w:rsidRPr="000A6C72" w14:paraId="64B7D3B5" w14:textId="77777777" w:rsidTr="009E2DEE">
        <w:trPr>
          <w:trHeight w:val="20"/>
        </w:trPr>
        <w:tc>
          <w:tcPr>
            <w:tcW w:w="735" w:type="pct"/>
            <w:vMerge/>
            <w:tcBorders>
              <w:top w:val="nil"/>
              <w:left w:val="nil"/>
              <w:bottom w:val="single" w:sz="8" w:space="0" w:color="0070C0"/>
              <w:right w:val="nil"/>
            </w:tcBorders>
            <w:vAlign w:val="center"/>
            <w:hideMark/>
          </w:tcPr>
          <w:p w14:paraId="64B5E00B"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3060EF6C"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Personne déplacée interne</w:t>
            </w:r>
          </w:p>
        </w:tc>
        <w:tc>
          <w:tcPr>
            <w:tcW w:w="438" w:type="pct"/>
            <w:tcBorders>
              <w:top w:val="nil"/>
              <w:left w:val="nil"/>
              <w:bottom w:val="nil"/>
              <w:right w:val="nil"/>
            </w:tcBorders>
            <w:shd w:val="clear" w:color="000000" w:fill="F2F2F2"/>
            <w:noWrap/>
            <w:vAlign w:val="center"/>
            <w:hideMark/>
          </w:tcPr>
          <w:p w14:paraId="11CDCB8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35</w:t>
            </w:r>
          </w:p>
        </w:tc>
        <w:tc>
          <w:tcPr>
            <w:tcW w:w="470" w:type="pct"/>
            <w:tcBorders>
              <w:top w:val="nil"/>
              <w:left w:val="nil"/>
              <w:bottom w:val="nil"/>
              <w:right w:val="single" w:sz="8" w:space="0" w:color="0070C0"/>
            </w:tcBorders>
            <w:shd w:val="clear" w:color="000000" w:fill="F2F2F2"/>
            <w:noWrap/>
            <w:vAlign w:val="center"/>
            <w:hideMark/>
          </w:tcPr>
          <w:p w14:paraId="1F0553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14%</w:t>
            </w:r>
          </w:p>
        </w:tc>
        <w:tc>
          <w:tcPr>
            <w:tcW w:w="455" w:type="pct"/>
            <w:tcBorders>
              <w:top w:val="nil"/>
              <w:left w:val="nil"/>
              <w:bottom w:val="nil"/>
              <w:right w:val="nil"/>
            </w:tcBorders>
            <w:shd w:val="clear" w:color="000000" w:fill="F2F2F2"/>
            <w:noWrap/>
            <w:vAlign w:val="center"/>
            <w:hideMark/>
          </w:tcPr>
          <w:p w14:paraId="2A53F4F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37</w:t>
            </w:r>
          </w:p>
        </w:tc>
        <w:tc>
          <w:tcPr>
            <w:tcW w:w="482" w:type="pct"/>
            <w:tcBorders>
              <w:top w:val="nil"/>
              <w:left w:val="nil"/>
              <w:bottom w:val="nil"/>
              <w:right w:val="single" w:sz="8" w:space="0" w:color="0070C0"/>
            </w:tcBorders>
            <w:shd w:val="clear" w:color="000000" w:fill="F2F2F2"/>
            <w:noWrap/>
            <w:vAlign w:val="center"/>
            <w:hideMark/>
          </w:tcPr>
          <w:p w14:paraId="71E923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20%</w:t>
            </w:r>
          </w:p>
        </w:tc>
        <w:tc>
          <w:tcPr>
            <w:tcW w:w="495" w:type="pct"/>
            <w:tcBorders>
              <w:top w:val="nil"/>
              <w:left w:val="nil"/>
              <w:bottom w:val="nil"/>
              <w:right w:val="nil"/>
            </w:tcBorders>
            <w:shd w:val="clear" w:color="000000" w:fill="F2F2F2"/>
            <w:noWrap/>
            <w:vAlign w:val="center"/>
            <w:hideMark/>
          </w:tcPr>
          <w:p w14:paraId="17F6B2A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72</w:t>
            </w:r>
          </w:p>
        </w:tc>
        <w:tc>
          <w:tcPr>
            <w:tcW w:w="387" w:type="pct"/>
            <w:tcBorders>
              <w:top w:val="nil"/>
              <w:left w:val="nil"/>
              <w:bottom w:val="nil"/>
              <w:right w:val="nil"/>
            </w:tcBorders>
            <w:shd w:val="clear" w:color="000000" w:fill="F2F2F2"/>
            <w:noWrap/>
            <w:vAlign w:val="center"/>
            <w:hideMark/>
          </w:tcPr>
          <w:p w14:paraId="6E30E46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16%</w:t>
            </w:r>
          </w:p>
        </w:tc>
      </w:tr>
      <w:tr w:rsidR="00F01CB8" w:rsidRPr="000A6C72" w14:paraId="34CA036F" w14:textId="77777777" w:rsidTr="009E2DEE">
        <w:trPr>
          <w:trHeight w:val="20"/>
        </w:trPr>
        <w:tc>
          <w:tcPr>
            <w:tcW w:w="735" w:type="pct"/>
            <w:vMerge/>
            <w:tcBorders>
              <w:top w:val="nil"/>
              <w:left w:val="nil"/>
              <w:bottom w:val="single" w:sz="8" w:space="0" w:color="0070C0"/>
              <w:right w:val="nil"/>
            </w:tcBorders>
            <w:vAlign w:val="center"/>
            <w:hideMark/>
          </w:tcPr>
          <w:p w14:paraId="7B41A3E3"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2039333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Déplacé retourné</w:t>
            </w:r>
          </w:p>
        </w:tc>
        <w:tc>
          <w:tcPr>
            <w:tcW w:w="438" w:type="pct"/>
            <w:tcBorders>
              <w:top w:val="nil"/>
              <w:left w:val="nil"/>
              <w:bottom w:val="nil"/>
              <w:right w:val="nil"/>
            </w:tcBorders>
            <w:shd w:val="clear" w:color="000000" w:fill="F2F2F2"/>
            <w:noWrap/>
            <w:vAlign w:val="center"/>
            <w:hideMark/>
          </w:tcPr>
          <w:p w14:paraId="4D6E0F8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000000" w:fill="F2F2F2"/>
            <w:noWrap/>
            <w:vAlign w:val="center"/>
            <w:hideMark/>
          </w:tcPr>
          <w:p w14:paraId="1257A73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47B76AC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82" w:type="pct"/>
            <w:tcBorders>
              <w:top w:val="nil"/>
              <w:left w:val="nil"/>
              <w:bottom w:val="nil"/>
              <w:right w:val="single" w:sz="8" w:space="0" w:color="0070C0"/>
            </w:tcBorders>
            <w:shd w:val="clear" w:color="000000" w:fill="F2F2F2"/>
            <w:noWrap/>
            <w:vAlign w:val="center"/>
            <w:hideMark/>
          </w:tcPr>
          <w:p w14:paraId="6289620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95" w:type="pct"/>
            <w:tcBorders>
              <w:top w:val="nil"/>
              <w:left w:val="nil"/>
              <w:bottom w:val="nil"/>
              <w:right w:val="nil"/>
            </w:tcBorders>
            <w:shd w:val="clear" w:color="000000" w:fill="F2F2F2"/>
            <w:noWrap/>
            <w:vAlign w:val="center"/>
            <w:hideMark/>
          </w:tcPr>
          <w:p w14:paraId="4B81EC9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387" w:type="pct"/>
            <w:tcBorders>
              <w:top w:val="nil"/>
              <w:left w:val="nil"/>
              <w:bottom w:val="nil"/>
              <w:right w:val="nil"/>
            </w:tcBorders>
            <w:shd w:val="clear" w:color="000000" w:fill="F2F2F2"/>
            <w:noWrap/>
            <w:vAlign w:val="center"/>
            <w:hideMark/>
          </w:tcPr>
          <w:p w14:paraId="525F804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r>
      <w:tr w:rsidR="00F01CB8" w:rsidRPr="000A6C72" w14:paraId="547F8BE7" w14:textId="77777777" w:rsidTr="009E2DEE">
        <w:trPr>
          <w:trHeight w:val="20"/>
        </w:trPr>
        <w:tc>
          <w:tcPr>
            <w:tcW w:w="735" w:type="pct"/>
            <w:vMerge/>
            <w:tcBorders>
              <w:top w:val="nil"/>
              <w:left w:val="nil"/>
              <w:bottom w:val="single" w:sz="8" w:space="0" w:color="0070C0"/>
              <w:right w:val="nil"/>
            </w:tcBorders>
            <w:vAlign w:val="center"/>
            <w:hideMark/>
          </w:tcPr>
          <w:p w14:paraId="44F27DA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25CB890C"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Autre (service) </w:t>
            </w:r>
          </w:p>
        </w:tc>
        <w:tc>
          <w:tcPr>
            <w:tcW w:w="438" w:type="pct"/>
            <w:tcBorders>
              <w:top w:val="nil"/>
              <w:left w:val="nil"/>
              <w:bottom w:val="nil"/>
              <w:right w:val="nil"/>
            </w:tcBorders>
            <w:shd w:val="clear" w:color="000000" w:fill="F2F2F2"/>
            <w:noWrap/>
            <w:vAlign w:val="center"/>
            <w:hideMark/>
          </w:tcPr>
          <w:p w14:paraId="0C55643C"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000000" w:fill="F2F2F2"/>
            <w:noWrap/>
            <w:vAlign w:val="center"/>
            <w:hideMark/>
          </w:tcPr>
          <w:p w14:paraId="42F3013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7F82E71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000000" w:fill="F2F2F2"/>
            <w:noWrap/>
            <w:vAlign w:val="center"/>
            <w:hideMark/>
          </w:tcPr>
          <w:p w14:paraId="5BE808B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000000" w:fill="F2F2F2"/>
            <w:noWrap/>
            <w:vAlign w:val="center"/>
            <w:hideMark/>
          </w:tcPr>
          <w:p w14:paraId="6FA41B1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387" w:type="pct"/>
            <w:tcBorders>
              <w:top w:val="nil"/>
              <w:left w:val="nil"/>
              <w:bottom w:val="nil"/>
              <w:right w:val="nil"/>
            </w:tcBorders>
            <w:shd w:val="clear" w:color="000000" w:fill="F2F2F2"/>
            <w:noWrap/>
            <w:vAlign w:val="center"/>
            <w:hideMark/>
          </w:tcPr>
          <w:p w14:paraId="05B038C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r>
      <w:tr w:rsidR="00F01CB8" w:rsidRPr="000A6C72" w14:paraId="0350D6BA" w14:textId="77777777" w:rsidTr="009E2DEE">
        <w:trPr>
          <w:trHeight w:val="20"/>
        </w:trPr>
        <w:tc>
          <w:tcPr>
            <w:tcW w:w="735" w:type="pct"/>
            <w:vMerge/>
            <w:tcBorders>
              <w:top w:val="nil"/>
              <w:left w:val="nil"/>
              <w:bottom w:val="single" w:sz="8" w:space="0" w:color="0070C0"/>
              <w:right w:val="nil"/>
            </w:tcBorders>
            <w:vAlign w:val="center"/>
            <w:hideMark/>
          </w:tcPr>
          <w:p w14:paraId="3C26F3A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3D5F677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10108FAE"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6664C513"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42E952F4"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0C20277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4895FAD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3CC5977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12B77F0B"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4F4A41E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Situation de handicap</w:t>
            </w:r>
          </w:p>
        </w:tc>
        <w:tc>
          <w:tcPr>
            <w:tcW w:w="1538" w:type="pct"/>
            <w:tcBorders>
              <w:top w:val="nil"/>
              <w:left w:val="nil"/>
              <w:bottom w:val="nil"/>
              <w:right w:val="single" w:sz="8" w:space="0" w:color="0070C0"/>
            </w:tcBorders>
            <w:shd w:val="clear" w:color="auto" w:fill="auto"/>
            <w:vAlign w:val="center"/>
            <w:hideMark/>
          </w:tcPr>
          <w:p w14:paraId="6ECF652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Non</w:t>
            </w:r>
          </w:p>
        </w:tc>
        <w:tc>
          <w:tcPr>
            <w:tcW w:w="438" w:type="pct"/>
            <w:tcBorders>
              <w:top w:val="nil"/>
              <w:left w:val="nil"/>
              <w:bottom w:val="nil"/>
              <w:right w:val="nil"/>
            </w:tcBorders>
            <w:shd w:val="clear" w:color="auto" w:fill="auto"/>
            <w:noWrap/>
            <w:vAlign w:val="center"/>
            <w:hideMark/>
          </w:tcPr>
          <w:p w14:paraId="2568946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242</w:t>
            </w:r>
          </w:p>
        </w:tc>
        <w:tc>
          <w:tcPr>
            <w:tcW w:w="470" w:type="pct"/>
            <w:tcBorders>
              <w:top w:val="nil"/>
              <w:left w:val="nil"/>
              <w:bottom w:val="nil"/>
              <w:right w:val="single" w:sz="8" w:space="0" w:color="0070C0"/>
            </w:tcBorders>
            <w:shd w:val="clear" w:color="auto" w:fill="auto"/>
            <w:noWrap/>
            <w:vAlign w:val="center"/>
            <w:hideMark/>
          </w:tcPr>
          <w:p w14:paraId="3811605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95%</w:t>
            </w:r>
          </w:p>
        </w:tc>
        <w:tc>
          <w:tcPr>
            <w:tcW w:w="455" w:type="pct"/>
            <w:tcBorders>
              <w:top w:val="nil"/>
              <w:left w:val="nil"/>
              <w:bottom w:val="nil"/>
              <w:right w:val="nil"/>
            </w:tcBorders>
            <w:shd w:val="clear" w:color="auto" w:fill="auto"/>
            <w:noWrap/>
            <w:vAlign w:val="center"/>
            <w:hideMark/>
          </w:tcPr>
          <w:p w14:paraId="0DA919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185</w:t>
            </w:r>
          </w:p>
        </w:tc>
        <w:tc>
          <w:tcPr>
            <w:tcW w:w="482" w:type="pct"/>
            <w:tcBorders>
              <w:top w:val="nil"/>
              <w:left w:val="nil"/>
              <w:bottom w:val="nil"/>
              <w:right w:val="single" w:sz="8" w:space="0" w:color="0070C0"/>
            </w:tcBorders>
            <w:shd w:val="clear" w:color="auto" w:fill="auto"/>
            <w:noWrap/>
            <w:vAlign w:val="center"/>
            <w:hideMark/>
          </w:tcPr>
          <w:p w14:paraId="2B36040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100%</w:t>
            </w:r>
          </w:p>
        </w:tc>
        <w:tc>
          <w:tcPr>
            <w:tcW w:w="495" w:type="pct"/>
            <w:tcBorders>
              <w:top w:val="nil"/>
              <w:left w:val="nil"/>
              <w:bottom w:val="nil"/>
              <w:right w:val="nil"/>
            </w:tcBorders>
            <w:shd w:val="clear" w:color="auto" w:fill="auto"/>
            <w:noWrap/>
            <w:vAlign w:val="center"/>
            <w:hideMark/>
          </w:tcPr>
          <w:p w14:paraId="5245F9E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427</w:t>
            </w:r>
          </w:p>
        </w:tc>
        <w:tc>
          <w:tcPr>
            <w:tcW w:w="387" w:type="pct"/>
            <w:tcBorders>
              <w:top w:val="nil"/>
              <w:left w:val="nil"/>
              <w:bottom w:val="nil"/>
              <w:right w:val="nil"/>
            </w:tcBorders>
            <w:shd w:val="clear" w:color="auto" w:fill="auto"/>
            <w:noWrap/>
            <w:vAlign w:val="center"/>
            <w:hideMark/>
          </w:tcPr>
          <w:p w14:paraId="6190FFF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97%</w:t>
            </w:r>
          </w:p>
        </w:tc>
      </w:tr>
      <w:tr w:rsidR="00F01CB8" w:rsidRPr="000A6C72" w14:paraId="2EBFD0E3" w14:textId="77777777" w:rsidTr="009E2DEE">
        <w:trPr>
          <w:trHeight w:val="20"/>
        </w:trPr>
        <w:tc>
          <w:tcPr>
            <w:tcW w:w="735" w:type="pct"/>
            <w:vMerge/>
            <w:tcBorders>
              <w:top w:val="nil"/>
              <w:left w:val="nil"/>
              <w:bottom w:val="single" w:sz="8" w:space="0" w:color="0070C0"/>
              <w:right w:val="nil"/>
            </w:tcBorders>
            <w:vAlign w:val="center"/>
            <w:hideMark/>
          </w:tcPr>
          <w:p w14:paraId="24918F3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7F2F9F4B"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Oui</w:t>
            </w:r>
          </w:p>
        </w:tc>
        <w:tc>
          <w:tcPr>
            <w:tcW w:w="438" w:type="pct"/>
            <w:tcBorders>
              <w:top w:val="nil"/>
              <w:left w:val="nil"/>
              <w:bottom w:val="nil"/>
              <w:right w:val="nil"/>
            </w:tcBorders>
            <w:shd w:val="clear" w:color="auto" w:fill="auto"/>
            <w:noWrap/>
            <w:vAlign w:val="center"/>
            <w:hideMark/>
          </w:tcPr>
          <w:p w14:paraId="60FF058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12</w:t>
            </w:r>
          </w:p>
        </w:tc>
        <w:tc>
          <w:tcPr>
            <w:tcW w:w="470" w:type="pct"/>
            <w:tcBorders>
              <w:top w:val="nil"/>
              <w:left w:val="nil"/>
              <w:bottom w:val="nil"/>
              <w:right w:val="single" w:sz="8" w:space="0" w:color="0070C0"/>
            </w:tcBorders>
            <w:shd w:val="clear" w:color="auto" w:fill="auto"/>
            <w:noWrap/>
            <w:vAlign w:val="center"/>
            <w:hideMark/>
          </w:tcPr>
          <w:p w14:paraId="328484B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c>
          <w:tcPr>
            <w:tcW w:w="455" w:type="pct"/>
            <w:tcBorders>
              <w:top w:val="nil"/>
              <w:left w:val="nil"/>
              <w:bottom w:val="nil"/>
              <w:right w:val="nil"/>
            </w:tcBorders>
            <w:shd w:val="clear" w:color="auto" w:fill="auto"/>
            <w:noWrap/>
            <w:vAlign w:val="center"/>
            <w:hideMark/>
          </w:tcPr>
          <w:p w14:paraId="20E4CE9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auto" w:fill="auto"/>
            <w:noWrap/>
            <w:vAlign w:val="center"/>
            <w:hideMark/>
          </w:tcPr>
          <w:p w14:paraId="04D6CD8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auto" w:fill="auto"/>
            <w:noWrap/>
            <w:vAlign w:val="center"/>
            <w:hideMark/>
          </w:tcPr>
          <w:p w14:paraId="3F9776E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387" w:type="pct"/>
            <w:tcBorders>
              <w:top w:val="nil"/>
              <w:left w:val="nil"/>
              <w:bottom w:val="nil"/>
              <w:right w:val="nil"/>
            </w:tcBorders>
            <w:shd w:val="clear" w:color="auto" w:fill="auto"/>
            <w:noWrap/>
            <w:vAlign w:val="center"/>
            <w:hideMark/>
          </w:tcPr>
          <w:p w14:paraId="30B8707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w:t>
            </w:r>
          </w:p>
        </w:tc>
      </w:tr>
      <w:tr w:rsidR="00F01CB8" w:rsidRPr="000A6C72" w14:paraId="0327636A" w14:textId="77777777" w:rsidTr="009E2DEE">
        <w:trPr>
          <w:trHeight w:val="20"/>
        </w:trPr>
        <w:tc>
          <w:tcPr>
            <w:tcW w:w="735" w:type="pct"/>
            <w:vMerge/>
            <w:tcBorders>
              <w:top w:val="nil"/>
              <w:left w:val="nil"/>
              <w:bottom w:val="single" w:sz="8" w:space="0" w:color="0070C0"/>
              <w:right w:val="nil"/>
            </w:tcBorders>
            <w:vAlign w:val="center"/>
            <w:hideMark/>
          </w:tcPr>
          <w:p w14:paraId="0FBD62C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6F82CBEC"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07D60AF5"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396F13F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755E0F6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3482858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0E48E65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1DB9FCE3"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0386D0A6"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191D8FE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Statut matrimonial</w:t>
            </w:r>
          </w:p>
        </w:tc>
        <w:tc>
          <w:tcPr>
            <w:tcW w:w="1538" w:type="pct"/>
            <w:tcBorders>
              <w:top w:val="nil"/>
              <w:left w:val="nil"/>
              <w:bottom w:val="nil"/>
              <w:right w:val="single" w:sz="8" w:space="0" w:color="0070C0"/>
            </w:tcBorders>
            <w:shd w:val="clear" w:color="000000" w:fill="F2F2F2"/>
            <w:vAlign w:val="center"/>
            <w:hideMark/>
          </w:tcPr>
          <w:p w14:paraId="1E268C2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Marié Monogame</w:t>
            </w:r>
          </w:p>
        </w:tc>
        <w:tc>
          <w:tcPr>
            <w:tcW w:w="438" w:type="pct"/>
            <w:tcBorders>
              <w:top w:val="nil"/>
              <w:left w:val="nil"/>
              <w:bottom w:val="nil"/>
              <w:right w:val="nil"/>
            </w:tcBorders>
            <w:shd w:val="clear" w:color="000000" w:fill="F2F2F2"/>
            <w:noWrap/>
            <w:vAlign w:val="center"/>
            <w:hideMark/>
          </w:tcPr>
          <w:p w14:paraId="47DC837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130</w:t>
            </w:r>
          </w:p>
        </w:tc>
        <w:tc>
          <w:tcPr>
            <w:tcW w:w="470" w:type="pct"/>
            <w:tcBorders>
              <w:top w:val="nil"/>
              <w:left w:val="nil"/>
              <w:bottom w:val="nil"/>
              <w:right w:val="single" w:sz="8" w:space="0" w:color="0070C0"/>
            </w:tcBorders>
            <w:shd w:val="clear" w:color="000000" w:fill="F2F2F2"/>
            <w:noWrap/>
            <w:vAlign w:val="center"/>
            <w:hideMark/>
          </w:tcPr>
          <w:p w14:paraId="71AC8CB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51%</w:t>
            </w:r>
          </w:p>
        </w:tc>
        <w:tc>
          <w:tcPr>
            <w:tcW w:w="455" w:type="pct"/>
            <w:tcBorders>
              <w:top w:val="nil"/>
              <w:left w:val="nil"/>
              <w:bottom w:val="nil"/>
              <w:right w:val="nil"/>
            </w:tcBorders>
            <w:shd w:val="clear" w:color="000000" w:fill="F2F2F2"/>
            <w:noWrap/>
            <w:vAlign w:val="center"/>
            <w:hideMark/>
          </w:tcPr>
          <w:p w14:paraId="039F984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119</w:t>
            </w:r>
          </w:p>
        </w:tc>
        <w:tc>
          <w:tcPr>
            <w:tcW w:w="482" w:type="pct"/>
            <w:tcBorders>
              <w:top w:val="nil"/>
              <w:left w:val="nil"/>
              <w:bottom w:val="nil"/>
              <w:right w:val="single" w:sz="8" w:space="0" w:color="0070C0"/>
            </w:tcBorders>
            <w:shd w:val="clear" w:color="000000" w:fill="F2F2F2"/>
            <w:noWrap/>
            <w:vAlign w:val="center"/>
            <w:hideMark/>
          </w:tcPr>
          <w:p w14:paraId="1CA0E9F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64%</w:t>
            </w:r>
          </w:p>
        </w:tc>
        <w:tc>
          <w:tcPr>
            <w:tcW w:w="495" w:type="pct"/>
            <w:tcBorders>
              <w:top w:val="nil"/>
              <w:left w:val="nil"/>
              <w:bottom w:val="nil"/>
              <w:right w:val="nil"/>
            </w:tcBorders>
            <w:shd w:val="clear" w:color="000000" w:fill="F2F2F2"/>
            <w:noWrap/>
            <w:vAlign w:val="center"/>
            <w:hideMark/>
          </w:tcPr>
          <w:p w14:paraId="643CF90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249</w:t>
            </w:r>
          </w:p>
        </w:tc>
        <w:tc>
          <w:tcPr>
            <w:tcW w:w="387" w:type="pct"/>
            <w:tcBorders>
              <w:top w:val="nil"/>
              <w:left w:val="nil"/>
              <w:bottom w:val="nil"/>
              <w:right w:val="nil"/>
            </w:tcBorders>
            <w:shd w:val="clear" w:color="000000" w:fill="F2F2F2"/>
            <w:noWrap/>
            <w:vAlign w:val="center"/>
            <w:hideMark/>
          </w:tcPr>
          <w:p w14:paraId="122A804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57%</w:t>
            </w:r>
          </w:p>
        </w:tc>
      </w:tr>
      <w:tr w:rsidR="00F01CB8" w:rsidRPr="000A6C72" w14:paraId="1D329526" w14:textId="77777777" w:rsidTr="009E2DEE">
        <w:trPr>
          <w:trHeight w:val="20"/>
        </w:trPr>
        <w:tc>
          <w:tcPr>
            <w:tcW w:w="735" w:type="pct"/>
            <w:vMerge/>
            <w:tcBorders>
              <w:top w:val="nil"/>
              <w:left w:val="nil"/>
              <w:bottom w:val="single" w:sz="8" w:space="0" w:color="0070C0"/>
              <w:right w:val="nil"/>
            </w:tcBorders>
            <w:vAlign w:val="center"/>
            <w:hideMark/>
          </w:tcPr>
          <w:p w14:paraId="65FF290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single" w:sz="8" w:space="0" w:color="0070C0"/>
              <w:left w:val="nil"/>
              <w:bottom w:val="nil"/>
              <w:right w:val="single" w:sz="8" w:space="0" w:color="0070C0"/>
            </w:tcBorders>
            <w:shd w:val="clear" w:color="000000" w:fill="F2F2F2"/>
            <w:vAlign w:val="center"/>
            <w:hideMark/>
          </w:tcPr>
          <w:p w14:paraId="08D5B84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Marié Polygame</w:t>
            </w:r>
          </w:p>
        </w:tc>
        <w:tc>
          <w:tcPr>
            <w:tcW w:w="438" w:type="pct"/>
            <w:tcBorders>
              <w:top w:val="single" w:sz="8" w:space="0" w:color="0070C0"/>
              <w:left w:val="nil"/>
              <w:bottom w:val="nil"/>
              <w:right w:val="nil"/>
            </w:tcBorders>
            <w:shd w:val="clear" w:color="000000" w:fill="F2F2F2"/>
            <w:noWrap/>
            <w:vAlign w:val="center"/>
            <w:hideMark/>
          </w:tcPr>
          <w:p w14:paraId="0A0B414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42</w:t>
            </w:r>
          </w:p>
        </w:tc>
        <w:tc>
          <w:tcPr>
            <w:tcW w:w="470" w:type="pct"/>
            <w:tcBorders>
              <w:top w:val="single" w:sz="8" w:space="0" w:color="0070C0"/>
              <w:left w:val="nil"/>
              <w:bottom w:val="nil"/>
              <w:right w:val="single" w:sz="8" w:space="0" w:color="0070C0"/>
            </w:tcBorders>
            <w:shd w:val="clear" w:color="000000" w:fill="F2F2F2"/>
            <w:noWrap/>
            <w:vAlign w:val="center"/>
            <w:hideMark/>
          </w:tcPr>
          <w:p w14:paraId="6CD31CB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c>
          <w:tcPr>
            <w:tcW w:w="455" w:type="pct"/>
            <w:tcBorders>
              <w:top w:val="single" w:sz="8" w:space="0" w:color="0070C0"/>
              <w:left w:val="nil"/>
              <w:bottom w:val="nil"/>
              <w:right w:val="nil"/>
            </w:tcBorders>
            <w:shd w:val="clear" w:color="000000" w:fill="F2F2F2"/>
            <w:noWrap/>
            <w:vAlign w:val="center"/>
            <w:hideMark/>
          </w:tcPr>
          <w:p w14:paraId="7A00E0C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31</w:t>
            </w:r>
          </w:p>
        </w:tc>
        <w:tc>
          <w:tcPr>
            <w:tcW w:w="482" w:type="pct"/>
            <w:tcBorders>
              <w:top w:val="single" w:sz="8" w:space="0" w:color="0070C0"/>
              <w:left w:val="nil"/>
              <w:bottom w:val="nil"/>
              <w:right w:val="single" w:sz="8" w:space="0" w:color="0070C0"/>
            </w:tcBorders>
            <w:shd w:val="clear" w:color="000000" w:fill="F2F2F2"/>
            <w:noWrap/>
            <w:vAlign w:val="center"/>
            <w:hideMark/>
          </w:tcPr>
          <w:p w14:paraId="0EBD40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c>
          <w:tcPr>
            <w:tcW w:w="495" w:type="pct"/>
            <w:tcBorders>
              <w:top w:val="single" w:sz="8" w:space="0" w:color="0070C0"/>
              <w:left w:val="nil"/>
              <w:bottom w:val="nil"/>
              <w:right w:val="nil"/>
            </w:tcBorders>
            <w:shd w:val="clear" w:color="000000" w:fill="F2F2F2"/>
            <w:noWrap/>
            <w:vAlign w:val="center"/>
            <w:hideMark/>
          </w:tcPr>
          <w:p w14:paraId="0D67718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73</w:t>
            </w:r>
          </w:p>
        </w:tc>
        <w:tc>
          <w:tcPr>
            <w:tcW w:w="387" w:type="pct"/>
            <w:tcBorders>
              <w:top w:val="single" w:sz="8" w:space="0" w:color="0070C0"/>
              <w:left w:val="nil"/>
              <w:bottom w:val="nil"/>
              <w:right w:val="nil"/>
            </w:tcBorders>
            <w:shd w:val="clear" w:color="000000" w:fill="F2F2F2"/>
            <w:noWrap/>
            <w:vAlign w:val="center"/>
            <w:hideMark/>
          </w:tcPr>
          <w:p w14:paraId="547B673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r>
      <w:tr w:rsidR="00F01CB8" w:rsidRPr="000A6C72" w14:paraId="3BA72895" w14:textId="77777777" w:rsidTr="009E2DEE">
        <w:trPr>
          <w:trHeight w:val="20"/>
        </w:trPr>
        <w:tc>
          <w:tcPr>
            <w:tcW w:w="735" w:type="pct"/>
            <w:vMerge/>
            <w:tcBorders>
              <w:top w:val="nil"/>
              <w:left w:val="nil"/>
              <w:bottom w:val="single" w:sz="8" w:space="0" w:color="0070C0"/>
              <w:right w:val="nil"/>
            </w:tcBorders>
            <w:vAlign w:val="center"/>
            <w:hideMark/>
          </w:tcPr>
          <w:p w14:paraId="38909E2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single" w:sz="8" w:space="0" w:color="0070C0"/>
              <w:left w:val="nil"/>
              <w:bottom w:val="nil"/>
              <w:right w:val="single" w:sz="8" w:space="0" w:color="0070C0"/>
            </w:tcBorders>
            <w:shd w:val="clear" w:color="000000" w:fill="F2F2F2"/>
            <w:vAlign w:val="center"/>
            <w:hideMark/>
          </w:tcPr>
          <w:p w14:paraId="1F114093"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Célibataire</w:t>
            </w:r>
          </w:p>
        </w:tc>
        <w:tc>
          <w:tcPr>
            <w:tcW w:w="438" w:type="pct"/>
            <w:tcBorders>
              <w:top w:val="single" w:sz="8" w:space="0" w:color="0070C0"/>
              <w:left w:val="nil"/>
              <w:bottom w:val="nil"/>
              <w:right w:val="nil"/>
            </w:tcBorders>
            <w:shd w:val="clear" w:color="000000" w:fill="F2F2F2"/>
            <w:noWrap/>
            <w:vAlign w:val="center"/>
            <w:hideMark/>
          </w:tcPr>
          <w:p w14:paraId="73E7168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single" w:sz="8" w:space="0" w:color="0070C0"/>
              <w:left w:val="nil"/>
              <w:bottom w:val="nil"/>
              <w:right w:val="single" w:sz="8" w:space="0" w:color="0070C0"/>
            </w:tcBorders>
            <w:shd w:val="clear" w:color="000000" w:fill="F2F2F2"/>
            <w:noWrap/>
            <w:vAlign w:val="center"/>
            <w:hideMark/>
          </w:tcPr>
          <w:p w14:paraId="03580B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single" w:sz="8" w:space="0" w:color="0070C0"/>
              <w:left w:val="nil"/>
              <w:bottom w:val="nil"/>
              <w:right w:val="nil"/>
            </w:tcBorders>
            <w:shd w:val="clear" w:color="000000" w:fill="F2F2F2"/>
            <w:noWrap/>
            <w:vAlign w:val="center"/>
            <w:hideMark/>
          </w:tcPr>
          <w:p w14:paraId="63C5464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35</w:t>
            </w:r>
          </w:p>
        </w:tc>
        <w:tc>
          <w:tcPr>
            <w:tcW w:w="482" w:type="pct"/>
            <w:tcBorders>
              <w:top w:val="single" w:sz="8" w:space="0" w:color="0070C0"/>
              <w:left w:val="nil"/>
              <w:bottom w:val="nil"/>
              <w:right w:val="single" w:sz="8" w:space="0" w:color="0070C0"/>
            </w:tcBorders>
            <w:shd w:val="clear" w:color="000000" w:fill="F2F2F2"/>
            <w:noWrap/>
            <w:vAlign w:val="center"/>
            <w:hideMark/>
          </w:tcPr>
          <w:p w14:paraId="222564B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19%</w:t>
            </w:r>
          </w:p>
        </w:tc>
        <w:tc>
          <w:tcPr>
            <w:tcW w:w="495" w:type="pct"/>
            <w:tcBorders>
              <w:top w:val="single" w:sz="8" w:space="0" w:color="0070C0"/>
              <w:left w:val="nil"/>
              <w:bottom w:val="nil"/>
              <w:right w:val="nil"/>
            </w:tcBorders>
            <w:shd w:val="clear" w:color="000000" w:fill="F2F2F2"/>
            <w:noWrap/>
            <w:vAlign w:val="center"/>
            <w:hideMark/>
          </w:tcPr>
          <w:p w14:paraId="0F94807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65</w:t>
            </w:r>
          </w:p>
        </w:tc>
        <w:tc>
          <w:tcPr>
            <w:tcW w:w="387" w:type="pct"/>
            <w:tcBorders>
              <w:top w:val="single" w:sz="8" w:space="0" w:color="0070C0"/>
              <w:left w:val="nil"/>
              <w:bottom w:val="nil"/>
              <w:right w:val="nil"/>
            </w:tcBorders>
            <w:shd w:val="clear" w:color="000000" w:fill="F2F2F2"/>
            <w:noWrap/>
            <w:vAlign w:val="center"/>
            <w:hideMark/>
          </w:tcPr>
          <w:p w14:paraId="4F1033F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15%</w:t>
            </w:r>
          </w:p>
        </w:tc>
      </w:tr>
      <w:tr w:rsidR="00F01CB8" w:rsidRPr="000A6C72" w14:paraId="508C7302" w14:textId="77777777" w:rsidTr="009E2DEE">
        <w:trPr>
          <w:trHeight w:val="20"/>
        </w:trPr>
        <w:tc>
          <w:tcPr>
            <w:tcW w:w="735" w:type="pct"/>
            <w:vMerge/>
            <w:tcBorders>
              <w:top w:val="nil"/>
              <w:left w:val="nil"/>
              <w:bottom w:val="single" w:sz="8" w:space="0" w:color="0070C0"/>
              <w:right w:val="nil"/>
            </w:tcBorders>
            <w:vAlign w:val="center"/>
            <w:hideMark/>
          </w:tcPr>
          <w:p w14:paraId="16CCB46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46315F7B"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Divorcé</w:t>
            </w:r>
          </w:p>
        </w:tc>
        <w:tc>
          <w:tcPr>
            <w:tcW w:w="438" w:type="pct"/>
            <w:tcBorders>
              <w:top w:val="nil"/>
              <w:left w:val="nil"/>
              <w:bottom w:val="nil"/>
              <w:right w:val="nil"/>
            </w:tcBorders>
            <w:shd w:val="clear" w:color="000000" w:fill="F2F2F2"/>
            <w:noWrap/>
            <w:vAlign w:val="center"/>
            <w:hideMark/>
          </w:tcPr>
          <w:p w14:paraId="6F28D4E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22</w:t>
            </w:r>
          </w:p>
        </w:tc>
        <w:tc>
          <w:tcPr>
            <w:tcW w:w="470" w:type="pct"/>
            <w:tcBorders>
              <w:top w:val="nil"/>
              <w:left w:val="nil"/>
              <w:bottom w:val="nil"/>
              <w:right w:val="single" w:sz="8" w:space="0" w:color="0070C0"/>
            </w:tcBorders>
            <w:shd w:val="clear" w:color="000000" w:fill="F2F2F2"/>
            <w:noWrap/>
            <w:vAlign w:val="center"/>
            <w:hideMark/>
          </w:tcPr>
          <w:p w14:paraId="0C7BF53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w:t>
            </w:r>
          </w:p>
        </w:tc>
        <w:tc>
          <w:tcPr>
            <w:tcW w:w="455" w:type="pct"/>
            <w:tcBorders>
              <w:top w:val="nil"/>
              <w:left w:val="nil"/>
              <w:bottom w:val="nil"/>
              <w:right w:val="nil"/>
            </w:tcBorders>
            <w:shd w:val="clear" w:color="000000" w:fill="F2F2F2"/>
            <w:noWrap/>
            <w:vAlign w:val="center"/>
            <w:hideMark/>
          </w:tcPr>
          <w:p w14:paraId="0A79FB7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82" w:type="pct"/>
            <w:tcBorders>
              <w:top w:val="nil"/>
              <w:left w:val="nil"/>
              <w:bottom w:val="nil"/>
              <w:right w:val="single" w:sz="8" w:space="0" w:color="0070C0"/>
            </w:tcBorders>
            <w:shd w:val="clear" w:color="000000" w:fill="F2F2F2"/>
            <w:noWrap/>
            <w:vAlign w:val="center"/>
            <w:hideMark/>
          </w:tcPr>
          <w:p w14:paraId="04B1EE7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95" w:type="pct"/>
            <w:tcBorders>
              <w:top w:val="nil"/>
              <w:left w:val="nil"/>
              <w:bottom w:val="nil"/>
              <w:right w:val="nil"/>
            </w:tcBorders>
            <w:shd w:val="clear" w:color="000000" w:fill="F2F2F2"/>
            <w:noWrap/>
            <w:vAlign w:val="center"/>
            <w:hideMark/>
          </w:tcPr>
          <w:p w14:paraId="3914F41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22</w:t>
            </w:r>
          </w:p>
        </w:tc>
        <w:tc>
          <w:tcPr>
            <w:tcW w:w="387" w:type="pct"/>
            <w:tcBorders>
              <w:top w:val="nil"/>
              <w:left w:val="nil"/>
              <w:bottom w:val="nil"/>
              <w:right w:val="nil"/>
            </w:tcBorders>
            <w:shd w:val="clear" w:color="000000" w:fill="F2F2F2"/>
            <w:noWrap/>
            <w:vAlign w:val="center"/>
            <w:hideMark/>
          </w:tcPr>
          <w:p w14:paraId="73E5C39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r>
      <w:tr w:rsidR="00F01CB8" w:rsidRPr="000A6C72" w14:paraId="7EF6CD65" w14:textId="77777777" w:rsidTr="009E2DEE">
        <w:trPr>
          <w:trHeight w:val="20"/>
        </w:trPr>
        <w:tc>
          <w:tcPr>
            <w:tcW w:w="735" w:type="pct"/>
            <w:vMerge/>
            <w:tcBorders>
              <w:top w:val="nil"/>
              <w:left w:val="nil"/>
              <w:bottom w:val="single" w:sz="8" w:space="0" w:color="0070C0"/>
              <w:right w:val="nil"/>
            </w:tcBorders>
            <w:vAlign w:val="center"/>
            <w:hideMark/>
          </w:tcPr>
          <w:p w14:paraId="3724EBC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E75A87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Veuf (ve)</w:t>
            </w:r>
          </w:p>
        </w:tc>
        <w:tc>
          <w:tcPr>
            <w:tcW w:w="438" w:type="pct"/>
            <w:tcBorders>
              <w:top w:val="nil"/>
              <w:left w:val="nil"/>
              <w:bottom w:val="nil"/>
              <w:right w:val="nil"/>
            </w:tcBorders>
            <w:shd w:val="clear" w:color="000000" w:fill="F2F2F2"/>
            <w:noWrap/>
            <w:vAlign w:val="center"/>
            <w:hideMark/>
          </w:tcPr>
          <w:p w14:paraId="22CC335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nil"/>
              <w:left w:val="nil"/>
              <w:bottom w:val="nil"/>
              <w:right w:val="single" w:sz="8" w:space="0" w:color="0070C0"/>
            </w:tcBorders>
            <w:shd w:val="clear" w:color="000000" w:fill="F2F2F2"/>
            <w:noWrap/>
            <w:vAlign w:val="center"/>
            <w:hideMark/>
          </w:tcPr>
          <w:p w14:paraId="0EDAA29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nil"/>
              <w:left w:val="nil"/>
              <w:bottom w:val="nil"/>
              <w:right w:val="nil"/>
            </w:tcBorders>
            <w:shd w:val="clear" w:color="000000" w:fill="F2F2F2"/>
            <w:noWrap/>
            <w:vAlign w:val="center"/>
            <w:hideMark/>
          </w:tcPr>
          <w:p w14:paraId="749B683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000000" w:fill="F2F2F2"/>
            <w:noWrap/>
            <w:vAlign w:val="center"/>
            <w:hideMark/>
          </w:tcPr>
          <w:p w14:paraId="08FA1A7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000000" w:fill="F2F2F2"/>
            <w:noWrap/>
            <w:vAlign w:val="center"/>
            <w:hideMark/>
          </w:tcPr>
          <w:p w14:paraId="7DD707D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31</w:t>
            </w:r>
          </w:p>
        </w:tc>
        <w:tc>
          <w:tcPr>
            <w:tcW w:w="387" w:type="pct"/>
            <w:tcBorders>
              <w:top w:val="nil"/>
              <w:left w:val="nil"/>
              <w:bottom w:val="nil"/>
              <w:right w:val="nil"/>
            </w:tcBorders>
            <w:shd w:val="clear" w:color="000000" w:fill="F2F2F2"/>
            <w:noWrap/>
            <w:vAlign w:val="center"/>
            <w:hideMark/>
          </w:tcPr>
          <w:p w14:paraId="3D54F2E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w:t>
            </w:r>
          </w:p>
        </w:tc>
      </w:tr>
      <w:tr w:rsidR="00F01CB8" w:rsidRPr="000A6C72" w14:paraId="14B4A2C0" w14:textId="77777777" w:rsidTr="009E2DEE">
        <w:trPr>
          <w:trHeight w:val="20"/>
        </w:trPr>
        <w:tc>
          <w:tcPr>
            <w:tcW w:w="735" w:type="pct"/>
            <w:vMerge/>
            <w:tcBorders>
              <w:top w:val="nil"/>
              <w:left w:val="nil"/>
              <w:bottom w:val="single" w:sz="8" w:space="0" w:color="0070C0"/>
              <w:right w:val="nil"/>
            </w:tcBorders>
            <w:vAlign w:val="center"/>
            <w:hideMark/>
          </w:tcPr>
          <w:p w14:paraId="5D32A13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7A5F88D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3E1122A7"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326B4167"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57B8D300"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688384E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188DC2C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1176C6C8"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79C650AF"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70D46D2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Niveau d'instruction</w:t>
            </w:r>
          </w:p>
        </w:tc>
        <w:tc>
          <w:tcPr>
            <w:tcW w:w="1538" w:type="pct"/>
            <w:tcBorders>
              <w:top w:val="nil"/>
              <w:left w:val="nil"/>
              <w:bottom w:val="nil"/>
              <w:right w:val="single" w:sz="8" w:space="0" w:color="0070C0"/>
            </w:tcBorders>
            <w:shd w:val="clear" w:color="auto" w:fill="auto"/>
            <w:vAlign w:val="center"/>
            <w:hideMark/>
          </w:tcPr>
          <w:p w14:paraId="206C3CFF"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Sans instruction</w:t>
            </w:r>
          </w:p>
        </w:tc>
        <w:tc>
          <w:tcPr>
            <w:tcW w:w="438" w:type="pct"/>
            <w:tcBorders>
              <w:top w:val="nil"/>
              <w:left w:val="nil"/>
              <w:bottom w:val="nil"/>
              <w:right w:val="nil"/>
            </w:tcBorders>
            <w:shd w:val="clear" w:color="auto" w:fill="auto"/>
            <w:noWrap/>
            <w:vAlign w:val="center"/>
            <w:hideMark/>
          </w:tcPr>
          <w:p w14:paraId="736CD59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111</w:t>
            </w:r>
          </w:p>
        </w:tc>
        <w:tc>
          <w:tcPr>
            <w:tcW w:w="470" w:type="pct"/>
            <w:tcBorders>
              <w:top w:val="nil"/>
              <w:left w:val="nil"/>
              <w:bottom w:val="nil"/>
              <w:right w:val="single" w:sz="8" w:space="0" w:color="0070C0"/>
            </w:tcBorders>
            <w:shd w:val="clear" w:color="auto" w:fill="auto"/>
            <w:noWrap/>
            <w:vAlign w:val="center"/>
            <w:hideMark/>
          </w:tcPr>
          <w:p w14:paraId="314A91E4"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44%</w:t>
            </w:r>
          </w:p>
        </w:tc>
        <w:tc>
          <w:tcPr>
            <w:tcW w:w="455" w:type="pct"/>
            <w:tcBorders>
              <w:top w:val="nil"/>
              <w:left w:val="nil"/>
              <w:bottom w:val="nil"/>
              <w:right w:val="nil"/>
            </w:tcBorders>
            <w:shd w:val="clear" w:color="auto" w:fill="auto"/>
            <w:noWrap/>
            <w:vAlign w:val="center"/>
            <w:hideMark/>
          </w:tcPr>
          <w:p w14:paraId="14CBACE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66</w:t>
            </w:r>
          </w:p>
        </w:tc>
        <w:tc>
          <w:tcPr>
            <w:tcW w:w="482" w:type="pct"/>
            <w:tcBorders>
              <w:top w:val="nil"/>
              <w:left w:val="nil"/>
              <w:bottom w:val="nil"/>
              <w:right w:val="single" w:sz="8" w:space="0" w:color="0070C0"/>
            </w:tcBorders>
            <w:shd w:val="clear" w:color="auto" w:fill="auto"/>
            <w:noWrap/>
            <w:vAlign w:val="center"/>
            <w:hideMark/>
          </w:tcPr>
          <w:p w14:paraId="64B3C71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36%</w:t>
            </w:r>
          </w:p>
        </w:tc>
        <w:tc>
          <w:tcPr>
            <w:tcW w:w="495" w:type="pct"/>
            <w:tcBorders>
              <w:top w:val="nil"/>
              <w:left w:val="nil"/>
              <w:bottom w:val="nil"/>
              <w:right w:val="nil"/>
            </w:tcBorders>
            <w:shd w:val="clear" w:color="auto" w:fill="auto"/>
            <w:noWrap/>
            <w:vAlign w:val="center"/>
            <w:hideMark/>
          </w:tcPr>
          <w:p w14:paraId="5FE8D22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177</w:t>
            </w:r>
          </w:p>
        </w:tc>
        <w:tc>
          <w:tcPr>
            <w:tcW w:w="387" w:type="pct"/>
            <w:tcBorders>
              <w:top w:val="nil"/>
              <w:left w:val="nil"/>
              <w:bottom w:val="nil"/>
              <w:right w:val="nil"/>
            </w:tcBorders>
            <w:shd w:val="clear" w:color="auto" w:fill="auto"/>
            <w:noWrap/>
            <w:vAlign w:val="center"/>
            <w:hideMark/>
          </w:tcPr>
          <w:p w14:paraId="01D23EF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40%</w:t>
            </w:r>
          </w:p>
        </w:tc>
      </w:tr>
      <w:tr w:rsidR="00F01CB8" w:rsidRPr="000A6C72" w14:paraId="61CD6F22" w14:textId="77777777" w:rsidTr="009E2DEE">
        <w:trPr>
          <w:trHeight w:val="20"/>
        </w:trPr>
        <w:tc>
          <w:tcPr>
            <w:tcW w:w="735" w:type="pct"/>
            <w:vMerge/>
            <w:tcBorders>
              <w:top w:val="nil"/>
              <w:left w:val="nil"/>
              <w:bottom w:val="single" w:sz="8" w:space="0" w:color="0070C0"/>
              <w:right w:val="nil"/>
            </w:tcBorders>
            <w:vAlign w:val="center"/>
            <w:hideMark/>
          </w:tcPr>
          <w:p w14:paraId="48124A4E"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00B95F2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Primaire</w:t>
            </w:r>
          </w:p>
        </w:tc>
        <w:tc>
          <w:tcPr>
            <w:tcW w:w="438" w:type="pct"/>
            <w:tcBorders>
              <w:top w:val="nil"/>
              <w:left w:val="nil"/>
              <w:bottom w:val="nil"/>
              <w:right w:val="nil"/>
            </w:tcBorders>
            <w:shd w:val="clear" w:color="auto" w:fill="auto"/>
            <w:noWrap/>
            <w:vAlign w:val="center"/>
            <w:hideMark/>
          </w:tcPr>
          <w:p w14:paraId="6283A28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89</w:t>
            </w:r>
          </w:p>
        </w:tc>
        <w:tc>
          <w:tcPr>
            <w:tcW w:w="470" w:type="pct"/>
            <w:tcBorders>
              <w:top w:val="nil"/>
              <w:left w:val="nil"/>
              <w:bottom w:val="nil"/>
              <w:right w:val="single" w:sz="8" w:space="0" w:color="0070C0"/>
            </w:tcBorders>
            <w:shd w:val="clear" w:color="auto" w:fill="auto"/>
            <w:noWrap/>
            <w:vAlign w:val="center"/>
            <w:hideMark/>
          </w:tcPr>
          <w:p w14:paraId="6EFEBC3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35%</w:t>
            </w:r>
          </w:p>
        </w:tc>
        <w:tc>
          <w:tcPr>
            <w:tcW w:w="455" w:type="pct"/>
            <w:tcBorders>
              <w:top w:val="nil"/>
              <w:left w:val="nil"/>
              <w:bottom w:val="nil"/>
              <w:right w:val="nil"/>
            </w:tcBorders>
            <w:shd w:val="clear" w:color="auto" w:fill="auto"/>
            <w:noWrap/>
            <w:vAlign w:val="center"/>
            <w:hideMark/>
          </w:tcPr>
          <w:p w14:paraId="3D8808A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49</w:t>
            </w:r>
          </w:p>
        </w:tc>
        <w:tc>
          <w:tcPr>
            <w:tcW w:w="482" w:type="pct"/>
            <w:tcBorders>
              <w:top w:val="nil"/>
              <w:left w:val="nil"/>
              <w:bottom w:val="nil"/>
              <w:right w:val="single" w:sz="8" w:space="0" w:color="0070C0"/>
            </w:tcBorders>
            <w:shd w:val="clear" w:color="auto" w:fill="auto"/>
            <w:noWrap/>
            <w:vAlign w:val="center"/>
            <w:hideMark/>
          </w:tcPr>
          <w:p w14:paraId="26C1248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26%</w:t>
            </w:r>
          </w:p>
        </w:tc>
        <w:tc>
          <w:tcPr>
            <w:tcW w:w="495" w:type="pct"/>
            <w:tcBorders>
              <w:top w:val="nil"/>
              <w:left w:val="nil"/>
              <w:bottom w:val="nil"/>
              <w:right w:val="nil"/>
            </w:tcBorders>
            <w:shd w:val="clear" w:color="auto" w:fill="auto"/>
            <w:noWrap/>
            <w:vAlign w:val="center"/>
            <w:hideMark/>
          </w:tcPr>
          <w:p w14:paraId="5AA2D61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138</w:t>
            </w:r>
          </w:p>
        </w:tc>
        <w:tc>
          <w:tcPr>
            <w:tcW w:w="387" w:type="pct"/>
            <w:tcBorders>
              <w:top w:val="nil"/>
              <w:left w:val="nil"/>
              <w:bottom w:val="nil"/>
              <w:right w:val="nil"/>
            </w:tcBorders>
            <w:shd w:val="clear" w:color="auto" w:fill="auto"/>
            <w:noWrap/>
            <w:vAlign w:val="center"/>
            <w:hideMark/>
          </w:tcPr>
          <w:p w14:paraId="33FBE6A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31%</w:t>
            </w:r>
          </w:p>
        </w:tc>
      </w:tr>
      <w:tr w:rsidR="00F01CB8" w:rsidRPr="000A6C72" w14:paraId="234E226F" w14:textId="77777777" w:rsidTr="009E2DEE">
        <w:trPr>
          <w:trHeight w:val="20"/>
        </w:trPr>
        <w:tc>
          <w:tcPr>
            <w:tcW w:w="735" w:type="pct"/>
            <w:vMerge/>
            <w:tcBorders>
              <w:top w:val="nil"/>
              <w:left w:val="nil"/>
              <w:bottom w:val="single" w:sz="8" w:space="0" w:color="0070C0"/>
              <w:right w:val="nil"/>
            </w:tcBorders>
            <w:vAlign w:val="center"/>
            <w:hideMark/>
          </w:tcPr>
          <w:p w14:paraId="212D67F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65F9FE7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Secondaire</w:t>
            </w:r>
          </w:p>
        </w:tc>
        <w:tc>
          <w:tcPr>
            <w:tcW w:w="438" w:type="pct"/>
            <w:tcBorders>
              <w:top w:val="nil"/>
              <w:left w:val="nil"/>
              <w:bottom w:val="nil"/>
              <w:right w:val="nil"/>
            </w:tcBorders>
            <w:shd w:val="clear" w:color="auto" w:fill="auto"/>
            <w:noWrap/>
            <w:vAlign w:val="center"/>
            <w:hideMark/>
          </w:tcPr>
          <w:p w14:paraId="42A3FA9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54</w:t>
            </w:r>
          </w:p>
        </w:tc>
        <w:tc>
          <w:tcPr>
            <w:tcW w:w="470" w:type="pct"/>
            <w:tcBorders>
              <w:top w:val="nil"/>
              <w:left w:val="nil"/>
              <w:bottom w:val="nil"/>
              <w:right w:val="single" w:sz="8" w:space="0" w:color="0070C0"/>
            </w:tcBorders>
            <w:shd w:val="clear" w:color="auto" w:fill="auto"/>
            <w:noWrap/>
            <w:vAlign w:val="center"/>
            <w:hideMark/>
          </w:tcPr>
          <w:p w14:paraId="27D23BA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21%</w:t>
            </w:r>
          </w:p>
        </w:tc>
        <w:tc>
          <w:tcPr>
            <w:tcW w:w="455" w:type="pct"/>
            <w:tcBorders>
              <w:top w:val="nil"/>
              <w:left w:val="nil"/>
              <w:bottom w:val="nil"/>
              <w:right w:val="nil"/>
            </w:tcBorders>
            <w:shd w:val="clear" w:color="auto" w:fill="auto"/>
            <w:noWrap/>
            <w:vAlign w:val="center"/>
            <w:hideMark/>
          </w:tcPr>
          <w:p w14:paraId="4746DDE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63</w:t>
            </w:r>
          </w:p>
        </w:tc>
        <w:tc>
          <w:tcPr>
            <w:tcW w:w="482" w:type="pct"/>
            <w:tcBorders>
              <w:top w:val="nil"/>
              <w:left w:val="nil"/>
              <w:bottom w:val="nil"/>
              <w:right w:val="single" w:sz="8" w:space="0" w:color="0070C0"/>
            </w:tcBorders>
            <w:shd w:val="clear" w:color="auto" w:fill="auto"/>
            <w:noWrap/>
            <w:vAlign w:val="center"/>
            <w:hideMark/>
          </w:tcPr>
          <w:p w14:paraId="04BC43F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34%</w:t>
            </w:r>
          </w:p>
        </w:tc>
        <w:tc>
          <w:tcPr>
            <w:tcW w:w="495" w:type="pct"/>
            <w:tcBorders>
              <w:top w:val="nil"/>
              <w:left w:val="nil"/>
              <w:bottom w:val="nil"/>
              <w:right w:val="nil"/>
            </w:tcBorders>
            <w:shd w:val="clear" w:color="auto" w:fill="auto"/>
            <w:noWrap/>
            <w:vAlign w:val="center"/>
            <w:hideMark/>
          </w:tcPr>
          <w:p w14:paraId="4587E1B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117</w:t>
            </w:r>
          </w:p>
        </w:tc>
        <w:tc>
          <w:tcPr>
            <w:tcW w:w="387" w:type="pct"/>
            <w:tcBorders>
              <w:top w:val="nil"/>
              <w:left w:val="nil"/>
              <w:bottom w:val="nil"/>
              <w:right w:val="nil"/>
            </w:tcBorders>
            <w:shd w:val="clear" w:color="auto" w:fill="auto"/>
            <w:noWrap/>
            <w:vAlign w:val="center"/>
            <w:hideMark/>
          </w:tcPr>
          <w:p w14:paraId="08EA65C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27%</w:t>
            </w:r>
          </w:p>
        </w:tc>
      </w:tr>
      <w:tr w:rsidR="00F01CB8" w:rsidRPr="000A6C72" w14:paraId="1754BB72" w14:textId="77777777" w:rsidTr="009E2DEE">
        <w:trPr>
          <w:trHeight w:val="20"/>
        </w:trPr>
        <w:tc>
          <w:tcPr>
            <w:tcW w:w="735" w:type="pct"/>
            <w:vMerge/>
            <w:tcBorders>
              <w:top w:val="nil"/>
              <w:left w:val="nil"/>
              <w:bottom w:val="single" w:sz="8" w:space="0" w:color="0070C0"/>
              <w:right w:val="nil"/>
            </w:tcBorders>
            <w:vAlign w:val="center"/>
            <w:hideMark/>
          </w:tcPr>
          <w:p w14:paraId="078BD232"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1A0B81C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Supérieur</w:t>
            </w:r>
          </w:p>
        </w:tc>
        <w:tc>
          <w:tcPr>
            <w:tcW w:w="438" w:type="pct"/>
            <w:tcBorders>
              <w:top w:val="nil"/>
              <w:left w:val="nil"/>
              <w:bottom w:val="nil"/>
              <w:right w:val="nil"/>
            </w:tcBorders>
            <w:shd w:val="clear" w:color="auto" w:fill="auto"/>
            <w:noWrap/>
            <w:vAlign w:val="center"/>
            <w:hideMark/>
          </w:tcPr>
          <w:p w14:paraId="467EC9A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auto" w:fill="auto"/>
            <w:noWrap/>
            <w:vAlign w:val="center"/>
            <w:hideMark/>
          </w:tcPr>
          <w:p w14:paraId="090A9FA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auto" w:fill="auto"/>
            <w:noWrap/>
            <w:vAlign w:val="center"/>
            <w:hideMark/>
          </w:tcPr>
          <w:p w14:paraId="779C766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482" w:type="pct"/>
            <w:tcBorders>
              <w:top w:val="nil"/>
              <w:left w:val="nil"/>
              <w:bottom w:val="nil"/>
              <w:right w:val="single" w:sz="8" w:space="0" w:color="0070C0"/>
            </w:tcBorders>
            <w:shd w:val="clear" w:color="auto" w:fill="auto"/>
            <w:noWrap/>
            <w:vAlign w:val="center"/>
            <w:hideMark/>
          </w:tcPr>
          <w:p w14:paraId="487837D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w:t>
            </w:r>
          </w:p>
        </w:tc>
        <w:tc>
          <w:tcPr>
            <w:tcW w:w="495" w:type="pct"/>
            <w:tcBorders>
              <w:top w:val="nil"/>
              <w:left w:val="nil"/>
              <w:bottom w:val="nil"/>
              <w:right w:val="nil"/>
            </w:tcBorders>
            <w:shd w:val="clear" w:color="auto" w:fill="auto"/>
            <w:noWrap/>
            <w:vAlign w:val="center"/>
            <w:hideMark/>
          </w:tcPr>
          <w:p w14:paraId="47034A3C"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387" w:type="pct"/>
            <w:tcBorders>
              <w:top w:val="nil"/>
              <w:left w:val="nil"/>
              <w:bottom w:val="nil"/>
              <w:right w:val="nil"/>
            </w:tcBorders>
            <w:shd w:val="clear" w:color="auto" w:fill="auto"/>
            <w:noWrap/>
            <w:vAlign w:val="center"/>
            <w:hideMark/>
          </w:tcPr>
          <w:p w14:paraId="6443C7C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r>
      <w:tr w:rsidR="00F01CB8" w:rsidRPr="000A6C72" w14:paraId="7E3E056C" w14:textId="77777777" w:rsidTr="009E2DEE">
        <w:trPr>
          <w:trHeight w:val="20"/>
        </w:trPr>
        <w:tc>
          <w:tcPr>
            <w:tcW w:w="735" w:type="pct"/>
            <w:vMerge/>
            <w:tcBorders>
              <w:top w:val="nil"/>
              <w:left w:val="nil"/>
              <w:bottom w:val="single" w:sz="8" w:space="0" w:color="0070C0"/>
              <w:right w:val="nil"/>
            </w:tcBorders>
            <w:vAlign w:val="center"/>
            <w:hideMark/>
          </w:tcPr>
          <w:p w14:paraId="28A7D231"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49376A1B"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6DEE7282"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6FABEA3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3145766F"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50DD3F3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52CDFD7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43827136"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5E8E2728"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2C62F42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 xml:space="preserve">Activité principale </w:t>
            </w:r>
          </w:p>
        </w:tc>
        <w:tc>
          <w:tcPr>
            <w:tcW w:w="1538" w:type="pct"/>
            <w:tcBorders>
              <w:top w:val="nil"/>
              <w:left w:val="nil"/>
              <w:bottom w:val="nil"/>
              <w:right w:val="single" w:sz="8" w:space="0" w:color="0070C0"/>
            </w:tcBorders>
            <w:shd w:val="clear" w:color="000000" w:fill="F2F2F2"/>
            <w:vAlign w:val="center"/>
            <w:hideMark/>
          </w:tcPr>
          <w:p w14:paraId="6B3D2FA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Travaux Ménagers</w:t>
            </w:r>
          </w:p>
        </w:tc>
        <w:tc>
          <w:tcPr>
            <w:tcW w:w="438" w:type="pct"/>
            <w:tcBorders>
              <w:top w:val="nil"/>
              <w:left w:val="nil"/>
              <w:bottom w:val="nil"/>
              <w:right w:val="nil"/>
            </w:tcBorders>
            <w:shd w:val="clear" w:color="000000" w:fill="F2F2F2"/>
            <w:noWrap/>
            <w:vAlign w:val="center"/>
            <w:hideMark/>
          </w:tcPr>
          <w:p w14:paraId="25599E9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181</w:t>
            </w:r>
          </w:p>
        </w:tc>
        <w:tc>
          <w:tcPr>
            <w:tcW w:w="470" w:type="pct"/>
            <w:tcBorders>
              <w:top w:val="nil"/>
              <w:left w:val="nil"/>
              <w:bottom w:val="nil"/>
              <w:right w:val="single" w:sz="8" w:space="0" w:color="0070C0"/>
            </w:tcBorders>
            <w:shd w:val="clear" w:color="000000" w:fill="F2F2F2"/>
            <w:noWrap/>
            <w:vAlign w:val="center"/>
            <w:hideMark/>
          </w:tcPr>
          <w:p w14:paraId="7A26C69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71%</w:t>
            </w:r>
          </w:p>
        </w:tc>
        <w:tc>
          <w:tcPr>
            <w:tcW w:w="455" w:type="pct"/>
            <w:tcBorders>
              <w:top w:val="nil"/>
              <w:left w:val="nil"/>
              <w:bottom w:val="nil"/>
              <w:right w:val="nil"/>
            </w:tcBorders>
            <w:shd w:val="clear" w:color="000000" w:fill="F2F2F2"/>
            <w:noWrap/>
            <w:vAlign w:val="center"/>
            <w:hideMark/>
          </w:tcPr>
          <w:p w14:paraId="3C9CD191"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82" w:type="pct"/>
            <w:tcBorders>
              <w:top w:val="nil"/>
              <w:left w:val="nil"/>
              <w:bottom w:val="nil"/>
              <w:right w:val="single" w:sz="8" w:space="0" w:color="0070C0"/>
            </w:tcBorders>
            <w:shd w:val="clear" w:color="000000" w:fill="F2F2F2"/>
            <w:noWrap/>
            <w:vAlign w:val="center"/>
            <w:hideMark/>
          </w:tcPr>
          <w:p w14:paraId="67206B5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95" w:type="pct"/>
            <w:tcBorders>
              <w:top w:val="nil"/>
              <w:left w:val="nil"/>
              <w:bottom w:val="nil"/>
              <w:right w:val="nil"/>
            </w:tcBorders>
            <w:shd w:val="clear" w:color="000000" w:fill="F2F2F2"/>
            <w:noWrap/>
            <w:vAlign w:val="center"/>
            <w:hideMark/>
          </w:tcPr>
          <w:p w14:paraId="61C29CE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181</w:t>
            </w:r>
          </w:p>
        </w:tc>
        <w:tc>
          <w:tcPr>
            <w:tcW w:w="387" w:type="pct"/>
            <w:tcBorders>
              <w:top w:val="nil"/>
              <w:left w:val="nil"/>
              <w:bottom w:val="nil"/>
              <w:right w:val="nil"/>
            </w:tcBorders>
            <w:shd w:val="clear" w:color="000000" w:fill="F2F2F2"/>
            <w:noWrap/>
            <w:vAlign w:val="center"/>
            <w:hideMark/>
          </w:tcPr>
          <w:p w14:paraId="020A41E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41%</w:t>
            </w:r>
          </w:p>
        </w:tc>
      </w:tr>
      <w:tr w:rsidR="00F01CB8" w:rsidRPr="000A6C72" w14:paraId="51CDB791" w14:textId="77777777" w:rsidTr="009E2DEE">
        <w:trPr>
          <w:trHeight w:val="20"/>
        </w:trPr>
        <w:tc>
          <w:tcPr>
            <w:tcW w:w="735" w:type="pct"/>
            <w:vMerge/>
            <w:tcBorders>
              <w:top w:val="nil"/>
              <w:left w:val="nil"/>
              <w:bottom w:val="single" w:sz="8" w:space="0" w:color="0070C0"/>
              <w:right w:val="nil"/>
            </w:tcBorders>
            <w:vAlign w:val="center"/>
            <w:hideMark/>
          </w:tcPr>
          <w:p w14:paraId="0E81223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0B0B86E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Commerce </w:t>
            </w:r>
          </w:p>
        </w:tc>
        <w:tc>
          <w:tcPr>
            <w:tcW w:w="438" w:type="pct"/>
            <w:tcBorders>
              <w:top w:val="nil"/>
              <w:left w:val="nil"/>
              <w:bottom w:val="nil"/>
              <w:right w:val="nil"/>
            </w:tcBorders>
            <w:shd w:val="clear" w:color="000000" w:fill="F2F2F2"/>
            <w:noWrap/>
            <w:vAlign w:val="center"/>
            <w:hideMark/>
          </w:tcPr>
          <w:p w14:paraId="544338B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nil"/>
              <w:left w:val="nil"/>
              <w:bottom w:val="nil"/>
              <w:right w:val="single" w:sz="8" w:space="0" w:color="0070C0"/>
            </w:tcBorders>
            <w:shd w:val="clear" w:color="000000" w:fill="F2F2F2"/>
            <w:noWrap/>
            <w:vAlign w:val="center"/>
            <w:hideMark/>
          </w:tcPr>
          <w:p w14:paraId="31E3946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nil"/>
              <w:left w:val="nil"/>
              <w:bottom w:val="nil"/>
              <w:right w:val="nil"/>
            </w:tcBorders>
            <w:shd w:val="clear" w:color="000000" w:fill="F2F2F2"/>
            <w:noWrap/>
            <w:vAlign w:val="center"/>
            <w:hideMark/>
          </w:tcPr>
          <w:p w14:paraId="02C2128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41</w:t>
            </w:r>
          </w:p>
        </w:tc>
        <w:tc>
          <w:tcPr>
            <w:tcW w:w="482" w:type="pct"/>
            <w:tcBorders>
              <w:top w:val="nil"/>
              <w:left w:val="nil"/>
              <w:bottom w:val="nil"/>
              <w:right w:val="single" w:sz="8" w:space="0" w:color="0070C0"/>
            </w:tcBorders>
            <w:shd w:val="clear" w:color="000000" w:fill="F2F2F2"/>
            <w:noWrap/>
            <w:vAlign w:val="center"/>
            <w:hideMark/>
          </w:tcPr>
          <w:p w14:paraId="6A4DCBB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22%</w:t>
            </w:r>
          </w:p>
        </w:tc>
        <w:tc>
          <w:tcPr>
            <w:tcW w:w="495" w:type="pct"/>
            <w:tcBorders>
              <w:top w:val="nil"/>
              <w:left w:val="nil"/>
              <w:bottom w:val="nil"/>
              <w:right w:val="nil"/>
            </w:tcBorders>
            <w:shd w:val="clear" w:color="000000" w:fill="F2F2F2"/>
            <w:noWrap/>
            <w:vAlign w:val="center"/>
            <w:hideMark/>
          </w:tcPr>
          <w:p w14:paraId="458C087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71</w:t>
            </w:r>
          </w:p>
        </w:tc>
        <w:tc>
          <w:tcPr>
            <w:tcW w:w="387" w:type="pct"/>
            <w:tcBorders>
              <w:top w:val="nil"/>
              <w:left w:val="nil"/>
              <w:bottom w:val="nil"/>
              <w:right w:val="nil"/>
            </w:tcBorders>
            <w:shd w:val="clear" w:color="000000" w:fill="F2F2F2"/>
            <w:noWrap/>
            <w:vAlign w:val="center"/>
            <w:hideMark/>
          </w:tcPr>
          <w:p w14:paraId="282C97F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16%</w:t>
            </w:r>
          </w:p>
        </w:tc>
      </w:tr>
      <w:tr w:rsidR="00F01CB8" w:rsidRPr="000A6C72" w14:paraId="48757D4F" w14:textId="77777777" w:rsidTr="009E2DEE">
        <w:trPr>
          <w:trHeight w:val="20"/>
        </w:trPr>
        <w:tc>
          <w:tcPr>
            <w:tcW w:w="735" w:type="pct"/>
            <w:vMerge/>
            <w:tcBorders>
              <w:top w:val="nil"/>
              <w:left w:val="nil"/>
              <w:bottom w:val="single" w:sz="8" w:space="0" w:color="0070C0"/>
              <w:right w:val="nil"/>
            </w:tcBorders>
            <w:vAlign w:val="center"/>
            <w:hideMark/>
          </w:tcPr>
          <w:p w14:paraId="5C08064C"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3AE67C8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Agriculture</w:t>
            </w:r>
          </w:p>
        </w:tc>
        <w:tc>
          <w:tcPr>
            <w:tcW w:w="438" w:type="pct"/>
            <w:tcBorders>
              <w:top w:val="nil"/>
              <w:left w:val="nil"/>
              <w:bottom w:val="nil"/>
              <w:right w:val="nil"/>
            </w:tcBorders>
            <w:shd w:val="clear" w:color="000000" w:fill="F2F2F2"/>
            <w:noWrap/>
            <w:vAlign w:val="center"/>
            <w:hideMark/>
          </w:tcPr>
          <w:p w14:paraId="37444EF7"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70" w:type="pct"/>
            <w:tcBorders>
              <w:top w:val="nil"/>
              <w:left w:val="nil"/>
              <w:bottom w:val="nil"/>
              <w:right w:val="single" w:sz="8" w:space="0" w:color="0070C0"/>
            </w:tcBorders>
            <w:shd w:val="clear" w:color="000000" w:fill="F2F2F2"/>
            <w:noWrap/>
            <w:vAlign w:val="center"/>
            <w:hideMark/>
          </w:tcPr>
          <w:p w14:paraId="5296203D"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55" w:type="pct"/>
            <w:tcBorders>
              <w:top w:val="nil"/>
              <w:left w:val="nil"/>
              <w:bottom w:val="nil"/>
              <w:right w:val="nil"/>
            </w:tcBorders>
            <w:shd w:val="clear" w:color="000000" w:fill="F2F2F2"/>
            <w:noWrap/>
            <w:vAlign w:val="center"/>
            <w:hideMark/>
          </w:tcPr>
          <w:p w14:paraId="645F9B1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57</w:t>
            </w:r>
          </w:p>
        </w:tc>
        <w:tc>
          <w:tcPr>
            <w:tcW w:w="482" w:type="pct"/>
            <w:tcBorders>
              <w:top w:val="nil"/>
              <w:left w:val="nil"/>
              <w:bottom w:val="nil"/>
              <w:right w:val="single" w:sz="8" w:space="0" w:color="0070C0"/>
            </w:tcBorders>
            <w:shd w:val="clear" w:color="000000" w:fill="F2F2F2"/>
            <w:noWrap/>
            <w:vAlign w:val="center"/>
            <w:hideMark/>
          </w:tcPr>
          <w:p w14:paraId="42CD1CB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31%</w:t>
            </w:r>
          </w:p>
        </w:tc>
        <w:tc>
          <w:tcPr>
            <w:tcW w:w="495" w:type="pct"/>
            <w:tcBorders>
              <w:top w:val="nil"/>
              <w:left w:val="nil"/>
              <w:bottom w:val="nil"/>
              <w:right w:val="nil"/>
            </w:tcBorders>
            <w:shd w:val="clear" w:color="000000" w:fill="F2F2F2"/>
            <w:noWrap/>
            <w:vAlign w:val="center"/>
            <w:hideMark/>
          </w:tcPr>
          <w:p w14:paraId="51D379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57</w:t>
            </w:r>
          </w:p>
        </w:tc>
        <w:tc>
          <w:tcPr>
            <w:tcW w:w="387" w:type="pct"/>
            <w:tcBorders>
              <w:top w:val="nil"/>
              <w:left w:val="nil"/>
              <w:bottom w:val="nil"/>
              <w:right w:val="nil"/>
            </w:tcBorders>
            <w:shd w:val="clear" w:color="000000" w:fill="F2F2F2"/>
            <w:noWrap/>
            <w:vAlign w:val="center"/>
            <w:hideMark/>
          </w:tcPr>
          <w:p w14:paraId="38DB19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13%</w:t>
            </w:r>
          </w:p>
        </w:tc>
      </w:tr>
      <w:tr w:rsidR="00F01CB8" w:rsidRPr="000A6C72" w14:paraId="418E39FB" w14:textId="77777777" w:rsidTr="009E2DEE">
        <w:trPr>
          <w:trHeight w:val="20"/>
        </w:trPr>
        <w:tc>
          <w:tcPr>
            <w:tcW w:w="735" w:type="pct"/>
            <w:vMerge/>
            <w:tcBorders>
              <w:top w:val="nil"/>
              <w:left w:val="nil"/>
              <w:bottom w:val="single" w:sz="8" w:space="0" w:color="0070C0"/>
              <w:right w:val="nil"/>
            </w:tcBorders>
            <w:vAlign w:val="center"/>
            <w:hideMark/>
          </w:tcPr>
          <w:p w14:paraId="5E5509A7"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7F60303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Elevage</w:t>
            </w:r>
          </w:p>
        </w:tc>
        <w:tc>
          <w:tcPr>
            <w:tcW w:w="438" w:type="pct"/>
            <w:tcBorders>
              <w:top w:val="nil"/>
              <w:left w:val="nil"/>
              <w:bottom w:val="nil"/>
              <w:right w:val="nil"/>
            </w:tcBorders>
            <w:shd w:val="clear" w:color="000000" w:fill="F2F2F2"/>
            <w:noWrap/>
            <w:vAlign w:val="center"/>
            <w:hideMark/>
          </w:tcPr>
          <w:p w14:paraId="2826CB6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70" w:type="pct"/>
            <w:tcBorders>
              <w:top w:val="nil"/>
              <w:left w:val="nil"/>
              <w:bottom w:val="nil"/>
              <w:right w:val="single" w:sz="8" w:space="0" w:color="0070C0"/>
            </w:tcBorders>
            <w:shd w:val="clear" w:color="000000" w:fill="F2F2F2"/>
            <w:noWrap/>
            <w:vAlign w:val="center"/>
            <w:hideMark/>
          </w:tcPr>
          <w:p w14:paraId="7356206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55" w:type="pct"/>
            <w:tcBorders>
              <w:top w:val="nil"/>
              <w:left w:val="nil"/>
              <w:bottom w:val="nil"/>
              <w:right w:val="nil"/>
            </w:tcBorders>
            <w:shd w:val="clear" w:color="000000" w:fill="F2F2F2"/>
            <w:noWrap/>
            <w:vAlign w:val="center"/>
            <w:hideMark/>
          </w:tcPr>
          <w:p w14:paraId="4A25340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33</w:t>
            </w:r>
          </w:p>
        </w:tc>
        <w:tc>
          <w:tcPr>
            <w:tcW w:w="482" w:type="pct"/>
            <w:tcBorders>
              <w:top w:val="nil"/>
              <w:left w:val="nil"/>
              <w:bottom w:val="nil"/>
              <w:right w:val="single" w:sz="8" w:space="0" w:color="0070C0"/>
            </w:tcBorders>
            <w:shd w:val="clear" w:color="000000" w:fill="F2F2F2"/>
            <w:noWrap/>
            <w:vAlign w:val="center"/>
            <w:hideMark/>
          </w:tcPr>
          <w:p w14:paraId="1048F37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18%</w:t>
            </w:r>
          </w:p>
        </w:tc>
        <w:tc>
          <w:tcPr>
            <w:tcW w:w="495" w:type="pct"/>
            <w:tcBorders>
              <w:top w:val="nil"/>
              <w:left w:val="nil"/>
              <w:bottom w:val="nil"/>
              <w:right w:val="nil"/>
            </w:tcBorders>
            <w:shd w:val="clear" w:color="000000" w:fill="F2F2F2"/>
            <w:noWrap/>
            <w:vAlign w:val="center"/>
            <w:hideMark/>
          </w:tcPr>
          <w:p w14:paraId="59B1D62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36</w:t>
            </w:r>
          </w:p>
        </w:tc>
        <w:tc>
          <w:tcPr>
            <w:tcW w:w="387" w:type="pct"/>
            <w:tcBorders>
              <w:top w:val="nil"/>
              <w:left w:val="nil"/>
              <w:bottom w:val="nil"/>
              <w:right w:val="nil"/>
            </w:tcBorders>
            <w:shd w:val="clear" w:color="000000" w:fill="F2F2F2"/>
            <w:noWrap/>
            <w:vAlign w:val="center"/>
            <w:hideMark/>
          </w:tcPr>
          <w:p w14:paraId="16727F6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w:t>
            </w:r>
          </w:p>
        </w:tc>
      </w:tr>
      <w:tr w:rsidR="00F01CB8" w:rsidRPr="000A6C72" w14:paraId="1695708D" w14:textId="77777777" w:rsidTr="009E2DEE">
        <w:trPr>
          <w:trHeight w:val="20"/>
        </w:trPr>
        <w:tc>
          <w:tcPr>
            <w:tcW w:w="735" w:type="pct"/>
            <w:vMerge/>
            <w:tcBorders>
              <w:top w:val="nil"/>
              <w:left w:val="nil"/>
              <w:bottom w:val="single" w:sz="8" w:space="0" w:color="0070C0"/>
              <w:right w:val="nil"/>
            </w:tcBorders>
            <w:vAlign w:val="center"/>
            <w:hideMark/>
          </w:tcPr>
          <w:p w14:paraId="0853286E"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7942BA0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Fonction publique</w:t>
            </w:r>
          </w:p>
        </w:tc>
        <w:tc>
          <w:tcPr>
            <w:tcW w:w="438" w:type="pct"/>
            <w:tcBorders>
              <w:top w:val="nil"/>
              <w:left w:val="nil"/>
              <w:bottom w:val="nil"/>
              <w:right w:val="nil"/>
            </w:tcBorders>
            <w:shd w:val="clear" w:color="000000" w:fill="F2F2F2"/>
            <w:noWrap/>
            <w:vAlign w:val="center"/>
            <w:hideMark/>
          </w:tcPr>
          <w:p w14:paraId="0FE8B0D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w:t>
            </w:r>
          </w:p>
        </w:tc>
        <w:tc>
          <w:tcPr>
            <w:tcW w:w="470" w:type="pct"/>
            <w:tcBorders>
              <w:top w:val="nil"/>
              <w:left w:val="nil"/>
              <w:bottom w:val="nil"/>
              <w:right w:val="single" w:sz="8" w:space="0" w:color="0070C0"/>
            </w:tcBorders>
            <w:shd w:val="clear" w:color="000000" w:fill="F2F2F2"/>
            <w:noWrap/>
            <w:vAlign w:val="center"/>
            <w:hideMark/>
          </w:tcPr>
          <w:p w14:paraId="6CD4BE0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55" w:type="pct"/>
            <w:tcBorders>
              <w:top w:val="nil"/>
              <w:left w:val="nil"/>
              <w:bottom w:val="nil"/>
              <w:right w:val="nil"/>
            </w:tcBorders>
            <w:shd w:val="clear" w:color="000000" w:fill="F2F2F2"/>
            <w:noWrap/>
            <w:vAlign w:val="center"/>
            <w:hideMark/>
          </w:tcPr>
          <w:p w14:paraId="388C27C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21</w:t>
            </w:r>
          </w:p>
        </w:tc>
        <w:tc>
          <w:tcPr>
            <w:tcW w:w="482" w:type="pct"/>
            <w:tcBorders>
              <w:top w:val="nil"/>
              <w:left w:val="nil"/>
              <w:bottom w:val="nil"/>
              <w:right w:val="single" w:sz="8" w:space="0" w:color="0070C0"/>
            </w:tcBorders>
            <w:shd w:val="clear" w:color="000000" w:fill="F2F2F2"/>
            <w:noWrap/>
            <w:vAlign w:val="center"/>
            <w:hideMark/>
          </w:tcPr>
          <w:p w14:paraId="73DDFCF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11%</w:t>
            </w:r>
          </w:p>
        </w:tc>
        <w:tc>
          <w:tcPr>
            <w:tcW w:w="495" w:type="pct"/>
            <w:tcBorders>
              <w:top w:val="nil"/>
              <w:left w:val="nil"/>
              <w:bottom w:val="nil"/>
              <w:right w:val="nil"/>
            </w:tcBorders>
            <w:shd w:val="clear" w:color="000000" w:fill="F2F2F2"/>
            <w:noWrap/>
            <w:vAlign w:val="center"/>
            <w:hideMark/>
          </w:tcPr>
          <w:p w14:paraId="263D7D9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27</w:t>
            </w:r>
          </w:p>
        </w:tc>
        <w:tc>
          <w:tcPr>
            <w:tcW w:w="387" w:type="pct"/>
            <w:tcBorders>
              <w:top w:val="nil"/>
              <w:left w:val="nil"/>
              <w:bottom w:val="nil"/>
              <w:right w:val="nil"/>
            </w:tcBorders>
            <w:shd w:val="clear" w:color="000000" w:fill="F2F2F2"/>
            <w:noWrap/>
            <w:vAlign w:val="center"/>
            <w:hideMark/>
          </w:tcPr>
          <w:p w14:paraId="20090F1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5235D942" w14:textId="77777777" w:rsidTr="009E2DEE">
        <w:trPr>
          <w:trHeight w:val="20"/>
        </w:trPr>
        <w:tc>
          <w:tcPr>
            <w:tcW w:w="735" w:type="pct"/>
            <w:vMerge/>
            <w:tcBorders>
              <w:top w:val="nil"/>
              <w:left w:val="nil"/>
              <w:bottom w:val="single" w:sz="8" w:space="0" w:color="0070C0"/>
              <w:right w:val="nil"/>
            </w:tcBorders>
            <w:vAlign w:val="center"/>
            <w:hideMark/>
          </w:tcPr>
          <w:p w14:paraId="7E0BA0B8"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F21A855"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Artisanat</w:t>
            </w:r>
          </w:p>
        </w:tc>
        <w:tc>
          <w:tcPr>
            <w:tcW w:w="438" w:type="pct"/>
            <w:tcBorders>
              <w:top w:val="nil"/>
              <w:left w:val="nil"/>
              <w:bottom w:val="nil"/>
              <w:right w:val="nil"/>
            </w:tcBorders>
            <w:shd w:val="clear" w:color="000000" w:fill="F2F2F2"/>
            <w:noWrap/>
            <w:vAlign w:val="center"/>
            <w:hideMark/>
          </w:tcPr>
          <w:p w14:paraId="6943978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w:t>
            </w:r>
          </w:p>
        </w:tc>
        <w:tc>
          <w:tcPr>
            <w:tcW w:w="470" w:type="pct"/>
            <w:tcBorders>
              <w:top w:val="nil"/>
              <w:left w:val="nil"/>
              <w:bottom w:val="nil"/>
              <w:right w:val="single" w:sz="8" w:space="0" w:color="0070C0"/>
            </w:tcBorders>
            <w:shd w:val="clear" w:color="000000" w:fill="F2F2F2"/>
            <w:noWrap/>
            <w:vAlign w:val="center"/>
            <w:hideMark/>
          </w:tcPr>
          <w:p w14:paraId="6118D6E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c>
          <w:tcPr>
            <w:tcW w:w="455" w:type="pct"/>
            <w:tcBorders>
              <w:top w:val="nil"/>
              <w:left w:val="nil"/>
              <w:bottom w:val="nil"/>
              <w:right w:val="nil"/>
            </w:tcBorders>
            <w:shd w:val="clear" w:color="000000" w:fill="F2F2F2"/>
            <w:noWrap/>
            <w:vAlign w:val="center"/>
            <w:hideMark/>
          </w:tcPr>
          <w:p w14:paraId="10FA4DD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10</w:t>
            </w:r>
          </w:p>
        </w:tc>
        <w:tc>
          <w:tcPr>
            <w:tcW w:w="482" w:type="pct"/>
            <w:tcBorders>
              <w:top w:val="nil"/>
              <w:left w:val="nil"/>
              <w:bottom w:val="nil"/>
              <w:right w:val="single" w:sz="8" w:space="0" w:color="0070C0"/>
            </w:tcBorders>
            <w:shd w:val="clear" w:color="000000" w:fill="F2F2F2"/>
            <w:noWrap/>
            <w:vAlign w:val="center"/>
            <w:hideMark/>
          </w:tcPr>
          <w:p w14:paraId="6D8901B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c>
          <w:tcPr>
            <w:tcW w:w="495" w:type="pct"/>
            <w:tcBorders>
              <w:top w:val="nil"/>
              <w:left w:val="nil"/>
              <w:bottom w:val="nil"/>
              <w:right w:val="nil"/>
            </w:tcBorders>
            <w:shd w:val="clear" w:color="000000" w:fill="F2F2F2"/>
            <w:noWrap/>
            <w:vAlign w:val="center"/>
            <w:hideMark/>
          </w:tcPr>
          <w:p w14:paraId="3C14277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w:t>
            </w:r>
          </w:p>
        </w:tc>
        <w:tc>
          <w:tcPr>
            <w:tcW w:w="387" w:type="pct"/>
            <w:tcBorders>
              <w:top w:val="nil"/>
              <w:left w:val="nil"/>
              <w:bottom w:val="nil"/>
              <w:right w:val="nil"/>
            </w:tcBorders>
            <w:shd w:val="clear" w:color="000000" w:fill="F2F2F2"/>
            <w:noWrap/>
            <w:vAlign w:val="center"/>
            <w:hideMark/>
          </w:tcPr>
          <w:p w14:paraId="6C3BEE6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66550B83" w14:textId="77777777" w:rsidTr="009E2DEE">
        <w:trPr>
          <w:trHeight w:val="20"/>
        </w:trPr>
        <w:tc>
          <w:tcPr>
            <w:tcW w:w="735" w:type="pct"/>
            <w:vMerge/>
            <w:tcBorders>
              <w:top w:val="nil"/>
              <w:left w:val="nil"/>
              <w:bottom w:val="single" w:sz="8" w:space="0" w:color="0070C0"/>
              <w:right w:val="nil"/>
            </w:tcBorders>
            <w:vAlign w:val="center"/>
            <w:hideMark/>
          </w:tcPr>
          <w:p w14:paraId="76DC8BEB"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05F0B980"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Secteur Privé </w:t>
            </w:r>
          </w:p>
        </w:tc>
        <w:tc>
          <w:tcPr>
            <w:tcW w:w="438" w:type="pct"/>
            <w:tcBorders>
              <w:top w:val="nil"/>
              <w:left w:val="nil"/>
              <w:bottom w:val="nil"/>
              <w:right w:val="nil"/>
            </w:tcBorders>
            <w:shd w:val="clear" w:color="000000" w:fill="F2F2F2"/>
            <w:noWrap/>
            <w:vAlign w:val="center"/>
            <w:hideMark/>
          </w:tcPr>
          <w:p w14:paraId="7F09122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70" w:type="pct"/>
            <w:tcBorders>
              <w:top w:val="nil"/>
              <w:left w:val="nil"/>
              <w:bottom w:val="nil"/>
              <w:right w:val="single" w:sz="8" w:space="0" w:color="0070C0"/>
            </w:tcBorders>
            <w:shd w:val="clear" w:color="000000" w:fill="F2F2F2"/>
            <w:noWrap/>
            <w:vAlign w:val="center"/>
            <w:hideMark/>
          </w:tcPr>
          <w:p w14:paraId="1A0B4EC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3ED9B05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82" w:type="pct"/>
            <w:tcBorders>
              <w:top w:val="nil"/>
              <w:left w:val="nil"/>
              <w:bottom w:val="nil"/>
              <w:right w:val="single" w:sz="8" w:space="0" w:color="0070C0"/>
            </w:tcBorders>
            <w:shd w:val="clear" w:color="000000" w:fill="F2F2F2"/>
            <w:noWrap/>
            <w:vAlign w:val="center"/>
            <w:hideMark/>
          </w:tcPr>
          <w:p w14:paraId="404DB13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95" w:type="pct"/>
            <w:tcBorders>
              <w:top w:val="nil"/>
              <w:left w:val="nil"/>
              <w:bottom w:val="nil"/>
              <w:right w:val="nil"/>
            </w:tcBorders>
            <w:shd w:val="clear" w:color="000000" w:fill="F2F2F2"/>
            <w:noWrap/>
            <w:vAlign w:val="center"/>
            <w:hideMark/>
          </w:tcPr>
          <w:p w14:paraId="7F95A2F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w:t>
            </w:r>
          </w:p>
        </w:tc>
        <w:tc>
          <w:tcPr>
            <w:tcW w:w="387" w:type="pct"/>
            <w:tcBorders>
              <w:top w:val="nil"/>
              <w:left w:val="nil"/>
              <w:bottom w:val="nil"/>
              <w:right w:val="nil"/>
            </w:tcBorders>
            <w:shd w:val="clear" w:color="000000" w:fill="F2F2F2"/>
            <w:noWrap/>
            <w:vAlign w:val="center"/>
            <w:hideMark/>
          </w:tcPr>
          <w:p w14:paraId="2A99B8D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r>
      <w:tr w:rsidR="00F01CB8" w:rsidRPr="000A6C72" w14:paraId="360814D3" w14:textId="77777777" w:rsidTr="009E2DEE">
        <w:trPr>
          <w:trHeight w:val="20"/>
        </w:trPr>
        <w:tc>
          <w:tcPr>
            <w:tcW w:w="735" w:type="pct"/>
            <w:vMerge/>
            <w:tcBorders>
              <w:top w:val="nil"/>
              <w:left w:val="nil"/>
              <w:bottom w:val="single" w:sz="8" w:space="0" w:color="0070C0"/>
              <w:right w:val="nil"/>
            </w:tcBorders>
            <w:vAlign w:val="center"/>
            <w:hideMark/>
          </w:tcPr>
          <w:p w14:paraId="67A780A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FFF34E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Etudes (Elève / étudiant)</w:t>
            </w:r>
          </w:p>
        </w:tc>
        <w:tc>
          <w:tcPr>
            <w:tcW w:w="438" w:type="pct"/>
            <w:tcBorders>
              <w:top w:val="nil"/>
              <w:left w:val="nil"/>
              <w:bottom w:val="nil"/>
              <w:right w:val="nil"/>
            </w:tcBorders>
            <w:shd w:val="clear" w:color="000000" w:fill="F2F2F2"/>
            <w:noWrap/>
            <w:vAlign w:val="center"/>
            <w:hideMark/>
          </w:tcPr>
          <w:p w14:paraId="1C9D382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w:t>
            </w:r>
          </w:p>
        </w:tc>
        <w:tc>
          <w:tcPr>
            <w:tcW w:w="470" w:type="pct"/>
            <w:tcBorders>
              <w:top w:val="nil"/>
              <w:left w:val="nil"/>
              <w:bottom w:val="nil"/>
              <w:right w:val="single" w:sz="8" w:space="0" w:color="0070C0"/>
            </w:tcBorders>
            <w:shd w:val="clear" w:color="000000" w:fill="F2F2F2"/>
            <w:noWrap/>
            <w:vAlign w:val="center"/>
            <w:hideMark/>
          </w:tcPr>
          <w:p w14:paraId="56809094"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c>
          <w:tcPr>
            <w:tcW w:w="455" w:type="pct"/>
            <w:tcBorders>
              <w:top w:val="nil"/>
              <w:left w:val="nil"/>
              <w:bottom w:val="nil"/>
              <w:right w:val="nil"/>
            </w:tcBorders>
            <w:shd w:val="clear" w:color="000000" w:fill="F2F2F2"/>
            <w:noWrap/>
            <w:vAlign w:val="center"/>
            <w:hideMark/>
          </w:tcPr>
          <w:p w14:paraId="1D37582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482" w:type="pct"/>
            <w:tcBorders>
              <w:top w:val="nil"/>
              <w:left w:val="nil"/>
              <w:bottom w:val="nil"/>
              <w:right w:val="single" w:sz="8" w:space="0" w:color="0070C0"/>
            </w:tcBorders>
            <w:shd w:val="clear" w:color="000000" w:fill="F2F2F2"/>
            <w:noWrap/>
            <w:vAlign w:val="center"/>
            <w:hideMark/>
          </w:tcPr>
          <w:p w14:paraId="6F3CC61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w:t>
            </w:r>
          </w:p>
        </w:tc>
        <w:tc>
          <w:tcPr>
            <w:tcW w:w="495" w:type="pct"/>
            <w:tcBorders>
              <w:top w:val="nil"/>
              <w:left w:val="nil"/>
              <w:bottom w:val="nil"/>
              <w:right w:val="nil"/>
            </w:tcBorders>
            <w:shd w:val="clear" w:color="000000" w:fill="F2F2F2"/>
            <w:noWrap/>
            <w:vAlign w:val="center"/>
            <w:hideMark/>
          </w:tcPr>
          <w:p w14:paraId="0987A9D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27</w:t>
            </w:r>
          </w:p>
        </w:tc>
        <w:tc>
          <w:tcPr>
            <w:tcW w:w="387" w:type="pct"/>
            <w:tcBorders>
              <w:top w:val="nil"/>
              <w:left w:val="nil"/>
              <w:bottom w:val="nil"/>
              <w:right w:val="nil"/>
            </w:tcBorders>
            <w:shd w:val="clear" w:color="000000" w:fill="F2F2F2"/>
            <w:noWrap/>
            <w:vAlign w:val="center"/>
            <w:hideMark/>
          </w:tcPr>
          <w:p w14:paraId="348A3B0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4C68E739" w14:textId="77777777" w:rsidTr="009E2DEE">
        <w:trPr>
          <w:trHeight w:val="20"/>
        </w:trPr>
        <w:tc>
          <w:tcPr>
            <w:tcW w:w="735" w:type="pct"/>
            <w:vMerge/>
            <w:tcBorders>
              <w:top w:val="nil"/>
              <w:left w:val="nil"/>
              <w:bottom w:val="single" w:sz="8" w:space="0" w:color="0070C0"/>
              <w:right w:val="nil"/>
            </w:tcBorders>
            <w:vAlign w:val="center"/>
            <w:hideMark/>
          </w:tcPr>
          <w:p w14:paraId="6F13B7D8"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6280C776"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Autre </w:t>
            </w:r>
          </w:p>
        </w:tc>
        <w:tc>
          <w:tcPr>
            <w:tcW w:w="438" w:type="pct"/>
            <w:tcBorders>
              <w:top w:val="nil"/>
              <w:left w:val="nil"/>
              <w:bottom w:val="nil"/>
              <w:right w:val="nil"/>
            </w:tcBorders>
            <w:shd w:val="clear" w:color="000000" w:fill="F2F2F2"/>
            <w:noWrap/>
            <w:vAlign w:val="center"/>
            <w:hideMark/>
          </w:tcPr>
          <w:p w14:paraId="0170EC9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w:t>
            </w:r>
          </w:p>
        </w:tc>
        <w:tc>
          <w:tcPr>
            <w:tcW w:w="470" w:type="pct"/>
            <w:tcBorders>
              <w:top w:val="nil"/>
              <w:left w:val="nil"/>
              <w:bottom w:val="nil"/>
              <w:right w:val="single" w:sz="8" w:space="0" w:color="0070C0"/>
            </w:tcBorders>
            <w:shd w:val="clear" w:color="000000" w:fill="F2F2F2"/>
            <w:noWrap/>
            <w:vAlign w:val="center"/>
            <w:hideMark/>
          </w:tcPr>
          <w:p w14:paraId="6430ED7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55" w:type="pct"/>
            <w:tcBorders>
              <w:top w:val="nil"/>
              <w:left w:val="nil"/>
              <w:bottom w:val="nil"/>
              <w:right w:val="nil"/>
            </w:tcBorders>
            <w:shd w:val="clear" w:color="000000" w:fill="F2F2F2"/>
            <w:noWrap/>
            <w:vAlign w:val="center"/>
            <w:hideMark/>
          </w:tcPr>
          <w:p w14:paraId="4413BAB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482" w:type="pct"/>
            <w:tcBorders>
              <w:top w:val="nil"/>
              <w:left w:val="nil"/>
              <w:bottom w:val="nil"/>
              <w:right w:val="single" w:sz="8" w:space="0" w:color="0070C0"/>
            </w:tcBorders>
            <w:shd w:val="clear" w:color="000000" w:fill="F2F2F2"/>
            <w:noWrap/>
            <w:vAlign w:val="center"/>
            <w:hideMark/>
          </w:tcPr>
          <w:p w14:paraId="43EDD4E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w:t>
            </w:r>
          </w:p>
        </w:tc>
        <w:tc>
          <w:tcPr>
            <w:tcW w:w="495" w:type="pct"/>
            <w:tcBorders>
              <w:top w:val="nil"/>
              <w:left w:val="nil"/>
              <w:bottom w:val="nil"/>
              <w:right w:val="nil"/>
            </w:tcBorders>
            <w:shd w:val="clear" w:color="000000" w:fill="F2F2F2"/>
            <w:noWrap/>
            <w:vAlign w:val="center"/>
            <w:hideMark/>
          </w:tcPr>
          <w:p w14:paraId="160E133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387" w:type="pct"/>
            <w:tcBorders>
              <w:top w:val="nil"/>
              <w:left w:val="nil"/>
              <w:bottom w:val="nil"/>
              <w:right w:val="nil"/>
            </w:tcBorders>
            <w:shd w:val="clear" w:color="000000" w:fill="F2F2F2"/>
            <w:noWrap/>
            <w:vAlign w:val="center"/>
            <w:hideMark/>
          </w:tcPr>
          <w:p w14:paraId="3502EDC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w:t>
            </w:r>
          </w:p>
        </w:tc>
      </w:tr>
      <w:tr w:rsidR="00F01CB8" w:rsidRPr="000A6C72" w14:paraId="1A577580" w14:textId="77777777" w:rsidTr="009E2DEE">
        <w:trPr>
          <w:trHeight w:val="20"/>
        </w:trPr>
        <w:tc>
          <w:tcPr>
            <w:tcW w:w="735" w:type="pct"/>
            <w:vMerge/>
            <w:tcBorders>
              <w:top w:val="nil"/>
              <w:left w:val="nil"/>
              <w:bottom w:val="single" w:sz="8" w:space="0" w:color="0070C0"/>
              <w:right w:val="nil"/>
            </w:tcBorders>
            <w:vAlign w:val="center"/>
            <w:hideMark/>
          </w:tcPr>
          <w:p w14:paraId="6F7B602D"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6B25A2D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1DE43186"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564CB66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57FF37C8"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750BD8B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62867F68"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5CD2B430"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r>
    </w:tbl>
    <w:p w14:paraId="28435DBC" w14:textId="77777777" w:rsidR="00702BC3" w:rsidRPr="00BE789A" w:rsidRDefault="00702BC3" w:rsidP="00031E34">
      <w:pPr>
        <w:keepNext/>
        <w:spacing w:before="0" w:line="276" w:lineRule="auto"/>
        <w:rPr>
          <w:i/>
          <w:sz w:val="20"/>
        </w:rPr>
      </w:pPr>
      <w:r w:rsidRPr="002D3E79">
        <w:rPr>
          <w:i/>
          <w:sz w:val="20"/>
        </w:rPr>
        <w:t>Source : Données d’enquête terrain d’août à septembre 2021</w:t>
      </w:r>
      <w:r>
        <w:rPr>
          <w:i/>
          <w:sz w:val="20"/>
        </w:rPr>
        <w:t xml:space="preserve">(Mali et Niger) </w:t>
      </w:r>
    </w:p>
    <w:p w14:paraId="70FA8CBA" w14:textId="51083E0E" w:rsidR="002D3E79" w:rsidRDefault="002D3E79" w:rsidP="002877BF">
      <w:pPr>
        <w:tabs>
          <w:tab w:val="left" w:pos="2763"/>
        </w:tabs>
        <w:spacing w:line="276" w:lineRule="auto"/>
        <w:jc w:val="left"/>
      </w:pPr>
    </w:p>
    <w:p w14:paraId="222FE696" w14:textId="3FFB4BA5" w:rsidR="003E0E9A" w:rsidRPr="0081417A" w:rsidRDefault="003E0E9A" w:rsidP="00102459">
      <w:pPr>
        <w:pStyle w:val="Lgende"/>
        <w:keepNext/>
        <w:rPr>
          <w:bCs/>
        </w:rPr>
      </w:pPr>
      <w:bookmarkStart w:id="1020" w:name="_Toc92262109"/>
      <w:r>
        <w:t xml:space="preserve">Tableau </w:t>
      </w:r>
      <w:r>
        <w:fldChar w:fldCharType="begin"/>
      </w:r>
      <w:r>
        <w:instrText>SEQ Tableau \* ARABIC</w:instrText>
      </w:r>
      <w:r>
        <w:fldChar w:fldCharType="separate"/>
      </w:r>
      <w:r w:rsidR="0046716F">
        <w:rPr>
          <w:noProof/>
        </w:rPr>
        <w:t>8</w:t>
      </w:r>
      <w:r>
        <w:fldChar w:fldCharType="end"/>
      </w:r>
      <w:r>
        <w:t xml:space="preserve">: </w:t>
      </w:r>
      <w:r w:rsidRPr="00095436">
        <w:t>Avis des bénéficiaires directs sur la prise en compte de leurs besoins</w:t>
      </w:r>
      <w:bookmarkEnd w:id="1020"/>
    </w:p>
    <w:tbl>
      <w:tblPr>
        <w:tblW w:w="5000" w:type="pct"/>
        <w:tblLook w:val="04A0" w:firstRow="1" w:lastRow="0" w:firstColumn="1" w:lastColumn="0" w:noHBand="0" w:noVBand="1"/>
      </w:tblPr>
      <w:tblGrid>
        <w:gridCol w:w="2119"/>
        <w:gridCol w:w="797"/>
        <w:gridCol w:w="767"/>
        <w:gridCol w:w="554"/>
        <w:gridCol w:w="765"/>
        <w:gridCol w:w="554"/>
        <w:gridCol w:w="782"/>
        <w:gridCol w:w="553"/>
        <w:gridCol w:w="781"/>
        <w:gridCol w:w="665"/>
        <w:gridCol w:w="725"/>
      </w:tblGrid>
      <w:tr w:rsidR="00F01CB8" w:rsidRPr="005E7C2D" w14:paraId="6528E1A7" w14:textId="77777777" w:rsidTr="003E0E9A">
        <w:trPr>
          <w:trHeight w:val="315"/>
        </w:trPr>
        <w:tc>
          <w:tcPr>
            <w:tcW w:w="1171"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22ADCCD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 </w:t>
            </w:r>
          </w:p>
        </w:tc>
        <w:tc>
          <w:tcPr>
            <w:tcW w:w="159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097ADAC"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Sexe du répondant</w:t>
            </w:r>
          </w:p>
        </w:tc>
        <w:tc>
          <w:tcPr>
            <w:tcW w:w="1474"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55EE4BF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Tranche d'âge</w:t>
            </w:r>
          </w:p>
        </w:tc>
        <w:tc>
          <w:tcPr>
            <w:tcW w:w="766"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31E62512"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 xml:space="preserve">Total </w:t>
            </w:r>
          </w:p>
        </w:tc>
      </w:tr>
      <w:tr w:rsidR="00F01CB8" w:rsidRPr="005E7C2D" w14:paraId="6C83A2F6" w14:textId="77777777" w:rsidTr="003E0E9A">
        <w:trPr>
          <w:trHeight w:val="300"/>
        </w:trPr>
        <w:tc>
          <w:tcPr>
            <w:tcW w:w="1171" w:type="pct"/>
            <w:vMerge/>
            <w:tcBorders>
              <w:top w:val="single" w:sz="4" w:space="0" w:color="0070C0"/>
              <w:left w:val="single" w:sz="4" w:space="0" w:color="0070C0"/>
              <w:bottom w:val="single" w:sz="4" w:space="0" w:color="0070C0"/>
              <w:right w:val="single" w:sz="4" w:space="0" w:color="0070C0"/>
            </w:tcBorders>
            <w:vAlign w:val="center"/>
            <w:hideMark/>
          </w:tcPr>
          <w:p w14:paraId="6C65B3C2" w14:textId="77777777" w:rsidR="003E0E9A" w:rsidRPr="005E7C2D" w:rsidRDefault="003E0E9A" w:rsidP="00102459">
            <w:pPr>
              <w:keepNext/>
              <w:spacing w:before="0" w:after="0" w:line="240" w:lineRule="auto"/>
              <w:jc w:val="left"/>
              <w:rPr>
                <w:rFonts w:eastAsia="Times New Roman" w:cs="Calibri"/>
                <w:color w:val="000000"/>
                <w:sz w:val="20"/>
                <w:szCs w:val="20"/>
              </w:rPr>
            </w:pPr>
          </w:p>
        </w:tc>
        <w:tc>
          <w:tcPr>
            <w:tcW w:w="863"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4AE0F7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Féminin</w:t>
            </w:r>
          </w:p>
        </w:tc>
        <w:tc>
          <w:tcPr>
            <w:tcW w:w="72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4950B8B"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Masculin</w:t>
            </w:r>
          </w:p>
        </w:tc>
        <w:tc>
          <w:tcPr>
            <w:tcW w:w="73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4E8CB3C"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 xml:space="preserve">18-34 ans </w:t>
            </w:r>
          </w:p>
        </w:tc>
        <w:tc>
          <w:tcPr>
            <w:tcW w:w="73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1C97A77"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35ans et +</w:t>
            </w:r>
          </w:p>
        </w:tc>
        <w:tc>
          <w:tcPr>
            <w:tcW w:w="766" w:type="pct"/>
            <w:gridSpan w:val="2"/>
            <w:vMerge/>
            <w:tcBorders>
              <w:top w:val="single" w:sz="4" w:space="0" w:color="0070C0"/>
              <w:left w:val="single" w:sz="4" w:space="0" w:color="0070C0"/>
              <w:bottom w:val="single" w:sz="4" w:space="0" w:color="0070C0"/>
              <w:right w:val="single" w:sz="4" w:space="0" w:color="0070C0"/>
            </w:tcBorders>
            <w:vAlign w:val="center"/>
            <w:hideMark/>
          </w:tcPr>
          <w:p w14:paraId="696BED83" w14:textId="77777777" w:rsidR="003E0E9A" w:rsidRPr="005E7C2D" w:rsidRDefault="003E0E9A" w:rsidP="00102459">
            <w:pPr>
              <w:keepNext/>
              <w:spacing w:before="0" w:after="0" w:line="240" w:lineRule="auto"/>
              <w:jc w:val="left"/>
              <w:rPr>
                <w:rFonts w:eastAsia="Times New Roman" w:cs="Calibri"/>
                <w:b/>
                <w:bCs/>
                <w:color w:val="FFFFFF"/>
                <w:sz w:val="20"/>
                <w:szCs w:val="20"/>
              </w:rPr>
            </w:pPr>
          </w:p>
        </w:tc>
      </w:tr>
      <w:tr w:rsidR="00F01CB8" w:rsidRPr="005E7C2D" w14:paraId="2CAB7294" w14:textId="77777777" w:rsidTr="003E0E9A">
        <w:trPr>
          <w:trHeight w:val="300"/>
        </w:trPr>
        <w:tc>
          <w:tcPr>
            <w:tcW w:w="1171" w:type="pct"/>
            <w:vMerge/>
            <w:tcBorders>
              <w:top w:val="single" w:sz="4" w:space="0" w:color="0070C0"/>
              <w:left w:val="single" w:sz="4" w:space="0" w:color="0070C0"/>
              <w:bottom w:val="single" w:sz="4" w:space="0" w:color="0070C0"/>
              <w:right w:val="single" w:sz="4" w:space="0" w:color="0070C0"/>
            </w:tcBorders>
            <w:vAlign w:val="center"/>
            <w:hideMark/>
          </w:tcPr>
          <w:p w14:paraId="110FB88C" w14:textId="77777777" w:rsidR="003E0E9A" w:rsidRPr="005E7C2D" w:rsidRDefault="003E0E9A" w:rsidP="00102459">
            <w:pPr>
              <w:keepNext/>
              <w:spacing w:before="0" w:after="0" w:line="240" w:lineRule="auto"/>
              <w:jc w:val="left"/>
              <w:rPr>
                <w:rFonts w:eastAsia="Times New Roman" w:cs="Calibri"/>
                <w:color w:val="000000"/>
                <w:sz w:val="20"/>
                <w:szCs w:val="20"/>
              </w:rPr>
            </w:pPr>
          </w:p>
        </w:tc>
        <w:tc>
          <w:tcPr>
            <w:tcW w:w="440" w:type="pct"/>
            <w:tcBorders>
              <w:top w:val="nil"/>
              <w:left w:val="nil"/>
              <w:bottom w:val="single" w:sz="4" w:space="0" w:color="0070C0"/>
              <w:right w:val="single" w:sz="4" w:space="0" w:color="0070C0"/>
            </w:tcBorders>
            <w:shd w:val="clear" w:color="000000" w:fill="00B0F0"/>
            <w:noWrap/>
            <w:vAlign w:val="center"/>
            <w:hideMark/>
          </w:tcPr>
          <w:p w14:paraId="23278C08"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23" w:type="pct"/>
            <w:tcBorders>
              <w:top w:val="nil"/>
              <w:left w:val="nil"/>
              <w:bottom w:val="single" w:sz="4" w:space="0" w:color="0070C0"/>
              <w:right w:val="single" w:sz="4" w:space="0" w:color="0070C0"/>
            </w:tcBorders>
            <w:shd w:val="clear" w:color="000000" w:fill="00B0F0"/>
            <w:noWrap/>
            <w:vAlign w:val="center"/>
            <w:hideMark/>
          </w:tcPr>
          <w:p w14:paraId="3F33D916"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431BF416"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22" w:type="pct"/>
            <w:tcBorders>
              <w:top w:val="nil"/>
              <w:left w:val="nil"/>
              <w:bottom w:val="single" w:sz="4" w:space="0" w:color="0070C0"/>
              <w:right w:val="single" w:sz="4" w:space="0" w:color="0070C0"/>
            </w:tcBorders>
            <w:shd w:val="clear" w:color="000000" w:fill="00B0F0"/>
            <w:noWrap/>
            <w:vAlign w:val="center"/>
            <w:hideMark/>
          </w:tcPr>
          <w:p w14:paraId="226FDAB1"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82584F4"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32" w:type="pct"/>
            <w:tcBorders>
              <w:top w:val="nil"/>
              <w:left w:val="nil"/>
              <w:bottom w:val="single" w:sz="4" w:space="0" w:color="0070C0"/>
              <w:right w:val="single" w:sz="4" w:space="0" w:color="0070C0"/>
            </w:tcBorders>
            <w:shd w:val="clear" w:color="000000" w:fill="00B0F0"/>
            <w:noWrap/>
            <w:vAlign w:val="center"/>
            <w:hideMark/>
          </w:tcPr>
          <w:p w14:paraId="126A5784"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14AC1263"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32" w:type="pct"/>
            <w:tcBorders>
              <w:top w:val="nil"/>
              <w:left w:val="nil"/>
              <w:bottom w:val="single" w:sz="4" w:space="0" w:color="0070C0"/>
              <w:right w:val="single" w:sz="4" w:space="0" w:color="0070C0"/>
            </w:tcBorders>
            <w:shd w:val="clear" w:color="000000" w:fill="00B0F0"/>
            <w:noWrap/>
            <w:vAlign w:val="center"/>
            <w:hideMark/>
          </w:tcPr>
          <w:p w14:paraId="284A129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66" w:type="pct"/>
            <w:tcBorders>
              <w:top w:val="nil"/>
              <w:left w:val="nil"/>
              <w:bottom w:val="single" w:sz="4" w:space="0" w:color="0070C0"/>
              <w:right w:val="single" w:sz="4" w:space="0" w:color="0070C0"/>
            </w:tcBorders>
            <w:shd w:val="clear" w:color="000000" w:fill="00B0F0"/>
            <w:noWrap/>
            <w:vAlign w:val="center"/>
            <w:hideMark/>
          </w:tcPr>
          <w:p w14:paraId="3CB90925"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99" w:type="pct"/>
            <w:tcBorders>
              <w:top w:val="nil"/>
              <w:left w:val="nil"/>
              <w:bottom w:val="single" w:sz="4" w:space="0" w:color="0070C0"/>
              <w:right w:val="single" w:sz="4" w:space="0" w:color="0070C0"/>
            </w:tcBorders>
            <w:shd w:val="clear" w:color="000000" w:fill="00B0F0"/>
            <w:noWrap/>
            <w:vAlign w:val="center"/>
            <w:hideMark/>
          </w:tcPr>
          <w:p w14:paraId="21A0B0CD"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r>
      <w:tr w:rsidR="003E0E9A" w:rsidRPr="005E7C2D" w14:paraId="5BA010A5" w14:textId="77777777" w:rsidTr="009F5BDE">
        <w:trPr>
          <w:trHeight w:val="315"/>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485763E5"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Besoin participation des femmes et des jeunes dans les mécanismes de gestion des conflits</w:t>
            </w:r>
          </w:p>
        </w:tc>
      </w:tr>
      <w:tr w:rsidR="00F01CB8" w:rsidRPr="005E7C2D" w14:paraId="3BF67B46"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26AB7C95"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1BD7368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w:t>
            </w:r>
          </w:p>
        </w:tc>
        <w:tc>
          <w:tcPr>
            <w:tcW w:w="423" w:type="pct"/>
            <w:tcBorders>
              <w:top w:val="nil"/>
              <w:left w:val="nil"/>
              <w:bottom w:val="single" w:sz="4" w:space="0" w:color="0070C0"/>
              <w:right w:val="single" w:sz="4" w:space="0" w:color="0070C0"/>
            </w:tcBorders>
            <w:shd w:val="clear" w:color="auto" w:fill="auto"/>
            <w:noWrap/>
            <w:vAlign w:val="center"/>
            <w:hideMark/>
          </w:tcPr>
          <w:p w14:paraId="2A5376B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c>
          <w:tcPr>
            <w:tcW w:w="305" w:type="pct"/>
            <w:tcBorders>
              <w:top w:val="nil"/>
              <w:left w:val="nil"/>
              <w:bottom w:val="single" w:sz="4" w:space="0" w:color="0070C0"/>
              <w:right w:val="single" w:sz="4" w:space="0" w:color="0070C0"/>
            </w:tcBorders>
            <w:shd w:val="clear" w:color="auto" w:fill="auto"/>
            <w:noWrap/>
            <w:vAlign w:val="center"/>
            <w:hideMark/>
          </w:tcPr>
          <w:p w14:paraId="5EFE219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14</w:t>
            </w:r>
          </w:p>
        </w:tc>
        <w:tc>
          <w:tcPr>
            <w:tcW w:w="422" w:type="pct"/>
            <w:tcBorders>
              <w:top w:val="nil"/>
              <w:left w:val="nil"/>
              <w:bottom w:val="single" w:sz="4" w:space="0" w:color="0070C0"/>
              <w:right w:val="single" w:sz="4" w:space="0" w:color="0070C0"/>
            </w:tcBorders>
            <w:shd w:val="clear" w:color="auto" w:fill="auto"/>
            <w:noWrap/>
            <w:vAlign w:val="center"/>
            <w:hideMark/>
          </w:tcPr>
          <w:p w14:paraId="565CB41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w:t>
            </w:r>
          </w:p>
        </w:tc>
        <w:tc>
          <w:tcPr>
            <w:tcW w:w="305" w:type="pct"/>
            <w:tcBorders>
              <w:top w:val="nil"/>
              <w:left w:val="nil"/>
              <w:bottom w:val="single" w:sz="4" w:space="0" w:color="0070C0"/>
              <w:right w:val="single" w:sz="4" w:space="0" w:color="0070C0"/>
            </w:tcBorders>
            <w:shd w:val="clear" w:color="auto" w:fill="auto"/>
            <w:noWrap/>
            <w:vAlign w:val="center"/>
            <w:hideMark/>
          </w:tcPr>
          <w:p w14:paraId="3D76B73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27</w:t>
            </w:r>
          </w:p>
        </w:tc>
        <w:tc>
          <w:tcPr>
            <w:tcW w:w="432" w:type="pct"/>
            <w:tcBorders>
              <w:top w:val="nil"/>
              <w:left w:val="nil"/>
              <w:bottom w:val="single" w:sz="4" w:space="0" w:color="0070C0"/>
              <w:right w:val="single" w:sz="4" w:space="0" w:color="0070C0"/>
            </w:tcBorders>
            <w:shd w:val="clear" w:color="auto" w:fill="auto"/>
            <w:noWrap/>
            <w:vAlign w:val="center"/>
            <w:hideMark/>
          </w:tcPr>
          <w:p w14:paraId="0E5EB9E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05" w:type="pct"/>
            <w:tcBorders>
              <w:top w:val="nil"/>
              <w:left w:val="nil"/>
              <w:bottom w:val="single" w:sz="4" w:space="0" w:color="0070C0"/>
              <w:right w:val="single" w:sz="4" w:space="0" w:color="0070C0"/>
            </w:tcBorders>
            <w:shd w:val="clear" w:color="auto" w:fill="auto"/>
            <w:noWrap/>
            <w:vAlign w:val="center"/>
            <w:hideMark/>
          </w:tcPr>
          <w:p w14:paraId="630EAA5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15</w:t>
            </w:r>
          </w:p>
        </w:tc>
        <w:tc>
          <w:tcPr>
            <w:tcW w:w="432" w:type="pct"/>
            <w:tcBorders>
              <w:top w:val="nil"/>
              <w:left w:val="nil"/>
              <w:bottom w:val="single" w:sz="4" w:space="0" w:color="0070C0"/>
              <w:right w:val="single" w:sz="4" w:space="0" w:color="0070C0"/>
            </w:tcBorders>
            <w:shd w:val="clear" w:color="auto" w:fill="auto"/>
            <w:noWrap/>
            <w:vAlign w:val="center"/>
            <w:hideMark/>
          </w:tcPr>
          <w:p w14:paraId="44AA644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w:t>
            </w:r>
          </w:p>
        </w:tc>
        <w:tc>
          <w:tcPr>
            <w:tcW w:w="366" w:type="pct"/>
            <w:tcBorders>
              <w:top w:val="nil"/>
              <w:left w:val="nil"/>
              <w:bottom w:val="single" w:sz="4" w:space="0" w:color="0070C0"/>
              <w:right w:val="single" w:sz="4" w:space="0" w:color="0070C0"/>
            </w:tcBorders>
            <w:shd w:val="clear" w:color="auto" w:fill="auto"/>
            <w:noWrap/>
            <w:vAlign w:val="center"/>
            <w:hideMark/>
          </w:tcPr>
          <w:p w14:paraId="57D62EB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31</w:t>
            </w:r>
          </w:p>
        </w:tc>
        <w:tc>
          <w:tcPr>
            <w:tcW w:w="399" w:type="pct"/>
            <w:tcBorders>
              <w:top w:val="nil"/>
              <w:left w:val="nil"/>
              <w:bottom w:val="single" w:sz="4" w:space="0" w:color="0070C0"/>
              <w:right w:val="single" w:sz="4" w:space="0" w:color="0070C0"/>
            </w:tcBorders>
            <w:shd w:val="clear" w:color="auto" w:fill="auto"/>
            <w:noWrap/>
            <w:vAlign w:val="center"/>
            <w:hideMark/>
          </w:tcPr>
          <w:p w14:paraId="4ECA24E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r>
      <w:tr w:rsidR="00F01CB8" w:rsidRPr="005E7C2D" w14:paraId="7E50D18F" w14:textId="77777777" w:rsidTr="003E0E9A">
        <w:trPr>
          <w:trHeight w:val="54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9E3FF99"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3AD1824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237</w:t>
            </w:r>
          </w:p>
        </w:tc>
        <w:tc>
          <w:tcPr>
            <w:tcW w:w="423" w:type="pct"/>
            <w:tcBorders>
              <w:top w:val="nil"/>
              <w:left w:val="nil"/>
              <w:bottom w:val="single" w:sz="4" w:space="0" w:color="0070C0"/>
              <w:right w:val="single" w:sz="4" w:space="0" w:color="0070C0"/>
            </w:tcBorders>
            <w:shd w:val="clear" w:color="auto" w:fill="auto"/>
            <w:noWrap/>
            <w:vAlign w:val="center"/>
            <w:hideMark/>
          </w:tcPr>
          <w:p w14:paraId="127E99D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c>
          <w:tcPr>
            <w:tcW w:w="305" w:type="pct"/>
            <w:tcBorders>
              <w:top w:val="nil"/>
              <w:left w:val="nil"/>
              <w:bottom w:val="single" w:sz="4" w:space="0" w:color="0070C0"/>
              <w:right w:val="single" w:sz="4" w:space="0" w:color="0070C0"/>
            </w:tcBorders>
            <w:shd w:val="clear" w:color="auto" w:fill="auto"/>
            <w:noWrap/>
            <w:vAlign w:val="center"/>
            <w:hideMark/>
          </w:tcPr>
          <w:p w14:paraId="1DE140C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172</w:t>
            </w:r>
          </w:p>
        </w:tc>
        <w:tc>
          <w:tcPr>
            <w:tcW w:w="422" w:type="pct"/>
            <w:tcBorders>
              <w:top w:val="nil"/>
              <w:left w:val="nil"/>
              <w:bottom w:val="single" w:sz="4" w:space="0" w:color="0070C0"/>
              <w:right w:val="single" w:sz="4" w:space="0" w:color="0070C0"/>
            </w:tcBorders>
            <w:shd w:val="clear" w:color="auto" w:fill="auto"/>
            <w:noWrap/>
            <w:vAlign w:val="center"/>
            <w:hideMark/>
          </w:tcPr>
          <w:p w14:paraId="657EBA1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92%</w:t>
            </w:r>
          </w:p>
        </w:tc>
        <w:tc>
          <w:tcPr>
            <w:tcW w:w="305" w:type="pct"/>
            <w:tcBorders>
              <w:top w:val="nil"/>
              <w:left w:val="nil"/>
              <w:bottom w:val="single" w:sz="4" w:space="0" w:color="0070C0"/>
              <w:right w:val="single" w:sz="4" w:space="0" w:color="0070C0"/>
            </w:tcBorders>
            <w:shd w:val="clear" w:color="auto" w:fill="auto"/>
            <w:noWrap/>
            <w:vAlign w:val="center"/>
            <w:hideMark/>
          </w:tcPr>
          <w:p w14:paraId="49B57C6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32" w:type="pct"/>
            <w:tcBorders>
              <w:top w:val="nil"/>
              <w:left w:val="nil"/>
              <w:bottom w:val="single" w:sz="4" w:space="0" w:color="0070C0"/>
              <w:right w:val="single" w:sz="4" w:space="0" w:color="0070C0"/>
            </w:tcBorders>
            <w:shd w:val="clear" w:color="auto" w:fill="auto"/>
            <w:noWrap/>
            <w:vAlign w:val="center"/>
            <w:hideMark/>
          </w:tcPr>
          <w:p w14:paraId="5272BE9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05" w:type="pct"/>
            <w:tcBorders>
              <w:top w:val="nil"/>
              <w:left w:val="nil"/>
              <w:bottom w:val="single" w:sz="4" w:space="0" w:color="0070C0"/>
              <w:right w:val="single" w:sz="4" w:space="0" w:color="0070C0"/>
            </w:tcBorders>
            <w:shd w:val="clear" w:color="auto" w:fill="auto"/>
            <w:noWrap/>
            <w:vAlign w:val="center"/>
            <w:hideMark/>
          </w:tcPr>
          <w:p w14:paraId="170720D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284</w:t>
            </w:r>
          </w:p>
        </w:tc>
        <w:tc>
          <w:tcPr>
            <w:tcW w:w="432" w:type="pct"/>
            <w:tcBorders>
              <w:top w:val="nil"/>
              <w:left w:val="nil"/>
              <w:bottom w:val="single" w:sz="4" w:space="0" w:color="0070C0"/>
              <w:right w:val="single" w:sz="4" w:space="0" w:color="0070C0"/>
            </w:tcBorders>
            <w:shd w:val="clear" w:color="auto" w:fill="auto"/>
            <w:noWrap/>
            <w:vAlign w:val="center"/>
            <w:hideMark/>
          </w:tcPr>
          <w:p w14:paraId="0782C9F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95%</w:t>
            </w:r>
          </w:p>
        </w:tc>
        <w:tc>
          <w:tcPr>
            <w:tcW w:w="366" w:type="pct"/>
            <w:tcBorders>
              <w:top w:val="nil"/>
              <w:left w:val="nil"/>
              <w:bottom w:val="single" w:sz="4" w:space="0" w:color="0070C0"/>
              <w:right w:val="single" w:sz="4" w:space="0" w:color="0070C0"/>
            </w:tcBorders>
            <w:shd w:val="clear" w:color="auto" w:fill="auto"/>
            <w:noWrap/>
            <w:vAlign w:val="center"/>
            <w:hideMark/>
          </w:tcPr>
          <w:p w14:paraId="3F8AF2F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409</w:t>
            </w:r>
          </w:p>
        </w:tc>
        <w:tc>
          <w:tcPr>
            <w:tcW w:w="399" w:type="pct"/>
            <w:tcBorders>
              <w:top w:val="nil"/>
              <w:left w:val="nil"/>
              <w:bottom w:val="single" w:sz="4" w:space="0" w:color="0070C0"/>
              <w:right w:val="single" w:sz="4" w:space="0" w:color="0070C0"/>
            </w:tcBorders>
            <w:shd w:val="clear" w:color="auto" w:fill="auto"/>
            <w:noWrap/>
            <w:vAlign w:val="center"/>
            <w:hideMark/>
          </w:tcPr>
          <w:p w14:paraId="5098506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r>
      <w:tr w:rsidR="003E0E9A" w:rsidRPr="005E7C2D" w14:paraId="58B843C7" w14:textId="77777777" w:rsidTr="009F5BDE">
        <w:trPr>
          <w:trHeight w:val="30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7D8454DB"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 xml:space="preserve">Besoins des femmes et des jeunes en matière de paix et de cohésion sociale </w:t>
            </w:r>
          </w:p>
        </w:tc>
      </w:tr>
      <w:tr w:rsidR="00F01CB8" w:rsidRPr="005E7C2D" w14:paraId="30F356CA"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300D0AA0"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7F5D741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423" w:type="pct"/>
            <w:tcBorders>
              <w:top w:val="nil"/>
              <w:left w:val="nil"/>
              <w:bottom w:val="single" w:sz="4" w:space="0" w:color="0070C0"/>
              <w:right w:val="single" w:sz="4" w:space="0" w:color="0070C0"/>
            </w:tcBorders>
            <w:shd w:val="clear" w:color="auto" w:fill="auto"/>
            <w:noWrap/>
            <w:vAlign w:val="center"/>
            <w:hideMark/>
          </w:tcPr>
          <w:p w14:paraId="3F3B79A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c>
          <w:tcPr>
            <w:tcW w:w="305" w:type="pct"/>
            <w:tcBorders>
              <w:top w:val="nil"/>
              <w:left w:val="nil"/>
              <w:bottom w:val="single" w:sz="4" w:space="0" w:color="0070C0"/>
              <w:right w:val="single" w:sz="4" w:space="0" w:color="0070C0"/>
            </w:tcBorders>
            <w:shd w:val="clear" w:color="auto" w:fill="auto"/>
            <w:noWrap/>
            <w:vAlign w:val="center"/>
            <w:hideMark/>
          </w:tcPr>
          <w:p w14:paraId="67B62F9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w:t>
            </w:r>
          </w:p>
        </w:tc>
        <w:tc>
          <w:tcPr>
            <w:tcW w:w="422" w:type="pct"/>
            <w:tcBorders>
              <w:top w:val="nil"/>
              <w:left w:val="nil"/>
              <w:bottom w:val="single" w:sz="4" w:space="0" w:color="0070C0"/>
              <w:right w:val="single" w:sz="4" w:space="0" w:color="0070C0"/>
            </w:tcBorders>
            <w:shd w:val="clear" w:color="auto" w:fill="auto"/>
            <w:noWrap/>
            <w:vAlign w:val="center"/>
            <w:hideMark/>
          </w:tcPr>
          <w:p w14:paraId="534D8C3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12%</w:t>
            </w:r>
          </w:p>
        </w:tc>
        <w:tc>
          <w:tcPr>
            <w:tcW w:w="305" w:type="pct"/>
            <w:tcBorders>
              <w:top w:val="nil"/>
              <w:left w:val="nil"/>
              <w:bottom w:val="single" w:sz="4" w:space="0" w:color="0070C0"/>
              <w:right w:val="single" w:sz="4" w:space="0" w:color="0070C0"/>
            </w:tcBorders>
            <w:shd w:val="clear" w:color="auto" w:fill="auto"/>
            <w:noWrap/>
            <w:vAlign w:val="center"/>
            <w:hideMark/>
          </w:tcPr>
          <w:p w14:paraId="6109600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27</w:t>
            </w:r>
          </w:p>
        </w:tc>
        <w:tc>
          <w:tcPr>
            <w:tcW w:w="432" w:type="pct"/>
            <w:tcBorders>
              <w:top w:val="nil"/>
              <w:left w:val="nil"/>
              <w:bottom w:val="single" w:sz="4" w:space="0" w:color="0070C0"/>
              <w:right w:val="single" w:sz="4" w:space="0" w:color="0070C0"/>
            </w:tcBorders>
            <w:shd w:val="clear" w:color="auto" w:fill="auto"/>
            <w:noWrap/>
            <w:vAlign w:val="center"/>
            <w:hideMark/>
          </w:tcPr>
          <w:p w14:paraId="3FB5563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05" w:type="pct"/>
            <w:tcBorders>
              <w:top w:val="nil"/>
              <w:left w:val="nil"/>
              <w:bottom w:val="single" w:sz="4" w:space="0" w:color="0070C0"/>
              <w:right w:val="single" w:sz="4" w:space="0" w:color="0070C0"/>
            </w:tcBorders>
            <w:shd w:val="clear" w:color="auto" w:fill="auto"/>
            <w:noWrap/>
            <w:vAlign w:val="center"/>
            <w:hideMark/>
          </w:tcPr>
          <w:p w14:paraId="2AB950E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15</w:t>
            </w:r>
          </w:p>
        </w:tc>
        <w:tc>
          <w:tcPr>
            <w:tcW w:w="432" w:type="pct"/>
            <w:tcBorders>
              <w:top w:val="nil"/>
              <w:left w:val="nil"/>
              <w:bottom w:val="single" w:sz="4" w:space="0" w:color="0070C0"/>
              <w:right w:val="single" w:sz="4" w:space="0" w:color="0070C0"/>
            </w:tcBorders>
            <w:shd w:val="clear" w:color="auto" w:fill="auto"/>
            <w:noWrap/>
            <w:vAlign w:val="center"/>
            <w:hideMark/>
          </w:tcPr>
          <w:p w14:paraId="2260738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w:t>
            </w:r>
          </w:p>
        </w:tc>
        <w:tc>
          <w:tcPr>
            <w:tcW w:w="366" w:type="pct"/>
            <w:tcBorders>
              <w:top w:val="nil"/>
              <w:left w:val="nil"/>
              <w:bottom w:val="single" w:sz="4" w:space="0" w:color="0070C0"/>
              <w:right w:val="single" w:sz="4" w:space="0" w:color="0070C0"/>
            </w:tcBorders>
            <w:shd w:val="clear" w:color="auto" w:fill="auto"/>
            <w:noWrap/>
            <w:vAlign w:val="center"/>
            <w:hideMark/>
          </w:tcPr>
          <w:p w14:paraId="693BABF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42</w:t>
            </w:r>
          </w:p>
        </w:tc>
        <w:tc>
          <w:tcPr>
            <w:tcW w:w="399" w:type="pct"/>
            <w:tcBorders>
              <w:top w:val="nil"/>
              <w:left w:val="nil"/>
              <w:bottom w:val="single" w:sz="4" w:space="0" w:color="0070C0"/>
              <w:right w:val="single" w:sz="4" w:space="0" w:color="0070C0"/>
            </w:tcBorders>
            <w:shd w:val="clear" w:color="auto" w:fill="auto"/>
            <w:noWrap/>
            <w:vAlign w:val="center"/>
            <w:hideMark/>
          </w:tcPr>
          <w:p w14:paraId="31414B5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w:t>
            </w:r>
          </w:p>
        </w:tc>
      </w:tr>
      <w:tr w:rsidR="00F01CB8" w:rsidRPr="005E7C2D" w14:paraId="67E516CC" w14:textId="77777777" w:rsidTr="003E0E9A">
        <w:trPr>
          <w:trHeight w:val="315"/>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02556099"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20677F9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235</w:t>
            </w:r>
          </w:p>
        </w:tc>
        <w:tc>
          <w:tcPr>
            <w:tcW w:w="423" w:type="pct"/>
            <w:tcBorders>
              <w:top w:val="nil"/>
              <w:left w:val="nil"/>
              <w:bottom w:val="single" w:sz="4" w:space="0" w:color="0070C0"/>
              <w:right w:val="single" w:sz="4" w:space="0" w:color="0070C0"/>
            </w:tcBorders>
            <w:shd w:val="clear" w:color="auto" w:fill="auto"/>
            <w:noWrap/>
            <w:vAlign w:val="center"/>
            <w:hideMark/>
          </w:tcPr>
          <w:p w14:paraId="3D9570B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c>
          <w:tcPr>
            <w:tcW w:w="305" w:type="pct"/>
            <w:tcBorders>
              <w:top w:val="nil"/>
              <w:left w:val="nil"/>
              <w:bottom w:val="single" w:sz="4" w:space="0" w:color="0070C0"/>
              <w:right w:val="single" w:sz="4" w:space="0" w:color="0070C0"/>
            </w:tcBorders>
            <w:shd w:val="clear" w:color="auto" w:fill="auto"/>
            <w:noWrap/>
            <w:vAlign w:val="center"/>
            <w:hideMark/>
          </w:tcPr>
          <w:p w14:paraId="2911C5D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163</w:t>
            </w:r>
          </w:p>
        </w:tc>
        <w:tc>
          <w:tcPr>
            <w:tcW w:w="422" w:type="pct"/>
            <w:tcBorders>
              <w:top w:val="nil"/>
              <w:left w:val="nil"/>
              <w:bottom w:val="single" w:sz="4" w:space="0" w:color="0070C0"/>
              <w:right w:val="single" w:sz="4" w:space="0" w:color="0070C0"/>
            </w:tcBorders>
            <w:shd w:val="clear" w:color="auto" w:fill="auto"/>
            <w:noWrap/>
            <w:vAlign w:val="center"/>
            <w:hideMark/>
          </w:tcPr>
          <w:p w14:paraId="29DFAD2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88%</w:t>
            </w:r>
          </w:p>
        </w:tc>
        <w:tc>
          <w:tcPr>
            <w:tcW w:w="305" w:type="pct"/>
            <w:tcBorders>
              <w:top w:val="nil"/>
              <w:left w:val="nil"/>
              <w:bottom w:val="single" w:sz="4" w:space="0" w:color="0070C0"/>
              <w:right w:val="single" w:sz="4" w:space="0" w:color="0070C0"/>
            </w:tcBorders>
            <w:shd w:val="clear" w:color="auto" w:fill="auto"/>
            <w:noWrap/>
            <w:vAlign w:val="center"/>
            <w:hideMark/>
          </w:tcPr>
          <w:p w14:paraId="0501DE0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32" w:type="pct"/>
            <w:tcBorders>
              <w:top w:val="nil"/>
              <w:left w:val="nil"/>
              <w:bottom w:val="single" w:sz="4" w:space="0" w:color="0070C0"/>
              <w:right w:val="single" w:sz="4" w:space="0" w:color="0070C0"/>
            </w:tcBorders>
            <w:shd w:val="clear" w:color="auto" w:fill="auto"/>
            <w:noWrap/>
            <w:vAlign w:val="center"/>
            <w:hideMark/>
          </w:tcPr>
          <w:p w14:paraId="33AE680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05" w:type="pct"/>
            <w:tcBorders>
              <w:top w:val="nil"/>
              <w:left w:val="nil"/>
              <w:bottom w:val="single" w:sz="4" w:space="0" w:color="0070C0"/>
              <w:right w:val="single" w:sz="4" w:space="0" w:color="0070C0"/>
            </w:tcBorders>
            <w:shd w:val="clear" w:color="auto" w:fill="auto"/>
            <w:noWrap/>
            <w:vAlign w:val="center"/>
            <w:hideMark/>
          </w:tcPr>
          <w:p w14:paraId="44D915E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284</w:t>
            </w:r>
          </w:p>
        </w:tc>
        <w:tc>
          <w:tcPr>
            <w:tcW w:w="432" w:type="pct"/>
            <w:tcBorders>
              <w:top w:val="nil"/>
              <w:left w:val="nil"/>
              <w:bottom w:val="single" w:sz="4" w:space="0" w:color="0070C0"/>
              <w:right w:val="single" w:sz="4" w:space="0" w:color="0070C0"/>
            </w:tcBorders>
            <w:shd w:val="clear" w:color="auto" w:fill="auto"/>
            <w:noWrap/>
            <w:vAlign w:val="center"/>
            <w:hideMark/>
          </w:tcPr>
          <w:p w14:paraId="572A1E7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95%</w:t>
            </w:r>
          </w:p>
        </w:tc>
        <w:tc>
          <w:tcPr>
            <w:tcW w:w="366" w:type="pct"/>
            <w:tcBorders>
              <w:top w:val="nil"/>
              <w:left w:val="nil"/>
              <w:bottom w:val="single" w:sz="4" w:space="0" w:color="0070C0"/>
              <w:right w:val="single" w:sz="4" w:space="0" w:color="0070C0"/>
            </w:tcBorders>
            <w:shd w:val="clear" w:color="auto" w:fill="auto"/>
            <w:noWrap/>
            <w:vAlign w:val="center"/>
            <w:hideMark/>
          </w:tcPr>
          <w:p w14:paraId="05DF125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398</w:t>
            </w:r>
          </w:p>
        </w:tc>
        <w:tc>
          <w:tcPr>
            <w:tcW w:w="399" w:type="pct"/>
            <w:tcBorders>
              <w:top w:val="nil"/>
              <w:left w:val="nil"/>
              <w:bottom w:val="single" w:sz="4" w:space="0" w:color="0070C0"/>
              <w:right w:val="single" w:sz="4" w:space="0" w:color="0070C0"/>
            </w:tcBorders>
            <w:shd w:val="clear" w:color="auto" w:fill="auto"/>
            <w:noWrap/>
            <w:vAlign w:val="center"/>
            <w:hideMark/>
          </w:tcPr>
          <w:p w14:paraId="59CEA6E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90%</w:t>
            </w:r>
          </w:p>
        </w:tc>
      </w:tr>
      <w:tr w:rsidR="003E0E9A" w:rsidRPr="005E7C2D" w14:paraId="0DBB3580" w14:textId="77777777" w:rsidTr="009F5BDE">
        <w:trPr>
          <w:trHeight w:val="33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5AA8831F"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Priorités des personnes handicapées ont été prises en compte par le projet</w:t>
            </w:r>
          </w:p>
        </w:tc>
      </w:tr>
      <w:tr w:rsidR="00F01CB8" w:rsidRPr="005E7C2D" w14:paraId="0100286E" w14:textId="77777777" w:rsidTr="003E0E9A">
        <w:trPr>
          <w:trHeight w:val="315"/>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62001EEE"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39AF697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142</w:t>
            </w:r>
          </w:p>
        </w:tc>
        <w:tc>
          <w:tcPr>
            <w:tcW w:w="423" w:type="pct"/>
            <w:tcBorders>
              <w:top w:val="nil"/>
              <w:left w:val="nil"/>
              <w:bottom w:val="single" w:sz="4" w:space="0" w:color="0070C0"/>
              <w:right w:val="single" w:sz="4" w:space="0" w:color="0070C0"/>
            </w:tcBorders>
            <w:shd w:val="clear" w:color="auto" w:fill="auto"/>
            <w:noWrap/>
            <w:vAlign w:val="center"/>
            <w:hideMark/>
          </w:tcPr>
          <w:p w14:paraId="196E3F1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56%</w:t>
            </w:r>
          </w:p>
        </w:tc>
        <w:tc>
          <w:tcPr>
            <w:tcW w:w="305" w:type="pct"/>
            <w:tcBorders>
              <w:top w:val="nil"/>
              <w:left w:val="nil"/>
              <w:bottom w:val="single" w:sz="4" w:space="0" w:color="0070C0"/>
              <w:right w:val="single" w:sz="4" w:space="0" w:color="0070C0"/>
            </w:tcBorders>
            <w:shd w:val="clear" w:color="auto" w:fill="auto"/>
            <w:noWrap/>
            <w:vAlign w:val="center"/>
            <w:hideMark/>
          </w:tcPr>
          <w:p w14:paraId="35764F8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72</w:t>
            </w:r>
          </w:p>
        </w:tc>
        <w:tc>
          <w:tcPr>
            <w:tcW w:w="422" w:type="pct"/>
            <w:tcBorders>
              <w:top w:val="nil"/>
              <w:left w:val="nil"/>
              <w:bottom w:val="single" w:sz="4" w:space="0" w:color="0070C0"/>
              <w:right w:val="single" w:sz="4" w:space="0" w:color="0070C0"/>
            </w:tcBorders>
            <w:shd w:val="clear" w:color="auto" w:fill="auto"/>
            <w:noWrap/>
            <w:vAlign w:val="center"/>
            <w:hideMark/>
          </w:tcPr>
          <w:p w14:paraId="16D604E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39%</w:t>
            </w:r>
          </w:p>
        </w:tc>
        <w:tc>
          <w:tcPr>
            <w:tcW w:w="305" w:type="pct"/>
            <w:tcBorders>
              <w:top w:val="nil"/>
              <w:left w:val="nil"/>
              <w:bottom w:val="single" w:sz="4" w:space="0" w:color="0070C0"/>
              <w:right w:val="single" w:sz="4" w:space="0" w:color="0070C0"/>
            </w:tcBorders>
            <w:shd w:val="clear" w:color="auto" w:fill="auto"/>
            <w:noWrap/>
            <w:vAlign w:val="center"/>
            <w:hideMark/>
          </w:tcPr>
          <w:p w14:paraId="2B85D18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78</w:t>
            </w:r>
          </w:p>
        </w:tc>
        <w:tc>
          <w:tcPr>
            <w:tcW w:w="432" w:type="pct"/>
            <w:tcBorders>
              <w:top w:val="nil"/>
              <w:left w:val="nil"/>
              <w:bottom w:val="single" w:sz="4" w:space="0" w:color="0070C0"/>
              <w:right w:val="single" w:sz="4" w:space="0" w:color="0070C0"/>
            </w:tcBorders>
            <w:shd w:val="clear" w:color="auto" w:fill="auto"/>
            <w:noWrap/>
            <w:vAlign w:val="center"/>
            <w:hideMark/>
          </w:tcPr>
          <w:p w14:paraId="47C30A5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55%</w:t>
            </w:r>
          </w:p>
        </w:tc>
        <w:tc>
          <w:tcPr>
            <w:tcW w:w="305" w:type="pct"/>
            <w:tcBorders>
              <w:top w:val="nil"/>
              <w:left w:val="nil"/>
              <w:bottom w:val="single" w:sz="4" w:space="0" w:color="0070C0"/>
              <w:right w:val="single" w:sz="4" w:space="0" w:color="0070C0"/>
            </w:tcBorders>
            <w:shd w:val="clear" w:color="auto" w:fill="auto"/>
            <w:noWrap/>
            <w:vAlign w:val="center"/>
            <w:hideMark/>
          </w:tcPr>
          <w:p w14:paraId="206FB81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136</w:t>
            </w:r>
          </w:p>
        </w:tc>
        <w:tc>
          <w:tcPr>
            <w:tcW w:w="432" w:type="pct"/>
            <w:tcBorders>
              <w:top w:val="nil"/>
              <w:left w:val="nil"/>
              <w:bottom w:val="single" w:sz="4" w:space="0" w:color="0070C0"/>
              <w:right w:val="single" w:sz="4" w:space="0" w:color="0070C0"/>
            </w:tcBorders>
            <w:shd w:val="clear" w:color="auto" w:fill="auto"/>
            <w:noWrap/>
            <w:vAlign w:val="center"/>
            <w:hideMark/>
          </w:tcPr>
          <w:p w14:paraId="78F53A9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45%</w:t>
            </w:r>
          </w:p>
        </w:tc>
        <w:tc>
          <w:tcPr>
            <w:tcW w:w="366" w:type="pct"/>
            <w:tcBorders>
              <w:top w:val="nil"/>
              <w:left w:val="nil"/>
              <w:bottom w:val="single" w:sz="4" w:space="0" w:color="0070C0"/>
              <w:right w:val="single" w:sz="4" w:space="0" w:color="0070C0"/>
            </w:tcBorders>
            <w:shd w:val="clear" w:color="auto" w:fill="auto"/>
            <w:noWrap/>
            <w:vAlign w:val="center"/>
            <w:hideMark/>
          </w:tcPr>
          <w:p w14:paraId="72D4B71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214</w:t>
            </w:r>
          </w:p>
        </w:tc>
        <w:tc>
          <w:tcPr>
            <w:tcW w:w="399" w:type="pct"/>
            <w:tcBorders>
              <w:top w:val="nil"/>
              <w:left w:val="nil"/>
              <w:bottom w:val="single" w:sz="4" w:space="0" w:color="0070C0"/>
              <w:right w:val="single" w:sz="4" w:space="0" w:color="0070C0"/>
            </w:tcBorders>
            <w:shd w:val="clear" w:color="auto" w:fill="auto"/>
            <w:noWrap/>
            <w:vAlign w:val="center"/>
            <w:hideMark/>
          </w:tcPr>
          <w:p w14:paraId="65802B0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49%</w:t>
            </w:r>
          </w:p>
        </w:tc>
      </w:tr>
      <w:tr w:rsidR="00F01CB8" w:rsidRPr="005E7C2D" w14:paraId="59AA149F"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E1BB8DB"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088FB2E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112</w:t>
            </w:r>
          </w:p>
        </w:tc>
        <w:tc>
          <w:tcPr>
            <w:tcW w:w="423" w:type="pct"/>
            <w:tcBorders>
              <w:top w:val="nil"/>
              <w:left w:val="nil"/>
              <w:bottom w:val="single" w:sz="4" w:space="0" w:color="0070C0"/>
              <w:right w:val="single" w:sz="4" w:space="0" w:color="0070C0"/>
            </w:tcBorders>
            <w:shd w:val="clear" w:color="auto" w:fill="auto"/>
            <w:noWrap/>
            <w:vAlign w:val="center"/>
            <w:hideMark/>
          </w:tcPr>
          <w:p w14:paraId="0BCF2B5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44%</w:t>
            </w:r>
          </w:p>
        </w:tc>
        <w:tc>
          <w:tcPr>
            <w:tcW w:w="305" w:type="pct"/>
            <w:tcBorders>
              <w:top w:val="nil"/>
              <w:left w:val="nil"/>
              <w:bottom w:val="single" w:sz="4" w:space="0" w:color="0070C0"/>
              <w:right w:val="single" w:sz="4" w:space="0" w:color="0070C0"/>
            </w:tcBorders>
            <w:shd w:val="clear" w:color="auto" w:fill="auto"/>
            <w:noWrap/>
            <w:vAlign w:val="center"/>
            <w:hideMark/>
          </w:tcPr>
          <w:p w14:paraId="25BED09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22" w:type="pct"/>
            <w:tcBorders>
              <w:top w:val="nil"/>
              <w:left w:val="nil"/>
              <w:bottom w:val="single" w:sz="4" w:space="0" w:color="0070C0"/>
              <w:right w:val="single" w:sz="4" w:space="0" w:color="0070C0"/>
            </w:tcBorders>
            <w:shd w:val="clear" w:color="auto" w:fill="auto"/>
            <w:noWrap/>
            <w:vAlign w:val="center"/>
            <w:hideMark/>
          </w:tcPr>
          <w:p w14:paraId="24553A3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61%</w:t>
            </w:r>
          </w:p>
        </w:tc>
        <w:tc>
          <w:tcPr>
            <w:tcW w:w="305" w:type="pct"/>
            <w:tcBorders>
              <w:top w:val="nil"/>
              <w:left w:val="nil"/>
              <w:bottom w:val="single" w:sz="4" w:space="0" w:color="0070C0"/>
              <w:right w:val="single" w:sz="4" w:space="0" w:color="0070C0"/>
            </w:tcBorders>
            <w:shd w:val="clear" w:color="auto" w:fill="auto"/>
            <w:noWrap/>
            <w:vAlign w:val="center"/>
            <w:hideMark/>
          </w:tcPr>
          <w:p w14:paraId="74A68E5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63</w:t>
            </w:r>
          </w:p>
        </w:tc>
        <w:tc>
          <w:tcPr>
            <w:tcW w:w="432" w:type="pct"/>
            <w:tcBorders>
              <w:top w:val="nil"/>
              <w:left w:val="nil"/>
              <w:bottom w:val="single" w:sz="4" w:space="0" w:color="0070C0"/>
              <w:right w:val="single" w:sz="4" w:space="0" w:color="0070C0"/>
            </w:tcBorders>
            <w:shd w:val="clear" w:color="auto" w:fill="auto"/>
            <w:noWrap/>
            <w:vAlign w:val="center"/>
            <w:hideMark/>
          </w:tcPr>
          <w:p w14:paraId="34AF9B5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45%</w:t>
            </w:r>
          </w:p>
        </w:tc>
        <w:tc>
          <w:tcPr>
            <w:tcW w:w="305" w:type="pct"/>
            <w:tcBorders>
              <w:top w:val="nil"/>
              <w:left w:val="nil"/>
              <w:bottom w:val="single" w:sz="4" w:space="0" w:color="0070C0"/>
              <w:right w:val="single" w:sz="4" w:space="0" w:color="0070C0"/>
            </w:tcBorders>
            <w:shd w:val="clear" w:color="auto" w:fill="auto"/>
            <w:noWrap/>
            <w:vAlign w:val="center"/>
            <w:hideMark/>
          </w:tcPr>
          <w:p w14:paraId="4FE621B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163</w:t>
            </w:r>
          </w:p>
        </w:tc>
        <w:tc>
          <w:tcPr>
            <w:tcW w:w="432" w:type="pct"/>
            <w:tcBorders>
              <w:top w:val="nil"/>
              <w:left w:val="nil"/>
              <w:bottom w:val="single" w:sz="4" w:space="0" w:color="0070C0"/>
              <w:right w:val="single" w:sz="4" w:space="0" w:color="0070C0"/>
            </w:tcBorders>
            <w:shd w:val="clear" w:color="auto" w:fill="auto"/>
            <w:noWrap/>
            <w:vAlign w:val="center"/>
            <w:hideMark/>
          </w:tcPr>
          <w:p w14:paraId="4AA7E7D5"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55%</w:t>
            </w:r>
          </w:p>
        </w:tc>
        <w:tc>
          <w:tcPr>
            <w:tcW w:w="366" w:type="pct"/>
            <w:tcBorders>
              <w:top w:val="nil"/>
              <w:left w:val="nil"/>
              <w:bottom w:val="single" w:sz="4" w:space="0" w:color="0070C0"/>
              <w:right w:val="single" w:sz="4" w:space="0" w:color="0070C0"/>
            </w:tcBorders>
            <w:shd w:val="clear" w:color="auto" w:fill="auto"/>
            <w:noWrap/>
            <w:vAlign w:val="center"/>
            <w:hideMark/>
          </w:tcPr>
          <w:p w14:paraId="2675B05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226</w:t>
            </w:r>
          </w:p>
        </w:tc>
        <w:tc>
          <w:tcPr>
            <w:tcW w:w="399" w:type="pct"/>
            <w:tcBorders>
              <w:top w:val="nil"/>
              <w:left w:val="nil"/>
              <w:bottom w:val="single" w:sz="4" w:space="0" w:color="0070C0"/>
              <w:right w:val="single" w:sz="4" w:space="0" w:color="0070C0"/>
            </w:tcBorders>
            <w:shd w:val="clear" w:color="auto" w:fill="auto"/>
            <w:noWrap/>
            <w:vAlign w:val="center"/>
            <w:hideMark/>
          </w:tcPr>
          <w:p w14:paraId="0BFBE5C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51%</w:t>
            </w:r>
          </w:p>
        </w:tc>
      </w:tr>
      <w:tr w:rsidR="003E0E9A" w:rsidRPr="005E7C2D" w14:paraId="50916327" w14:textId="77777777" w:rsidTr="009F5BDE">
        <w:trPr>
          <w:trHeight w:val="30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6CE60D19"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Global</w:t>
            </w:r>
          </w:p>
        </w:tc>
      </w:tr>
      <w:tr w:rsidR="00F01CB8" w:rsidRPr="005E7C2D" w14:paraId="20DFA863"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495BEBC"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2FC31DE5"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178</w:t>
            </w:r>
          </w:p>
        </w:tc>
        <w:tc>
          <w:tcPr>
            <w:tcW w:w="423" w:type="pct"/>
            <w:tcBorders>
              <w:top w:val="nil"/>
              <w:left w:val="nil"/>
              <w:bottom w:val="single" w:sz="4" w:space="0" w:color="0070C0"/>
              <w:right w:val="single" w:sz="4" w:space="0" w:color="0070C0"/>
            </w:tcBorders>
            <w:shd w:val="clear" w:color="auto" w:fill="auto"/>
            <w:noWrap/>
            <w:vAlign w:val="center"/>
            <w:hideMark/>
          </w:tcPr>
          <w:p w14:paraId="6B5EADB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w:t>
            </w:r>
          </w:p>
        </w:tc>
        <w:tc>
          <w:tcPr>
            <w:tcW w:w="305" w:type="pct"/>
            <w:tcBorders>
              <w:top w:val="nil"/>
              <w:left w:val="nil"/>
              <w:bottom w:val="single" w:sz="4" w:space="0" w:color="0070C0"/>
              <w:right w:val="single" w:sz="4" w:space="0" w:color="0070C0"/>
            </w:tcBorders>
            <w:shd w:val="clear" w:color="auto" w:fill="auto"/>
            <w:noWrap/>
            <w:vAlign w:val="center"/>
            <w:hideMark/>
          </w:tcPr>
          <w:p w14:paraId="2A3BF37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109</w:t>
            </w:r>
          </w:p>
        </w:tc>
        <w:tc>
          <w:tcPr>
            <w:tcW w:w="422" w:type="pct"/>
            <w:tcBorders>
              <w:top w:val="nil"/>
              <w:left w:val="nil"/>
              <w:bottom w:val="single" w:sz="4" w:space="0" w:color="0070C0"/>
              <w:right w:val="single" w:sz="4" w:space="0" w:color="0070C0"/>
            </w:tcBorders>
            <w:shd w:val="clear" w:color="auto" w:fill="auto"/>
            <w:noWrap/>
            <w:vAlign w:val="center"/>
            <w:hideMark/>
          </w:tcPr>
          <w:p w14:paraId="58F7107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20%</w:t>
            </w:r>
          </w:p>
        </w:tc>
        <w:tc>
          <w:tcPr>
            <w:tcW w:w="305" w:type="pct"/>
            <w:tcBorders>
              <w:top w:val="nil"/>
              <w:left w:val="nil"/>
              <w:bottom w:val="single" w:sz="4" w:space="0" w:color="0070C0"/>
              <w:right w:val="single" w:sz="4" w:space="0" w:color="0070C0"/>
            </w:tcBorders>
            <w:shd w:val="clear" w:color="auto" w:fill="auto"/>
            <w:noWrap/>
            <w:vAlign w:val="center"/>
            <w:hideMark/>
          </w:tcPr>
          <w:p w14:paraId="19406E7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132</w:t>
            </w:r>
          </w:p>
        </w:tc>
        <w:tc>
          <w:tcPr>
            <w:tcW w:w="432" w:type="pct"/>
            <w:tcBorders>
              <w:top w:val="nil"/>
              <w:left w:val="nil"/>
              <w:bottom w:val="single" w:sz="4" w:space="0" w:color="0070C0"/>
              <w:right w:val="single" w:sz="4" w:space="0" w:color="0070C0"/>
            </w:tcBorders>
            <w:shd w:val="clear" w:color="auto" w:fill="auto"/>
            <w:noWrap/>
            <w:vAlign w:val="center"/>
            <w:hideMark/>
          </w:tcPr>
          <w:p w14:paraId="57DAAA0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31%</w:t>
            </w:r>
          </w:p>
        </w:tc>
        <w:tc>
          <w:tcPr>
            <w:tcW w:w="305" w:type="pct"/>
            <w:tcBorders>
              <w:top w:val="nil"/>
              <w:left w:val="nil"/>
              <w:bottom w:val="single" w:sz="4" w:space="0" w:color="0070C0"/>
              <w:right w:val="single" w:sz="4" w:space="0" w:color="0070C0"/>
            </w:tcBorders>
            <w:shd w:val="clear" w:color="auto" w:fill="auto"/>
            <w:noWrap/>
            <w:vAlign w:val="center"/>
            <w:hideMark/>
          </w:tcPr>
          <w:p w14:paraId="7AB92CA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166</w:t>
            </w:r>
          </w:p>
        </w:tc>
        <w:tc>
          <w:tcPr>
            <w:tcW w:w="432" w:type="pct"/>
            <w:tcBorders>
              <w:top w:val="nil"/>
              <w:left w:val="nil"/>
              <w:bottom w:val="single" w:sz="4" w:space="0" w:color="0070C0"/>
              <w:right w:val="single" w:sz="4" w:space="0" w:color="0070C0"/>
            </w:tcBorders>
            <w:shd w:val="clear" w:color="auto" w:fill="auto"/>
            <w:noWrap/>
            <w:vAlign w:val="center"/>
            <w:hideMark/>
          </w:tcPr>
          <w:p w14:paraId="2CF3BEC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66" w:type="pct"/>
            <w:tcBorders>
              <w:top w:val="nil"/>
              <w:left w:val="nil"/>
              <w:bottom w:val="single" w:sz="4" w:space="0" w:color="0070C0"/>
              <w:right w:val="single" w:sz="4" w:space="0" w:color="0070C0"/>
            </w:tcBorders>
            <w:shd w:val="clear" w:color="auto" w:fill="auto"/>
            <w:noWrap/>
            <w:vAlign w:val="center"/>
            <w:hideMark/>
          </w:tcPr>
          <w:p w14:paraId="1DEB326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287</w:t>
            </w:r>
          </w:p>
        </w:tc>
        <w:tc>
          <w:tcPr>
            <w:tcW w:w="399" w:type="pct"/>
            <w:tcBorders>
              <w:top w:val="nil"/>
              <w:left w:val="nil"/>
              <w:bottom w:val="single" w:sz="4" w:space="0" w:color="0070C0"/>
              <w:right w:val="single" w:sz="4" w:space="0" w:color="0070C0"/>
            </w:tcBorders>
            <w:shd w:val="clear" w:color="auto" w:fill="auto"/>
            <w:noWrap/>
            <w:vAlign w:val="center"/>
            <w:hideMark/>
          </w:tcPr>
          <w:p w14:paraId="62F9B69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22%</w:t>
            </w:r>
          </w:p>
        </w:tc>
      </w:tr>
      <w:tr w:rsidR="00F01CB8" w:rsidRPr="005E7C2D" w14:paraId="73071442"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3F4BA167"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537BB22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584</w:t>
            </w:r>
          </w:p>
        </w:tc>
        <w:tc>
          <w:tcPr>
            <w:tcW w:w="423" w:type="pct"/>
            <w:tcBorders>
              <w:top w:val="nil"/>
              <w:left w:val="nil"/>
              <w:bottom w:val="single" w:sz="4" w:space="0" w:color="0070C0"/>
              <w:right w:val="single" w:sz="4" w:space="0" w:color="0070C0"/>
            </w:tcBorders>
            <w:shd w:val="clear" w:color="auto" w:fill="auto"/>
            <w:noWrap/>
            <w:vAlign w:val="center"/>
            <w:hideMark/>
          </w:tcPr>
          <w:p w14:paraId="4B6F464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77%</w:t>
            </w:r>
          </w:p>
        </w:tc>
        <w:tc>
          <w:tcPr>
            <w:tcW w:w="305" w:type="pct"/>
            <w:tcBorders>
              <w:top w:val="nil"/>
              <w:left w:val="nil"/>
              <w:bottom w:val="single" w:sz="4" w:space="0" w:color="0070C0"/>
              <w:right w:val="single" w:sz="4" w:space="0" w:color="0070C0"/>
            </w:tcBorders>
            <w:shd w:val="clear" w:color="auto" w:fill="auto"/>
            <w:noWrap/>
            <w:vAlign w:val="center"/>
            <w:hideMark/>
          </w:tcPr>
          <w:p w14:paraId="06E9160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449</w:t>
            </w:r>
          </w:p>
        </w:tc>
        <w:tc>
          <w:tcPr>
            <w:tcW w:w="422" w:type="pct"/>
            <w:tcBorders>
              <w:top w:val="nil"/>
              <w:left w:val="nil"/>
              <w:bottom w:val="single" w:sz="4" w:space="0" w:color="0070C0"/>
              <w:right w:val="single" w:sz="4" w:space="0" w:color="0070C0"/>
            </w:tcBorders>
            <w:shd w:val="clear" w:color="auto" w:fill="auto"/>
            <w:noWrap/>
            <w:vAlign w:val="center"/>
            <w:hideMark/>
          </w:tcPr>
          <w:p w14:paraId="36FDB48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80%</w:t>
            </w:r>
          </w:p>
        </w:tc>
        <w:tc>
          <w:tcPr>
            <w:tcW w:w="305" w:type="pct"/>
            <w:tcBorders>
              <w:top w:val="nil"/>
              <w:left w:val="nil"/>
              <w:bottom w:val="single" w:sz="4" w:space="0" w:color="0070C0"/>
              <w:right w:val="single" w:sz="4" w:space="0" w:color="0070C0"/>
            </w:tcBorders>
            <w:shd w:val="clear" w:color="auto" w:fill="auto"/>
            <w:noWrap/>
            <w:vAlign w:val="center"/>
            <w:hideMark/>
          </w:tcPr>
          <w:p w14:paraId="3E0441B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291</w:t>
            </w:r>
          </w:p>
        </w:tc>
        <w:tc>
          <w:tcPr>
            <w:tcW w:w="432" w:type="pct"/>
            <w:tcBorders>
              <w:top w:val="nil"/>
              <w:left w:val="nil"/>
              <w:bottom w:val="single" w:sz="4" w:space="0" w:color="0070C0"/>
              <w:right w:val="single" w:sz="4" w:space="0" w:color="0070C0"/>
            </w:tcBorders>
            <w:shd w:val="clear" w:color="auto" w:fill="auto"/>
            <w:noWrap/>
            <w:vAlign w:val="center"/>
            <w:hideMark/>
          </w:tcPr>
          <w:p w14:paraId="4458ED2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69%</w:t>
            </w:r>
          </w:p>
        </w:tc>
        <w:tc>
          <w:tcPr>
            <w:tcW w:w="305" w:type="pct"/>
            <w:tcBorders>
              <w:top w:val="nil"/>
              <w:left w:val="nil"/>
              <w:bottom w:val="single" w:sz="4" w:space="0" w:color="0070C0"/>
              <w:right w:val="single" w:sz="4" w:space="0" w:color="0070C0"/>
            </w:tcBorders>
            <w:shd w:val="clear" w:color="auto" w:fill="auto"/>
            <w:noWrap/>
            <w:vAlign w:val="center"/>
            <w:hideMark/>
          </w:tcPr>
          <w:p w14:paraId="228FDB4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731</w:t>
            </w:r>
          </w:p>
        </w:tc>
        <w:tc>
          <w:tcPr>
            <w:tcW w:w="432" w:type="pct"/>
            <w:tcBorders>
              <w:top w:val="nil"/>
              <w:left w:val="nil"/>
              <w:bottom w:val="single" w:sz="4" w:space="0" w:color="0070C0"/>
              <w:right w:val="single" w:sz="4" w:space="0" w:color="0070C0"/>
            </w:tcBorders>
            <w:shd w:val="clear" w:color="auto" w:fill="auto"/>
            <w:noWrap/>
            <w:vAlign w:val="center"/>
            <w:hideMark/>
          </w:tcPr>
          <w:p w14:paraId="03DCC76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66" w:type="pct"/>
            <w:tcBorders>
              <w:top w:val="nil"/>
              <w:left w:val="nil"/>
              <w:bottom w:val="single" w:sz="4" w:space="0" w:color="0070C0"/>
              <w:right w:val="single" w:sz="4" w:space="0" w:color="0070C0"/>
            </w:tcBorders>
            <w:shd w:val="clear" w:color="auto" w:fill="auto"/>
            <w:noWrap/>
            <w:vAlign w:val="center"/>
            <w:hideMark/>
          </w:tcPr>
          <w:p w14:paraId="47DB921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1033</w:t>
            </w:r>
          </w:p>
        </w:tc>
        <w:tc>
          <w:tcPr>
            <w:tcW w:w="399" w:type="pct"/>
            <w:tcBorders>
              <w:top w:val="nil"/>
              <w:left w:val="nil"/>
              <w:bottom w:val="single" w:sz="4" w:space="0" w:color="0070C0"/>
              <w:right w:val="single" w:sz="4" w:space="0" w:color="0070C0"/>
            </w:tcBorders>
            <w:shd w:val="clear" w:color="auto" w:fill="auto"/>
            <w:noWrap/>
            <w:vAlign w:val="center"/>
            <w:hideMark/>
          </w:tcPr>
          <w:p w14:paraId="4D81437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78%</w:t>
            </w:r>
          </w:p>
        </w:tc>
      </w:tr>
      <w:tr w:rsidR="00F01CB8" w:rsidRPr="005E7C2D" w14:paraId="7303F641"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000000" w:fill="D9E1F2"/>
            <w:noWrap/>
            <w:vAlign w:val="center"/>
            <w:hideMark/>
          </w:tcPr>
          <w:p w14:paraId="71A11FDC"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 xml:space="preserve">Total </w:t>
            </w:r>
          </w:p>
        </w:tc>
        <w:tc>
          <w:tcPr>
            <w:tcW w:w="440" w:type="pct"/>
            <w:tcBorders>
              <w:top w:val="nil"/>
              <w:left w:val="nil"/>
              <w:bottom w:val="single" w:sz="4" w:space="0" w:color="0070C0"/>
              <w:right w:val="single" w:sz="4" w:space="0" w:color="0070C0"/>
            </w:tcBorders>
            <w:shd w:val="clear" w:color="000000" w:fill="D9E1F2"/>
            <w:noWrap/>
            <w:vAlign w:val="center"/>
            <w:hideMark/>
          </w:tcPr>
          <w:p w14:paraId="4D502CBD"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762</w:t>
            </w:r>
          </w:p>
        </w:tc>
        <w:tc>
          <w:tcPr>
            <w:tcW w:w="423" w:type="pct"/>
            <w:tcBorders>
              <w:top w:val="nil"/>
              <w:left w:val="nil"/>
              <w:bottom w:val="single" w:sz="4" w:space="0" w:color="0070C0"/>
              <w:right w:val="single" w:sz="4" w:space="0" w:color="0070C0"/>
            </w:tcBorders>
            <w:shd w:val="clear" w:color="000000" w:fill="D9E1F2"/>
            <w:noWrap/>
            <w:vAlign w:val="center"/>
            <w:hideMark/>
          </w:tcPr>
          <w:p w14:paraId="17D12535"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D8D0DDD"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558</w:t>
            </w:r>
          </w:p>
        </w:tc>
        <w:tc>
          <w:tcPr>
            <w:tcW w:w="422" w:type="pct"/>
            <w:tcBorders>
              <w:top w:val="nil"/>
              <w:left w:val="nil"/>
              <w:bottom w:val="single" w:sz="4" w:space="0" w:color="0070C0"/>
              <w:right w:val="single" w:sz="4" w:space="0" w:color="0070C0"/>
            </w:tcBorders>
            <w:shd w:val="clear" w:color="000000" w:fill="D9E1F2"/>
            <w:noWrap/>
            <w:vAlign w:val="center"/>
            <w:hideMark/>
          </w:tcPr>
          <w:p w14:paraId="3759A62F"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5493D2F"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423</w:t>
            </w:r>
          </w:p>
        </w:tc>
        <w:tc>
          <w:tcPr>
            <w:tcW w:w="432" w:type="pct"/>
            <w:tcBorders>
              <w:top w:val="nil"/>
              <w:left w:val="nil"/>
              <w:bottom w:val="single" w:sz="4" w:space="0" w:color="0070C0"/>
              <w:right w:val="single" w:sz="4" w:space="0" w:color="0070C0"/>
            </w:tcBorders>
            <w:shd w:val="clear" w:color="000000" w:fill="D9E1F2"/>
            <w:noWrap/>
            <w:vAlign w:val="center"/>
            <w:hideMark/>
          </w:tcPr>
          <w:p w14:paraId="65BCDAF6"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1928F3A0"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897</w:t>
            </w:r>
          </w:p>
        </w:tc>
        <w:tc>
          <w:tcPr>
            <w:tcW w:w="432" w:type="pct"/>
            <w:tcBorders>
              <w:top w:val="nil"/>
              <w:left w:val="nil"/>
              <w:bottom w:val="single" w:sz="4" w:space="0" w:color="0070C0"/>
              <w:right w:val="single" w:sz="4" w:space="0" w:color="0070C0"/>
            </w:tcBorders>
            <w:shd w:val="clear" w:color="000000" w:fill="D9E1F2"/>
            <w:noWrap/>
            <w:vAlign w:val="center"/>
            <w:hideMark/>
          </w:tcPr>
          <w:p w14:paraId="5316F5F3"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66" w:type="pct"/>
            <w:tcBorders>
              <w:top w:val="nil"/>
              <w:left w:val="nil"/>
              <w:bottom w:val="single" w:sz="4" w:space="0" w:color="0070C0"/>
              <w:right w:val="single" w:sz="4" w:space="0" w:color="0070C0"/>
            </w:tcBorders>
            <w:shd w:val="clear" w:color="000000" w:fill="D9E1F2"/>
            <w:noWrap/>
            <w:vAlign w:val="center"/>
            <w:hideMark/>
          </w:tcPr>
          <w:p w14:paraId="32E6474A"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1320</w:t>
            </w:r>
          </w:p>
        </w:tc>
        <w:tc>
          <w:tcPr>
            <w:tcW w:w="399" w:type="pct"/>
            <w:tcBorders>
              <w:top w:val="nil"/>
              <w:left w:val="nil"/>
              <w:bottom w:val="single" w:sz="4" w:space="0" w:color="0070C0"/>
              <w:right w:val="single" w:sz="4" w:space="0" w:color="0070C0"/>
            </w:tcBorders>
            <w:shd w:val="clear" w:color="000000" w:fill="D9E1F2"/>
            <w:noWrap/>
            <w:vAlign w:val="center"/>
            <w:hideMark/>
          </w:tcPr>
          <w:p w14:paraId="4749BDD2"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r>
    </w:tbl>
    <w:p w14:paraId="7A0B1B10" w14:textId="77777777" w:rsidR="003E0E9A" w:rsidRPr="00BE789A" w:rsidRDefault="003E0E9A" w:rsidP="00102459">
      <w:pPr>
        <w:keepNext/>
        <w:spacing w:before="0" w:line="276" w:lineRule="auto"/>
        <w:rPr>
          <w:i/>
          <w:sz w:val="20"/>
        </w:rPr>
      </w:pPr>
      <w:r w:rsidRPr="002D3E79">
        <w:rPr>
          <w:i/>
          <w:sz w:val="20"/>
        </w:rPr>
        <w:t>Source : Données d’enquête terrain d’août à septembre 2021</w:t>
      </w:r>
      <w:r>
        <w:rPr>
          <w:i/>
          <w:sz w:val="20"/>
        </w:rPr>
        <w:t xml:space="preserve">(Mali et Niger) </w:t>
      </w:r>
    </w:p>
    <w:p w14:paraId="44418FA1" w14:textId="71F21679" w:rsidR="003E0E9A" w:rsidRDefault="003E0E9A" w:rsidP="002877BF">
      <w:pPr>
        <w:tabs>
          <w:tab w:val="left" w:pos="2763"/>
        </w:tabs>
        <w:spacing w:line="276" w:lineRule="auto"/>
        <w:jc w:val="left"/>
      </w:pPr>
    </w:p>
    <w:p w14:paraId="6FF91358" w14:textId="77777777" w:rsidR="00FA131D" w:rsidRDefault="00FA131D" w:rsidP="00A90C21">
      <w:pPr>
        <w:spacing w:before="0" w:after="0" w:line="240" w:lineRule="auto"/>
        <w:rPr>
          <w:rFonts w:eastAsia="Times New Roman" w:cs="Calibri"/>
          <w:b/>
          <w:bCs/>
          <w:color w:val="FFFFFF"/>
          <w:sz w:val="20"/>
          <w:szCs w:val="20"/>
        </w:rPr>
      </w:pPr>
    </w:p>
    <w:p w14:paraId="416817C5" w14:textId="4A0AE40D" w:rsidR="00A400FF" w:rsidRPr="0035751D" w:rsidRDefault="00A400FF" w:rsidP="00A400FF">
      <w:pPr>
        <w:pStyle w:val="Lgende"/>
        <w:rPr>
          <w:rFonts w:cs="Times New Roman"/>
          <w:bCs/>
        </w:rPr>
      </w:pPr>
      <w:bookmarkStart w:id="1021" w:name="_Toc92262111"/>
      <w:r>
        <w:t xml:space="preserve">Tableau </w:t>
      </w:r>
      <w:r>
        <w:fldChar w:fldCharType="begin"/>
      </w:r>
      <w:r>
        <w:instrText>SEQ Tableau \* ARABIC</w:instrText>
      </w:r>
      <w:r>
        <w:fldChar w:fldCharType="separate"/>
      </w:r>
      <w:r w:rsidR="0046716F">
        <w:rPr>
          <w:noProof/>
        </w:rPr>
        <w:t>9</w:t>
      </w:r>
      <w:r>
        <w:fldChar w:fldCharType="end"/>
      </w:r>
      <w:r>
        <w:t xml:space="preserve"> : </w:t>
      </w:r>
      <w:r w:rsidRPr="00496692">
        <w:t>Appréciation des bénéficiaires directs sur les activités réalisées</w:t>
      </w:r>
      <w:bookmarkEnd w:id="1021"/>
    </w:p>
    <w:tbl>
      <w:tblPr>
        <w:tblW w:w="9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27"/>
        <w:gridCol w:w="668"/>
        <w:gridCol w:w="1004"/>
        <w:gridCol w:w="892"/>
        <w:gridCol w:w="1134"/>
        <w:gridCol w:w="908"/>
        <w:gridCol w:w="1004"/>
        <w:gridCol w:w="892"/>
        <w:gridCol w:w="91"/>
      </w:tblGrid>
      <w:tr w:rsidR="00A400FF" w:rsidRPr="00BA6DCE" w14:paraId="5CB94FAF" w14:textId="77777777" w:rsidTr="0020372B">
        <w:trPr>
          <w:trHeight w:val="20"/>
        </w:trPr>
        <w:tc>
          <w:tcPr>
            <w:tcW w:w="2818" w:type="dxa"/>
            <w:vMerge w:val="restart"/>
            <w:shd w:val="clear" w:color="auto" w:fill="00B0F0"/>
            <w:vAlign w:val="center"/>
            <w:hideMark/>
          </w:tcPr>
          <w:p w14:paraId="5164C3B2" w14:textId="77777777" w:rsidR="00A400FF" w:rsidRPr="009F5BDE" w:rsidRDefault="00A400FF" w:rsidP="0020372B">
            <w:pPr>
              <w:spacing w:before="0" w:after="0" w:line="240" w:lineRule="auto"/>
              <w:jc w:val="left"/>
              <w:rPr>
                <w:color w:val="FFFFFF"/>
                <w:sz w:val="20"/>
              </w:rPr>
            </w:pPr>
          </w:p>
        </w:tc>
        <w:tc>
          <w:tcPr>
            <w:tcW w:w="668" w:type="dxa"/>
            <w:vMerge w:val="restart"/>
            <w:shd w:val="clear" w:color="auto" w:fill="00B0F0"/>
            <w:vAlign w:val="center"/>
            <w:hideMark/>
          </w:tcPr>
          <w:p w14:paraId="21B4696B" w14:textId="77777777" w:rsidR="00A400FF" w:rsidRPr="009F5BDE" w:rsidRDefault="00A400FF" w:rsidP="0020372B">
            <w:pPr>
              <w:spacing w:before="0" w:after="0" w:line="240" w:lineRule="auto"/>
              <w:jc w:val="center"/>
              <w:rPr>
                <w:color w:val="FFFFFF"/>
                <w:sz w:val="20"/>
              </w:rPr>
            </w:pPr>
          </w:p>
        </w:tc>
        <w:tc>
          <w:tcPr>
            <w:tcW w:w="1896" w:type="dxa"/>
            <w:gridSpan w:val="2"/>
            <w:shd w:val="clear" w:color="auto" w:fill="00B0F0"/>
            <w:vAlign w:val="center"/>
            <w:hideMark/>
          </w:tcPr>
          <w:p w14:paraId="213CFAF9" w14:textId="77777777" w:rsidR="00A400FF" w:rsidRPr="009F5BDE" w:rsidRDefault="00A400FF" w:rsidP="0020372B">
            <w:pPr>
              <w:spacing w:before="0" w:after="0" w:line="240" w:lineRule="auto"/>
              <w:jc w:val="center"/>
              <w:rPr>
                <w:b/>
                <w:color w:val="FFFFFF"/>
                <w:sz w:val="20"/>
              </w:rPr>
            </w:pPr>
            <w:r w:rsidRPr="009F5BDE">
              <w:rPr>
                <w:b/>
                <w:color w:val="FFFFFF"/>
                <w:sz w:val="20"/>
              </w:rPr>
              <w:t>Féminin</w:t>
            </w:r>
          </w:p>
        </w:tc>
        <w:tc>
          <w:tcPr>
            <w:tcW w:w="2042" w:type="dxa"/>
            <w:gridSpan w:val="2"/>
            <w:shd w:val="clear" w:color="auto" w:fill="00B0F0"/>
            <w:vAlign w:val="center"/>
            <w:hideMark/>
          </w:tcPr>
          <w:p w14:paraId="3B74F8C6" w14:textId="77777777" w:rsidR="00A400FF" w:rsidRPr="009F5BDE" w:rsidRDefault="00A400FF" w:rsidP="0020372B">
            <w:pPr>
              <w:spacing w:before="0" w:after="0" w:line="240" w:lineRule="auto"/>
              <w:jc w:val="center"/>
              <w:rPr>
                <w:b/>
                <w:color w:val="FFFFFF"/>
                <w:sz w:val="20"/>
              </w:rPr>
            </w:pPr>
            <w:r w:rsidRPr="009F5BDE">
              <w:rPr>
                <w:b/>
                <w:color w:val="FFFFFF"/>
                <w:sz w:val="20"/>
              </w:rPr>
              <w:t>Masculin</w:t>
            </w:r>
          </w:p>
        </w:tc>
        <w:tc>
          <w:tcPr>
            <w:tcW w:w="1896" w:type="dxa"/>
            <w:gridSpan w:val="3"/>
            <w:shd w:val="clear" w:color="auto" w:fill="00B0F0"/>
            <w:vAlign w:val="center"/>
            <w:hideMark/>
          </w:tcPr>
          <w:p w14:paraId="1178A75D" w14:textId="77777777" w:rsidR="00A400FF" w:rsidRPr="009F5BDE" w:rsidRDefault="00A400FF" w:rsidP="0020372B">
            <w:pPr>
              <w:spacing w:before="0" w:after="0" w:line="240" w:lineRule="auto"/>
              <w:jc w:val="center"/>
              <w:rPr>
                <w:b/>
                <w:color w:val="FFFFFF"/>
                <w:sz w:val="20"/>
              </w:rPr>
            </w:pPr>
            <w:r w:rsidRPr="009F5BDE">
              <w:rPr>
                <w:b/>
                <w:color w:val="FFFFFF"/>
                <w:sz w:val="20"/>
              </w:rPr>
              <w:t>Total</w:t>
            </w:r>
          </w:p>
        </w:tc>
      </w:tr>
      <w:tr w:rsidR="00A400FF" w:rsidRPr="00BA6DCE" w14:paraId="1E85604C" w14:textId="77777777" w:rsidTr="0020372B">
        <w:trPr>
          <w:trHeight w:val="20"/>
        </w:trPr>
        <w:tc>
          <w:tcPr>
            <w:tcW w:w="2818" w:type="dxa"/>
            <w:vMerge/>
            <w:shd w:val="clear" w:color="auto" w:fill="00B0F0"/>
            <w:vAlign w:val="center"/>
            <w:hideMark/>
          </w:tcPr>
          <w:p w14:paraId="4C32CF8E" w14:textId="77777777" w:rsidR="00A400FF" w:rsidRPr="009F5BDE" w:rsidRDefault="00A400FF" w:rsidP="0020372B">
            <w:pPr>
              <w:spacing w:before="0" w:after="0" w:line="240" w:lineRule="auto"/>
              <w:jc w:val="left"/>
              <w:rPr>
                <w:color w:val="FFFFFF"/>
                <w:sz w:val="20"/>
              </w:rPr>
            </w:pPr>
          </w:p>
        </w:tc>
        <w:tc>
          <w:tcPr>
            <w:tcW w:w="668" w:type="dxa"/>
            <w:vMerge/>
            <w:shd w:val="clear" w:color="auto" w:fill="00B0F0"/>
            <w:vAlign w:val="center"/>
            <w:hideMark/>
          </w:tcPr>
          <w:p w14:paraId="54515267" w14:textId="77777777" w:rsidR="00A400FF" w:rsidRPr="009F5BDE" w:rsidRDefault="00A400FF" w:rsidP="0020372B">
            <w:pPr>
              <w:spacing w:before="0" w:after="0" w:line="240" w:lineRule="auto"/>
              <w:jc w:val="center"/>
              <w:rPr>
                <w:color w:val="FFFFFF"/>
                <w:sz w:val="20"/>
              </w:rPr>
            </w:pPr>
          </w:p>
        </w:tc>
        <w:tc>
          <w:tcPr>
            <w:tcW w:w="1004" w:type="dxa"/>
            <w:shd w:val="clear" w:color="auto" w:fill="00B0F0"/>
            <w:vAlign w:val="center"/>
            <w:hideMark/>
          </w:tcPr>
          <w:p w14:paraId="4ED30EC3"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892" w:type="dxa"/>
            <w:shd w:val="clear" w:color="auto" w:fill="00B0F0"/>
            <w:vAlign w:val="center"/>
            <w:hideMark/>
          </w:tcPr>
          <w:p w14:paraId="11EA2469"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c>
          <w:tcPr>
            <w:tcW w:w="1134" w:type="dxa"/>
            <w:shd w:val="clear" w:color="auto" w:fill="00B0F0"/>
            <w:vAlign w:val="center"/>
            <w:hideMark/>
          </w:tcPr>
          <w:p w14:paraId="5E839441"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908" w:type="dxa"/>
            <w:shd w:val="clear" w:color="auto" w:fill="00B0F0"/>
            <w:vAlign w:val="center"/>
            <w:hideMark/>
          </w:tcPr>
          <w:p w14:paraId="78DB5FB8"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c>
          <w:tcPr>
            <w:tcW w:w="1004" w:type="dxa"/>
            <w:shd w:val="clear" w:color="auto" w:fill="00B0F0"/>
            <w:vAlign w:val="center"/>
            <w:hideMark/>
          </w:tcPr>
          <w:p w14:paraId="12F41B72"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892" w:type="dxa"/>
            <w:gridSpan w:val="2"/>
            <w:shd w:val="clear" w:color="auto" w:fill="00B0F0"/>
            <w:vAlign w:val="center"/>
            <w:hideMark/>
          </w:tcPr>
          <w:p w14:paraId="39CD92CC"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r>
      <w:tr w:rsidR="00A400FF" w:rsidRPr="00BA6DCE" w14:paraId="7AE05EEE" w14:textId="77777777" w:rsidTr="0020372B">
        <w:trPr>
          <w:gridAfter w:val="1"/>
          <w:wAfter w:w="113" w:type="dxa"/>
          <w:trHeight w:val="20"/>
        </w:trPr>
        <w:tc>
          <w:tcPr>
            <w:tcW w:w="2818" w:type="dxa"/>
            <w:vMerge w:val="restart"/>
            <w:shd w:val="clear" w:color="auto" w:fill="F2F2F2"/>
            <w:vAlign w:val="center"/>
            <w:hideMark/>
          </w:tcPr>
          <w:p w14:paraId="7DCC0252" w14:textId="77777777" w:rsidR="00A400FF" w:rsidRPr="009F5BDE" w:rsidRDefault="00A400FF" w:rsidP="0020372B">
            <w:pPr>
              <w:spacing w:before="0" w:after="0" w:line="240" w:lineRule="auto"/>
              <w:jc w:val="left"/>
              <w:rPr>
                <w:color w:val="000000"/>
                <w:sz w:val="20"/>
              </w:rPr>
            </w:pPr>
            <w:r w:rsidRPr="009F5BDE">
              <w:rPr>
                <w:color w:val="000000"/>
                <w:sz w:val="20"/>
              </w:rPr>
              <w:t>Mise en place/redynamisation des comités locaux de veille et de prévention des conflits</w:t>
            </w:r>
          </w:p>
        </w:tc>
        <w:tc>
          <w:tcPr>
            <w:tcW w:w="668" w:type="dxa"/>
            <w:shd w:val="clear" w:color="auto" w:fill="F2F2F2"/>
            <w:vAlign w:val="center"/>
            <w:hideMark/>
          </w:tcPr>
          <w:p w14:paraId="16820545"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2F2F2"/>
            <w:noWrap/>
            <w:vAlign w:val="center"/>
            <w:hideMark/>
          </w:tcPr>
          <w:p w14:paraId="1510D6C0" w14:textId="77777777" w:rsidR="00A400FF" w:rsidRPr="009F5BDE" w:rsidRDefault="00A400FF" w:rsidP="0020372B">
            <w:pPr>
              <w:spacing w:before="0" w:after="0" w:line="240" w:lineRule="auto"/>
              <w:jc w:val="center"/>
              <w:rPr>
                <w:color w:val="000000"/>
                <w:sz w:val="20"/>
              </w:rPr>
            </w:pPr>
            <w:r w:rsidRPr="009F5BDE">
              <w:rPr>
                <w:color w:val="000000"/>
                <w:sz w:val="20"/>
              </w:rPr>
              <w:t>59</w:t>
            </w:r>
          </w:p>
        </w:tc>
        <w:tc>
          <w:tcPr>
            <w:tcW w:w="892" w:type="dxa"/>
            <w:shd w:val="clear" w:color="auto" w:fill="F2F2F2"/>
            <w:noWrap/>
            <w:vAlign w:val="center"/>
            <w:hideMark/>
          </w:tcPr>
          <w:p w14:paraId="420B3D72" w14:textId="77777777" w:rsidR="00A400FF" w:rsidRPr="009F5BDE" w:rsidRDefault="00A400FF" w:rsidP="0020372B">
            <w:pPr>
              <w:spacing w:before="0" w:after="0" w:line="240" w:lineRule="auto"/>
              <w:jc w:val="center"/>
              <w:rPr>
                <w:color w:val="000000"/>
                <w:sz w:val="20"/>
              </w:rPr>
            </w:pPr>
            <w:r w:rsidRPr="009F5BDE">
              <w:rPr>
                <w:color w:val="000000"/>
                <w:sz w:val="20"/>
              </w:rPr>
              <w:t>23,2%</w:t>
            </w:r>
          </w:p>
        </w:tc>
        <w:tc>
          <w:tcPr>
            <w:tcW w:w="1134" w:type="dxa"/>
            <w:shd w:val="clear" w:color="auto" w:fill="F2F2F2"/>
            <w:noWrap/>
            <w:vAlign w:val="center"/>
            <w:hideMark/>
          </w:tcPr>
          <w:p w14:paraId="44411302" w14:textId="77777777" w:rsidR="00A400FF" w:rsidRPr="009F5BDE" w:rsidRDefault="00A400FF" w:rsidP="0020372B">
            <w:pPr>
              <w:spacing w:before="0" w:after="0" w:line="240" w:lineRule="auto"/>
              <w:jc w:val="center"/>
              <w:rPr>
                <w:color w:val="000000"/>
                <w:sz w:val="20"/>
              </w:rPr>
            </w:pPr>
            <w:r w:rsidRPr="009F5BDE">
              <w:rPr>
                <w:color w:val="000000"/>
                <w:sz w:val="20"/>
              </w:rPr>
              <w:t>32</w:t>
            </w:r>
          </w:p>
        </w:tc>
        <w:tc>
          <w:tcPr>
            <w:tcW w:w="908" w:type="dxa"/>
            <w:shd w:val="clear" w:color="auto" w:fill="F2F2F2"/>
            <w:noWrap/>
            <w:vAlign w:val="center"/>
            <w:hideMark/>
          </w:tcPr>
          <w:p w14:paraId="0F831057" w14:textId="77777777" w:rsidR="00A400FF" w:rsidRPr="009F5BDE" w:rsidRDefault="00A400FF" w:rsidP="0020372B">
            <w:pPr>
              <w:spacing w:before="0" w:after="0" w:line="240" w:lineRule="auto"/>
              <w:jc w:val="center"/>
              <w:rPr>
                <w:color w:val="000000"/>
                <w:sz w:val="20"/>
              </w:rPr>
            </w:pPr>
            <w:r w:rsidRPr="009F5BDE">
              <w:rPr>
                <w:color w:val="000000"/>
                <w:sz w:val="20"/>
              </w:rPr>
              <w:t>17,2%</w:t>
            </w:r>
          </w:p>
        </w:tc>
        <w:tc>
          <w:tcPr>
            <w:tcW w:w="1004" w:type="dxa"/>
            <w:shd w:val="clear" w:color="auto" w:fill="F2F2F2"/>
            <w:noWrap/>
            <w:vAlign w:val="center"/>
            <w:hideMark/>
          </w:tcPr>
          <w:p w14:paraId="3216A090" w14:textId="77777777" w:rsidR="00A400FF" w:rsidRPr="009F5BDE" w:rsidRDefault="00A400FF" w:rsidP="0020372B">
            <w:pPr>
              <w:spacing w:before="0" w:after="0" w:line="240" w:lineRule="auto"/>
              <w:jc w:val="center"/>
              <w:rPr>
                <w:color w:val="000000"/>
                <w:sz w:val="20"/>
              </w:rPr>
            </w:pPr>
            <w:r w:rsidRPr="009F5BDE">
              <w:rPr>
                <w:color w:val="000000"/>
                <w:sz w:val="20"/>
              </w:rPr>
              <w:t>91</w:t>
            </w:r>
          </w:p>
        </w:tc>
        <w:tc>
          <w:tcPr>
            <w:tcW w:w="892" w:type="dxa"/>
            <w:shd w:val="clear" w:color="auto" w:fill="F2F2F2"/>
            <w:noWrap/>
            <w:vAlign w:val="center"/>
            <w:hideMark/>
          </w:tcPr>
          <w:p w14:paraId="291A8EAE" w14:textId="77777777" w:rsidR="00A400FF" w:rsidRPr="009F5BDE" w:rsidRDefault="00A400FF" w:rsidP="0020372B">
            <w:pPr>
              <w:spacing w:before="0" w:after="0" w:line="240" w:lineRule="auto"/>
              <w:jc w:val="center"/>
              <w:rPr>
                <w:color w:val="000000"/>
                <w:sz w:val="20"/>
              </w:rPr>
            </w:pPr>
            <w:r w:rsidRPr="009F5BDE">
              <w:rPr>
                <w:color w:val="000000"/>
                <w:sz w:val="20"/>
              </w:rPr>
              <w:t>20,7%</w:t>
            </w:r>
          </w:p>
        </w:tc>
      </w:tr>
      <w:tr w:rsidR="00A400FF" w:rsidRPr="00BA6DCE" w14:paraId="5F6B3318" w14:textId="77777777" w:rsidTr="0020372B">
        <w:trPr>
          <w:gridAfter w:val="1"/>
          <w:wAfter w:w="113" w:type="dxa"/>
          <w:trHeight w:val="20"/>
        </w:trPr>
        <w:tc>
          <w:tcPr>
            <w:tcW w:w="2818" w:type="dxa"/>
            <w:vMerge/>
            <w:shd w:val="clear" w:color="auto" w:fill="F2F2F2"/>
            <w:vAlign w:val="center"/>
            <w:hideMark/>
          </w:tcPr>
          <w:p w14:paraId="0CA6D9BC"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7FBABC7"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2F2F2"/>
            <w:noWrap/>
            <w:vAlign w:val="center"/>
            <w:hideMark/>
          </w:tcPr>
          <w:p w14:paraId="0CF9F120" w14:textId="77777777" w:rsidR="00A400FF" w:rsidRPr="009F5BDE" w:rsidRDefault="00A400FF" w:rsidP="0020372B">
            <w:pPr>
              <w:spacing w:before="0" w:after="0" w:line="240" w:lineRule="auto"/>
              <w:jc w:val="center"/>
              <w:rPr>
                <w:color w:val="000000"/>
                <w:sz w:val="20"/>
              </w:rPr>
            </w:pPr>
            <w:r w:rsidRPr="009F5BDE">
              <w:rPr>
                <w:color w:val="000000"/>
                <w:sz w:val="20"/>
              </w:rPr>
              <w:t>195</w:t>
            </w:r>
          </w:p>
        </w:tc>
        <w:tc>
          <w:tcPr>
            <w:tcW w:w="892" w:type="dxa"/>
            <w:shd w:val="clear" w:color="auto" w:fill="F2F2F2"/>
            <w:noWrap/>
            <w:vAlign w:val="center"/>
            <w:hideMark/>
          </w:tcPr>
          <w:p w14:paraId="6BA4079A" w14:textId="77777777" w:rsidR="00A400FF" w:rsidRPr="009F5BDE" w:rsidRDefault="00A400FF" w:rsidP="0020372B">
            <w:pPr>
              <w:spacing w:before="0" w:after="0" w:line="240" w:lineRule="auto"/>
              <w:jc w:val="center"/>
              <w:rPr>
                <w:color w:val="000000"/>
                <w:sz w:val="20"/>
              </w:rPr>
            </w:pPr>
            <w:r w:rsidRPr="009F5BDE">
              <w:rPr>
                <w:color w:val="000000"/>
                <w:sz w:val="20"/>
              </w:rPr>
              <w:t>76,8%</w:t>
            </w:r>
          </w:p>
        </w:tc>
        <w:tc>
          <w:tcPr>
            <w:tcW w:w="1134" w:type="dxa"/>
            <w:shd w:val="clear" w:color="auto" w:fill="F2F2F2"/>
            <w:noWrap/>
            <w:vAlign w:val="center"/>
            <w:hideMark/>
          </w:tcPr>
          <w:p w14:paraId="0EC49AE1" w14:textId="77777777" w:rsidR="00A400FF" w:rsidRPr="009F5BDE" w:rsidRDefault="00A400FF" w:rsidP="0020372B">
            <w:pPr>
              <w:spacing w:before="0" w:after="0" w:line="240" w:lineRule="auto"/>
              <w:jc w:val="center"/>
              <w:rPr>
                <w:color w:val="000000"/>
                <w:sz w:val="20"/>
              </w:rPr>
            </w:pPr>
            <w:r w:rsidRPr="009F5BDE">
              <w:rPr>
                <w:color w:val="000000"/>
                <w:sz w:val="20"/>
              </w:rPr>
              <w:t>154</w:t>
            </w:r>
          </w:p>
        </w:tc>
        <w:tc>
          <w:tcPr>
            <w:tcW w:w="908" w:type="dxa"/>
            <w:shd w:val="clear" w:color="auto" w:fill="F2F2F2"/>
            <w:noWrap/>
            <w:vAlign w:val="center"/>
            <w:hideMark/>
          </w:tcPr>
          <w:p w14:paraId="27766E00" w14:textId="77777777" w:rsidR="00A400FF" w:rsidRPr="009F5BDE" w:rsidRDefault="00A400FF" w:rsidP="0020372B">
            <w:pPr>
              <w:spacing w:before="0" w:after="0" w:line="240" w:lineRule="auto"/>
              <w:jc w:val="center"/>
              <w:rPr>
                <w:color w:val="000000"/>
                <w:sz w:val="20"/>
              </w:rPr>
            </w:pPr>
            <w:r w:rsidRPr="009F5BDE">
              <w:rPr>
                <w:color w:val="000000"/>
                <w:sz w:val="20"/>
              </w:rPr>
              <w:t>82,8%</w:t>
            </w:r>
          </w:p>
        </w:tc>
        <w:tc>
          <w:tcPr>
            <w:tcW w:w="1004" w:type="dxa"/>
            <w:shd w:val="clear" w:color="auto" w:fill="F2F2F2"/>
            <w:noWrap/>
            <w:vAlign w:val="center"/>
            <w:hideMark/>
          </w:tcPr>
          <w:p w14:paraId="0566BBB0" w14:textId="77777777" w:rsidR="00A400FF" w:rsidRPr="009F5BDE" w:rsidRDefault="00A400FF" w:rsidP="0020372B">
            <w:pPr>
              <w:spacing w:before="0" w:after="0" w:line="240" w:lineRule="auto"/>
              <w:jc w:val="center"/>
              <w:rPr>
                <w:color w:val="000000"/>
                <w:sz w:val="20"/>
              </w:rPr>
            </w:pPr>
            <w:r w:rsidRPr="009F5BDE">
              <w:rPr>
                <w:color w:val="000000"/>
                <w:sz w:val="20"/>
              </w:rPr>
              <w:t>349</w:t>
            </w:r>
          </w:p>
        </w:tc>
        <w:tc>
          <w:tcPr>
            <w:tcW w:w="892" w:type="dxa"/>
            <w:shd w:val="clear" w:color="auto" w:fill="F2F2F2"/>
            <w:noWrap/>
            <w:vAlign w:val="center"/>
            <w:hideMark/>
          </w:tcPr>
          <w:p w14:paraId="513AFF91" w14:textId="77777777" w:rsidR="00A400FF" w:rsidRPr="009F5BDE" w:rsidRDefault="00A400FF" w:rsidP="0020372B">
            <w:pPr>
              <w:spacing w:before="0" w:after="0" w:line="240" w:lineRule="auto"/>
              <w:jc w:val="center"/>
              <w:rPr>
                <w:color w:val="000000"/>
                <w:sz w:val="20"/>
              </w:rPr>
            </w:pPr>
            <w:r w:rsidRPr="009F5BDE">
              <w:rPr>
                <w:color w:val="000000"/>
                <w:sz w:val="20"/>
              </w:rPr>
              <w:t>79,3%</w:t>
            </w:r>
          </w:p>
        </w:tc>
      </w:tr>
      <w:tr w:rsidR="00A400FF" w:rsidRPr="00BA6DCE" w14:paraId="5E922F2C" w14:textId="77777777" w:rsidTr="0020372B">
        <w:trPr>
          <w:gridAfter w:val="1"/>
          <w:wAfter w:w="113" w:type="dxa"/>
          <w:trHeight w:val="20"/>
        </w:trPr>
        <w:tc>
          <w:tcPr>
            <w:tcW w:w="2818" w:type="dxa"/>
            <w:vMerge/>
            <w:shd w:val="clear" w:color="auto" w:fill="F2F2F2"/>
            <w:vAlign w:val="center"/>
            <w:hideMark/>
          </w:tcPr>
          <w:p w14:paraId="2E93FC42"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E412FF6"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2F2F2"/>
            <w:noWrap/>
            <w:vAlign w:val="center"/>
            <w:hideMark/>
          </w:tcPr>
          <w:p w14:paraId="25D9F538"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F2F2F2"/>
            <w:noWrap/>
            <w:vAlign w:val="center"/>
            <w:hideMark/>
          </w:tcPr>
          <w:p w14:paraId="35A11AC5"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2F2F2"/>
            <w:noWrap/>
            <w:vAlign w:val="center"/>
            <w:hideMark/>
          </w:tcPr>
          <w:p w14:paraId="008CBE9A"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F2F2F2"/>
            <w:noWrap/>
            <w:vAlign w:val="center"/>
            <w:hideMark/>
          </w:tcPr>
          <w:p w14:paraId="3278D4EA"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2F2F2"/>
            <w:noWrap/>
            <w:vAlign w:val="center"/>
            <w:hideMark/>
          </w:tcPr>
          <w:p w14:paraId="608CECF9"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shd w:val="clear" w:color="auto" w:fill="F2F2F2"/>
            <w:noWrap/>
            <w:vAlign w:val="center"/>
            <w:hideMark/>
          </w:tcPr>
          <w:p w14:paraId="196BFB3E"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51F5755" w14:textId="77777777" w:rsidTr="0020372B">
        <w:trPr>
          <w:trHeight w:val="20"/>
        </w:trPr>
        <w:tc>
          <w:tcPr>
            <w:tcW w:w="2818" w:type="dxa"/>
            <w:vMerge w:val="restart"/>
            <w:shd w:val="clear" w:color="auto" w:fill="auto"/>
            <w:vAlign w:val="center"/>
            <w:hideMark/>
          </w:tcPr>
          <w:p w14:paraId="292886EC" w14:textId="77777777" w:rsidR="00A400FF" w:rsidRPr="009F5BDE" w:rsidRDefault="00A400FF" w:rsidP="0020372B">
            <w:pPr>
              <w:spacing w:before="0" w:after="0" w:line="240" w:lineRule="auto"/>
              <w:jc w:val="left"/>
              <w:rPr>
                <w:color w:val="000000"/>
                <w:sz w:val="20"/>
              </w:rPr>
            </w:pPr>
            <w:r w:rsidRPr="009F5BDE">
              <w:rPr>
                <w:color w:val="000000"/>
                <w:sz w:val="20"/>
              </w:rPr>
              <w:t>Formation des responsables et membres des organisations de femmes et de jeunes</w:t>
            </w:r>
          </w:p>
        </w:tc>
        <w:tc>
          <w:tcPr>
            <w:tcW w:w="668" w:type="dxa"/>
            <w:shd w:val="clear" w:color="auto" w:fill="auto"/>
            <w:vAlign w:val="center"/>
            <w:hideMark/>
          </w:tcPr>
          <w:p w14:paraId="12CCE0B5"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auto"/>
            <w:noWrap/>
            <w:vAlign w:val="center"/>
            <w:hideMark/>
          </w:tcPr>
          <w:p w14:paraId="58D5327B" w14:textId="77777777" w:rsidR="00A400FF" w:rsidRPr="009F5BDE" w:rsidRDefault="00A400FF" w:rsidP="0020372B">
            <w:pPr>
              <w:spacing w:before="0" w:after="0" w:line="240" w:lineRule="auto"/>
              <w:jc w:val="center"/>
              <w:rPr>
                <w:color w:val="000000"/>
                <w:sz w:val="20"/>
              </w:rPr>
            </w:pPr>
            <w:r w:rsidRPr="009F5BDE">
              <w:rPr>
                <w:color w:val="000000"/>
                <w:sz w:val="20"/>
              </w:rPr>
              <w:t>65</w:t>
            </w:r>
          </w:p>
        </w:tc>
        <w:tc>
          <w:tcPr>
            <w:tcW w:w="892" w:type="dxa"/>
            <w:shd w:val="clear" w:color="auto" w:fill="auto"/>
            <w:noWrap/>
            <w:vAlign w:val="center"/>
            <w:hideMark/>
          </w:tcPr>
          <w:p w14:paraId="05FE7167" w14:textId="77777777" w:rsidR="00A400FF" w:rsidRPr="009F5BDE" w:rsidRDefault="00A400FF" w:rsidP="0020372B">
            <w:pPr>
              <w:spacing w:before="0" w:after="0" w:line="240" w:lineRule="auto"/>
              <w:jc w:val="center"/>
              <w:rPr>
                <w:color w:val="000000"/>
                <w:sz w:val="20"/>
              </w:rPr>
            </w:pPr>
            <w:r w:rsidRPr="009F5BDE">
              <w:rPr>
                <w:color w:val="000000"/>
                <w:sz w:val="20"/>
              </w:rPr>
              <w:t>25,6%</w:t>
            </w:r>
          </w:p>
        </w:tc>
        <w:tc>
          <w:tcPr>
            <w:tcW w:w="1134" w:type="dxa"/>
            <w:shd w:val="clear" w:color="auto" w:fill="auto"/>
            <w:noWrap/>
            <w:vAlign w:val="center"/>
            <w:hideMark/>
          </w:tcPr>
          <w:p w14:paraId="0D51324B" w14:textId="77777777" w:rsidR="00A400FF" w:rsidRPr="009F5BDE" w:rsidRDefault="00A400FF" w:rsidP="0020372B">
            <w:pPr>
              <w:spacing w:before="0" w:after="0" w:line="240" w:lineRule="auto"/>
              <w:jc w:val="center"/>
              <w:rPr>
                <w:color w:val="000000"/>
                <w:sz w:val="20"/>
              </w:rPr>
            </w:pPr>
            <w:r w:rsidRPr="009F5BDE">
              <w:rPr>
                <w:color w:val="000000"/>
                <w:sz w:val="20"/>
              </w:rPr>
              <w:t>57</w:t>
            </w:r>
          </w:p>
        </w:tc>
        <w:tc>
          <w:tcPr>
            <w:tcW w:w="908" w:type="dxa"/>
            <w:shd w:val="clear" w:color="auto" w:fill="auto"/>
            <w:noWrap/>
            <w:vAlign w:val="center"/>
            <w:hideMark/>
          </w:tcPr>
          <w:p w14:paraId="7F0331B9" w14:textId="77777777" w:rsidR="00A400FF" w:rsidRPr="009F5BDE" w:rsidRDefault="00A400FF" w:rsidP="0020372B">
            <w:pPr>
              <w:spacing w:before="0" w:after="0" w:line="240" w:lineRule="auto"/>
              <w:jc w:val="center"/>
              <w:rPr>
                <w:color w:val="000000"/>
                <w:sz w:val="20"/>
              </w:rPr>
            </w:pPr>
            <w:r w:rsidRPr="009F5BDE">
              <w:rPr>
                <w:color w:val="000000"/>
                <w:sz w:val="20"/>
              </w:rPr>
              <w:t>30,6%</w:t>
            </w:r>
          </w:p>
        </w:tc>
        <w:tc>
          <w:tcPr>
            <w:tcW w:w="1004" w:type="dxa"/>
            <w:shd w:val="clear" w:color="auto" w:fill="auto"/>
            <w:noWrap/>
            <w:vAlign w:val="center"/>
            <w:hideMark/>
          </w:tcPr>
          <w:p w14:paraId="3897752D" w14:textId="77777777" w:rsidR="00A400FF" w:rsidRPr="009F5BDE" w:rsidRDefault="00A400FF" w:rsidP="0020372B">
            <w:pPr>
              <w:spacing w:before="0" w:after="0" w:line="240" w:lineRule="auto"/>
              <w:jc w:val="center"/>
              <w:rPr>
                <w:color w:val="000000"/>
                <w:sz w:val="20"/>
              </w:rPr>
            </w:pPr>
            <w:r w:rsidRPr="009F5BDE">
              <w:rPr>
                <w:color w:val="000000"/>
                <w:sz w:val="20"/>
              </w:rPr>
              <w:t>122</w:t>
            </w:r>
          </w:p>
        </w:tc>
        <w:tc>
          <w:tcPr>
            <w:tcW w:w="892" w:type="dxa"/>
            <w:gridSpan w:val="2"/>
            <w:shd w:val="clear" w:color="auto" w:fill="auto"/>
            <w:noWrap/>
            <w:vAlign w:val="center"/>
            <w:hideMark/>
          </w:tcPr>
          <w:p w14:paraId="257719A3" w14:textId="77777777" w:rsidR="00A400FF" w:rsidRPr="009F5BDE" w:rsidRDefault="00A400FF" w:rsidP="0020372B">
            <w:pPr>
              <w:spacing w:before="0" w:after="0" w:line="240" w:lineRule="auto"/>
              <w:jc w:val="center"/>
              <w:rPr>
                <w:color w:val="000000"/>
                <w:sz w:val="20"/>
              </w:rPr>
            </w:pPr>
            <w:r w:rsidRPr="009F5BDE">
              <w:rPr>
                <w:color w:val="000000"/>
                <w:sz w:val="20"/>
              </w:rPr>
              <w:t>27,7%</w:t>
            </w:r>
          </w:p>
        </w:tc>
      </w:tr>
      <w:tr w:rsidR="00A400FF" w:rsidRPr="00BA6DCE" w14:paraId="6D42C5DE" w14:textId="77777777" w:rsidTr="0020372B">
        <w:trPr>
          <w:trHeight w:val="20"/>
        </w:trPr>
        <w:tc>
          <w:tcPr>
            <w:tcW w:w="2818" w:type="dxa"/>
            <w:vMerge/>
            <w:shd w:val="clear" w:color="auto" w:fill="auto"/>
            <w:vAlign w:val="center"/>
            <w:hideMark/>
          </w:tcPr>
          <w:p w14:paraId="7E663EE7"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33881AC1"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auto"/>
            <w:noWrap/>
            <w:vAlign w:val="center"/>
            <w:hideMark/>
          </w:tcPr>
          <w:p w14:paraId="07773B41" w14:textId="77777777" w:rsidR="00A400FF" w:rsidRPr="009F5BDE" w:rsidRDefault="00A400FF" w:rsidP="0020372B">
            <w:pPr>
              <w:spacing w:before="0" w:after="0" w:line="240" w:lineRule="auto"/>
              <w:jc w:val="center"/>
              <w:rPr>
                <w:color w:val="000000"/>
                <w:sz w:val="20"/>
              </w:rPr>
            </w:pPr>
            <w:r w:rsidRPr="009F5BDE">
              <w:rPr>
                <w:color w:val="000000"/>
                <w:sz w:val="20"/>
              </w:rPr>
              <w:t>189</w:t>
            </w:r>
          </w:p>
        </w:tc>
        <w:tc>
          <w:tcPr>
            <w:tcW w:w="892" w:type="dxa"/>
            <w:shd w:val="clear" w:color="auto" w:fill="auto"/>
            <w:noWrap/>
            <w:vAlign w:val="center"/>
            <w:hideMark/>
          </w:tcPr>
          <w:p w14:paraId="0428D7A0" w14:textId="77777777" w:rsidR="00A400FF" w:rsidRPr="009F5BDE" w:rsidRDefault="00A400FF" w:rsidP="0020372B">
            <w:pPr>
              <w:spacing w:before="0" w:after="0" w:line="240" w:lineRule="auto"/>
              <w:jc w:val="center"/>
              <w:rPr>
                <w:color w:val="000000"/>
                <w:sz w:val="20"/>
              </w:rPr>
            </w:pPr>
            <w:r w:rsidRPr="009F5BDE">
              <w:rPr>
                <w:color w:val="000000"/>
                <w:sz w:val="20"/>
              </w:rPr>
              <w:t>74,4%</w:t>
            </w:r>
          </w:p>
        </w:tc>
        <w:tc>
          <w:tcPr>
            <w:tcW w:w="1134" w:type="dxa"/>
            <w:shd w:val="clear" w:color="auto" w:fill="auto"/>
            <w:noWrap/>
            <w:vAlign w:val="center"/>
            <w:hideMark/>
          </w:tcPr>
          <w:p w14:paraId="2DE4D2A4" w14:textId="77777777" w:rsidR="00A400FF" w:rsidRPr="009F5BDE" w:rsidRDefault="00A400FF" w:rsidP="0020372B">
            <w:pPr>
              <w:spacing w:before="0" w:after="0" w:line="240" w:lineRule="auto"/>
              <w:jc w:val="center"/>
              <w:rPr>
                <w:color w:val="000000"/>
                <w:sz w:val="20"/>
              </w:rPr>
            </w:pPr>
            <w:r w:rsidRPr="009F5BDE">
              <w:rPr>
                <w:color w:val="000000"/>
                <w:sz w:val="20"/>
              </w:rPr>
              <w:t>129</w:t>
            </w:r>
          </w:p>
        </w:tc>
        <w:tc>
          <w:tcPr>
            <w:tcW w:w="908" w:type="dxa"/>
            <w:shd w:val="clear" w:color="auto" w:fill="auto"/>
            <w:noWrap/>
            <w:vAlign w:val="center"/>
            <w:hideMark/>
          </w:tcPr>
          <w:p w14:paraId="3E71BC4A" w14:textId="77777777" w:rsidR="00A400FF" w:rsidRPr="009F5BDE" w:rsidRDefault="00A400FF" w:rsidP="0020372B">
            <w:pPr>
              <w:spacing w:before="0" w:after="0" w:line="240" w:lineRule="auto"/>
              <w:jc w:val="center"/>
              <w:rPr>
                <w:color w:val="000000"/>
                <w:sz w:val="20"/>
              </w:rPr>
            </w:pPr>
            <w:r w:rsidRPr="009F5BDE">
              <w:rPr>
                <w:color w:val="000000"/>
                <w:sz w:val="20"/>
              </w:rPr>
              <w:t>69,4%</w:t>
            </w:r>
          </w:p>
        </w:tc>
        <w:tc>
          <w:tcPr>
            <w:tcW w:w="1004" w:type="dxa"/>
            <w:shd w:val="clear" w:color="auto" w:fill="auto"/>
            <w:noWrap/>
            <w:vAlign w:val="center"/>
            <w:hideMark/>
          </w:tcPr>
          <w:p w14:paraId="2C512D23" w14:textId="77777777" w:rsidR="00A400FF" w:rsidRPr="009F5BDE" w:rsidRDefault="00A400FF" w:rsidP="0020372B">
            <w:pPr>
              <w:spacing w:before="0" w:after="0" w:line="240" w:lineRule="auto"/>
              <w:jc w:val="center"/>
              <w:rPr>
                <w:color w:val="000000"/>
                <w:sz w:val="20"/>
              </w:rPr>
            </w:pPr>
            <w:r w:rsidRPr="009F5BDE">
              <w:rPr>
                <w:color w:val="000000"/>
                <w:sz w:val="20"/>
              </w:rPr>
              <w:t>318</w:t>
            </w:r>
          </w:p>
        </w:tc>
        <w:tc>
          <w:tcPr>
            <w:tcW w:w="892" w:type="dxa"/>
            <w:gridSpan w:val="2"/>
            <w:shd w:val="clear" w:color="auto" w:fill="auto"/>
            <w:noWrap/>
            <w:vAlign w:val="center"/>
            <w:hideMark/>
          </w:tcPr>
          <w:p w14:paraId="413D71C7" w14:textId="77777777" w:rsidR="00A400FF" w:rsidRPr="009F5BDE" w:rsidRDefault="00A400FF" w:rsidP="0020372B">
            <w:pPr>
              <w:spacing w:before="0" w:after="0" w:line="240" w:lineRule="auto"/>
              <w:jc w:val="center"/>
              <w:rPr>
                <w:color w:val="000000"/>
                <w:sz w:val="20"/>
              </w:rPr>
            </w:pPr>
            <w:r w:rsidRPr="009F5BDE">
              <w:rPr>
                <w:color w:val="000000"/>
                <w:sz w:val="20"/>
              </w:rPr>
              <w:t>72,3%</w:t>
            </w:r>
          </w:p>
        </w:tc>
      </w:tr>
      <w:tr w:rsidR="00A400FF" w:rsidRPr="00BA6DCE" w14:paraId="5F77DAAB" w14:textId="77777777" w:rsidTr="0020372B">
        <w:trPr>
          <w:trHeight w:val="20"/>
        </w:trPr>
        <w:tc>
          <w:tcPr>
            <w:tcW w:w="2818" w:type="dxa"/>
            <w:vMerge/>
            <w:shd w:val="clear" w:color="auto" w:fill="auto"/>
            <w:vAlign w:val="center"/>
            <w:hideMark/>
          </w:tcPr>
          <w:p w14:paraId="35ADC90A"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670653FB"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auto"/>
            <w:noWrap/>
            <w:vAlign w:val="center"/>
            <w:hideMark/>
          </w:tcPr>
          <w:p w14:paraId="78D0ABBB"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auto"/>
            <w:noWrap/>
            <w:vAlign w:val="center"/>
            <w:hideMark/>
          </w:tcPr>
          <w:p w14:paraId="7859262F"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auto"/>
            <w:noWrap/>
            <w:vAlign w:val="center"/>
            <w:hideMark/>
          </w:tcPr>
          <w:p w14:paraId="0F1ABFA8"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auto"/>
            <w:noWrap/>
            <w:vAlign w:val="center"/>
            <w:hideMark/>
          </w:tcPr>
          <w:p w14:paraId="103736C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auto"/>
            <w:noWrap/>
            <w:vAlign w:val="center"/>
            <w:hideMark/>
          </w:tcPr>
          <w:p w14:paraId="313CF9E3"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gridSpan w:val="2"/>
            <w:shd w:val="clear" w:color="auto" w:fill="auto"/>
            <w:noWrap/>
            <w:vAlign w:val="center"/>
            <w:hideMark/>
          </w:tcPr>
          <w:p w14:paraId="0B4B3689"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D324DBF" w14:textId="77777777" w:rsidTr="0020372B">
        <w:trPr>
          <w:gridAfter w:val="1"/>
          <w:wAfter w:w="113" w:type="dxa"/>
          <w:trHeight w:val="20"/>
        </w:trPr>
        <w:tc>
          <w:tcPr>
            <w:tcW w:w="2818" w:type="dxa"/>
            <w:vMerge w:val="restart"/>
            <w:shd w:val="clear" w:color="auto" w:fill="F2F2F2"/>
            <w:vAlign w:val="center"/>
            <w:hideMark/>
          </w:tcPr>
          <w:p w14:paraId="140CB51B" w14:textId="77777777" w:rsidR="00A400FF" w:rsidRPr="009F5BDE" w:rsidRDefault="00A400FF" w:rsidP="0020372B">
            <w:pPr>
              <w:spacing w:before="0" w:after="0" w:line="240" w:lineRule="auto"/>
              <w:jc w:val="left"/>
              <w:rPr>
                <w:color w:val="000000"/>
                <w:sz w:val="20"/>
              </w:rPr>
            </w:pPr>
            <w:r w:rsidRPr="009F5BDE">
              <w:rPr>
                <w:color w:val="000000"/>
                <w:sz w:val="20"/>
              </w:rPr>
              <w:t>Gestion des conflits par les comités de veille</w:t>
            </w:r>
          </w:p>
        </w:tc>
        <w:tc>
          <w:tcPr>
            <w:tcW w:w="668" w:type="dxa"/>
            <w:shd w:val="clear" w:color="auto" w:fill="F2F2F2"/>
            <w:vAlign w:val="center"/>
            <w:hideMark/>
          </w:tcPr>
          <w:p w14:paraId="468C7E43"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2F2F2"/>
            <w:noWrap/>
            <w:vAlign w:val="center"/>
            <w:hideMark/>
          </w:tcPr>
          <w:p w14:paraId="16D4A5B0" w14:textId="77777777" w:rsidR="00A400FF" w:rsidRPr="009F5BDE" w:rsidRDefault="00A400FF" w:rsidP="0020372B">
            <w:pPr>
              <w:spacing w:before="0" w:after="0" w:line="240" w:lineRule="auto"/>
              <w:jc w:val="center"/>
              <w:rPr>
                <w:color w:val="000000"/>
                <w:sz w:val="20"/>
              </w:rPr>
            </w:pPr>
            <w:r w:rsidRPr="009F5BDE">
              <w:rPr>
                <w:color w:val="000000"/>
                <w:sz w:val="20"/>
              </w:rPr>
              <w:t>68</w:t>
            </w:r>
          </w:p>
        </w:tc>
        <w:tc>
          <w:tcPr>
            <w:tcW w:w="892" w:type="dxa"/>
            <w:shd w:val="clear" w:color="auto" w:fill="F2F2F2"/>
            <w:noWrap/>
            <w:vAlign w:val="center"/>
            <w:hideMark/>
          </w:tcPr>
          <w:p w14:paraId="76E50024" w14:textId="77777777" w:rsidR="00A400FF" w:rsidRPr="009F5BDE" w:rsidRDefault="00A400FF" w:rsidP="0020372B">
            <w:pPr>
              <w:spacing w:before="0" w:after="0" w:line="240" w:lineRule="auto"/>
              <w:jc w:val="center"/>
              <w:rPr>
                <w:color w:val="000000"/>
                <w:sz w:val="20"/>
              </w:rPr>
            </w:pPr>
            <w:r w:rsidRPr="009F5BDE">
              <w:rPr>
                <w:color w:val="000000"/>
                <w:sz w:val="20"/>
              </w:rPr>
              <w:t>26,8%</w:t>
            </w:r>
          </w:p>
        </w:tc>
        <w:tc>
          <w:tcPr>
            <w:tcW w:w="1134" w:type="dxa"/>
            <w:shd w:val="clear" w:color="auto" w:fill="F2F2F2"/>
            <w:noWrap/>
            <w:vAlign w:val="center"/>
            <w:hideMark/>
          </w:tcPr>
          <w:p w14:paraId="4A434F8D" w14:textId="77777777" w:rsidR="00A400FF" w:rsidRPr="009F5BDE" w:rsidRDefault="00A400FF" w:rsidP="0020372B">
            <w:pPr>
              <w:spacing w:before="0" w:after="0" w:line="240" w:lineRule="auto"/>
              <w:jc w:val="center"/>
              <w:rPr>
                <w:color w:val="000000"/>
                <w:sz w:val="20"/>
              </w:rPr>
            </w:pPr>
            <w:r w:rsidRPr="009F5BDE">
              <w:rPr>
                <w:color w:val="000000"/>
                <w:sz w:val="20"/>
              </w:rPr>
              <w:t>36</w:t>
            </w:r>
          </w:p>
        </w:tc>
        <w:tc>
          <w:tcPr>
            <w:tcW w:w="908" w:type="dxa"/>
            <w:shd w:val="clear" w:color="auto" w:fill="F2F2F2"/>
            <w:noWrap/>
            <w:vAlign w:val="center"/>
            <w:hideMark/>
          </w:tcPr>
          <w:p w14:paraId="134FB269" w14:textId="77777777" w:rsidR="00A400FF" w:rsidRPr="009F5BDE" w:rsidRDefault="00A400FF" w:rsidP="0020372B">
            <w:pPr>
              <w:spacing w:before="0" w:after="0" w:line="240" w:lineRule="auto"/>
              <w:jc w:val="center"/>
              <w:rPr>
                <w:color w:val="000000"/>
                <w:sz w:val="20"/>
              </w:rPr>
            </w:pPr>
            <w:r w:rsidRPr="009F5BDE">
              <w:rPr>
                <w:color w:val="000000"/>
                <w:sz w:val="20"/>
              </w:rPr>
              <w:t>19,4%</w:t>
            </w:r>
          </w:p>
        </w:tc>
        <w:tc>
          <w:tcPr>
            <w:tcW w:w="1004" w:type="dxa"/>
            <w:shd w:val="clear" w:color="auto" w:fill="F2F2F2"/>
            <w:noWrap/>
            <w:vAlign w:val="center"/>
            <w:hideMark/>
          </w:tcPr>
          <w:p w14:paraId="737C25FB" w14:textId="77777777" w:rsidR="00A400FF" w:rsidRPr="009F5BDE" w:rsidRDefault="00A400FF" w:rsidP="0020372B">
            <w:pPr>
              <w:spacing w:before="0" w:after="0" w:line="240" w:lineRule="auto"/>
              <w:jc w:val="center"/>
              <w:rPr>
                <w:color w:val="000000"/>
                <w:sz w:val="20"/>
              </w:rPr>
            </w:pPr>
            <w:r w:rsidRPr="009F5BDE">
              <w:rPr>
                <w:color w:val="000000"/>
                <w:sz w:val="20"/>
              </w:rPr>
              <w:t>104</w:t>
            </w:r>
          </w:p>
        </w:tc>
        <w:tc>
          <w:tcPr>
            <w:tcW w:w="892" w:type="dxa"/>
            <w:shd w:val="clear" w:color="auto" w:fill="F2F2F2"/>
            <w:noWrap/>
            <w:vAlign w:val="center"/>
            <w:hideMark/>
          </w:tcPr>
          <w:p w14:paraId="7CCA0517" w14:textId="77777777" w:rsidR="00A400FF" w:rsidRPr="009F5BDE" w:rsidRDefault="00A400FF" w:rsidP="0020372B">
            <w:pPr>
              <w:spacing w:before="0" w:after="0" w:line="240" w:lineRule="auto"/>
              <w:jc w:val="center"/>
              <w:rPr>
                <w:color w:val="000000"/>
                <w:sz w:val="20"/>
              </w:rPr>
            </w:pPr>
            <w:r w:rsidRPr="009F5BDE">
              <w:rPr>
                <w:color w:val="000000"/>
                <w:sz w:val="20"/>
              </w:rPr>
              <w:t>23,6%</w:t>
            </w:r>
          </w:p>
        </w:tc>
      </w:tr>
      <w:tr w:rsidR="00A400FF" w:rsidRPr="00BA6DCE" w14:paraId="4228F2B1" w14:textId="77777777" w:rsidTr="0020372B">
        <w:trPr>
          <w:gridAfter w:val="1"/>
          <w:wAfter w:w="113" w:type="dxa"/>
          <w:trHeight w:val="20"/>
        </w:trPr>
        <w:tc>
          <w:tcPr>
            <w:tcW w:w="2818" w:type="dxa"/>
            <w:vMerge/>
            <w:shd w:val="clear" w:color="auto" w:fill="F2F2F2"/>
            <w:vAlign w:val="center"/>
            <w:hideMark/>
          </w:tcPr>
          <w:p w14:paraId="3DDD851C"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6484C39"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2F2F2"/>
            <w:noWrap/>
            <w:vAlign w:val="center"/>
            <w:hideMark/>
          </w:tcPr>
          <w:p w14:paraId="4EA12ABB" w14:textId="77777777" w:rsidR="00A400FF" w:rsidRPr="009F5BDE" w:rsidRDefault="00A400FF" w:rsidP="0020372B">
            <w:pPr>
              <w:spacing w:before="0" w:after="0" w:line="240" w:lineRule="auto"/>
              <w:jc w:val="center"/>
              <w:rPr>
                <w:color w:val="000000"/>
                <w:sz w:val="20"/>
              </w:rPr>
            </w:pPr>
            <w:r w:rsidRPr="009F5BDE">
              <w:rPr>
                <w:color w:val="000000"/>
                <w:sz w:val="20"/>
              </w:rPr>
              <w:t>186</w:t>
            </w:r>
          </w:p>
        </w:tc>
        <w:tc>
          <w:tcPr>
            <w:tcW w:w="892" w:type="dxa"/>
            <w:shd w:val="clear" w:color="auto" w:fill="F2F2F2"/>
            <w:noWrap/>
            <w:vAlign w:val="center"/>
            <w:hideMark/>
          </w:tcPr>
          <w:p w14:paraId="17F123E0" w14:textId="77777777" w:rsidR="00A400FF" w:rsidRPr="009F5BDE" w:rsidRDefault="00A400FF" w:rsidP="0020372B">
            <w:pPr>
              <w:spacing w:before="0" w:after="0" w:line="240" w:lineRule="auto"/>
              <w:jc w:val="center"/>
              <w:rPr>
                <w:color w:val="000000"/>
                <w:sz w:val="20"/>
              </w:rPr>
            </w:pPr>
            <w:r w:rsidRPr="009F5BDE">
              <w:rPr>
                <w:color w:val="000000"/>
                <w:sz w:val="20"/>
              </w:rPr>
              <w:t>73,2%</w:t>
            </w:r>
          </w:p>
        </w:tc>
        <w:tc>
          <w:tcPr>
            <w:tcW w:w="1134" w:type="dxa"/>
            <w:shd w:val="clear" w:color="auto" w:fill="F2F2F2"/>
            <w:noWrap/>
            <w:vAlign w:val="center"/>
            <w:hideMark/>
          </w:tcPr>
          <w:p w14:paraId="18F9F6FC" w14:textId="77777777" w:rsidR="00A400FF" w:rsidRPr="009F5BDE" w:rsidRDefault="00A400FF" w:rsidP="0020372B">
            <w:pPr>
              <w:spacing w:before="0" w:after="0" w:line="240" w:lineRule="auto"/>
              <w:jc w:val="center"/>
              <w:rPr>
                <w:color w:val="000000"/>
                <w:sz w:val="20"/>
              </w:rPr>
            </w:pPr>
            <w:r w:rsidRPr="009F5BDE">
              <w:rPr>
                <w:color w:val="000000"/>
                <w:sz w:val="20"/>
              </w:rPr>
              <w:t>150</w:t>
            </w:r>
          </w:p>
        </w:tc>
        <w:tc>
          <w:tcPr>
            <w:tcW w:w="908" w:type="dxa"/>
            <w:shd w:val="clear" w:color="auto" w:fill="F2F2F2"/>
            <w:noWrap/>
            <w:vAlign w:val="center"/>
            <w:hideMark/>
          </w:tcPr>
          <w:p w14:paraId="4884D446" w14:textId="77777777" w:rsidR="00A400FF" w:rsidRPr="009F5BDE" w:rsidRDefault="00A400FF" w:rsidP="0020372B">
            <w:pPr>
              <w:spacing w:before="0" w:after="0" w:line="240" w:lineRule="auto"/>
              <w:jc w:val="center"/>
              <w:rPr>
                <w:color w:val="000000"/>
                <w:sz w:val="20"/>
              </w:rPr>
            </w:pPr>
            <w:r w:rsidRPr="009F5BDE">
              <w:rPr>
                <w:color w:val="000000"/>
                <w:sz w:val="20"/>
              </w:rPr>
              <w:t>80,6%</w:t>
            </w:r>
          </w:p>
        </w:tc>
        <w:tc>
          <w:tcPr>
            <w:tcW w:w="1004" w:type="dxa"/>
            <w:shd w:val="clear" w:color="auto" w:fill="F2F2F2"/>
            <w:noWrap/>
            <w:vAlign w:val="center"/>
            <w:hideMark/>
          </w:tcPr>
          <w:p w14:paraId="2AD05A25" w14:textId="77777777" w:rsidR="00A400FF" w:rsidRPr="009F5BDE" w:rsidRDefault="00A400FF" w:rsidP="0020372B">
            <w:pPr>
              <w:spacing w:before="0" w:after="0" w:line="240" w:lineRule="auto"/>
              <w:jc w:val="center"/>
              <w:rPr>
                <w:color w:val="000000"/>
                <w:sz w:val="20"/>
              </w:rPr>
            </w:pPr>
            <w:r w:rsidRPr="009F5BDE">
              <w:rPr>
                <w:color w:val="000000"/>
                <w:sz w:val="20"/>
              </w:rPr>
              <w:t>336</w:t>
            </w:r>
          </w:p>
        </w:tc>
        <w:tc>
          <w:tcPr>
            <w:tcW w:w="892" w:type="dxa"/>
            <w:shd w:val="clear" w:color="auto" w:fill="F2F2F2"/>
            <w:noWrap/>
            <w:vAlign w:val="center"/>
            <w:hideMark/>
          </w:tcPr>
          <w:p w14:paraId="161F19AE" w14:textId="77777777" w:rsidR="00A400FF" w:rsidRPr="009F5BDE" w:rsidRDefault="00A400FF" w:rsidP="0020372B">
            <w:pPr>
              <w:spacing w:before="0" w:after="0" w:line="240" w:lineRule="auto"/>
              <w:jc w:val="center"/>
              <w:rPr>
                <w:color w:val="000000"/>
                <w:sz w:val="20"/>
              </w:rPr>
            </w:pPr>
            <w:r w:rsidRPr="009F5BDE">
              <w:rPr>
                <w:color w:val="000000"/>
                <w:sz w:val="20"/>
              </w:rPr>
              <w:t>76,4%</w:t>
            </w:r>
          </w:p>
        </w:tc>
      </w:tr>
      <w:tr w:rsidR="00A400FF" w:rsidRPr="00BA6DCE" w14:paraId="23A84FB7" w14:textId="77777777" w:rsidTr="0020372B">
        <w:trPr>
          <w:gridAfter w:val="1"/>
          <w:wAfter w:w="113" w:type="dxa"/>
          <w:trHeight w:val="20"/>
        </w:trPr>
        <w:tc>
          <w:tcPr>
            <w:tcW w:w="2818" w:type="dxa"/>
            <w:vMerge/>
            <w:shd w:val="clear" w:color="auto" w:fill="F2F2F2"/>
            <w:vAlign w:val="center"/>
            <w:hideMark/>
          </w:tcPr>
          <w:p w14:paraId="37F338E8"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08DAF680"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2F2F2"/>
            <w:noWrap/>
            <w:vAlign w:val="center"/>
            <w:hideMark/>
          </w:tcPr>
          <w:p w14:paraId="532F3449"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F2F2F2"/>
            <w:noWrap/>
            <w:vAlign w:val="center"/>
            <w:hideMark/>
          </w:tcPr>
          <w:p w14:paraId="54F5BFAB"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2F2F2"/>
            <w:noWrap/>
            <w:vAlign w:val="center"/>
            <w:hideMark/>
          </w:tcPr>
          <w:p w14:paraId="72C6D337"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F2F2F2"/>
            <w:noWrap/>
            <w:vAlign w:val="center"/>
            <w:hideMark/>
          </w:tcPr>
          <w:p w14:paraId="50A1EBDA"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2F2F2"/>
            <w:noWrap/>
            <w:vAlign w:val="center"/>
            <w:hideMark/>
          </w:tcPr>
          <w:p w14:paraId="6EE1E23C"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shd w:val="clear" w:color="auto" w:fill="F2F2F2"/>
            <w:noWrap/>
            <w:vAlign w:val="center"/>
            <w:hideMark/>
          </w:tcPr>
          <w:p w14:paraId="6AB1020B"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9A1B45B" w14:textId="77777777" w:rsidTr="0020372B">
        <w:trPr>
          <w:trHeight w:val="20"/>
        </w:trPr>
        <w:tc>
          <w:tcPr>
            <w:tcW w:w="2818" w:type="dxa"/>
            <w:vMerge w:val="restart"/>
            <w:shd w:val="clear" w:color="auto" w:fill="auto"/>
            <w:vAlign w:val="center"/>
            <w:hideMark/>
          </w:tcPr>
          <w:p w14:paraId="0B06F2A8" w14:textId="77777777" w:rsidR="00A400FF" w:rsidRPr="009F5BDE" w:rsidRDefault="00A400FF" w:rsidP="0020372B">
            <w:pPr>
              <w:spacing w:before="0" w:after="0" w:line="240" w:lineRule="auto"/>
              <w:jc w:val="left"/>
              <w:rPr>
                <w:color w:val="000000"/>
                <w:sz w:val="20"/>
              </w:rPr>
            </w:pPr>
            <w:r w:rsidRPr="009F5BDE">
              <w:rPr>
                <w:color w:val="000000"/>
                <w:sz w:val="20"/>
              </w:rPr>
              <w:t>Sensibilisation des populations sur leurs droits et devoirs en matière de sécurité et de cohésion sociale</w:t>
            </w:r>
          </w:p>
        </w:tc>
        <w:tc>
          <w:tcPr>
            <w:tcW w:w="668" w:type="dxa"/>
            <w:shd w:val="clear" w:color="auto" w:fill="auto"/>
            <w:vAlign w:val="center"/>
            <w:hideMark/>
          </w:tcPr>
          <w:p w14:paraId="2497BBF9"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auto"/>
            <w:noWrap/>
            <w:vAlign w:val="center"/>
            <w:hideMark/>
          </w:tcPr>
          <w:p w14:paraId="6C1307FC" w14:textId="77777777" w:rsidR="00A400FF" w:rsidRPr="009F5BDE" w:rsidRDefault="00A400FF" w:rsidP="0020372B">
            <w:pPr>
              <w:spacing w:before="0" w:after="0" w:line="240" w:lineRule="auto"/>
              <w:jc w:val="center"/>
              <w:rPr>
                <w:color w:val="000000"/>
                <w:sz w:val="20"/>
              </w:rPr>
            </w:pPr>
            <w:r w:rsidRPr="009F5BDE">
              <w:rPr>
                <w:color w:val="000000"/>
                <w:sz w:val="20"/>
              </w:rPr>
              <w:t>9</w:t>
            </w:r>
          </w:p>
        </w:tc>
        <w:tc>
          <w:tcPr>
            <w:tcW w:w="892" w:type="dxa"/>
            <w:shd w:val="clear" w:color="auto" w:fill="auto"/>
            <w:noWrap/>
            <w:vAlign w:val="center"/>
            <w:hideMark/>
          </w:tcPr>
          <w:p w14:paraId="31264828" w14:textId="77777777" w:rsidR="00A400FF" w:rsidRPr="009F5BDE" w:rsidRDefault="00A400FF" w:rsidP="0020372B">
            <w:pPr>
              <w:spacing w:before="0" w:after="0" w:line="240" w:lineRule="auto"/>
              <w:jc w:val="center"/>
              <w:rPr>
                <w:color w:val="000000"/>
                <w:sz w:val="20"/>
              </w:rPr>
            </w:pPr>
            <w:r w:rsidRPr="009F5BDE">
              <w:rPr>
                <w:color w:val="000000"/>
                <w:sz w:val="20"/>
              </w:rPr>
              <w:t>3,5%</w:t>
            </w:r>
          </w:p>
        </w:tc>
        <w:tc>
          <w:tcPr>
            <w:tcW w:w="1134" w:type="dxa"/>
            <w:shd w:val="clear" w:color="auto" w:fill="auto"/>
            <w:noWrap/>
            <w:vAlign w:val="center"/>
            <w:hideMark/>
          </w:tcPr>
          <w:p w14:paraId="24AAF8E1" w14:textId="77777777" w:rsidR="00A400FF" w:rsidRPr="009F5BDE" w:rsidRDefault="00A400FF" w:rsidP="0020372B">
            <w:pPr>
              <w:spacing w:before="0" w:after="0" w:line="240" w:lineRule="auto"/>
              <w:jc w:val="center"/>
              <w:rPr>
                <w:color w:val="000000"/>
                <w:sz w:val="20"/>
              </w:rPr>
            </w:pPr>
            <w:r w:rsidRPr="009F5BDE">
              <w:rPr>
                <w:color w:val="000000"/>
                <w:sz w:val="20"/>
              </w:rPr>
              <w:t>9</w:t>
            </w:r>
          </w:p>
        </w:tc>
        <w:tc>
          <w:tcPr>
            <w:tcW w:w="908" w:type="dxa"/>
            <w:shd w:val="clear" w:color="auto" w:fill="auto"/>
            <w:noWrap/>
            <w:vAlign w:val="center"/>
            <w:hideMark/>
          </w:tcPr>
          <w:p w14:paraId="4E1A9B1E" w14:textId="77777777" w:rsidR="00A400FF" w:rsidRPr="009F5BDE" w:rsidRDefault="00A400FF" w:rsidP="0020372B">
            <w:pPr>
              <w:spacing w:before="0" w:after="0" w:line="240" w:lineRule="auto"/>
              <w:jc w:val="center"/>
              <w:rPr>
                <w:color w:val="000000"/>
                <w:sz w:val="20"/>
              </w:rPr>
            </w:pPr>
            <w:r w:rsidRPr="009F5BDE">
              <w:rPr>
                <w:color w:val="000000"/>
                <w:sz w:val="20"/>
              </w:rPr>
              <w:t>4,8%</w:t>
            </w:r>
          </w:p>
        </w:tc>
        <w:tc>
          <w:tcPr>
            <w:tcW w:w="1004" w:type="dxa"/>
            <w:shd w:val="clear" w:color="auto" w:fill="auto"/>
            <w:noWrap/>
            <w:vAlign w:val="center"/>
            <w:hideMark/>
          </w:tcPr>
          <w:p w14:paraId="6DBD9D65" w14:textId="77777777" w:rsidR="00A400FF" w:rsidRPr="009F5BDE" w:rsidRDefault="00A400FF" w:rsidP="0020372B">
            <w:pPr>
              <w:spacing w:before="0" w:after="0" w:line="240" w:lineRule="auto"/>
              <w:jc w:val="center"/>
              <w:rPr>
                <w:color w:val="000000"/>
                <w:sz w:val="20"/>
              </w:rPr>
            </w:pPr>
            <w:r w:rsidRPr="009F5BDE">
              <w:rPr>
                <w:color w:val="000000"/>
                <w:sz w:val="20"/>
              </w:rPr>
              <w:t>18</w:t>
            </w:r>
          </w:p>
        </w:tc>
        <w:tc>
          <w:tcPr>
            <w:tcW w:w="892" w:type="dxa"/>
            <w:gridSpan w:val="2"/>
            <w:shd w:val="clear" w:color="auto" w:fill="auto"/>
            <w:noWrap/>
            <w:vAlign w:val="center"/>
            <w:hideMark/>
          </w:tcPr>
          <w:p w14:paraId="1E4C212E" w14:textId="77777777" w:rsidR="00A400FF" w:rsidRPr="009F5BDE" w:rsidRDefault="00A400FF" w:rsidP="0020372B">
            <w:pPr>
              <w:spacing w:before="0" w:after="0" w:line="240" w:lineRule="auto"/>
              <w:jc w:val="center"/>
              <w:rPr>
                <w:color w:val="000000"/>
                <w:sz w:val="20"/>
              </w:rPr>
            </w:pPr>
            <w:r w:rsidRPr="009F5BDE">
              <w:rPr>
                <w:color w:val="000000"/>
                <w:sz w:val="20"/>
              </w:rPr>
              <w:t>4,1%</w:t>
            </w:r>
          </w:p>
        </w:tc>
      </w:tr>
      <w:tr w:rsidR="00A400FF" w:rsidRPr="00BA6DCE" w14:paraId="51126336" w14:textId="77777777" w:rsidTr="0020372B">
        <w:trPr>
          <w:trHeight w:val="20"/>
        </w:trPr>
        <w:tc>
          <w:tcPr>
            <w:tcW w:w="2818" w:type="dxa"/>
            <w:vMerge/>
            <w:shd w:val="clear" w:color="auto" w:fill="auto"/>
            <w:vAlign w:val="center"/>
            <w:hideMark/>
          </w:tcPr>
          <w:p w14:paraId="7B90EE4E"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02133215"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auto"/>
            <w:noWrap/>
            <w:vAlign w:val="center"/>
            <w:hideMark/>
          </w:tcPr>
          <w:p w14:paraId="3574F9F7" w14:textId="77777777" w:rsidR="00A400FF" w:rsidRPr="009F5BDE" w:rsidRDefault="00A400FF" w:rsidP="0020372B">
            <w:pPr>
              <w:spacing w:before="0" w:after="0" w:line="240" w:lineRule="auto"/>
              <w:jc w:val="center"/>
              <w:rPr>
                <w:color w:val="000000"/>
                <w:sz w:val="20"/>
              </w:rPr>
            </w:pPr>
            <w:r w:rsidRPr="009F5BDE">
              <w:rPr>
                <w:color w:val="000000"/>
                <w:sz w:val="20"/>
              </w:rPr>
              <w:t>245</w:t>
            </w:r>
          </w:p>
        </w:tc>
        <w:tc>
          <w:tcPr>
            <w:tcW w:w="892" w:type="dxa"/>
            <w:shd w:val="clear" w:color="auto" w:fill="auto"/>
            <w:noWrap/>
            <w:vAlign w:val="center"/>
            <w:hideMark/>
          </w:tcPr>
          <w:p w14:paraId="63A64442" w14:textId="77777777" w:rsidR="00A400FF" w:rsidRPr="009F5BDE" w:rsidRDefault="00A400FF" w:rsidP="0020372B">
            <w:pPr>
              <w:spacing w:before="0" w:after="0" w:line="240" w:lineRule="auto"/>
              <w:jc w:val="center"/>
              <w:rPr>
                <w:color w:val="000000"/>
                <w:sz w:val="20"/>
              </w:rPr>
            </w:pPr>
            <w:r w:rsidRPr="009F5BDE">
              <w:rPr>
                <w:color w:val="000000"/>
                <w:sz w:val="20"/>
              </w:rPr>
              <w:t>96,5%</w:t>
            </w:r>
          </w:p>
        </w:tc>
        <w:tc>
          <w:tcPr>
            <w:tcW w:w="1134" w:type="dxa"/>
            <w:shd w:val="clear" w:color="auto" w:fill="auto"/>
            <w:noWrap/>
            <w:vAlign w:val="center"/>
            <w:hideMark/>
          </w:tcPr>
          <w:p w14:paraId="7C958C69" w14:textId="77777777" w:rsidR="00A400FF" w:rsidRPr="009F5BDE" w:rsidRDefault="00A400FF" w:rsidP="0020372B">
            <w:pPr>
              <w:spacing w:before="0" w:after="0" w:line="240" w:lineRule="auto"/>
              <w:jc w:val="center"/>
              <w:rPr>
                <w:color w:val="000000"/>
                <w:sz w:val="20"/>
              </w:rPr>
            </w:pPr>
            <w:r w:rsidRPr="009F5BDE">
              <w:rPr>
                <w:color w:val="000000"/>
                <w:sz w:val="20"/>
              </w:rPr>
              <w:t>177</w:t>
            </w:r>
          </w:p>
        </w:tc>
        <w:tc>
          <w:tcPr>
            <w:tcW w:w="908" w:type="dxa"/>
            <w:shd w:val="clear" w:color="auto" w:fill="auto"/>
            <w:noWrap/>
            <w:vAlign w:val="center"/>
            <w:hideMark/>
          </w:tcPr>
          <w:p w14:paraId="1038A2B1" w14:textId="77777777" w:rsidR="00A400FF" w:rsidRPr="009F5BDE" w:rsidRDefault="00A400FF" w:rsidP="0020372B">
            <w:pPr>
              <w:spacing w:before="0" w:after="0" w:line="240" w:lineRule="auto"/>
              <w:jc w:val="center"/>
              <w:rPr>
                <w:color w:val="000000"/>
                <w:sz w:val="20"/>
              </w:rPr>
            </w:pPr>
            <w:r w:rsidRPr="009F5BDE">
              <w:rPr>
                <w:color w:val="000000"/>
                <w:sz w:val="20"/>
              </w:rPr>
              <w:t>95,2%</w:t>
            </w:r>
          </w:p>
        </w:tc>
        <w:tc>
          <w:tcPr>
            <w:tcW w:w="1004" w:type="dxa"/>
            <w:shd w:val="clear" w:color="auto" w:fill="auto"/>
            <w:noWrap/>
            <w:vAlign w:val="center"/>
            <w:hideMark/>
          </w:tcPr>
          <w:p w14:paraId="67C60E3B" w14:textId="77777777" w:rsidR="00A400FF" w:rsidRPr="009F5BDE" w:rsidRDefault="00A400FF" w:rsidP="0020372B">
            <w:pPr>
              <w:spacing w:before="0" w:after="0" w:line="240" w:lineRule="auto"/>
              <w:jc w:val="center"/>
              <w:rPr>
                <w:color w:val="000000"/>
                <w:sz w:val="20"/>
              </w:rPr>
            </w:pPr>
            <w:r w:rsidRPr="009F5BDE">
              <w:rPr>
                <w:color w:val="000000"/>
                <w:sz w:val="20"/>
              </w:rPr>
              <w:t>422</w:t>
            </w:r>
          </w:p>
        </w:tc>
        <w:tc>
          <w:tcPr>
            <w:tcW w:w="892" w:type="dxa"/>
            <w:gridSpan w:val="2"/>
            <w:shd w:val="clear" w:color="auto" w:fill="auto"/>
            <w:noWrap/>
            <w:vAlign w:val="center"/>
            <w:hideMark/>
          </w:tcPr>
          <w:p w14:paraId="341CD489" w14:textId="77777777" w:rsidR="00A400FF" w:rsidRPr="009F5BDE" w:rsidRDefault="00A400FF" w:rsidP="0020372B">
            <w:pPr>
              <w:spacing w:before="0" w:after="0" w:line="240" w:lineRule="auto"/>
              <w:jc w:val="center"/>
              <w:rPr>
                <w:color w:val="000000"/>
                <w:sz w:val="20"/>
              </w:rPr>
            </w:pPr>
            <w:r w:rsidRPr="009F5BDE">
              <w:rPr>
                <w:color w:val="000000"/>
                <w:sz w:val="20"/>
              </w:rPr>
              <w:t>95,9%</w:t>
            </w:r>
          </w:p>
        </w:tc>
      </w:tr>
      <w:tr w:rsidR="00A400FF" w:rsidRPr="00BA6DCE" w14:paraId="0A49DA02" w14:textId="77777777" w:rsidTr="0020372B">
        <w:trPr>
          <w:trHeight w:val="20"/>
        </w:trPr>
        <w:tc>
          <w:tcPr>
            <w:tcW w:w="2818" w:type="dxa"/>
            <w:vMerge/>
            <w:shd w:val="clear" w:color="auto" w:fill="auto"/>
            <w:vAlign w:val="center"/>
            <w:hideMark/>
          </w:tcPr>
          <w:p w14:paraId="4974E77B"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24E143DC"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auto"/>
            <w:noWrap/>
            <w:vAlign w:val="center"/>
            <w:hideMark/>
          </w:tcPr>
          <w:p w14:paraId="70F51128"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auto"/>
            <w:noWrap/>
            <w:vAlign w:val="center"/>
            <w:hideMark/>
          </w:tcPr>
          <w:p w14:paraId="04A01B41"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auto"/>
            <w:noWrap/>
            <w:vAlign w:val="center"/>
            <w:hideMark/>
          </w:tcPr>
          <w:p w14:paraId="0D423980"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auto"/>
            <w:noWrap/>
            <w:vAlign w:val="center"/>
            <w:hideMark/>
          </w:tcPr>
          <w:p w14:paraId="40A48F69"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auto"/>
            <w:noWrap/>
            <w:vAlign w:val="center"/>
            <w:hideMark/>
          </w:tcPr>
          <w:p w14:paraId="041E738F"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gridSpan w:val="2"/>
            <w:shd w:val="clear" w:color="auto" w:fill="auto"/>
            <w:noWrap/>
            <w:vAlign w:val="center"/>
            <w:hideMark/>
          </w:tcPr>
          <w:p w14:paraId="1F43E235"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5B2F3B1B" w14:textId="77777777" w:rsidTr="0020372B">
        <w:trPr>
          <w:gridAfter w:val="1"/>
          <w:wAfter w:w="113" w:type="dxa"/>
          <w:trHeight w:val="20"/>
        </w:trPr>
        <w:tc>
          <w:tcPr>
            <w:tcW w:w="2818" w:type="dxa"/>
            <w:vMerge w:val="restart"/>
            <w:shd w:val="clear" w:color="auto" w:fill="FFF2CC"/>
            <w:vAlign w:val="center"/>
            <w:hideMark/>
          </w:tcPr>
          <w:p w14:paraId="4E3D2E88" w14:textId="77777777" w:rsidR="00A400FF" w:rsidRPr="009F5BDE" w:rsidRDefault="00A400FF" w:rsidP="0020372B">
            <w:pPr>
              <w:spacing w:before="0" w:after="0" w:line="240" w:lineRule="auto"/>
              <w:jc w:val="left"/>
              <w:rPr>
                <w:color w:val="000000"/>
                <w:sz w:val="20"/>
              </w:rPr>
            </w:pPr>
            <w:r w:rsidRPr="009F5BDE">
              <w:rPr>
                <w:color w:val="000000"/>
                <w:sz w:val="20"/>
              </w:rPr>
              <w:t>Synthèse globale des avis</w:t>
            </w:r>
          </w:p>
        </w:tc>
        <w:tc>
          <w:tcPr>
            <w:tcW w:w="668" w:type="dxa"/>
            <w:shd w:val="clear" w:color="auto" w:fill="FFF2CC"/>
            <w:vAlign w:val="center"/>
            <w:hideMark/>
          </w:tcPr>
          <w:p w14:paraId="1C2EECE7"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FF2CC"/>
            <w:noWrap/>
            <w:vAlign w:val="center"/>
            <w:hideMark/>
          </w:tcPr>
          <w:p w14:paraId="4F43170F" w14:textId="77777777" w:rsidR="00A400FF" w:rsidRPr="009F5BDE" w:rsidRDefault="00A400FF" w:rsidP="0020372B">
            <w:pPr>
              <w:spacing w:before="0" w:after="0" w:line="240" w:lineRule="auto"/>
              <w:jc w:val="center"/>
              <w:rPr>
                <w:color w:val="000000"/>
                <w:sz w:val="20"/>
              </w:rPr>
            </w:pPr>
            <w:r w:rsidRPr="009F5BDE">
              <w:rPr>
                <w:color w:val="000000"/>
                <w:sz w:val="20"/>
              </w:rPr>
              <w:t>201</w:t>
            </w:r>
          </w:p>
        </w:tc>
        <w:tc>
          <w:tcPr>
            <w:tcW w:w="892" w:type="dxa"/>
            <w:shd w:val="clear" w:color="auto" w:fill="FFF2CC"/>
            <w:noWrap/>
            <w:vAlign w:val="center"/>
            <w:hideMark/>
          </w:tcPr>
          <w:p w14:paraId="5BD87CAE" w14:textId="77777777" w:rsidR="00A400FF" w:rsidRPr="009F5BDE" w:rsidRDefault="00A400FF" w:rsidP="0020372B">
            <w:pPr>
              <w:spacing w:before="0" w:after="0" w:line="240" w:lineRule="auto"/>
              <w:jc w:val="center"/>
              <w:rPr>
                <w:color w:val="000000"/>
                <w:sz w:val="20"/>
              </w:rPr>
            </w:pPr>
            <w:r w:rsidRPr="009F5BDE">
              <w:rPr>
                <w:color w:val="000000"/>
                <w:sz w:val="20"/>
              </w:rPr>
              <w:t>19,8%</w:t>
            </w:r>
          </w:p>
        </w:tc>
        <w:tc>
          <w:tcPr>
            <w:tcW w:w="1134" w:type="dxa"/>
            <w:shd w:val="clear" w:color="auto" w:fill="FFF2CC"/>
            <w:noWrap/>
            <w:vAlign w:val="center"/>
            <w:hideMark/>
          </w:tcPr>
          <w:p w14:paraId="1B33FE13" w14:textId="77777777" w:rsidR="00A400FF" w:rsidRPr="009F5BDE" w:rsidRDefault="00A400FF" w:rsidP="0020372B">
            <w:pPr>
              <w:spacing w:before="0" w:after="0" w:line="240" w:lineRule="auto"/>
              <w:jc w:val="center"/>
              <w:rPr>
                <w:color w:val="000000"/>
                <w:sz w:val="20"/>
              </w:rPr>
            </w:pPr>
            <w:r w:rsidRPr="009F5BDE">
              <w:rPr>
                <w:color w:val="000000"/>
                <w:sz w:val="20"/>
              </w:rPr>
              <w:t>134</w:t>
            </w:r>
          </w:p>
        </w:tc>
        <w:tc>
          <w:tcPr>
            <w:tcW w:w="908" w:type="dxa"/>
            <w:shd w:val="clear" w:color="auto" w:fill="FFF2CC"/>
            <w:noWrap/>
            <w:vAlign w:val="center"/>
            <w:hideMark/>
          </w:tcPr>
          <w:p w14:paraId="34A6D0BB" w14:textId="77777777" w:rsidR="00A400FF" w:rsidRPr="009F5BDE" w:rsidRDefault="00A400FF" w:rsidP="0020372B">
            <w:pPr>
              <w:spacing w:before="0" w:after="0" w:line="240" w:lineRule="auto"/>
              <w:jc w:val="center"/>
              <w:rPr>
                <w:color w:val="000000"/>
                <w:sz w:val="20"/>
              </w:rPr>
            </w:pPr>
            <w:r w:rsidRPr="009F5BDE">
              <w:rPr>
                <w:color w:val="000000"/>
                <w:sz w:val="20"/>
              </w:rPr>
              <w:t>18,0%</w:t>
            </w:r>
          </w:p>
        </w:tc>
        <w:tc>
          <w:tcPr>
            <w:tcW w:w="1004" w:type="dxa"/>
            <w:shd w:val="clear" w:color="auto" w:fill="FFF2CC"/>
            <w:noWrap/>
            <w:vAlign w:val="center"/>
            <w:hideMark/>
          </w:tcPr>
          <w:p w14:paraId="7EA267C0" w14:textId="77777777" w:rsidR="00A400FF" w:rsidRPr="009F5BDE" w:rsidRDefault="00A400FF" w:rsidP="0020372B">
            <w:pPr>
              <w:spacing w:before="0" w:after="0" w:line="240" w:lineRule="auto"/>
              <w:jc w:val="center"/>
              <w:rPr>
                <w:color w:val="000000"/>
                <w:sz w:val="20"/>
              </w:rPr>
            </w:pPr>
            <w:r w:rsidRPr="009F5BDE">
              <w:rPr>
                <w:color w:val="000000"/>
                <w:sz w:val="20"/>
              </w:rPr>
              <w:t>335</w:t>
            </w:r>
          </w:p>
        </w:tc>
        <w:tc>
          <w:tcPr>
            <w:tcW w:w="892" w:type="dxa"/>
            <w:shd w:val="clear" w:color="auto" w:fill="FFF2CC"/>
            <w:noWrap/>
            <w:vAlign w:val="center"/>
            <w:hideMark/>
          </w:tcPr>
          <w:p w14:paraId="37733E71" w14:textId="77777777" w:rsidR="00A400FF" w:rsidRPr="009F5BDE" w:rsidRDefault="00A400FF" w:rsidP="0020372B">
            <w:pPr>
              <w:spacing w:before="0" w:after="0" w:line="240" w:lineRule="auto"/>
              <w:jc w:val="center"/>
              <w:rPr>
                <w:color w:val="000000"/>
                <w:sz w:val="20"/>
              </w:rPr>
            </w:pPr>
            <w:r w:rsidRPr="009F5BDE">
              <w:rPr>
                <w:color w:val="000000"/>
                <w:sz w:val="20"/>
              </w:rPr>
              <w:t>19,0%</w:t>
            </w:r>
          </w:p>
        </w:tc>
      </w:tr>
      <w:tr w:rsidR="00A400FF" w:rsidRPr="00BA6DCE" w14:paraId="29C8FCFA" w14:textId="77777777" w:rsidTr="0020372B">
        <w:trPr>
          <w:gridAfter w:val="1"/>
          <w:wAfter w:w="113" w:type="dxa"/>
          <w:trHeight w:val="20"/>
        </w:trPr>
        <w:tc>
          <w:tcPr>
            <w:tcW w:w="2818" w:type="dxa"/>
            <w:vMerge/>
            <w:shd w:val="clear" w:color="auto" w:fill="FFF2CC"/>
            <w:vAlign w:val="center"/>
            <w:hideMark/>
          </w:tcPr>
          <w:p w14:paraId="3DFB74A4" w14:textId="77777777" w:rsidR="00A400FF" w:rsidRPr="009F5BDE" w:rsidRDefault="00A400FF" w:rsidP="0020372B">
            <w:pPr>
              <w:spacing w:before="0" w:after="0" w:line="240" w:lineRule="auto"/>
              <w:jc w:val="left"/>
              <w:rPr>
                <w:color w:val="000000"/>
                <w:sz w:val="20"/>
              </w:rPr>
            </w:pPr>
          </w:p>
        </w:tc>
        <w:tc>
          <w:tcPr>
            <w:tcW w:w="668" w:type="dxa"/>
            <w:shd w:val="clear" w:color="auto" w:fill="FFF2CC"/>
            <w:vAlign w:val="center"/>
            <w:hideMark/>
          </w:tcPr>
          <w:p w14:paraId="72B69EC0"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FF2CC"/>
            <w:noWrap/>
            <w:vAlign w:val="center"/>
            <w:hideMark/>
          </w:tcPr>
          <w:p w14:paraId="62F53085" w14:textId="77777777" w:rsidR="00A400FF" w:rsidRPr="009F5BDE" w:rsidRDefault="00A400FF" w:rsidP="0020372B">
            <w:pPr>
              <w:spacing w:before="0" w:after="0" w:line="240" w:lineRule="auto"/>
              <w:jc w:val="center"/>
              <w:rPr>
                <w:color w:val="000000"/>
                <w:sz w:val="20"/>
              </w:rPr>
            </w:pPr>
            <w:r w:rsidRPr="009F5BDE">
              <w:rPr>
                <w:color w:val="000000"/>
                <w:sz w:val="20"/>
              </w:rPr>
              <w:t>815</w:t>
            </w:r>
          </w:p>
        </w:tc>
        <w:tc>
          <w:tcPr>
            <w:tcW w:w="892" w:type="dxa"/>
            <w:shd w:val="clear" w:color="auto" w:fill="FFF2CC"/>
            <w:noWrap/>
            <w:vAlign w:val="center"/>
            <w:hideMark/>
          </w:tcPr>
          <w:p w14:paraId="7353596C" w14:textId="77777777" w:rsidR="00A400FF" w:rsidRPr="009F5BDE" w:rsidRDefault="00A400FF" w:rsidP="0020372B">
            <w:pPr>
              <w:spacing w:before="0" w:after="0" w:line="240" w:lineRule="auto"/>
              <w:jc w:val="center"/>
              <w:rPr>
                <w:color w:val="000000"/>
                <w:sz w:val="20"/>
              </w:rPr>
            </w:pPr>
            <w:r w:rsidRPr="009F5BDE">
              <w:rPr>
                <w:color w:val="000000"/>
                <w:sz w:val="20"/>
              </w:rPr>
              <w:t>80,2%</w:t>
            </w:r>
          </w:p>
        </w:tc>
        <w:tc>
          <w:tcPr>
            <w:tcW w:w="1134" w:type="dxa"/>
            <w:shd w:val="clear" w:color="auto" w:fill="FFF2CC"/>
            <w:noWrap/>
            <w:vAlign w:val="center"/>
            <w:hideMark/>
          </w:tcPr>
          <w:p w14:paraId="5F9A6EC8" w14:textId="77777777" w:rsidR="00A400FF" w:rsidRPr="009F5BDE" w:rsidRDefault="00A400FF" w:rsidP="0020372B">
            <w:pPr>
              <w:spacing w:before="0" w:after="0" w:line="240" w:lineRule="auto"/>
              <w:jc w:val="center"/>
              <w:rPr>
                <w:color w:val="000000"/>
                <w:sz w:val="20"/>
              </w:rPr>
            </w:pPr>
            <w:r w:rsidRPr="009F5BDE">
              <w:rPr>
                <w:color w:val="000000"/>
                <w:sz w:val="20"/>
              </w:rPr>
              <w:t>610</w:t>
            </w:r>
          </w:p>
        </w:tc>
        <w:tc>
          <w:tcPr>
            <w:tcW w:w="908" w:type="dxa"/>
            <w:shd w:val="clear" w:color="auto" w:fill="FFF2CC"/>
            <w:noWrap/>
            <w:vAlign w:val="center"/>
            <w:hideMark/>
          </w:tcPr>
          <w:p w14:paraId="4298D3E2" w14:textId="77777777" w:rsidR="00A400FF" w:rsidRPr="009F5BDE" w:rsidRDefault="00A400FF" w:rsidP="0020372B">
            <w:pPr>
              <w:spacing w:before="0" w:after="0" w:line="240" w:lineRule="auto"/>
              <w:jc w:val="center"/>
              <w:rPr>
                <w:color w:val="000000"/>
                <w:sz w:val="20"/>
              </w:rPr>
            </w:pPr>
            <w:r w:rsidRPr="009F5BDE">
              <w:rPr>
                <w:color w:val="000000"/>
                <w:sz w:val="20"/>
              </w:rPr>
              <w:t>82,0%</w:t>
            </w:r>
          </w:p>
        </w:tc>
        <w:tc>
          <w:tcPr>
            <w:tcW w:w="1004" w:type="dxa"/>
            <w:shd w:val="clear" w:color="auto" w:fill="FFF2CC"/>
            <w:noWrap/>
            <w:vAlign w:val="center"/>
            <w:hideMark/>
          </w:tcPr>
          <w:p w14:paraId="7C056E26" w14:textId="77777777" w:rsidR="00A400FF" w:rsidRPr="009F5BDE" w:rsidRDefault="00A400FF" w:rsidP="0020372B">
            <w:pPr>
              <w:spacing w:before="0" w:after="0" w:line="240" w:lineRule="auto"/>
              <w:jc w:val="center"/>
              <w:rPr>
                <w:color w:val="000000"/>
                <w:sz w:val="20"/>
              </w:rPr>
            </w:pPr>
            <w:r w:rsidRPr="009F5BDE">
              <w:rPr>
                <w:color w:val="000000"/>
                <w:sz w:val="20"/>
              </w:rPr>
              <w:t>1425</w:t>
            </w:r>
          </w:p>
        </w:tc>
        <w:tc>
          <w:tcPr>
            <w:tcW w:w="892" w:type="dxa"/>
            <w:shd w:val="clear" w:color="auto" w:fill="FFF2CC"/>
            <w:noWrap/>
            <w:vAlign w:val="center"/>
            <w:hideMark/>
          </w:tcPr>
          <w:p w14:paraId="775F9AF7" w14:textId="77777777" w:rsidR="00A400FF" w:rsidRPr="009F5BDE" w:rsidRDefault="00A400FF" w:rsidP="0020372B">
            <w:pPr>
              <w:spacing w:before="0" w:after="0" w:line="240" w:lineRule="auto"/>
              <w:jc w:val="center"/>
              <w:rPr>
                <w:color w:val="000000"/>
                <w:sz w:val="20"/>
              </w:rPr>
            </w:pPr>
            <w:r w:rsidRPr="009F5BDE">
              <w:rPr>
                <w:color w:val="000000"/>
                <w:sz w:val="20"/>
              </w:rPr>
              <w:t>81,0%</w:t>
            </w:r>
          </w:p>
        </w:tc>
      </w:tr>
      <w:tr w:rsidR="00A400FF" w:rsidRPr="00BA6DCE" w14:paraId="65DB4CDC" w14:textId="77777777" w:rsidTr="0020372B">
        <w:trPr>
          <w:gridAfter w:val="1"/>
          <w:wAfter w:w="113" w:type="dxa"/>
          <w:trHeight w:val="20"/>
        </w:trPr>
        <w:tc>
          <w:tcPr>
            <w:tcW w:w="2818" w:type="dxa"/>
            <w:vMerge/>
            <w:shd w:val="clear" w:color="auto" w:fill="FFF2CC"/>
            <w:vAlign w:val="center"/>
            <w:hideMark/>
          </w:tcPr>
          <w:p w14:paraId="1E9DD76B" w14:textId="77777777" w:rsidR="00A400FF" w:rsidRPr="009F5BDE" w:rsidRDefault="00A400FF" w:rsidP="0020372B">
            <w:pPr>
              <w:spacing w:before="0" w:after="0" w:line="240" w:lineRule="auto"/>
              <w:jc w:val="left"/>
              <w:rPr>
                <w:color w:val="000000"/>
                <w:sz w:val="20"/>
              </w:rPr>
            </w:pPr>
          </w:p>
        </w:tc>
        <w:tc>
          <w:tcPr>
            <w:tcW w:w="668" w:type="dxa"/>
            <w:shd w:val="clear" w:color="auto" w:fill="FFF2CC"/>
            <w:vAlign w:val="center"/>
            <w:hideMark/>
          </w:tcPr>
          <w:p w14:paraId="285DDA1F"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FF2CC"/>
            <w:noWrap/>
            <w:vAlign w:val="center"/>
            <w:hideMark/>
          </w:tcPr>
          <w:p w14:paraId="33859E38" w14:textId="77777777" w:rsidR="00A400FF" w:rsidRPr="009F5BDE" w:rsidRDefault="00A400FF" w:rsidP="0020372B">
            <w:pPr>
              <w:spacing w:before="0" w:after="0" w:line="240" w:lineRule="auto"/>
              <w:jc w:val="center"/>
              <w:rPr>
                <w:b/>
                <w:color w:val="000000"/>
                <w:sz w:val="20"/>
              </w:rPr>
            </w:pPr>
            <w:r w:rsidRPr="009F5BDE">
              <w:rPr>
                <w:b/>
                <w:color w:val="000000"/>
                <w:sz w:val="20"/>
              </w:rPr>
              <w:t>1016</w:t>
            </w:r>
          </w:p>
        </w:tc>
        <w:tc>
          <w:tcPr>
            <w:tcW w:w="892" w:type="dxa"/>
            <w:shd w:val="clear" w:color="auto" w:fill="FFF2CC"/>
            <w:noWrap/>
            <w:vAlign w:val="center"/>
            <w:hideMark/>
          </w:tcPr>
          <w:p w14:paraId="2813A4B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FF2CC"/>
            <w:noWrap/>
            <w:vAlign w:val="center"/>
            <w:hideMark/>
          </w:tcPr>
          <w:p w14:paraId="14A28FD8" w14:textId="77777777" w:rsidR="00A400FF" w:rsidRPr="009F5BDE" w:rsidRDefault="00A400FF" w:rsidP="0020372B">
            <w:pPr>
              <w:spacing w:before="0" w:after="0" w:line="240" w:lineRule="auto"/>
              <w:jc w:val="center"/>
              <w:rPr>
                <w:b/>
                <w:color w:val="000000"/>
                <w:sz w:val="20"/>
              </w:rPr>
            </w:pPr>
            <w:r w:rsidRPr="009F5BDE">
              <w:rPr>
                <w:b/>
                <w:color w:val="000000"/>
                <w:sz w:val="20"/>
              </w:rPr>
              <w:t>744</w:t>
            </w:r>
          </w:p>
        </w:tc>
        <w:tc>
          <w:tcPr>
            <w:tcW w:w="908" w:type="dxa"/>
            <w:shd w:val="clear" w:color="auto" w:fill="FFF2CC"/>
            <w:noWrap/>
            <w:vAlign w:val="center"/>
            <w:hideMark/>
          </w:tcPr>
          <w:p w14:paraId="3B750E03"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FF2CC"/>
            <w:noWrap/>
            <w:vAlign w:val="center"/>
            <w:hideMark/>
          </w:tcPr>
          <w:p w14:paraId="14A759F1" w14:textId="77777777" w:rsidR="00A400FF" w:rsidRPr="009F5BDE" w:rsidRDefault="00A400FF" w:rsidP="0020372B">
            <w:pPr>
              <w:spacing w:before="0" w:after="0" w:line="240" w:lineRule="auto"/>
              <w:jc w:val="center"/>
              <w:rPr>
                <w:b/>
                <w:color w:val="000000"/>
                <w:sz w:val="20"/>
              </w:rPr>
            </w:pPr>
            <w:r w:rsidRPr="009F5BDE">
              <w:rPr>
                <w:b/>
                <w:color w:val="000000"/>
                <w:sz w:val="20"/>
              </w:rPr>
              <w:t>1760</w:t>
            </w:r>
          </w:p>
        </w:tc>
        <w:tc>
          <w:tcPr>
            <w:tcW w:w="892" w:type="dxa"/>
            <w:shd w:val="clear" w:color="auto" w:fill="FFF2CC"/>
            <w:noWrap/>
            <w:vAlign w:val="center"/>
            <w:hideMark/>
          </w:tcPr>
          <w:p w14:paraId="733225A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bl>
    <w:p w14:paraId="292081FE" w14:textId="77777777" w:rsidR="00A400FF" w:rsidRPr="00BE789A" w:rsidRDefault="00A400FF" w:rsidP="00A400FF">
      <w:pPr>
        <w:keepNext/>
        <w:spacing w:before="0" w:line="276" w:lineRule="auto"/>
        <w:rPr>
          <w:i/>
          <w:sz w:val="20"/>
        </w:rPr>
      </w:pPr>
      <w:r w:rsidRPr="002D3E79">
        <w:rPr>
          <w:i/>
          <w:sz w:val="20"/>
        </w:rPr>
        <w:t>Source : Données d’enquête terrain d’août à septembre 2021</w:t>
      </w:r>
      <w:r>
        <w:rPr>
          <w:i/>
          <w:sz w:val="20"/>
        </w:rPr>
        <w:t xml:space="preserve">(Mali et Niger) </w:t>
      </w:r>
    </w:p>
    <w:p w14:paraId="5F27C098" w14:textId="77777777" w:rsidR="00A400FF" w:rsidRDefault="00A400FF" w:rsidP="00A400FF">
      <w:pPr>
        <w:spacing w:after="0" w:line="276" w:lineRule="auto"/>
        <w:rPr>
          <w:rFonts w:cs="Times New Roman"/>
          <w:bCs/>
        </w:rPr>
      </w:pPr>
    </w:p>
    <w:p w14:paraId="13146076" w14:textId="2F214FD1" w:rsidR="00A400FF" w:rsidRPr="00765810" w:rsidRDefault="00A400FF" w:rsidP="00A400FF">
      <w:pPr>
        <w:pStyle w:val="Lgende"/>
        <w:rPr>
          <w:rFonts w:cs="Times New Roman"/>
        </w:rPr>
      </w:pPr>
      <w:bookmarkStart w:id="1022" w:name="_Toc92262112"/>
      <w:r>
        <w:t xml:space="preserve">Tableau </w:t>
      </w:r>
      <w:r>
        <w:fldChar w:fldCharType="begin"/>
      </w:r>
      <w:r>
        <w:instrText>SEQ Tableau \* ARABIC</w:instrText>
      </w:r>
      <w:r>
        <w:fldChar w:fldCharType="separate"/>
      </w:r>
      <w:r w:rsidR="0046716F">
        <w:rPr>
          <w:noProof/>
        </w:rPr>
        <w:t>10</w:t>
      </w:r>
      <w:r>
        <w:fldChar w:fldCharType="end"/>
      </w:r>
      <w:r>
        <w:t xml:space="preserve"> : </w:t>
      </w:r>
      <w:r w:rsidRPr="00BA2676">
        <w:t>Répartition détaillée du budget par agence d’exécution et par rubrique de coût</w:t>
      </w:r>
      <w:bookmarkEnd w:id="1022"/>
    </w:p>
    <w:tbl>
      <w:tblPr>
        <w:tblW w:w="507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0"/>
        <w:gridCol w:w="2091"/>
        <w:gridCol w:w="976"/>
        <w:gridCol w:w="863"/>
        <w:gridCol w:w="892"/>
        <w:gridCol w:w="816"/>
        <w:gridCol w:w="755"/>
        <w:gridCol w:w="722"/>
      </w:tblGrid>
      <w:tr w:rsidR="00A400FF" w:rsidRPr="00C53C0F" w14:paraId="6C105F7A" w14:textId="77777777" w:rsidTr="0020372B">
        <w:trPr>
          <w:gridBefore w:val="1"/>
          <w:trHeight w:val="20"/>
          <w:tblHeader/>
        </w:trPr>
        <w:tc>
          <w:tcPr>
            <w:tcW w:w="1293" w:type="pct"/>
            <w:shd w:val="clear" w:color="auto" w:fill="00B0F0"/>
            <w:vAlign w:val="center"/>
            <w:hideMark/>
          </w:tcPr>
          <w:p w14:paraId="0FC54F29" w14:textId="77777777" w:rsidR="00A400FF" w:rsidRPr="009F5BDE" w:rsidRDefault="00A400FF" w:rsidP="0020372B">
            <w:pPr>
              <w:spacing w:before="0" w:after="0" w:line="240" w:lineRule="auto"/>
              <w:ind w:left="-57"/>
              <w:jc w:val="center"/>
              <w:rPr>
                <w:rFonts w:ascii="Tw Cen MT" w:hAnsi="Tw Cen MT"/>
                <w:b/>
                <w:color w:val="FFFFFF"/>
                <w:sz w:val="20"/>
              </w:rPr>
            </w:pPr>
          </w:p>
        </w:tc>
        <w:tc>
          <w:tcPr>
            <w:tcW w:w="687" w:type="pct"/>
            <w:shd w:val="clear" w:color="auto" w:fill="00B0F0"/>
            <w:vAlign w:val="center"/>
            <w:hideMark/>
          </w:tcPr>
          <w:p w14:paraId="1F7A8587"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 FEMMES MALLI</w:t>
            </w:r>
          </w:p>
        </w:tc>
        <w:tc>
          <w:tcPr>
            <w:tcW w:w="625" w:type="pct"/>
            <w:shd w:val="clear" w:color="auto" w:fill="00B0F0"/>
            <w:vAlign w:val="center"/>
            <w:hideMark/>
          </w:tcPr>
          <w:p w14:paraId="3A615746"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 FEMMES Niger</w:t>
            </w:r>
          </w:p>
        </w:tc>
        <w:tc>
          <w:tcPr>
            <w:tcW w:w="641" w:type="pct"/>
            <w:shd w:val="clear" w:color="auto" w:fill="00B0F0"/>
            <w:vAlign w:val="center"/>
            <w:hideMark/>
          </w:tcPr>
          <w:p w14:paraId="435DD9FE"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ONUDC Mali</w:t>
            </w:r>
          </w:p>
        </w:tc>
        <w:tc>
          <w:tcPr>
            <w:tcW w:w="624" w:type="pct"/>
            <w:shd w:val="clear" w:color="auto" w:fill="00B0F0"/>
            <w:vAlign w:val="center"/>
            <w:hideMark/>
          </w:tcPr>
          <w:p w14:paraId="0280BCA5"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ONUDC NIGER</w:t>
            </w:r>
          </w:p>
        </w:tc>
        <w:tc>
          <w:tcPr>
            <w:tcW w:w="738" w:type="pct"/>
            <w:shd w:val="clear" w:color="auto" w:fill="00B0F0"/>
            <w:vAlign w:val="center"/>
            <w:hideMark/>
          </w:tcPr>
          <w:p w14:paraId="1FD1B17A"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TOTAL</w:t>
            </w:r>
          </w:p>
        </w:tc>
        <w:tc>
          <w:tcPr>
            <w:tcW w:w="392" w:type="pct"/>
            <w:shd w:val="clear" w:color="auto" w:fill="00B0F0"/>
            <w:vAlign w:val="center"/>
            <w:hideMark/>
          </w:tcPr>
          <w:p w14:paraId="4A925D41"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Poids (%)</w:t>
            </w:r>
          </w:p>
        </w:tc>
      </w:tr>
      <w:tr w:rsidR="00A400FF" w:rsidRPr="00C53C0F" w14:paraId="46DB5E98" w14:textId="77777777" w:rsidTr="0020372B">
        <w:trPr>
          <w:trHeight w:val="20"/>
        </w:trPr>
        <w:tc>
          <w:tcPr>
            <w:tcW w:w="1293" w:type="pct"/>
            <w:shd w:val="clear" w:color="auto" w:fill="F2F2F2"/>
            <w:vAlign w:val="center"/>
            <w:hideMark/>
          </w:tcPr>
          <w:p w14:paraId="4B2BB57E" w14:textId="77777777" w:rsidR="00A400FF" w:rsidRPr="00C53C0F" w:rsidRDefault="00A400FF" w:rsidP="0020372B">
            <w:pPr>
              <w:spacing w:before="0" w:after="0" w:line="240" w:lineRule="auto"/>
              <w:ind w:left="-57"/>
              <w:jc w:val="lef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 xml:space="preserve">A. Coûts directs de mise en œuvre </w:t>
            </w:r>
            <w:r>
              <w:rPr>
                <w:rFonts w:ascii="Tw Cen MT" w:eastAsia="Times New Roman" w:hAnsi="Tw Cen MT" w:cs="Calibri"/>
                <w:b/>
                <w:bCs/>
                <w:color w:val="000000"/>
                <w:sz w:val="20"/>
                <w:szCs w:val="20"/>
              </w:rPr>
              <w:t xml:space="preserve">(en USD) </w:t>
            </w:r>
            <w:r w:rsidRPr="00C53C0F">
              <w:rPr>
                <w:rFonts w:ascii="Tw Cen MT" w:eastAsia="Times New Roman" w:hAnsi="Tw Cen MT" w:cs="Calibri"/>
                <w:b/>
                <w:bCs/>
                <w:color w:val="000000"/>
                <w:sz w:val="20"/>
                <w:szCs w:val="20"/>
              </w:rPr>
              <w:t>dont :</w:t>
            </w:r>
          </w:p>
        </w:tc>
        <w:tc>
          <w:tcPr>
            <w:tcW w:w="687" w:type="pct"/>
            <w:shd w:val="clear" w:color="auto" w:fill="F2F2F2"/>
            <w:vAlign w:val="center"/>
            <w:hideMark/>
          </w:tcPr>
          <w:p w14:paraId="66DE8B72"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1 116 913,</w:t>
            </w:r>
            <w:r>
              <w:rPr>
                <w:rFonts w:ascii="Tw Cen MT" w:eastAsia="Times New Roman" w:hAnsi="Tw Cen MT" w:cs="Calibri"/>
                <w:b/>
                <w:bCs/>
                <w:color w:val="000000"/>
                <w:sz w:val="20"/>
                <w:szCs w:val="20"/>
              </w:rPr>
              <w:t>1</w:t>
            </w:r>
          </w:p>
        </w:tc>
        <w:tc>
          <w:tcPr>
            <w:tcW w:w="625" w:type="pct"/>
            <w:gridSpan w:val="2"/>
            <w:shd w:val="clear" w:color="auto" w:fill="F2F2F2"/>
            <w:vAlign w:val="center"/>
            <w:hideMark/>
          </w:tcPr>
          <w:p w14:paraId="02988B1B"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800 042,</w:t>
            </w:r>
            <w:r>
              <w:rPr>
                <w:rFonts w:ascii="Tw Cen MT" w:eastAsia="Times New Roman" w:hAnsi="Tw Cen MT" w:cs="Calibri"/>
                <w:b/>
                <w:bCs/>
                <w:color w:val="000000"/>
                <w:sz w:val="20"/>
                <w:szCs w:val="20"/>
              </w:rPr>
              <w:t>1</w:t>
            </w:r>
          </w:p>
        </w:tc>
        <w:tc>
          <w:tcPr>
            <w:tcW w:w="641" w:type="pct"/>
            <w:shd w:val="clear" w:color="auto" w:fill="F2F2F2"/>
            <w:vAlign w:val="center"/>
            <w:hideMark/>
          </w:tcPr>
          <w:p w14:paraId="311D337F"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515 099,6</w:t>
            </w:r>
          </w:p>
        </w:tc>
        <w:tc>
          <w:tcPr>
            <w:tcW w:w="624" w:type="pct"/>
            <w:shd w:val="clear" w:color="auto" w:fill="F2F2F2"/>
            <w:vAlign w:val="center"/>
            <w:hideMark/>
          </w:tcPr>
          <w:p w14:paraId="484D5AD1"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384 921,0</w:t>
            </w:r>
          </w:p>
        </w:tc>
        <w:tc>
          <w:tcPr>
            <w:tcW w:w="738" w:type="pct"/>
            <w:shd w:val="clear" w:color="auto" w:fill="F2F2F2"/>
            <w:vAlign w:val="center"/>
            <w:hideMark/>
          </w:tcPr>
          <w:p w14:paraId="5AA1DFF0"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2 816 975,7</w:t>
            </w:r>
          </w:p>
        </w:tc>
        <w:tc>
          <w:tcPr>
            <w:tcW w:w="392" w:type="pct"/>
            <w:shd w:val="clear" w:color="auto" w:fill="F2F2F2"/>
            <w:vAlign w:val="center"/>
            <w:hideMark/>
          </w:tcPr>
          <w:p w14:paraId="0F18D621"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93,5%</w:t>
            </w:r>
          </w:p>
        </w:tc>
      </w:tr>
      <w:tr w:rsidR="00A400FF" w:rsidRPr="00C53C0F" w14:paraId="6E5A38C6" w14:textId="77777777" w:rsidTr="0020372B">
        <w:trPr>
          <w:gridBefore w:val="1"/>
          <w:trHeight w:val="20"/>
        </w:trPr>
        <w:tc>
          <w:tcPr>
            <w:tcW w:w="1293" w:type="pct"/>
            <w:shd w:val="clear" w:color="auto" w:fill="auto"/>
            <w:vAlign w:val="center"/>
            <w:hideMark/>
          </w:tcPr>
          <w:p w14:paraId="68C8C64E"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1-</w:t>
            </w:r>
            <w:r w:rsidRPr="00C53C0F">
              <w:rPr>
                <w:rFonts w:ascii="Tw Cen MT" w:eastAsia="Times New Roman" w:hAnsi="Tw Cen MT" w:cs="Calibri"/>
                <w:color w:val="000000"/>
                <w:sz w:val="20"/>
                <w:szCs w:val="20"/>
              </w:rPr>
              <w:t>Personnel et autres employés</w:t>
            </w:r>
          </w:p>
        </w:tc>
        <w:tc>
          <w:tcPr>
            <w:tcW w:w="687" w:type="pct"/>
            <w:shd w:val="clear" w:color="auto" w:fill="auto"/>
            <w:vAlign w:val="center"/>
            <w:hideMark/>
          </w:tcPr>
          <w:p w14:paraId="796C9D69"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35 244,0</w:t>
            </w:r>
          </w:p>
        </w:tc>
        <w:tc>
          <w:tcPr>
            <w:tcW w:w="625" w:type="pct"/>
            <w:shd w:val="clear" w:color="auto" w:fill="auto"/>
            <w:vAlign w:val="center"/>
            <w:hideMark/>
          </w:tcPr>
          <w:p w14:paraId="56DFC7BE"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30 409,0</w:t>
            </w:r>
          </w:p>
        </w:tc>
        <w:tc>
          <w:tcPr>
            <w:tcW w:w="641" w:type="pct"/>
            <w:shd w:val="clear" w:color="auto" w:fill="auto"/>
            <w:vAlign w:val="center"/>
            <w:hideMark/>
          </w:tcPr>
          <w:p w14:paraId="61FEB4F0"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51 510,0</w:t>
            </w:r>
          </w:p>
        </w:tc>
        <w:tc>
          <w:tcPr>
            <w:tcW w:w="624" w:type="pct"/>
            <w:shd w:val="clear" w:color="auto" w:fill="auto"/>
            <w:vAlign w:val="center"/>
            <w:hideMark/>
          </w:tcPr>
          <w:p w14:paraId="0370512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38 492,1</w:t>
            </w:r>
          </w:p>
        </w:tc>
        <w:tc>
          <w:tcPr>
            <w:tcW w:w="738" w:type="pct"/>
            <w:shd w:val="clear" w:color="auto" w:fill="auto"/>
            <w:vAlign w:val="center"/>
            <w:hideMark/>
          </w:tcPr>
          <w:p w14:paraId="06E50EB9"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155 655,10</w:t>
            </w:r>
          </w:p>
        </w:tc>
        <w:tc>
          <w:tcPr>
            <w:tcW w:w="392" w:type="pct"/>
            <w:shd w:val="clear" w:color="auto" w:fill="auto"/>
            <w:vAlign w:val="center"/>
            <w:hideMark/>
          </w:tcPr>
          <w:p w14:paraId="1C72775F"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76E8F0A5" w14:textId="77777777" w:rsidTr="0020372B">
        <w:trPr>
          <w:gridBefore w:val="1"/>
          <w:trHeight w:val="20"/>
        </w:trPr>
        <w:tc>
          <w:tcPr>
            <w:tcW w:w="1293" w:type="pct"/>
            <w:shd w:val="clear" w:color="auto" w:fill="auto"/>
            <w:vAlign w:val="center"/>
            <w:hideMark/>
          </w:tcPr>
          <w:p w14:paraId="1640E5CA"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2-</w:t>
            </w:r>
            <w:r w:rsidRPr="00C53C0F">
              <w:rPr>
                <w:rFonts w:ascii="Tw Cen MT" w:eastAsia="Times New Roman" w:hAnsi="Tw Cen MT" w:cs="Calibri"/>
                <w:color w:val="000000"/>
                <w:sz w:val="20"/>
                <w:szCs w:val="20"/>
              </w:rPr>
              <w:t>Fournitures, produits de base, matériels</w:t>
            </w:r>
          </w:p>
        </w:tc>
        <w:tc>
          <w:tcPr>
            <w:tcW w:w="687" w:type="pct"/>
            <w:shd w:val="clear" w:color="auto" w:fill="auto"/>
            <w:vAlign w:val="center"/>
            <w:hideMark/>
          </w:tcPr>
          <w:p w14:paraId="52BC328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34 193,0</w:t>
            </w:r>
          </w:p>
        </w:tc>
        <w:tc>
          <w:tcPr>
            <w:tcW w:w="625" w:type="pct"/>
            <w:shd w:val="clear" w:color="auto" w:fill="auto"/>
            <w:vAlign w:val="center"/>
            <w:hideMark/>
          </w:tcPr>
          <w:p w14:paraId="18EC1F9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32 385,0</w:t>
            </w:r>
          </w:p>
        </w:tc>
        <w:tc>
          <w:tcPr>
            <w:tcW w:w="641" w:type="pct"/>
            <w:shd w:val="clear" w:color="auto" w:fill="auto"/>
            <w:vAlign w:val="center"/>
            <w:hideMark/>
          </w:tcPr>
          <w:p w14:paraId="3584D1E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25 754,9</w:t>
            </w:r>
          </w:p>
        </w:tc>
        <w:tc>
          <w:tcPr>
            <w:tcW w:w="624" w:type="pct"/>
            <w:shd w:val="clear" w:color="auto" w:fill="auto"/>
            <w:vAlign w:val="center"/>
            <w:hideMark/>
          </w:tcPr>
          <w:p w14:paraId="4376446B"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19 246,1</w:t>
            </w:r>
          </w:p>
        </w:tc>
        <w:tc>
          <w:tcPr>
            <w:tcW w:w="738" w:type="pct"/>
            <w:shd w:val="clear" w:color="auto" w:fill="auto"/>
            <w:vAlign w:val="center"/>
            <w:hideMark/>
          </w:tcPr>
          <w:p w14:paraId="2B2B961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111 578,96</w:t>
            </w:r>
          </w:p>
        </w:tc>
        <w:tc>
          <w:tcPr>
            <w:tcW w:w="392" w:type="pct"/>
            <w:shd w:val="clear" w:color="auto" w:fill="auto"/>
            <w:vAlign w:val="center"/>
            <w:hideMark/>
          </w:tcPr>
          <w:p w14:paraId="422A96D3"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5B49CFA3" w14:textId="77777777" w:rsidTr="0020372B">
        <w:trPr>
          <w:gridBefore w:val="1"/>
          <w:trHeight w:val="20"/>
        </w:trPr>
        <w:tc>
          <w:tcPr>
            <w:tcW w:w="1293" w:type="pct"/>
            <w:shd w:val="clear" w:color="auto" w:fill="auto"/>
            <w:vAlign w:val="center"/>
            <w:hideMark/>
          </w:tcPr>
          <w:p w14:paraId="6164DB88"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3-</w:t>
            </w:r>
            <w:r w:rsidRPr="00C53C0F">
              <w:rPr>
                <w:rFonts w:ascii="Tw Cen MT" w:eastAsia="Times New Roman" w:hAnsi="Tw Cen MT" w:cs="Calibri"/>
                <w:color w:val="000000"/>
                <w:sz w:val="20"/>
                <w:szCs w:val="20"/>
              </w:rPr>
              <w:t xml:space="preserve">Équipement, véhicules et mobilier </w:t>
            </w:r>
          </w:p>
        </w:tc>
        <w:tc>
          <w:tcPr>
            <w:tcW w:w="687" w:type="pct"/>
            <w:shd w:val="clear" w:color="auto" w:fill="auto"/>
            <w:vAlign w:val="center"/>
            <w:hideMark/>
          </w:tcPr>
          <w:p w14:paraId="7546D854"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47 000,0</w:t>
            </w:r>
          </w:p>
        </w:tc>
        <w:tc>
          <w:tcPr>
            <w:tcW w:w="625" w:type="pct"/>
            <w:shd w:val="clear" w:color="auto" w:fill="auto"/>
            <w:vAlign w:val="center"/>
            <w:hideMark/>
          </w:tcPr>
          <w:p w14:paraId="39E60C3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40 000,0</w:t>
            </w:r>
          </w:p>
        </w:tc>
        <w:tc>
          <w:tcPr>
            <w:tcW w:w="641" w:type="pct"/>
            <w:shd w:val="clear" w:color="auto" w:fill="auto"/>
            <w:vAlign w:val="center"/>
            <w:hideMark/>
          </w:tcPr>
          <w:p w14:paraId="49709EE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25 755,0</w:t>
            </w:r>
          </w:p>
        </w:tc>
        <w:tc>
          <w:tcPr>
            <w:tcW w:w="624" w:type="pct"/>
            <w:shd w:val="clear" w:color="auto" w:fill="auto"/>
            <w:vAlign w:val="center"/>
            <w:hideMark/>
          </w:tcPr>
          <w:p w14:paraId="008E0CB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19 246,1</w:t>
            </w:r>
          </w:p>
        </w:tc>
        <w:tc>
          <w:tcPr>
            <w:tcW w:w="738" w:type="pct"/>
            <w:shd w:val="clear" w:color="auto" w:fill="auto"/>
            <w:vAlign w:val="center"/>
            <w:hideMark/>
          </w:tcPr>
          <w:p w14:paraId="6489C24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132 001,00</w:t>
            </w:r>
          </w:p>
        </w:tc>
        <w:tc>
          <w:tcPr>
            <w:tcW w:w="392" w:type="pct"/>
            <w:shd w:val="clear" w:color="auto" w:fill="auto"/>
            <w:vAlign w:val="center"/>
            <w:hideMark/>
          </w:tcPr>
          <w:p w14:paraId="13EF3826"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660F7B2C" w14:textId="77777777" w:rsidTr="0020372B">
        <w:trPr>
          <w:gridBefore w:val="1"/>
          <w:trHeight w:val="20"/>
        </w:trPr>
        <w:tc>
          <w:tcPr>
            <w:tcW w:w="1293" w:type="pct"/>
            <w:shd w:val="clear" w:color="auto" w:fill="auto"/>
            <w:vAlign w:val="center"/>
            <w:hideMark/>
          </w:tcPr>
          <w:p w14:paraId="39AF8525"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4-</w:t>
            </w:r>
            <w:r w:rsidRPr="00C53C0F">
              <w:rPr>
                <w:rFonts w:ascii="Tw Cen MT" w:eastAsia="Times New Roman" w:hAnsi="Tw Cen MT" w:cs="Calibri"/>
                <w:color w:val="000000"/>
                <w:sz w:val="20"/>
                <w:szCs w:val="20"/>
              </w:rPr>
              <w:t>Services contractuels</w:t>
            </w:r>
          </w:p>
        </w:tc>
        <w:tc>
          <w:tcPr>
            <w:tcW w:w="687" w:type="pct"/>
            <w:shd w:val="clear" w:color="auto" w:fill="auto"/>
            <w:vAlign w:val="center"/>
            <w:hideMark/>
          </w:tcPr>
          <w:p w14:paraId="1D93A99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125 202,0</w:t>
            </w:r>
          </w:p>
        </w:tc>
        <w:tc>
          <w:tcPr>
            <w:tcW w:w="625" w:type="pct"/>
            <w:shd w:val="clear" w:color="auto" w:fill="auto"/>
            <w:vAlign w:val="center"/>
            <w:hideMark/>
          </w:tcPr>
          <w:p w14:paraId="44DEEFA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91 523,0</w:t>
            </w:r>
          </w:p>
        </w:tc>
        <w:tc>
          <w:tcPr>
            <w:tcW w:w="641" w:type="pct"/>
            <w:shd w:val="clear" w:color="auto" w:fill="auto"/>
            <w:vAlign w:val="center"/>
            <w:hideMark/>
          </w:tcPr>
          <w:p w14:paraId="379DEBE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154 529,8</w:t>
            </w:r>
          </w:p>
        </w:tc>
        <w:tc>
          <w:tcPr>
            <w:tcW w:w="624" w:type="pct"/>
            <w:shd w:val="clear" w:color="auto" w:fill="auto"/>
            <w:vAlign w:val="center"/>
            <w:hideMark/>
          </w:tcPr>
          <w:p w14:paraId="406F18B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115 476,3</w:t>
            </w:r>
          </w:p>
        </w:tc>
        <w:tc>
          <w:tcPr>
            <w:tcW w:w="738" w:type="pct"/>
            <w:shd w:val="clear" w:color="auto" w:fill="auto"/>
            <w:vAlign w:val="center"/>
            <w:hideMark/>
          </w:tcPr>
          <w:p w14:paraId="0114EA1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486 731,11</w:t>
            </w:r>
          </w:p>
        </w:tc>
        <w:tc>
          <w:tcPr>
            <w:tcW w:w="392" w:type="pct"/>
            <w:shd w:val="clear" w:color="auto" w:fill="auto"/>
            <w:vAlign w:val="center"/>
            <w:hideMark/>
          </w:tcPr>
          <w:p w14:paraId="1A666A7A"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49A91646" w14:textId="77777777" w:rsidTr="0020372B">
        <w:trPr>
          <w:gridBefore w:val="1"/>
          <w:trHeight w:val="20"/>
        </w:trPr>
        <w:tc>
          <w:tcPr>
            <w:tcW w:w="1293" w:type="pct"/>
            <w:shd w:val="clear" w:color="auto" w:fill="auto"/>
            <w:vAlign w:val="center"/>
            <w:hideMark/>
          </w:tcPr>
          <w:p w14:paraId="7AF53CCE"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5-</w:t>
            </w:r>
            <w:r w:rsidRPr="00C53C0F">
              <w:rPr>
                <w:rFonts w:ascii="Tw Cen MT" w:eastAsia="Times New Roman" w:hAnsi="Tw Cen MT" w:cs="Calibri"/>
                <w:color w:val="000000"/>
                <w:sz w:val="20"/>
                <w:szCs w:val="20"/>
              </w:rPr>
              <w:t>Frais de déplacement</w:t>
            </w:r>
          </w:p>
        </w:tc>
        <w:tc>
          <w:tcPr>
            <w:tcW w:w="687" w:type="pct"/>
            <w:shd w:val="clear" w:color="auto" w:fill="auto"/>
            <w:vAlign w:val="center"/>
            <w:hideMark/>
          </w:tcPr>
          <w:p w14:paraId="2D2AB00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29 153,0</w:t>
            </w:r>
          </w:p>
        </w:tc>
        <w:tc>
          <w:tcPr>
            <w:tcW w:w="625" w:type="pct"/>
            <w:shd w:val="clear" w:color="auto" w:fill="auto"/>
            <w:vAlign w:val="center"/>
            <w:hideMark/>
          </w:tcPr>
          <w:p w14:paraId="59B107CA"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32 132,0</w:t>
            </w:r>
          </w:p>
        </w:tc>
        <w:tc>
          <w:tcPr>
            <w:tcW w:w="641" w:type="pct"/>
            <w:shd w:val="clear" w:color="auto" w:fill="auto"/>
            <w:vAlign w:val="center"/>
            <w:hideMark/>
          </w:tcPr>
          <w:p w14:paraId="7784B023"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206 040,0</w:t>
            </w:r>
          </w:p>
        </w:tc>
        <w:tc>
          <w:tcPr>
            <w:tcW w:w="624" w:type="pct"/>
            <w:shd w:val="clear" w:color="auto" w:fill="auto"/>
            <w:vAlign w:val="center"/>
            <w:hideMark/>
          </w:tcPr>
          <w:p w14:paraId="3866342A"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153 968,4</w:t>
            </w:r>
          </w:p>
        </w:tc>
        <w:tc>
          <w:tcPr>
            <w:tcW w:w="738" w:type="pct"/>
            <w:shd w:val="clear" w:color="auto" w:fill="auto"/>
            <w:vAlign w:val="center"/>
            <w:hideMark/>
          </w:tcPr>
          <w:p w14:paraId="43EBF61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421 293,39</w:t>
            </w:r>
          </w:p>
        </w:tc>
        <w:tc>
          <w:tcPr>
            <w:tcW w:w="392" w:type="pct"/>
            <w:shd w:val="clear" w:color="auto" w:fill="auto"/>
            <w:vAlign w:val="center"/>
            <w:hideMark/>
          </w:tcPr>
          <w:p w14:paraId="4E4BB69A"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75028BCE" w14:textId="77777777" w:rsidTr="0020372B">
        <w:trPr>
          <w:gridBefore w:val="1"/>
          <w:trHeight w:val="20"/>
        </w:trPr>
        <w:tc>
          <w:tcPr>
            <w:tcW w:w="1293" w:type="pct"/>
            <w:shd w:val="clear" w:color="auto" w:fill="auto"/>
            <w:vAlign w:val="center"/>
            <w:hideMark/>
          </w:tcPr>
          <w:p w14:paraId="76C85D95"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6-</w:t>
            </w:r>
            <w:r w:rsidRPr="00C53C0F">
              <w:rPr>
                <w:rFonts w:ascii="Tw Cen MT" w:eastAsia="Times New Roman" w:hAnsi="Tw Cen MT" w:cs="Calibri"/>
                <w:color w:val="000000"/>
                <w:sz w:val="20"/>
                <w:szCs w:val="20"/>
              </w:rPr>
              <w:t>Transferts et subventions aux homologues</w:t>
            </w:r>
          </w:p>
        </w:tc>
        <w:tc>
          <w:tcPr>
            <w:tcW w:w="687" w:type="pct"/>
            <w:shd w:val="clear" w:color="auto" w:fill="auto"/>
            <w:vAlign w:val="center"/>
            <w:hideMark/>
          </w:tcPr>
          <w:p w14:paraId="7FBB1B6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799 082,0</w:t>
            </w:r>
          </w:p>
        </w:tc>
        <w:tc>
          <w:tcPr>
            <w:tcW w:w="625" w:type="pct"/>
            <w:shd w:val="clear" w:color="auto" w:fill="auto"/>
            <w:vAlign w:val="center"/>
            <w:hideMark/>
          </w:tcPr>
          <w:p w14:paraId="48165AF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534 554,0</w:t>
            </w:r>
          </w:p>
        </w:tc>
        <w:tc>
          <w:tcPr>
            <w:tcW w:w="641" w:type="pct"/>
            <w:shd w:val="clear" w:color="auto" w:fill="auto"/>
            <w:vAlign w:val="center"/>
            <w:hideMark/>
          </w:tcPr>
          <w:p w14:paraId="1CAD7467"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w:t>
            </w:r>
          </w:p>
        </w:tc>
        <w:tc>
          <w:tcPr>
            <w:tcW w:w="624" w:type="pct"/>
            <w:shd w:val="clear" w:color="auto" w:fill="auto"/>
            <w:vAlign w:val="center"/>
            <w:hideMark/>
          </w:tcPr>
          <w:p w14:paraId="45575AC0"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w:t>
            </w:r>
          </w:p>
        </w:tc>
        <w:tc>
          <w:tcPr>
            <w:tcW w:w="738" w:type="pct"/>
            <w:shd w:val="clear" w:color="auto" w:fill="auto"/>
            <w:vAlign w:val="center"/>
            <w:hideMark/>
          </w:tcPr>
          <w:p w14:paraId="43414E9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1 333 636,00</w:t>
            </w:r>
          </w:p>
        </w:tc>
        <w:tc>
          <w:tcPr>
            <w:tcW w:w="392" w:type="pct"/>
            <w:shd w:val="clear" w:color="auto" w:fill="auto"/>
            <w:vAlign w:val="center"/>
            <w:hideMark/>
          </w:tcPr>
          <w:p w14:paraId="3B70E4B3"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048948CE" w14:textId="77777777" w:rsidTr="0020372B">
        <w:trPr>
          <w:gridBefore w:val="1"/>
          <w:trHeight w:val="20"/>
        </w:trPr>
        <w:tc>
          <w:tcPr>
            <w:tcW w:w="1293" w:type="pct"/>
            <w:shd w:val="clear" w:color="auto" w:fill="auto"/>
            <w:vAlign w:val="center"/>
            <w:hideMark/>
          </w:tcPr>
          <w:p w14:paraId="7DBA436F"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7-</w:t>
            </w:r>
            <w:r w:rsidRPr="00C53C0F">
              <w:rPr>
                <w:rFonts w:ascii="Tw Cen MT" w:eastAsia="Times New Roman" w:hAnsi="Tw Cen MT" w:cs="Calibri"/>
                <w:color w:val="000000"/>
                <w:sz w:val="20"/>
                <w:szCs w:val="20"/>
              </w:rPr>
              <w:t>Frais généraux de fonctionnement et autres coûts directs</w:t>
            </w:r>
          </w:p>
        </w:tc>
        <w:tc>
          <w:tcPr>
            <w:tcW w:w="687" w:type="pct"/>
            <w:shd w:val="clear" w:color="auto" w:fill="auto"/>
            <w:vAlign w:val="center"/>
            <w:hideMark/>
          </w:tcPr>
          <w:p w14:paraId="6DBA0536"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47 039,1</w:t>
            </w:r>
          </w:p>
        </w:tc>
        <w:tc>
          <w:tcPr>
            <w:tcW w:w="625" w:type="pct"/>
            <w:shd w:val="clear" w:color="auto" w:fill="auto"/>
            <w:vAlign w:val="center"/>
            <w:hideMark/>
          </w:tcPr>
          <w:p w14:paraId="1466ED9E"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39 039,1</w:t>
            </w:r>
          </w:p>
        </w:tc>
        <w:tc>
          <w:tcPr>
            <w:tcW w:w="641" w:type="pct"/>
            <w:shd w:val="clear" w:color="auto" w:fill="auto"/>
            <w:vAlign w:val="center"/>
            <w:hideMark/>
          </w:tcPr>
          <w:p w14:paraId="4BB689C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51 509,9</w:t>
            </w:r>
          </w:p>
        </w:tc>
        <w:tc>
          <w:tcPr>
            <w:tcW w:w="624" w:type="pct"/>
            <w:shd w:val="clear" w:color="auto" w:fill="auto"/>
            <w:vAlign w:val="center"/>
            <w:hideMark/>
          </w:tcPr>
          <w:p w14:paraId="34CFBCA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38 492,1</w:t>
            </w:r>
          </w:p>
        </w:tc>
        <w:tc>
          <w:tcPr>
            <w:tcW w:w="738" w:type="pct"/>
            <w:shd w:val="clear" w:color="auto" w:fill="auto"/>
            <w:vAlign w:val="center"/>
            <w:hideMark/>
          </w:tcPr>
          <w:p w14:paraId="20844E9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176 080,14</w:t>
            </w:r>
          </w:p>
        </w:tc>
        <w:tc>
          <w:tcPr>
            <w:tcW w:w="392" w:type="pct"/>
            <w:shd w:val="clear" w:color="auto" w:fill="auto"/>
            <w:vAlign w:val="center"/>
            <w:hideMark/>
          </w:tcPr>
          <w:p w14:paraId="0EC707F7"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67961DF7" w14:textId="77777777" w:rsidTr="0020372B">
        <w:trPr>
          <w:trHeight w:val="20"/>
        </w:trPr>
        <w:tc>
          <w:tcPr>
            <w:tcW w:w="1293" w:type="pct"/>
            <w:shd w:val="clear" w:color="auto" w:fill="F2F2F2"/>
            <w:vAlign w:val="center"/>
            <w:hideMark/>
          </w:tcPr>
          <w:p w14:paraId="21BAB18C" w14:textId="77777777" w:rsidR="00A400FF" w:rsidRPr="00C53C0F" w:rsidRDefault="00A400FF" w:rsidP="0020372B">
            <w:pPr>
              <w:spacing w:before="0" w:after="0" w:line="240" w:lineRule="auto"/>
              <w:ind w:left="-57"/>
              <w:jc w:val="lef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B. Coûts indirects</w:t>
            </w:r>
          </w:p>
        </w:tc>
        <w:tc>
          <w:tcPr>
            <w:tcW w:w="687" w:type="pct"/>
            <w:shd w:val="clear" w:color="auto" w:fill="F2F2F2"/>
            <w:vAlign w:val="center"/>
            <w:hideMark/>
          </w:tcPr>
          <w:p w14:paraId="123A0FDE"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78 183,92</w:t>
            </w:r>
          </w:p>
        </w:tc>
        <w:tc>
          <w:tcPr>
            <w:tcW w:w="625" w:type="pct"/>
            <w:gridSpan w:val="2"/>
            <w:shd w:val="clear" w:color="auto" w:fill="F2F2F2"/>
            <w:vAlign w:val="center"/>
            <w:hideMark/>
          </w:tcPr>
          <w:p w14:paraId="587F807A"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56 002,94</w:t>
            </w:r>
          </w:p>
        </w:tc>
        <w:tc>
          <w:tcPr>
            <w:tcW w:w="641" w:type="pct"/>
            <w:shd w:val="clear" w:color="auto" w:fill="F2F2F2"/>
            <w:vAlign w:val="center"/>
            <w:hideMark/>
          </w:tcPr>
          <w:p w14:paraId="2E70B771"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36 056,93</w:t>
            </w:r>
          </w:p>
        </w:tc>
        <w:tc>
          <w:tcPr>
            <w:tcW w:w="624" w:type="pct"/>
            <w:shd w:val="clear" w:color="auto" w:fill="F2F2F2"/>
            <w:vAlign w:val="center"/>
            <w:hideMark/>
          </w:tcPr>
          <w:p w14:paraId="353A2BD7"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26 944,50</w:t>
            </w:r>
          </w:p>
        </w:tc>
        <w:tc>
          <w:tcPr>
            <w:tcW w:w="738" w:type="pct"/>
            <w:shd w:val="clear" w:color="auto" w:fill="F2F2F2"/>
            <w:vAlign w:val="center"/>
            <w:hideMark/>
          </w:tcPr>
          <w:p w14:paraId="13B09D04"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197 188,30</w:t>
            </w:r>
          </w:p>
        </w:tc>
        <w:tc>
          <w:tcPr>
            <w:tcW w:w="392" w:type="pct"/>
            <w:shd w:val="clear" w:color="auto" w:fill="F2F2F2"/>
            <w:vAlign w:val="center"/>
            <w:hideMark/>
          </w:tcPr>
          <w:p w14:paraId="798467FC"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6,5%</w:t>
            </w:r>
          </w:p>
        </w:tc>
      </w:tr>
      <w:tr w:rsidR="00A400FF" w:rsidRPr="00C53C0F" w14:paraId="4576C562" w14:textId="77777777" w:rsidTr="0020372B">
        <w:trPr>
          <w:gridBefore w:val="1"/>
          <w:trHeight w:val="20"/>
        </w:trPr>
        <w:tc>
          <w:tcPr>
            <w:tcW w:w="1293" w:type="pct"/>
            <w:shd w:val="clear" w:color="auto" w:fill="auto"/>
            <w:vAlign w:val="center"/>
            <w:hideMark/>
          </w:tcPr>
          <w:p w14:paraId="05086A78"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TOTAL (A+B)</w:t>
            </w:r>
          </w:p>
        </w:tc>
        <w:tc>
          <w:tcPr>
            <w:tcW w:w="687" w:type="pct"/>
            <w:shd w:val="clear" w:color="auto" w:fill="auto"/>
            <w:vAlign w:val="center"/>
            <w:hideMark/>
          </w:tcPr>
          <w:p w14:paraId="2EE939FD"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1 195 097,00</w:t>
            </w:r>
          </w:p>
        </w:tc>
        <w:tc>
          <w:tcPr>
            <w:tcW w:w="625" w:type="pct"/>
            <w:shd w:val="clear" w:color="auto" w:fill="auto"/>
            <w:vAlign w:val="center"/>
            <w:hideMark/>
          </w:tcPr>
          <w:p w14:paraId="446261D2"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856 045,00</w:t>
            </w:r>
          </w:p>
        </w:tc>
        <w:tc>
          <w:tcPr>
            <w:tcW w:w="641" w:type="pct"/>
            <w:shd w:val="clear" w:color="auto" w:fill="auto"/>
            <w:vAlign w:val="center"/>
            <w:hideMark/>
          </w:tcPr>
          <w:p w14:paraId="0D4F9700"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551 156,00</w:t>
            </w:r>
          </w:p>
        </w:tc>
        <w:tc>
          <w:tcPr>
            <w:tcW w:w="624" w:type="pct"/>
            <w:shd w:val="clear" w:color="auto" w:fill="auto"/>
            <w:vAlign w:val="center"/>
            <w:hideMark/>
          </w:tcPr>
          <w:p w14:paraId="41608915"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411 865,99</w:t>
            </w:r>
          </w:p>
        </w:tc>
        <w:tc>
          <w:tcPr>
            <w:tcW w:w="738" w:type="pct"/>
            <w:shd w:val="clear" w:color="auto" w:fill="auto"/>
            <w:vAlign w:val="center"/>
            <w:hideMark/>
          </w:tcPr>
          <w:p w14:paraId="2F77B94E" w14:textId="77777777" w:rsidR="00A400FF" w:rsidRPr="00C53C0F" w:rsidRDefault="00A400FF" w:rsidP="0020372B">
            <w:pPr>
              <w:spacing w:before="0" w:after="0" w:line="240" w:lineRule="auto"/>
              <w:ind w:left="-57"/>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w:t>
            </w:r>
            <w:r>
              <w:rPr>
                <w:rFonts w:ascii="Tw Cen MT" w:eastAsia="Times New Roman" w:hAnsi="Tw Cen MT" w:cs="Calibri"/>
                <w:b/>
                <w:bCs/>
                <w:color w:val="000000"/>
                <w:sz w:val="20"/>
                <w:szCs w:val="20"/>
              </w:rPr>
              <w:t xml:space="preserve"> </w:t>
            </w:r>
            <w:r w:rsidRPr="00C53C0F">
              <w:rPr>
                <w:rFonts w:ascii="Tw Cen MT" w:eastAsia="Times New Roman" w:hAnsi="Tw Cen MT" w:cs="Calibri"/>
                <w:b/>
                <w:bCs/>
                <w:color w:val="000000"/>
                <w:sz w:val="20"/>
                <w:szCs w:val="20"/>
              </w:rPr>
              <w:t>014 164,00</w:t>
            </w:r>
          </w:p>
        </w:tc>
        <w:tc>
          <w:tcPr>
            <w:tcW w:w="392" w:type="pct"/>
            <w:shd w:val="clear" w:color="auto" w:fill="auto"/>
            <w:vAlign w:val="center"/>
            <w:hideMark/>
          </w:tcPr>
          <w:p w14:paraId="1F0CB48A"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p>
        </w:tc>
      </w:tr>
      <w:tr w:rsidR="00A400FF" w:rsidRPr="00C53C0F" w14:paraId="336A7FF4" w14:textId="77777777" w:rsidTr="0020372B">
        <w:trPr>
          <w:gridBefore w:val="1"/>
          <w:trHeight w:val="20"/>
        </w:trPr>
        <w:tc>
          <w:tcPr>
            <w:tcW w:w="1293" w:type="pct"/>
            <w:shd w:val="clear" w:color="auto" w:fill="auto"/>
            <w:vAlign w:val="center"/>
            <w:hideMark/>
          </w:tcPr>
          <w:p w14:paraId="787F23BB"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Poids (%)</w:t>
            </w:r>
          </w:p>
        </w:tc>
        <w:tc>
          <w:tcPr>
            <w:tcW w:w="687" w:type="pct"/>
            <w:shd w:val="clear" w:color="auto" w:fill="auto"/>
            <w:vAlign w:val="center"/>
            <w:hideMark/>
          </w:tcPr>
          <w:p w14:paraId="408AA2B0"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39,6%</w:t>
            </w:r>
          </w:p>
        </w:tc>
        <w:tc>
          <w:tcPr>
            <w:tcW w:w="625" w:type="pct"/>
            <w:shd w:val="clear" w:color="auto" w:fill="auto"/>
            <w:vAlign w:val="center"/>
            <w:hideMark/>
          </w:tcPr>
          <w:p w14:paraId="21900731"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28,4%</w:t>
            </w:r>
          </w:p>
        </w:tc>
        <w:tc>
          <w:tcPr>
            <w:tcW w:w="641" w:type="pct"/>
            <w:shd w:val="clear" w:color="auto" w:fill="auto"/>
            <w:vAlign w:val="center"/>
            <w:hideMark/>
          </w:tcPr>
          <w:p w14:paraId="2D70A0B1"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18,3%</w:t>
            </w:r>
          </w:p>
        </w:tc>
        <w:tc>
          <w:tcPr>
            <w:tcW w:w="624" w:type="pct"/>
            <w:shd w:val="clear" w:color="auto" w:fill="auto"/>
            <w:vAlign w:val="center"/>
            <w:hideMark/>
          </w:tcPr>
          <w:p w14:paraId="54D1817D"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13,7%</w:t>
            </w:r>
          </w:p>
        </w:tc>
        <w:tc>
          <w:tcPr>
            <w:tcW w:w="738" w:type="pct"/>
            <w:shd w:val="clear" w:color="auto" w:fill="auto"/>
            <w:vAlign w:val="center"/>
            <w:hideMark/>
          </w:tcPr>
          <w:p w14:paraId="0461746D"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p>
        </w:tc>
        <w:tc>
          <w:tcPr>
            <w:tcW w:w="392" w:type="pct"/>
            <w:shd w:val="clear" w:color="auto" w:fill="auto"/>
            <w:vAlign w:val="center"/>
            <w:hideMark/>
          </w:tcPr>
          <w:p w14:paraId="29BC2F2C"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bl>
    <w:p w14:paraId="17BB8CBC" w14:textId="77777777" w:rsidR="00A400FF" w:rsidRPr="00BE789A" w:rsidRDefault="00A400FF" w:rsidP="00A400FF">
      <w:pPr>
        <w:keepNext/>
        <w:spacing w:before="0" w:line="276" w:lineRule="auto"/>
        <w:rPr>
          <w:i/>
          <w:sz w:val="20"/>
        </w:rPr>
      </w:pPr>
      <w:r w:rsidRPr="002D3E79">
        <w:rPr>
          <w:i/>
          <w:sz w:val="20"/>
        </w:rPr>
        <w:t xml:space="preserve">Source : </w:t>
      </w:r>
      <w:r>
        <w:rPr>
          <w:i/>
          <w:sz w:val="20"/>
        </w:rPr>
        <w:t xml:space="preserve">Extrait des données financières du projet </w:t>
      </w:r>
    </w:p>
    <w:p w14:paraId="1112BAA7" w14:textId="77777777" w:rsidR="00A400FF" w:rsidRDefault="00A400FF" w:rsidP="00A400FF">
      <w:pPr>
        <w:tabs>
          <w:tab w:val="left" w:pos="2763"/>
        </w:tabs>
        <w:spacing w:line="276" w:lineRule="auto"/>
        <w:jc w:val="left"/>
      </w:pPr>
    </w:p>
    <w:p w14:paraId="168F4E8B" w14:textId="641826C1" w:rsidR="00A400FF" w:rsidRDefault="00A400FF" w:rsidP="00A400FF">
      <w:pPr>
        <w:pStyle w:val="Lgende"/>
        <w:keepNext/>
        <w:rPr>
          <w:rFonts w:cs="Times New Roman"/>
          <w:bCs/>
        </w:rPr>
      </w:pPr>
      <w:bookmarkStart w:id="1023" w:name="_Toc92262113"/>
      <w:r>
        <w:t xml:space="preserve">Tableau </w:t>
      </w:r>
      <w:r>
        <w:fldChar w:fldCharType="begin"/>
      </w:r>
      <w:r>
        <w:instrText>SEQ Tableau \* ARABIC</w:instrText>
      </w:r>
      <w:r>
        <w:fldChar w:fldCharType="separate"/>
      </w:r>
      <w:r w:rsidR="0046716F">
        <w:rPr>
          <w:noProof/>
        </w:rPr>
        <w:t>11</w:t>
      </w:r>
      <w:r>
        <w:fldChar w:fldCharType="end"/>
      </w:r>
      <w:r>
        <w:t xml:space="preserve"> : Etat des ressources humaines mobilisées par le projet</w:t>
      </w:r>
      <w:bookmarkEnd w:id="1023"/>
    </w:p>
    <w:tbl>
      <w:tblPr>
        <w:tblW w:w="5000" w:type="pct"/>
        <w:tblCellMar>
          <w:left w:w="0" w:type="dxa"/>
          <w:right w:w="0" w:type="dxa"/>
        </w:tblCellMar>
        <w:tblLook w:val="04A0" w:firstRow="1" w:lastRow="0" w:firstColumn="1" w:lastColumn="0" w:noHBand="0" w:noVBand="1"/>
      </w:tblPr>
      <w:tblGrid>
        <w:gridCol w:w="1113"/>
        <w:gridCol w:w="1401"/>
        <w:gridCol w:w="865"/>
        <w:gridCol w:w="2238"/>
        <w:gridCol w:w="2211"/>
        <w:gridCol w:w="618"/>
        <w:gridCol w:w="616"/>
      </w:tblGrid>
      <w:tr w:rsidR="00A400FF" w:rsidRPr="00102459" w14:paraId="4DA674FB" w14:textId="77777777" w:rsidTr="0020372B">
        <w:trPr>
          <w:trHeight w:val="20"/>
        </w:trPr>
        <w:tc>
          <w:tcPr>
            <w:tcW w:w="1386" w:type="pct"/>
            <w:gridSpan w:val="2"/>
            <w:tcBorders>
              <w:top w:val="single" w:sz="4" w:space="0" w:color="0070C0"/>
              <w:left w:val="single" w:sz="4" w:space="0" w:color="0070C0"/>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12C4F4FA"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Structures</w:t>
            </w:r>
          </w:p>
        </w:tc>
        <w:tc>
          <w:tcPr>
            <w:tcW w:w="477"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28F6E36D"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Sexe</w:t>
            </w:r>
          </w:p>
        </w:tc>
        <w:tc>
          <w:tcPr>
            <w:tcW w:w="1235" w:type="pct"/>
            <w:tcBorders>
              <w:top w:val="single" w:sz="4" w:space="0" w:color="0070C0"/>
              <w:left w:val="nil"/>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227FA6D0"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Temps plein</w:t>
            </w:r>
          </w:p>
        </w:tc>
        <w:tc>
          <w:tcPr>
            <w:tcW w:w="1220" w:type="pct"/>
            <w:tcBorders>
              <w:top w:val="single" w:sz="4" w:space="0" w:color="0070C0"/>
              <w:left w:val="nil"/>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162F47B7"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Temps partiel</w:t>
            </w:r>
          </w:p>
        </w:tc>
        <w:tc>
          <w:tcPr>
            <w:tcW w:w="341"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2EDEFC44"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TOTAL</w:t>
            </w:r>
          </w:p>
        </w:tc>
        <w:tc>
          <w:tcPr>
            <w:tcW w:w="341"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3B808CCD"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w:t>
            </w:r>
          </w:p>
        </w:tc>
      </w:tr>
      <w:tr w:rsidR="00A400FF" w:rsidRPr="00102459" w14:paraId="32EB487C"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5E2993A"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Agences d'exécution (AE)</w:t>
            </w: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11D09F4"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Femmes - Mali</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213C536"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B816DDA"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Program manager (Coordinateur du projet)</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6017B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Spécialiste S&amp;E</w:t>
            </w:r>
            <w:r w:rsidRPr="00102459">
              <w:rPr>
                <w:rFonts w:cs="Calibri"/>
                <w:color w:val="000000"/>
                <w:sz w:val="18"/>
                <w:szCs w:val="18"/>
              </w:rPr>
              <w:br/>
              <w:t>2 chargés de S&amp;E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47B9BCE"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5150847"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FFF2FF3"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7489BD6"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78F0B9B"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5BCE8E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0B3F336B" w14:textId="77777777" w:rsidR="00A400FF" w:rsidRPr="00102459" w:rsidRDefault="00A400FF" w:rsidP="0020372B">
            <w:pPr>
              <w:keepNext/>
              <w:spacing w:before="0" w:after="0" w:line="276" w:lineRule="auto"/>
              <w:jc w:val="left"/>
              <w:rPr>
                <w:rFonts w:cs="Calibri"/>
                <w:color w:val="D9D9D9"/>
                <w:sz w:val="18"/>
                <w:szCs w:val="18"/>
              </w:rPr>
            </w:pP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12A45961"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Assistante S&amp;E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460598FB"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FCABE9B"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51D4808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7BDF6FD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5D280F8"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Femmes - Niger</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7AA794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1FC0BD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Program manager</w:t>
            </w:r>
            <w:r w:rsidRPr="00102459">
              <w:rPr>
                <w:rFonts w:cs="Calibri"/>
                <w:color w:val="000000"/>
                <w:sz w:val="18"/>
                <w:szCs w:val="18"/>
              </w:rPr>
              <w:br/>
              <w:t>1 Program specialist</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D5FDA0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Spécialiste M&amp;E</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13D0A7A"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5DC7B76C"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2B46BB0"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605484A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2571D5EF"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B28EE7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C503CDF"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D3BE5FD"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DF316D7"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1C020BA"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081AEB15"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E94435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8E81295"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DC</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A1DBDE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520A8C8C" w14:textId="77777777" w:rsidR="00A400FF" w:rsidRPr="00102459" w:rsidRDefault="00A400FF" w:rsidP="0020372B">
            <w:pPr>
              <w:keepNext/>
              <w:spacing w:before="0" w:after="0" w:line="276" w:lineRule="auto"/>
              <w:jc w:val="left"/>
              <w:rPr>
                <w:rFonts w:cs="Calibri"/>
                <w:color w:val="000000"/>
                <w:sz w:val="18"/>
                <w:szCs w:val="18"/>
              </w:rPr>
            </w:pPr>
            <w:r>
              <w:rPr>
                <w:rFonts w:cs="Calibri"/>
                <w:color w:val="000000"/>
                <w:sz w:val="18"/>
                <w:szCs w:val="18"/>
              </w:rPr>
              <w:t>2 UNV Juriste Assistant (Mali et Niger)</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9BEC3F4"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6705377"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E3EBE65"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0DD253C"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BB9359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5B4879E0"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067878C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56BEC53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Gestionnaire de projet</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A15F31"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CCDD72F"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FC4EDA2"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045155F0"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EEA504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1E1699B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SOUS TOTAL - AE</w:t>
            </w: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64131CB3"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Masculin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4C40F377" w14:textId="77777777" w:rsidR="00A400FF" w:rsidRPr="00102459" w:rsidRDefault="00A400FF" w:rsidP="0020372B">
            <w:pPr>
              <w:keepNext/>
              <w:spacing w:before="0" w:after="0" w:line="276" w:lineRule="auto"/>
              <w:jc w:val="left"/>
              <w:rPr>
                <w:rFonts w:cs="Calibri"/>
                <w:b/>
                <w:bCs/>
                <w:color w:val="5B9BD5"/>
                <w:sz w:val="18"/>
                <w:szCs w:val="18"/>
              </w:rPr>
            </w:pPr>
            <w:r>
              <w:rPr>
                <w:rFonts w:cs="Calibri"/>
                <w:b/>
                <w:bCs/>
                <w:color w:val="5B9BD5"/>
                <w:sz w:val="18"/>
                <w:szCs w:val="18"/>
              </w:rPr>
              <w:t>5</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72C90068"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4</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2421905E"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9</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36AC1FEB"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83</w:t>
            </w:r>
            <w:r w:rsidRPr="00102459">
              <w:rPr>
                <w:rFonts w:cs="Calibri"/>
                <w:b/>
                <w:bCs/>
                <w:color w:val="5B9BD5"/>
                <w:sz w:val="18"/>
                <w:szCs w:val="18"/>
              </w:rPr>
              <w:t>%</w:t>
            </w:r>
          </w:p>
        </w:tc>
      </w:tr>
      <w:tr w:rsidR="00A400FF" w:rsidRPr="00102459" w14:paraId="455CEFB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3F5A8A51"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F790CC3" w14:textId="77777777" w:rsidR="00A400FF" w:rsidRPr="00102459" w:rsidRDefault="00A400FF" w:rsidP="0020372B">
            <w:pPr>
              <w:keepNext/>
              <w:spacing w:before="0" w:after="0" w:line="276" w:lineRule="auto"/>
              <w:jc w:val="center"/>
              <w:rPr>
                <w:rFonts w:cs="Calibri"/>
                <w:b/>
                <w:bCs/>
                <w:color w:val="5B9BD5"/>
                <w:sz w:val="18"/>
                <w:szCs w:val="18"/>
              </w:rPr>
            </w:pP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31EB4552"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Féminin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29CF2246"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1</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A6295D9"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1</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031B651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2</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4D014911"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18</w:t>
            </w:r>
            <w:r w:rsidRPr="00102459">
              <w:rPr>
                <w:rFonts w:cs="Calibri"/>
                <w:b/>
                <w:bCs/>
                <w:color w:val="5B9BD5"/>
                <w:sz w:val="18"/>
                <w:szCs w:val="18"/>
              </w:rPr>
              <w:t>%</w:t>
            </w:r>
          </w:p>
        </w:tc>
      </w:tr>
      <w:tr w:rsidR="00A400FF" w:rsidRPr="00102459" w14:paraId="10A1611E"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965F8FC"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ONG partenaires de mise en œuvre</w:t>
            </w: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80D8E6C"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CRADE</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B1DABE3"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C57F79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Coordinateur de Projet -Ménaka</w:t>
            </w:r>
            <w:r w:rsidRPr="00102459">
              <w:rPr>
                <w:rFonts w:cs="Calibri"/>
                <w:color w:val="000000"/>
                <w:sz w:val="18"/>
                <w:szCs w:val="18"/>
              </w:rPr>
              <w:br/>
              <w:t>2 Animateurs /ADC – Ménaka &amp; Anderamboukane</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5C2F4D6"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Coordinateur</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3379594"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6720E74"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A4B1B5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A1781CF"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12DBA7BC"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FBEA05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F1A7A5C"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5D4D0D8"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05CDBDD"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56B8E9D"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3743D9FE"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5E65A21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C073380"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CAR.D</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B4FA0B9"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8D5B05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Cordinateur</w:t>
            </w:r>
            <w:r w:rsidRPr="00102459">
              <w:rPr>
                <w:rFonts w:cs="Calibri"/>
                <w:color w:val="000000"/>
                <w:sz w:val="18"/>
                <w:szCs w:val="18"/>
              </w:rPr>
              <w:br/>
              <w:t>2 Animateurs (Tessit &amp; Ansongo)</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8DB29B0"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Chargé des Projets et Programmes</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4ADB1962"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2699347"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93F4988"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410EBEE3"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6DBDED98"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A50C5F9"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7C7AEB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Animatrice (Ouatagouna)</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42863A0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Responsable Administrative et Financière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26C3A11"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7CFC61C2"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57F78282"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BF4E291"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CA48767"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ADL</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5EEB532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4E11B9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Animateur / Gorouol</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AEC3A55"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Administrateur de l'ONG</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386BDD9"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32E080C"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4D53209"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4D56A06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F5352FA"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AA2FAF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982ADC6"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55148D1"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A634321"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D133495"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36FE706"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61ED717D"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D27A9AA"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REPSFECO</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5A4D61F"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FB72460"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Assistant à la Présidente</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FB4ACB"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671385F"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08C5A46"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208E575E"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26FEC8D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176BBD18"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B42052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4ECC954A"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198815D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Présidente de l'ONG</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4BAD0C5"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DE7CC1D"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1CD7CB72"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FBA7B0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00E9922"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SOUS TOTAL - ONG</w:t>
            </w: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4B155BCF"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Masculin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D6FDF5B"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8</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17D86E4B"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3</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650BEA9E"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11</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15349228"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73%</w:t>
            </w:r>
          </w:p>
        </w:tc>
      </w:tr>
      <w:tr w:rsidR="00A400FF" w:rsidRPr="00102459" w14:paraId="4DCC9C09"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DA48FC2"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4D2BD9EC" w14:textId="77777777" w:rsidR="00A400FF" w:rsidRPr="00102459" w:rsidRDefault="00A400FF" w:rsidP="0020372B">
            <w:pPr>
              <w:keepNext/>
              <w:spacing w:before="0" w:after="0" w:line="276" w:lineRule="auto"/>
              <w:jc w:val="center"/>
              <w:rPr>
                <w:rFonts w:cs="Calibri"/>
                <w:b/>
                <w:bCs/>
                <w:color w:val="5B9BD5"/>
                <w:sz w:val="18"/>
                <w:szCs w:val="18"/>
              </w:rPr>
            </w:pP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26540169"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Féminin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7FC6E857"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2</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CCC5196"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2</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1562A44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4</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04445DBC"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27%</w:t>
            </w:r>
          </w:p>
        </w:tc>
      </w:tr>
      <w:tr w:rsidR="00A400FF" w:rsidRPr="00102459" w14:paraId="0699AF86"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3D8ADB96"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316ECED"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TOTAL GENERAL</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18BF4FF"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142BD9F"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1</w:t>
            </w:r>
            <w:r>
              <w:rPr>
                <w:rFonts w:cs="Calibri"/>
                <w:b/>
                <w:bCs/>
                <w:color w:val="C00000"/>
                <w:sz w:val="18"/>
                <w:szCs w:val="18"/>
              </w:rPr>
              <w:t>3</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8712E4B"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7</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909A932" w14:textId="77777777" w:rsidR="00A400FF" w:rsidRPr="00102459" w:rsidRDefault="00A400FF" w:rsidP="0020372B">
            <w:pPr>
              <w:keepNext/>
              <w:spacing w:before="0" w:after="0" w:line="276" w:lineRule="auto"/>
              <w:jc w:val="center"/>
              <w:rPr>
                <w:rFonts w:cs="Calibri"/>
                <w:b/>
                <w:bCs/>
                <w:color w:val="C00000"/>
                <w:sz w:val="18"/>
                <w:szCs w:val="18"/>
              </w:rPr>
            </w:pPr>
            <w:r>
              <w:rPr>
                <w:rFonts w:cs="Calibri"/>
                <w:b/>
                <w:bCs/>
                <w:color w:val="C00000"/>
                <w:sz w:val="18"/>
                <w:szCs w:val="18"/>
              </w:rPr>
              <w:t>20</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2ACB49D"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7</w:t>
            </w:r>
            <w:r>
              <w:rPr>
                <w:rFonts w:cs="Calibri"/>
                <w:b/>
                <w:bCs/>
                <w:color w:val="C00000"/>
                <w:sz w:val="18"/>
                <w:szCs w:val="18"/>
              </w:rPr>
              <w:t>7</w:t>
            </w:r>
            <w:r w:rsidRPr="00102459">
              <w:rPr>
                <w:rFonts w:cs="Calibri"/>
                <w:b/>
                <w:bCs/>
                <w:color w:val="C00000"/>
                <w:sz w:val="18"/>
                <w:szCs w:val="18"/>
              </w:rPr>
              <w:t>%</w:t>
            </w:r>
          </w:p>
        </w:tc>
      </w:tr>
      <w:tr w:rsidR="00A400FF" w:rsidRPr="00102459" w14:paraId="4550C0EC"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50EF5BE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9A59DEA" w14:textId="77777777" w:rsidR="00A400FF" w:rsidRPr="00102459" w:rsidRDefault="00A400FF" w:rsidP="0020372B">
            <w:pPr>
              <w:keepNext/>
              <w:spacing w:before="0" w:after="0" w:line="276" w:lineRule="auto"/>
              <w:jc w:val="center"/>
              <w:rPr>
                <w:rFonts w:cs="Calibri"/>
                <w:b/>
                <w:bCs/>
                <w:color w:val="C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1A7CA30"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D04656A"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3</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CB33C0A"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3</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313561B"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6</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7DAF0B3"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2</w:t>
            </w:r>
            <w:r>
              <w:rPr>
                <w:rFonts w:cs="Calibri"/>
                <w:b/>
                <w:bCs/>
                <w:color w:val="C00000"/>
                <w:sz w:val="18"/>
                <w:szCs w:val="18"/>
              </w:rPr>
              <w:t>3</w:t>
            </w:r>
            <w:r w:rsidRPr="00102459">
              <w:rPr>
                <w:rFonts w:cs="Calibri"/>
                <w:b/>
                <w:bCs/>
                <w:color w:val="C00000"/>
                <w:sz w:val="18"/>
                <w:szCs w:val="18"/>
              </w:rPr>
              <w:t>%</w:t>
            </w:r>
          </w:p>
        </w:tc>
      </w:tr>
    </w:tbl>
    <w:p w14:paraId="4605E990" w14:textId="77777777" w:rsidR="00A400FF" w:rsidRDefault="00A400FF" w:rsidP="00A400FF">
      <w:pPr>
        <w:keepNext/>
        <w:spacing w:before="0" w:line="276" w:lineRule="auto"/>
        <w:rPr>
          <w:i/>
          <w:sz w:val="20"/>
        </w:rPr>
      </w:pPr>
      <w:r>
        <w:rPr>
          <w:i/>
          <w:sz w:val="20"/>
        </w:rPr>
        <w:t xml:space="preserve"> S</w:t>
      </w:r>
      <w:r w:rsidRPr="002D3E79">
        <w:rPr>
          <w:i/>
          <w:sz w:val="20"/>
        </w:rPr>
        <w:t xml:space="preserve">ource : </w:t>
      </w:r>
      <w:r>
        <w:rPr>
          <w:i/>
          <w:sz w:val="20"/>
        </w:rPr>
        <w:t xml:space="preserve">Auteur à partir des informations collectées auprès des agences d’exécution et des ONG partenaires de mise en œuvre </w:t>
      </w:r>
    </w:p>
    <w:p w14:paraId="6BDE0C41" w14:textId="77777777" w:rsidR="00A400FF" w:rsidRDefault="00A400FF" w:rsidP="00A400FF">
      <w:pPr>
        <w:keepNext/>
        <w:spacing w:before="0" w:line="276" w:lineRule="auto"/>
        <w:rPr>
          <w:i/>
          <w:sz w:val="20"/>
        </w:rPr>
      </w:pPr>
    </w:p>
    <w:p w14:paraId="40891CBD" w14:textId="77777777" w:rsidR="00A400FF" w:rsidRDefault="00A400FF" w:rsidP="00A400FF">
      <w:pPr>
        <w:keepNext/>
        <w:spacing w:before="0" w:line="276" w:lineRule="auto"/>
        <w:rPr>
          <w:i/>
          <w:sz w:val="20"/>
        </w:rPr>
      </w:pPr>
    </w:p>
    <w:p w14:paraId="672053B4" w14:textId="77777777" w:rsidR="00A400FF" w:rsidRDefault="00A400FF" w:rsidP="00A400FF">
      <w:pPr>
        <w:keepNext/>
        <w:spacing w:before="0" w:line="276" w:lineRule="auto"/>
        <w:rPr>
          <w:i/>
          <w:sz w:val="20"/>
        </w:rPr>
      </w:pPr>
    </w:p>
    <w:p w14:paraId="5E380072" w14:textId="77777777" w:rsidR="00A400FF" w:rsidRDefault="00A400FF" w:rsidP="00A400FF">
      <w:pPr>
        <w:keepNext/>
        <w:spacing w:before="0" w:line="276" w:lineRule="auto"/>
        <w:rPr>
          <w:i/>
          <w:sz w:val="20"/>
        </w:rPr>
      </w:pPr>
    </w:p>
    <w:p w14:paraId="25761060" w14:textId="77777777" w:rsidR="00A400FF" w:rsidRDefault="00A400FF" w:rsidP="00A400FF">
      <w:pPr>
        <w:keepNext/>
        <w:spacing w:before="0" w:line="276" w:lineRule="auto"/>
        <w:rPr>
          <w:i/>
          <w:sz w:val="20"/>
        </w:rPr>
      </w:pPr>
    </w:p>
    <w:p w14:paraId="3D5EE920" w14:textId="77777777" w:rsidR="00A400FF" w:rsidRDefault="00A400FF" w:rsidP="00A400FF">
      <w:pPr>
        <w:keepNext/>
        <w:spacing w:before="0" w:line="276" w:lineRule="auto"/>
        <w:rPr>
          <w:i/>
          <w:sz w:val="20"/>
        </w:rPr>
      </w:pPr>
    </w:p>
    <w:p w14:paraId="7D223794" w14:textId="77777777" w:rsidR="00A400FF" w:rsidRDefault="00A400FF" w:rsidP="00A400FF">
      <w:pPr>
        <w:keepNext/>
        <w:spacing w:before="0" w:line="276" w:lineRule="auto"/>
        <w:rPr>
          <w:i/>
          <w:sz w:val="20"/>
        </w:rPr>
      </w:pPr>
    </w:p>
    <w:p w14:paraId="24BB297F" w14:textId="77777777" w:rsidR="00A400FF" w:rsidRDefault="00A400FF" w:rsidP="00A400FF">
      <w:pPr>
        <w:keepNext/>
        <w:spacing w:before="0" w:line="276" w:lineRule="auto"/>
        <w:rPr>
          <w:i/>
          <w:sz w:val="20"/>
        </w:rPr>
      </w:pPr>
    </w:p>
    <w:p w14:paraId="3B33A303" w14:textId="77777777" w:rsidR="00A400FF" w:rsidRDefault="00A400FF" w:rsidP="00A400FF">
      <w:pPr>
        <w:keepNext/>
        <w:spacing w:before="0" w:line="276" w:lineRule="auto"/>
        <w:rPr>
          <w:i/>
          <w:sz w:val="20"/>
        </w:rPr>
      </w:pPr>
    </w:p>
    <w:p w14:paraId="47017492" w14:textId="6DE9D964" w:rsidR="00A400FF" w:rsidRPr="00AF545B" w:rsidRDefault="00A400FF" w:rsidP="00A400FF">
      <w:pPr>
        <w:pStyle w:val="Lgende"/>
        <w:keepNext/>
        <w:rPr>
          <w:rFonts w:cs="Times New Roman"/>
        </w:rPr>
      </w:pPr>
      <w:bookmarkStart w:id="1024" w:name="_Toc92262114"/>
      <w:r>
        <w:t xml:space="preserve">Tableau </w:t>
      </w:r>
      <w:r>
        <w:fldChar w:fldCharType="begin"/>
      </w:r>
      <w:r>
        <w:instrText>SEQ Tableau \* ARABIC</w:instrText>
      </w:r>
      <w:r>
        <w:fldChar w:fldCharType="separate"/>
      </w:r>
      <w:r w:rsidR="0046716F">
        <w:rPr>
          <w:noProof/>
        </w:rPr>
        <w:t>12</w:t>
      </w:r>
      <w:r>
        <w:fldChar w:fldCharType="end"/>
      </w:r>
      <w:r>
        <w:t xml:space="preserve"> : </w:t>
      </w:r>
      <w:r w:rsidRPr="000D69D2">
        <w:t>Niveau d’implication des femmes et des jeunes membres des MCPGC</w:t>
      </w:r>
      <w:bookmarkEnd w:id="1024"/>
    </w:p>
    <w:tbl>
      <w:tblPr>
        <w:tblW w:w="94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09"/>
        <w:gridCol w:w="851"/>
        <w:gridCol w:w="708"/>
        <w:gridCol w:w="851"/>
        <w:gridCol w:w="850"/>
        <w:gridCol w:w="851"/>
        <w:gridCol w:w="767"/>
        <w:gridCol w:w="792"/>
        <w:gridCol w:w="567"/>
        <w:gridCol w:w="851"/>
      </w:tblGrid>
      <w:tr w:rsidR="00A400FF" w:rsidRPr="00046797" w14:paraId="56892C64" w14:textId="77777777" w:rsidTr="0020372B">
        <w:trPr>
          <w:trHeight w:val="300"/>
        </w:trPr>
        <w:tc>
          <w:tcPr>
            <w:tcW w:w="1696" w:type="dxa"/>
            <w:vMerge w:val="restart"/>
            <w:shd w:val="clear" w:color="000000" w:fill="00B0F0"/>
            <w:noWrap/>
            <w:vAlign w:val="bottom"/>
            <w:hideMark/>
          </w:tcPr>
          <w:p w14:paraId="1DE1CDA6" w14:textId="77777777" w:rsidR="00A400FF" w:rsidRPr="00046797" w:rsidRDefault="00A400FF" w:rsidP="0020372B">
            <w:pPr>
              <w:keepNext/>
              <w:spacing w:before="0" w:after="0" w:line="240" w:lineRule="auto"/>
              <w:jc w:val="center"/>
              <w:rPr>
                <w:rFonts w:ascii="Calibri" w:eastAsia="Times New Roman" w:hAnsi="Calibri" w:cs="Calibri"/>
                <w:color w:val="000000"/>
              </w:rPr>
            </w:pPr>
            <w:r w:rsidRPr="00046797">
              <w:rPr>
                <w:rFonts w:ascii="Calibri" w:eastAsia="Times New Roman" w:hAnsi="Calibri" w:cs="Calibri"/>
                <w:color w:val="000000"/>
              </w:rPr>
              <w:t> </w:t>
            </w:r>
          </w:p>
        </w:tc>
        <w:tc>
          <w:tcPr>
            <w:tcW w:w="3119" w:type="dxa"/>
            <w:gridSpan w:val="4"/>
            <w:shd w:val="clear" w:color="000000" w:fill="00B0F0"/>
            <w:noWrap/>
            <w:vAlign w:val="center"/>
            <w:hideMark/>
          </w:tcPr>
          <w:p w14:paraId="7A9B0D27"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Sexe</w:t>
            </w:r>
          </w:p>
        </w:tc>
        <w:tc>
          <w:tcPr>
            <w:tcW w:w="3260" w:type="dxa"/>
            <w:gridSpan w:val="4"/>
            <w:shd w:val="clear" w:color="000000" w:fill="00B0F0"/>
            <w:noWrap/>
            <w:vAlign w:val="center"/>
            <w:hideMark/>
          </w:tcPr>
          <w:p w14:paraId="295485A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Tranche d'âge</w:t>
            </w:r>
          </w:p>
        </w:tc>
        <w:tc>
          <w:tcPr>
            <w:tcW w:w="1418" w:type="dxa"/>
            <w:gridSpan w:val="2"/>
            <w:vMerge w:val="restart"/>
            <w:shd w:val="clear" w:color="auto" w:fill="00B0F0"/>
            <w:noWrap/>
            <w:vAlign w:val="center"/>
            <w:hideMark/>
          </w:tcPr>
          <w:p w14:paraId="2A994F6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 xml:space="preserve">Total </w:t>
            </w:r>
          </w:p>
        </w:tc>
      </w:tr>
      <w:tr w:rsidR="00A400FF" w:rsidRPr="00046797" w14:paraId="3E7DE3A4" w14:textId="77777777" w:rsidTr="0020372B">
        <w:trPr>
          <w:trHeight w:val="300"/>
        </w:trPr>
        <w:tc>
          <w:tcPr>
            <w:tcW w:w="1696" w:type="dxa"/>
            <w:vMerge/>
            <w:vAlign w:val="center"/>
            <w:hideMark/>
          </w:tcPr>
          <w:p w14:paraId="6778D4B6" w14:textId="77777777" w:rsidR="00A400FF" w:rsidRPr="00046797" w:rsidRDefault="00A400FF" w:rsidP="0020372B">
            <w:pPr>
              <w:keepNext/>
              <w:spacing w:before="0" w:after="0" w:line="240" w:lineRule="auto"/>
              <w:jc w:val="left"/>
              <w:rPr>
                <w:rFonts w:ascii="Calibri" w:eastAsia="Times New Roman" w:hAnsi="Calibri" w:cs="Calibri"/>
                <w:color w:val="000000"/>
              </w:rPr>
            </w:pPr>
          </w:p>
        </w:tc>
        <w:tc>
          <w:tcPr>
            <w:tcW w:w="1560" w:type="dxa"/>
            <w:gridSpan w:val="2"/>
            <w:shd w:val="clear" w:color="000000" w:fill="00B0F0"/>
            <w:noWrap/>
            <w:vAlign w:val="center"/>
            <w:hideMark/>
          </w:tcPr>
          <w:p w14:paraId="218548E6"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Féminin</w:t>
            </w:r>
          </w:p>
        </w:tc>
        <w:tc>
          <w:tcPr>
            <w:tcW w:w="1559" w:type="dxa"/>
            <w:gridSpan w:val="2"/>
            <w:shd w:val="clear" w:color="000000" w:fill="00B0F0"/>
            <w:noWrap/>
            <w:vAlign w:val="center"/>
            <w:hideMark/>
          </w:tcPr>
          <w:p w14:paraId="114A5FEC"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Masculin</w:t>
            </w:r>
          </w:p>
        </w:tc>
        <w:tc>
          <w:tcPr>
            <w:tcW w:w="1701" w:type="dxa"/>
            <w:gridSpan w:val="2"/>
            <w:shd w:val="clear" w:color="000000" w:fill="00B0F0"/>
            <w:noWrap/>
            <w:vAlign w:val="center"/>
            <w:hideMark/>
          </w:tcPr>
          <w:p w14:paraId="6D4E955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18-34 ans</w:t>
            </w:r>
          </w:p>
        </w:tc>
        <w:tc>
          <w:tcPr>
            <w:tcW w:w="1559" w:type="dxa"/>
            <w:gridSpan w:val="2"/>
            <w:shd w:val="clear" w:color="000000" w:fill="00B0F0"/>
            <w:noWrap/>
            <w:vAlign w:val="center"/>
            <w:hideMark/>
          </w:tcPr>
          <w:p w14:paraId="7AC3CB59"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35 ans et +</w:t>
            </w:r>
          </w:p>
        </w:tc>
        <w:tc>
          <w:tcPr>
            <w:tcW w:w="1418" w:type="dxa"/>
            <w:gridSpan w:val="2"/>
            <w:vMerge/>
            <w:shd w:val="clear" w:color="auto" w:fill="00B0F0"/>
            <w:vAlign w:val="center"/>
            <w:hideMark/>
          </w:tcPr>
          <w:p w14:paraId="445CFDB5" w14:textId="77777777" w:rsidR="00A400FF" w:rsidRPr="00046797" w:rsidRDefault="00A400FF" w:rsidP="0020372B">
            <w:pPr>
              <w:keepNext/>
              <w:spacing w:before="0" w:after="0" w:line="240" w:lineRule="auto"/>
              <w:jc w:val="left"/>
              <w:rPr>
                <w:rFonts w:eastAsia="Times New Roman" w:cs="Calibri"/>
                <w:b/>
                <w:bCs/>
                <w:color w:val="FFFFFF"/>
                <w:sz w:val="20"/>
                <w:szCs w:val="20"/>
              </w:rPr>
            </w:pPr>
          </w:p>
        </w:tc>
      </w:tr>
      <w:tr w:rsidR="00A400FF" w:rsidRPr="00046797" w14:paraId="000EEC80" w14:textId="77777777" w:rsidTr="0020372B">
        <w:trPr>
          <w:trHeight w:val="300"/>
        </w:trPr>
        <w:tc>
          <w:tcPr>
            <w:tcW w:w="1696" w:type="dxa"/>
            <w:vMerge/>
            <w:vAlign w:val="center"/>
            <w:hideMark/>
          </w:tcPr>
          <w:p w14:paraId="7E92F114" w14:textId="77777777" w:rsidR="00A400FF" w:rsidRPr="00046797" w:rsidRDefault="00A400FF" w:rsidP="0020372B">
            <w:pPr>
              <w:keepNext/>
              <w:spacing w:before="0" w:after="0" w:line="240" w:lineRule="auto"/>
              <w:jc w:val="left"/>
              <w:rPr>
                <w:rFonts w:ascii="Calibri" w:eastAsia="Times New Roman" w:hAnsi="Calibri" w:cs="Calibri"/>
                <w:color w:val="000000"/>
              </w:rPr>
            </w:pPr>
          </w:p>
        </w:tc>
        <w:tc>
          <w:tcPr>
            <w:tcW w:w="709" w:type="dxa"/>
            <w:shd w:val="clear" w:color="000000" w:fill="00B0F0"/>
            <w:noWrap/>
            <w:vAlign w:val="center"/>
            <w:hideMark/>
          </w:tcPr>
          <w:p w14:paraId="663778A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791DCB7B"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08" w:type="dxa"/>
            <w:shd w:val="clear" w:color="000000" w:fill="00B0F0"/>
            <w:noWrap/>
            <w:vAlign w:val="center"/>
            <w:hideMark/>
          </w:tcPr>
          <w:p w14:paraId="07141BD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297C6E7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0" w:type="dxa"/>
            <w:shd w:val="clear" w:color="000000" w:fill="00B0F0"/>
            <w:noWrap/>
            <w:vAlign w:val="center"/>
            <w:hideMark/>
          </w:tcPr>
          <w:p w14:paraId="25A63B33"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7539CBF2"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67" w:type="dxa"/>
            <w:shd w:val="clear" w:color="000000" w:fill="00B0F0"/>
            <w:noWrap/>
            <w:vAlign w:val="center"/>
            <w:hideMark/>
          </w:tcPr>
          <w:p w14:paraId="4551FA80"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92" w:type="dxa"/>
            <w:shd w:val="clear" w:color="000000" w:fill="00B0F0"/>
            <w:noWrap/>
            <w:vAlign w:val="center"/>
            <w:hideMark/>
          </w:tcPr>
          <w:p w14:paraId="7503D671"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567" w:type="dxa"/>
            <w:shd w:val="clear" w:color="000000" w:fill="00B0F0"/>
            <w:noWrap/>
            <w:vAlign w:val="center"/>
            <w:hideMark/>
          </w:tcPr>
          <w:p w14:paraId="2F469401"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41A8B40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r>
      <w:tr w:rsidR="00A400FF" w:rsidRPr="00046797" w14:paraId="61939619" w14:textId="77777777" w:rsidTr="0020372B">
        <w:trPr>
          <w:trHeight w:val="300"/>
        </w:trPr>
        <w:tc>
          <w:tcPr>
            <w:tcW w:w="1696" w:type="dxa"/>
            <w:shd w:val="clear" w:color="auto" w:fill="auto"/>
            <w:noWrap/>
            <w:vAlign w:val="center"/>
            <w:hideMark/>
          </w:tcPr>
          <w:p w14:paraId="5793A551"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Ne participe pas</w:t>
            </w:r>
          </w:p>
        </w:tc>
        <w:tc>
          <w:tcPr>
            <w:tcW w:w="709" w:type="dxa"/>
            <w:shd w:val="clear" w:color="auto" w:fill="auto"/>
            <w:noWrap/>
            <w:vAlign w:val="center"/>
            <w:hideMark/>
          </w:tcPr>
          <w:p w14:paraId="563A04D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15</w:t>
            </w:r>
          </w:p>
        </w:tc>
        <w:tc>
          <w:tcPr>
            <w:tcW w:w="851" w:type="dxa"/>
            <w:shd w:val="clear" w:color="auto" w:fill="auto"/>
            <w:noWrap/>
            <w:vAlign w:val="center"/>
            <w:hideMark/>
          </w:tcPr>
          <w:p w14:paraId="0AD7BF17"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c>
          <w:tcPr>
            <w:tcW w:w="708" w:type="dxa"/>
            <w:shd w:val="clear" w:color="auto" w:fill="auto"/>
            <w:noWrap/>
            <w:vAlign w:val="center"/>
            <w:hideMark/>
          </w:tcPr>
          <w:p w14:paraId="11CA7DD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12</w:t>
            </w:r>
          </w:p>
        </w:tc>
        <w:tc>
          <w:tcPr>
            <w:tcW w:w="851" w:type="dxa"/>
            <w:shd w:val="clear" w:color="auto" w:fill="auto"/>
            <w:noWrap/>
            <w:vAlign w:val="center"/>
            <w:hideMark/>
          </w:tcPr>
          <w:p w14:paraId="2049981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c>
          <w:tcPr>
            <w:tcW w:w="850" w:type="dxa"/>
            <w:shd w:val="clear" w:color="auto" w:fill="auto"/>
            <w:noWrap/>
            <w:vAlign w:val="center"/>
            <w:hideMark/>
          </w:tcPr>
          <w:p w14:paraId="425B6F2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13</w:t>
            </w:r>
          </w:p>
        </w:tc>
        <w:tc>
          <w:tcPr>
            <w:tcW w:w="851" w:type="dxa"/>
            <w:shd w:val="clear" w:color="auto" w:fill="auto"/>
            <w:noWrap/>
            <w:vAlign w:val="center"/>
            <w:hideMark/>
          </w:tcPr>
          <w:p w14:paraId="48C541F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9%</w:t>
            </w:r>
          </w:p>
        </w:tc>
        <w:tc>
          <w:tcPr>
            <w:tcW w:w="767" w:type="dxa"/>
            <w:shd w:val="clear" w:color="auto" w:fill="auto"/>
            <w:noWrap/>
            <w:vAlign w:val="center"/>
            <w:hideMark/>
          </w:tcPr>
          <w:p w14:paraId="52800C59"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w:t>
            </w:r>
          </w:p>
        </w:tc>
        <w:tc>
          <w:tcPr>
            <w:tcW w:w="792" w:type="dxa"/>
            <w:shd w:val="clear" w:color="auto" w:fill="auto"/>
            <w:noWrap/>
            <w:vAlign w:val="center"/>
            <w:hideMark/>
          </w:tcPr>
          <w:p w14:paraId="1566A2F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c>
          <w:tcPr>
            <w:tcW w:w="567" w:type="dxa"/>
            <w:shd w:val="clear" w:color="auto" w:fill="auto"/>
            <w:noWrap/>
            <w:vAlign w:val="center"/>
            <w:hideMark/>
          </w:tcPr>
          <w:p w14:paraId="1D861E58"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27</w:t>
            </w:r>
          </w:p>
        </w:tc>
        <w:tc>
          <w:tcPr>
            <w:tcW w:w="851" w:type="dxa"/>
            <w:shd w:val="clear" w:color="auto" w:fill="auto"/>
            <w:noWrap/>
            <w:vAlign w:val="center"/>
            <w:hideMark/>
          </w:tcPr>
          <w:p w14:paraId="3D46D62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r>
      <w:tr w:rsidR="00A400FF" w:rsidRPr="00046797" w14:paraId="1383AA83" w14:textId="77777777" w:rsidTr="0020372B">
        <w:trPr>
          <w:trHeight w:val="300"/>
        </w:trPr>
        <w:tc>
          <w:tcPr>
            <w:tcW w:w="1696" w:type="dxa"/>
            <w:shd w:val="clear" w:color="auto" w:fill="auto"/>
            <w:noWrap/>
            <w:vAlign w:val="center"/>
            <w:hideMark/>
          </w:tcPr>
          <w:p w14:paraId="75F232CB"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Participe</w:t>
            </w:r>
          </w:p>
        </w:tc>
        <w:tc>
          <w:tcPr>
            <w:tcW w:w="709" w:type="dxa"/>
            <w:shd w:val="clear" w:color="auto" w:fill="auto"/>
            <w:noWrap/>
            <w:vAlign w:val="center"/>
            <w:hideMark/>
          </w:tcPr>
          <w:p w14:paraId="67937D4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139</w:t>
            </w:r>
          </w:p>
        </w:tc>
        <w:tc>
          <w:tcPr>
            <w:tcW w:w="851" w:type="dxa"/>
            <w:shd w:val="clear" w:color="auto" w:fill="auto"/>
            <w:noWrap/>
            <w:vAlign w:val="center"/>
            <w:hideMark/>
          </w:tcPr>
          <w:p w14:paraId="203AA7A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c>
          <w:tcPr>
            <w:tcW w:w="708" w:type="dxa"/>
            <w:shd w:val="clear" w:color="auto" w:fill="auto"/>
            <w:noWrap/>
            <w:vAlign w:val="center"/>
            <w:hideMark/>
          </w:tcPr>
          <w:p w14:paraId="053E596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103</w:t>
            </w:r>
          </w:p>
        </w:tc>
        <w:tc>
          <w:tcPr>
            <w:tcW w:w="851" w:type="dxa"/>
            <w:shd w:val="clear" w:color="auto" w:fill="auto"/>
            <w:noWrap/>
            <w:vAlign w:val="center"/>
            <w:hideMark/>
          </w:tcPr>
          <w:p w14:paraId="43F7C26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c>
          <w:tcPr>
            <w:tcW w:w="850" w:type="dxa"/>
            <w:shd w:val="clear" w:color="auto" w:fill="auto"/>
            <w:noWrap/>
            <w:vAlign w:val="center"/>
            <w:hideMark/>
          </w:tcPr>
          <w:p w14:paraId="12EA5718"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70</w:t>
            </w:r>
          </w:p>
        </w:tc>
        <w:tc>
          <w:tcPr>
            <w:tcW w:w="851" w:type="dxa"/>
            <w:shd w:val="clear" w:color="auto" w:fill="auto"/>
            <w:noWrap/>
            <w:vAlign w:val="center"/>
            <w:hideMark/>
          </w:tcPr>
          <w:p w14:paraId="431BED7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50%</w:t>
            </w:r>
          </w:p>
        </w:tc>
        <w:tc>
          <w:tcPr>
            <w:tcW w:w="767" w:type="dxa"/>
            <w:shd w:val="clear" w:color="auto" w:fill="auto"/>
            <w:noWrap/>
            <w:vAlign w:val="center"/>
            <w:hideMark/>
          </w:tcPr>
          <w:p w14:paraId="2172AFFA"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172</w:t>
            </w:r>
          </w:p>
        </w:tc>
        <w:tc>
          <w:tcPr>
            <w:tcW w:w="792" w:type="dxa"/>
            <w:shd w:val="clear" w:color="auto" w:fill="auto"/>
            <w:noWrap/>
            <w:vAlign w:val="center"/>
            <w:hideMark/>
          </w:tcPr>
          <w:p w14:paraId="47D5BBF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58%</w:t>
            </w:r>
          </w:p>
        </w:tc>
        <w:tc>
          <w:tcPr>
            <w:tcW w:w="567" w:type="dxa"/>
            <w:shd w:val="clear" w:color="auto" w:fill="auto"/>
            <w:noWrap/>
            <w:vAlign w:val="center"/>
            <w:hideMark/>
          </w:tcPr>
          <w:p w14:paraId="6D98209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242</w:t>
            </w:r>
          </w:p>
        </w:tc>
        <w:tc>
          <w:tcPr>
            <w:tcW w:w="851" w:type="dxa"/>
            <w:shd w:val="clear" w:color="auto" w:fill="auto"/>
            <w:noWrap/>
            <w:vAlign w:val="center"/>
            <w:hideMark/>
          </w:tcPr>
          <w:p w14:paraId="0027D78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r>
      <w:tr w:rsidR="00A400FF" w:rsidRPr="00046797" w14:paraId="0AA221BD" w14:textId="77777777" w:rsidTr="0020372B">
        <w:trPr>
          <w:trHeight w:val="300"/>
        </w:trPr>
        <w:tc>
          <w:tcPr>
            <w:tcW w:w="1696" w:type="dxa"/>
            <w:shd w:val="clear" w:color="auto" w:fill="auto"/>
            <w:noWrap/>
            <w:vAlign w:val="center"/>
            <w:hideMark/>
          </w:tcPr>
          <w:p w14:paraId="3D3128FA"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Participe et défend son point vue</w:t>
            </w:r>
          </w:p>
        </w:tc>
        <w:tc>
          <w:tcPr>
            <w:tcW w:w="709" w:type="dxa"/>
            <w:shd w:val="clear" w:color="auto" w:fill="auto"/>
            <w:noWrap/>
            <w:vAlign w:val="center"/>
            <w:hideMark/>
          </w:tcPr>
          <w:p w14:paraId="21FDC84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83</w:t>
            </w:r>
          </w:p>
        </w:tc>
        <w:tc>
          <w:tcPr>
            <w:tcW w:w="851" w:type="dxa"/>
            <w:shd w:val="clear" w:color="auto" w:fill="auto"/>
            <w:noWrap/>
            <w:vAlign w:val="center"/>
            <w:hideMark/>
          </w:tcPr>
          <w:p w14:paraId="1FFA415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c>
          <w:tcPr>
            <w:tcW w:w="708" w:type="dxa"/>
            <w:shd w:val="clear" w:color="auto" w:fill="auto"/>
            <w:noWrap/>
            <w:vAlign w:val="center"/>
            <w:hideMark/>
          </w:tcPr>
          <w:p w14:paraId="5EA85FE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64</w:t>
            </w:r>
          </w:p>
        </w:tc>
        <w:tc>
          <w:tcPr>
            <w:tcW w:w="851" w:type="dxa"/>
            <w:shd w:val="clear" w:color="auto" w:fill="auto"/>
            <w:noWrap/>
            <w:vAlign w:val="center"/>
            <w:hideMark/>
          </w:tcPr>
          <w:p w14:paraId="7C73B91E"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34%</w:t>
            </w:r>
          </w:p>
        </w:tc>
        <w:tc>
          <w:tcPr>
            <w:tcW w:w="850" w:type="dxa"/>
            <w:shd w:val="clear" w:color="auto" w:fill="auto"/>
            <w:noWrap/>
            <w:vAlign w:val="center"/>
            <w:hideMark/>
          </w:tcPr>
          <w:p w14:paraId="7E91A76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48</w:t>
            </w:r>
          </w:p>
        </w:tc>
        <w:tc>
          <w:tcPr>
            <w:tcW w:w="851" w:type="dxa"/>
            <w:shd w:val="clear" w:color="auto" w:fill="auto"/>
            <w:noWrap/>
            <w:vAlign w:val="center"/>
            <w:hideMark/>
          </w:tcPr>
          <w:p w14:paraId="34D1512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34%</w:t>
            </w:r>
          </w:p>
        </w:tc>
        <w:tc>
          <w:tcPr>
            <w:tcW w:w="767" w:type="dxa"/>
            <w:shd w:val="clear" w:color="auto" w:fill="auto"/>
            <w:noWrap/>
            <w:vAlign w:val="center"/>
            <w:hideMark/>
          </w:tcPr>
          <w:p w14:paraId="5D21FF9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99</w:t>
            </w:r>
          </w:p>
        </w:tc>
        <w:tc>
          <w:tcPr>
            <w:tcW w:w="792" w:type="dxa"/>
            <w:shd w:val="clear" w:color="auto" w:fill="auto"/>
            <w:noWrap/>
            <w:vAlign w:val="center"/>
            <w:hideMark/>
          </w:tcPr>
          <w:p w14:paraId="7C56D17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c>
          <w:tcPr>
            <w:tcW w:w="567" w:type="dxa"/>
            <w:shd w:val="clear" w:color="auto" w:fill="auto"/>
            <w:noWrap/>
            <w:vAlign w:val="center"/>
            <w:hideMark/>
          </w:tcPr>
          <w:p w14:paraId="29AFAAD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147</w:t>
            </w:r>
          </w:p>
        </w:tc>
        <w:tc>
          <w:tcPr>
            <w:tcW w:w="851" w:type="dxa"/>
            <w:shd w:val="clear" w:color="auto" w:fill="auto"/>
            <w:noWrap/>
            <w:vAlign w:val="center"/>
            <w:hideMark/>
          </w:tcPr>
          <w:p w14:paraId="533A9CE7"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r>
      <w:tr w:rsidR="00A400FF" w:rsidRPr="00046797" w14:paraId="0655A161" w14:textId="77777777" w:rsidTr="0020372B">
        <w:trPr>
          <w:trHeight w:val="300"/>
        </w:trPr>
        <w:tc>
          <w:tcPr>
            <w:tcW w:w="1696" w:type="dxa"/>
            <w:shd w:val="clear" w:color="auto" w:fill="auto"/>
            <w:noWrap/>
            <w:vAlign w:val="center"/>
            <w:hideMark/>
          </w:tcPr>
          <w:p w14:paraId="08F4FEA5"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Sans avis</w:t>
            </w:r>
          </w:p>
        </w:tc>
        <w:tc>
          <w:tcPr>
            <w:tcW w:w="709" w:type="dxa"/>
            <w:shd w:val="clear" w:color="auto" w:fill="auto"/>
            <w:noWrap/>
            <w:vAlign w:val="center"/>
            <w:hideMark/>
          </w:tcPr>
          <w:p w14:paraId="39D9AF2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17</w:t>
            </w:r>
          </w:p>
        </w:tc>
        <w:tc>
          <w:tcPr>
            <w:tcW w:w="851" w:type="dxa"/>
            <w:shd w:val="clear" w:color="auto" w:fill="auto"/>
            <w:noWrap/>
            <w:vAlign w:val="center"/>
            <w:hideMark/>
          </w:tcPr>
          <w:p w14:paraId="6F2108E9"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708" w:type="dxa"/>
            <w:shd w:val="clear" w:color="auto" w:fill="auto"/>
            <w:noWrap/>
            <w:vAlign w:val="center"/>
            <w:hideMark/>
          </w:tcPr>
          <w:p w14:paraId="615FD71E"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851" w:type="dxa"/>
            <w:shd w:val="clear" w:color="auto" w:fill="auto"/>
            <w:noWrap/>
            <w:vAlign w:val="center"/>
            <w:hideMark/>
          </w:tcPr>
          <w:p w14:paraId="34CC792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4%</w:t>
            </w:r>
          </w:p>
        </w:tc>
        <w:tc>
          <w:tcPr>
            <w:tcW w:w="850" w:type="dxa"/>
            <w:shd w:val="clear" w:color="auto" w:fill="auto"/>
            <w:noWrap/>
            <w:vAlign w:val="center"/>
            <w:hideMark/>
          </w:tcPr>
          <w:p w14:paraId="234FE20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10</w:t>
            </w:r>
          </w:p>
        </w:tc>
        <w:tc>
          <w:tcPr>
            <w:tcW w:w="851" w:type="dxa"/>
            <w:shd w:val="clear" w:color="auto" w:fill="auto"/>
            <w:noWrap/>
            <w:vAlign w:val="center"/>
            <w:hideMark/>
          </w:tcPr>
          <w:p w14:paraId="4A9EBD6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767" w:type="dxa"/>
            <w:shd w:val="clear" w:color="auto" w:fill="auto"/>
            <w:noWrap/>
            <w:vAlign w:val="center"/>
            <w:hideMark/>
          </w:tcPr>
          <w:p w14:paraId="46D4B4E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w:t>
            </w:r>
          </w:p>
        </w:tc>
        <w:tc>
          <w:tcPr>
            <w:tcW w:w="792" w:type="dxa"/>
            <w:shd w:val="clear" w:color="auto" w:fill="auto"/>
            <w:noWrap/>
            <w:vAlign w:val="center"/>
            <w:hideMark/>
          </w:tcPr>
          <w:p w14:paraId="692C699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c>
          <w:tcPr>
            <w:tcW w:w="567" w:type="dxa"/>
            <w:shd w:val="clear" w:color="auto" w:fill="auto"/>
            <w:noWrap/>
            <w:vAlign w:val="center"/>
            <w:hideMark/>
          </w:tcPr>
          <w:p w14:paraId="67DAB83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24</w:t>
            </w:r>
          </w:p>
        </w:tc>
        <w:tc>
          <w:tcPr>
            <w:tcW w:w="851" w:type="dxa"/>
            <w:shd w:val="clear" w:color="auto" w:fill="auto"/>
            <w:noWrap/>
            <w:vAlign w:val="center"/>
            <w:hideMark/>
          </w:tcPr>
          <w:p w14:paraId="4CDAF0D3"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r>
      <w:tr w:rsidR="00A400FF" w:rsidRPr="00046797" w14:paraId="26695F47" w14:textId="77777777" w:rsidTr="0020372B">
        <w:trPr>
          <w:trHeight w:val="300"/>
        </w:trPr>
        <w:tc>
          <w:tcPr>
            <w:tcW w:w="1696" w:type="dxa"/>
            <w:shd w:val="clear" w:color="000000" w:fill="D9E1F2"/>
            <w:noWrap/>
            <w:vAlign w:val="center"/>
            <w:hideMark/>
          </w:tcPr>
          <w:p w14:paraId="1E1CA7BC"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 xml:space="preserve">Total </w:t>
            </w:r>
          </w:p>
        </w:tc>
        <w:tc>
          <w:tcPr>
            <w:tcW w:w="709" w:type="dxa"/>
            <w:shd w:val="clear" w:color="000000" w:fill="D9E1F2"/>
            <w:noWrap/>
            <w:vAlign w:val="center"/>
            <w:hideMark/>
          </w:tcPr>
          <w:p w14:paraId="4C5B9231"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254</w:t>
            </w:r>
          </w:p>
        </w:tc>
        <w:tc>
          <w:tcPr>
            <w:tcW w:w="851" w:type="dxa"/>
            <w:shd w:val="clear" w:color="000000" w:fill="D9E1F2"/>
            <w:noWrap/>
            <w:vAlign w:val="center"/>
            <w:hideMark/>
          </w:tcPr>
          <w:p w14:paraId="700432CC"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708" w:type="dxa"/>
            <w:shd w:val="clear" w:color="000000" w:fill="D9E1F2"/>
            <w:noWrap/>
            <w:vAlign w:val="center"/>
            <w:hideMark/>
          </w:tcPr>
          <w:p w14:paraId="6C1DA382"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186</w:t>
            </w:r>
          </w:p>
        </w:tc>
        <w:tc>
          <w:tcPr>
            <w:tcW w:w="851" w:type="dxa"/>
            <w:shd w:val="clear" w:color="000000" w:fill="D9E1F2"/>
            <w:noWrap/>
            <w:vAlign w:val="center"/>
            <w:hideMark/>
          </w:tcPr>
          <w:p w14:paraId="4816A58B"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850" w:type="dxa"/>
            <w:shd w:val="clear" w:color="000000" w:fill="D9E1F2"/>
            <w:noWrap/>
            <w:vAlign w:val="center"/>
            <w:hideMark/>
          </w:tcPr>
          <w:p w14:paraId="27D98DF4"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141</w:t>
            </w:r>
          </w:p>
        </w:tc>
        <w:tc>
          <w:tcPr>
            <w:tcW w:w="851" w:type="dxa"/>
            <w:shd w:val="clear" w:color="000000" w:fill="D9E1F2"/>
            <w:noWrap/>
            <w:vAlign w:val="center"/>
            <w:hideMark/>
          </w:tcPr>
          <w:p w14:paraId="602795EA"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767" w:type="dxa"/>
            <w:shd w:val="clear" w:color="000000" w:fill="D9E1F2"/>
            <w:noWrap/>
            <w:vAlign w:val="center"/>
            <w:hideMark/>
          </w:tcPr>
          <w:p w14:paraId="69AF2EC3"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299</w:t>
            </w:r>
          </w:p>
        </w:tc>
        <w:tc>
          <w:tcPr>
            <w:tcW w:w="792" w:type="dxa"/>
            <w:shd w:val="clear" w:color="000000" w:fill="D9E1F2"/>
            <w:noWrap/>
            <w:vAlign w:val="center"/>
            <w:hideMark/>
          </w:tcPr>
          <w:p w14:paraId="00A1D93E"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567" w:type="dxa"/>
            <w:shd w:val="clear" w:color="000000" w:fill="D9E1F2"/>
            <w:noWrap/>
            <w:vAlign w:val="center"/>
            <w:hideMark/>
          </w:tcPr>
          <w:p w14:paraId="5C17D04D"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440</w:t>
            </w:r>
          </w:p>
        </w:tc>
        <w:tc>
          <w:tcPr>
            <w:tcW w:w="851" w:type="dxa"/>
            <w:shd w:val="clear" w:color="000000" w:fill="D9E1F2"/>
            <w:noWrap/>
            <w:vAlign w:val="center"/>
            <w:hideMark/>
          </w:tcPr>
          <w:p w14:paraId="189EFD55"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r>
    </w:tbl>
    <w:p w14:paraId="3378DF84" w14:textId="77777777" w:rsidR="00A400FF" w:rsidRDefault="00A400FF" w:rsidP="00A400FF">
      <w:pPr>
        <w:keepNext/>
        <w:spacing w:before="0" w:after="0" w:line="276" w:lineRule="auto"/>
        <w:rPr>
          <w:rFonts w:cs="Times New Roman"/>
          <w:bCs/>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3F2391B0" w14:textId="77777777" w:rsidR="00A400FF" w:rsidRDefault="00A400FF" w:rsidP="00A400FF">
      <w:pPr>
        <w:tabs>
          <w:tab w:val="left" w:pos="2763"/>
        </w:tabs>
        <w:spacing w:line="276" w:lineRule="auto"/>
        <w:jc w:val="left"/>
      </w:pPr>
    </w:p>
    <w:p w14:paraId="5298D265" w14:textId="1E2AEA1A" w:rsidR="00A400FF" w:rsidRPr="00694639" w:rsidRDefault="00A400FF" w:rsidP="00A400FF">
      <w:pPr>
        <w:pStyle w:val="Lgende"/>
        <w:rPr>
          <w:rFonts w:cs="Times New Roman"/>
        </w:rPr>
      </w:pPr>
      <w:bookmarkStart w:id="1025" w:name="_Toc92262115"/>
      <w:r>
        <w:t xml:space="preserve">Tableau </w:t>
      </w:r>
      <w:r>
        <w:fldChar w:fldCharType="begin"/>
      </w:r>
      <w:r>
        <w:instrText>SEQ Tableau \* ARABIC</w:instrText>
      </w:r>
      <w:r>
        <w:fldChar w:fldCharType="separate"/>
      </w:r>
      <w:r w:rsidR="0046716F">
        <w:rPr>
          <w:noProof/>
        </w:rPr>
        <w:t>13</w:t>
      </w:r>
      <w:r>
        <w:fldChar w:fldCharType="end"/>
      </w:r>
      <w:r>
        <w:t xml:space="preserve"> : </w:t>
      </w:r>
      <w:r w:rsidRPr="00CE624D">
        <w:t>Appréciation des répondants sur la prise en compte des avis des femmes et des jeunes dans les MCPGC</w:t>
      </w:r>
      <w:bookmarkEnd w:id="102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91"/>
        <w:gridCol w:w="577"/>
        <w:gridCol w:w="846"/>
        <w:gridCol w:w="576"/>
        <w:gridCol w:w="845"/>
        <w:gridCol w:w="591"/>
        <w:gridCol w:w="866"/>
        <w:gridCol w:w="591"/>
        <w:gridCol w:w="866"/>
        <w:gridCol w:w="576"/>
        <w:gridCol w:w="837"/>
      </w:tblGrid>
      <w:tr w:rsidR="00A400FF" w:rsidRPr="00694639" w14:paraId="3FD41368" w14:textId="77777777" w:rsidTr="0020372B">
        <w:trPr>
          <w:trHeight w:val="300"/>
        </w:trPr>
        <w:tc>
          <w:tcPr>
            <w:tcW w:w="1043" w:type="pct"/>
            <w:vMerge w:val="restart"/>
            <w:shd w:val="clear" w:color="000000" w:fill="00B0F0"/>
            <w:noWrap/>
            <w:vAlign w:val="bottom"/>
            <w:hideMark/>
          </w:tcPr>
          <w:p w14:paraId="4BCC5524"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p w14:paraId="78EB27DB"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p w14:paraId="7064FE55"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tc>
        <w:tc>
          <w:tcPr>
            <w:tcW w:w="1569" w:type="pct"/>
            <w:gridSpan w:val="4"/>
            <w:shd w:val="clear" w:color="000000" w:fill="00B0F0"/>
            <w:noWrap/>
            <w:vAlign w:val="center"/>
            <w:hideMark/>
          </w:tcPr>
          <w:p w14:paraId="6D7DF3CB"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Sexe </w:t>
            </w:r>
          </w:p>
        </w:tc>
        <w:tc>
          <w:tcPr>
            <w:tcW w:w="1608" w:type="pct"/>
            <w:gridSpan w:val="4"/>
            <w:shd w:val="clear" w:color="000000" w:fill="00B0F0"/>
            <w:noWrap/>
            <w:vAlign w:val="center"/>
            <w:hideMark/>
          </w:tcPr>
          <w:p w14:paraId="13FEA8C3"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Tranche d'âge</w:t>
            </w:r>
          </w:p>
        </w:tc>
        <w:tc>
          <w:tcPr>
            <w:tcW w:w="781" w:type="pct"/>
            <w:gridSpan w:val="2"/>
            <w:vMerge w:val="restart"/>
            <w:shd w:val="clear" w:color="000000" w:fill="00B0F0"/>
            <w:noWrap/>
            <w:vAlign w:val="center"/>
            <w:hideMark/>
          </w:tcPr>
          <w:p w14:paraId="2B9CF79D"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Total </w:t>
            </w:r>
          </w:p>
        </w:tc>
      </w:tr>
      <w:tr w:rsidR="00A400FF" w:rsidRPr="00694639" w14:paraId="39054279" w14:textId="77777777" w:rsidTr="0020372B">
        <w:trPr>
          <w:trHeight w:val="300"/>
        </w:trPr>
        <w:tc>
          <w:tcPr>
            <w:tcW w:w="1043" w:type="pct"/>
            <w:vMerge/>
            <w:shd w:val="clear" w:color="000000" w:fill="00B0F0"/>
            <w:noWrap/>
            <w:vAlign w:val="bottom"/>
            <w:hideMark/>
          </w:tcPr>
          <w:p w14:paraId="45F960A9" w14:textId="77777777" w:rsidR="00A400FF" w:rsidRPr="00694639" w:rsidRDefault="00A400FF" w:rsidP="0020372B">
            <w:pPr>
              <w:keepNext/>
              <w:spacing w:before="0" w:after="0" w:line="240" w:lineRule="auto"/>
              <w:jc w:val="center"/>
              <w:rPr>
                <w:rFonts w:ascii="Calibri" w:eastAsia="Times New Roman" w:hAnsi="Calibri" w:cs="Calibri"/>
                <w:color w:val="000000"/>
              </w:rPr>
            </w:pPr>
          </w:p>
        </w:tc>
        <w:tc>
          <w:tcPr>
            <w:tcW w:w="785" w:type="pct"/>
            <w:gridSpan w:val="2"/>
            <w:shd w:val="clear" w:color="000000" w:fill="00B0F0"/>
            <w:noWrap/>
            <w:vAlign w:val="center"/>
            <w:hideMark/>
          </w:tcPr>
          <w:p w14:paraId="0AFE121C"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Féminin</w:t>
            </w:r>
          </w:p>
        </w:tc>
        <w:tc>
          <w:tcPr>
            <w:tcW w:w="784" w:type="pct"/>
            <w:gridSpan w:val="2"/>
            <w:shd w:val="clear" w:color="000000" w:fill="00B0F0"/>
            <w:noWrap/>
            <w:vAlign w:val="center"/>
            <w:hideMark/>
          </w:tcPr>
          <w:p w14:paraId="5009601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Masculin</w:t>
            </w:r>
          </w:p>
        </w:tc>
        <w:tc>
          <w:tcPr>
            <w:tcW w:w="804" w:type="pct"/>
            <w:gridSpan w:val="2"/>
            <w:shd w:val="clear" w:color="000000" w:fill="00B0F0"/>
            <w:noWrap/>
            <w:vAlign w:val="center"/>
            <w:hideMark/>
          </w:tcPr>
          <w:p w14:paraId="12B71FE1"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18-34 ans </w:t>
            </w:r>
          </w:p>
        </w:tc>
        <w:tc>
          <w:tcPr>
            <w:tcW w:w="804" w:type="pct"/>
            <w:gridSpan w:val="2"/>
            <w:shd w:val="clear" w:color="000000" w:fill="00B0F0"/>
            <w:noWrap/>
            <w:vAlign w:val="center"/>
            <w:hideMark/>
          </w:tcPr>
          <w:p w14:paraId="164EBAF4"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35ans et +</w:t>
            </w:r>
          </w:p>
        </w:tc>
        <w:tc>
          <w:tcPr>
            <w:tcW w:w="781" w:type="pct"/>
            <w:gridSpan w:val="2"/>
            <w:vMerge/>
            <w:vAlign w:val="center"/>
            <w:hideMark/>
          </w:tcPr>
          <w:p w14:paraId="6566EFAA" w14:textId="77777777" w:rsidR="00A400FF" w:rsidRPr="00694639" w:rsidRDefault="00A400FF" w:rsidP="0020372B">
            <w:pPr>
              <w:keepNext/>
              <w:spacing w:before="0" w:after="0" w:line="240" w:lineRule="auto"/>
              <w:jc w:val="left"/>
              <w:rPr>
                <w:rFonts w:eastAsia="Times New Roman" w:cs="Calibri"/>
                <w:b/>
                <w:bCs/>
                <w:color w:val="FFFFFF"/>
                <w:sz w:val="20"/>
                <w:szCs w:val="20"/>
              </w:rPr>
            </w:pPr>
          </w:p>
        </w:tc>
      </w:tr>
      <w:tr w:rsidR="00A400FF" w:rsidRPr="00694639" w14:paraId="7FA9B68B" w14:textId="77777777" w:rsidTr="0020372B">
        <w:trPr>
          <w:trHeight w:val="300"/>
        </w:trPr>
        <w:tc>
          <w:tcPr>
            <w:tcW w:w="1043" w:type="pct"/>
            <w:vMerge/>
            <w:shd w:val="clear" w:color="000000" w:fill="00B0F0"/>
            <w:noWrap/>
            <w:vAlign w:val="bottom"/>
            <w:hideMark/>
          </w:tcPr>
          <w:p w14:paraId="19D3DD26" w14:textId="77777777" w:rsidR="00A400FF" w:rsidRPr="00694639" w:rsidRDefault="00A400FF" w:rsidP="0020372B">
            <w:pPr>
              <w:keepNext/>
              <w:spacing w:before="0" w:after="0" w:line="240" w:lineRule="auto"/>
              <w:jc w:val="center"/>
              <w:rPr>
                <w:rFonts w:ascii="Calibri" w:eastAsia="Times New Roman" w:hAnsi="Calibri" w:cs="Calibri"/>
                <w:color w:val="000000"/>
              </w:rPr>
            </w:pPr>
          </w:p>
        </w:tc>
        <w:tc>
          <w:tcPr>
            <w:tcW w:w="318" w:type="pct"/>
            <w:shd w:val="clear" w:color="000000" w:fill="00B0F0"/>
            <w:noWrap/>
            <w:vAlign w:val="center"/>
            <w:hideMark/>
          </w:tcPr>
          <w:p w14:paraId="6FD7AF54"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7" w:type="pct"/>
            <w:shd w:val="clear" w:color="000000" w:fill="00B0F0"/>
            <w:noWrap/>
            <w:vAlign w:val="center"/>
            <w:hideMark/>
          </w:tcPr>
          <w:p w14:paraId="406E1005"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18" w:type="pct"/>
            <w:shd w:val="clear" w:color="000000" w:fill="00B0F0"/>
            <w:noWrap/>
            <w:vAlign w:val="center"/>
            <w:hideMark/>
          </w:tcPr>
          <w:p w14:paraId="596955E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6" w:type="pct"/>
            <w:shd w:val="clear" w:color="000000" w:fill="00B0F0"/>
            <w:noWrap/>
            <w:vAlign w:val="center"/>
            <w:hideMark/>
          </w:tcPr>
          <w:p w14:paraId="391045D9"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26" w:type="pct"/>
            <w:shd w:val="clear" w:color="000000" w:fill="00B0F0"/>
            <w:noWrap/>
            <w:vAlign w:val="center"/>
            <w:hideMark/>
          </w:tcPr>
          <w:p w14:paraId="405456A5"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78" w:type="pct"/>
            <w:shd w:val="clear" w:color="000000" w:fill="00B0F0"/>
            <w:noWrap/>
            <w:vAlign w:val="center"/>
            <w:hideMark/>
          </w:tcPr>
          <w:p w14:paraId="7E8CD659"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26" w:type="pct"/>
            <w:shd w:val="clear" w:color="000000" w:fill="00B0F0"/>
            <w:noWrap/>
            <w:vAlign w:val="center"/>
            <w:hideMark/>
          </w:tcPr>
          <w:p w14:paraId="7C080F7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78" w:type="pct"/>
            <w:shd w:val="clear" w:color="000000" w:fill="00B0F0"/>
            <w:noWrap/>
            <w:vAlign w:val="center"/>
            <w:hideMark/>
          </w:tcPr>
          <w:p w14:paraId="5C45264F"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18" w:type="pct"/>
            <w:shd w:val="clear" w:color="000000" w:fill="00B0F0"/>
            <w:noWrap/>
            <w:vAlign w:val="center"/>
            <w:hideMark/>
          </w:tcPr>
          <w:p w14:paraId="63DB90D2"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3" w:type="pct"/>
            <w:shd w:val="clear" w:color="000000" w:fill="00B0F0"/>
            <w:noWrap/>
            <w:vAlign w:val="center"/>
            <w:hideMark/>
          </w:tcPr>
          <w:p w14:paraId="794FA63F"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r>
      <w:tr w:rsidR="00A400FF" w:rsidRPr="00694639" w14:paraId="2104DD7A" w14:textId="77777777" w:rsidTr="0020372B">
        <w:trPr>
          <w:trHeight w:val="300"/>
        </w:trPr>
        <w:tc>
          <w:tcPr>
            <w:tcW w:w="1043" w:type="pct"/>
            <w:shd w:val="clear" w:color="auto" w:fill="auto"/>
            <w:noWrap/>
            <w:vAlign w:val="center"/>
            <w:hideMark/>
          </w:tcPr>
          <w:p w14:paraId="2CCCF5D9" w14:textId="77777777" w:rsidR="00A400FF" w:rsidRPr="00694639"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Non</w:t>
            </w:r>
          </w:p>
        </w:tc>
        <w:tc>
          <w:tcPr>
            <w:tcW w:w="318" w:type="pct"/>
            <w:shd w:val="clear" w:color="auto" w:fill="auto"/>
            <w:noWrap/>
            <w:vAlign w:val="center"/>
            <w:hideMark/>
          </w:tcPr>
          <w:p w14:paraId="4E00495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46</w:t>
            </w:r>
          </w:p>
        </w:tc>
        <w:tc>
          <w:tcPr>
            <w:tcW w:w="467" w:type="pct"/>
            <w:shd w:val="clear" w:color="auto" w:fill="auto"/>
            <w:noWrap/>
            <w:vAlign w:val="center"/>
            <w:hideMark/>
          </w:tcPr>
          <w:p w14:paraId="7C0A81B1"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c>
          <w:tcPr>
            <w:tcW w:w="318" w:type="pct"/>
            <w:shd w:val="clear" w:color="auto" w:fill="auto"/>
            <w:noWrap/>
            <w:vAlign w:val="center"/>
            <w:hideMark/>
          </w:tcPr>
          <w:p w14:paraId="3A1E6381"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34</w:t>
            </w:r>
          </w:p>
        </w:tc>
        <w:tc>
          <w:tcPr>
            <w:tcW w:w="466" w:type="pct"/>
            <w:shd w:val="clear" w:color="auto" w:fill="auto"/>
            <w:noWrap/>
            <w:vAlign w:val="center"/>
            <w:hideMark/>
          </w:tcPr>
          <w:p w14:paraId="3ADC1D9C"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c>
          <w:tcPr>
            <w:tcW w:w="326" w:type="pct"/>
            <w:shd w:val="clear" w:color="auto" w:fill="auto"/>
            <w:noWrap/>
            <w:vAlign w:val="center"/>
            <w:hideMark/>
          </w:tcPr>
          <w:p w14:paraId="2968CA0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36</w:t>
            </w:r>
          </w:p>
        </w:tc>
        <w:tc>
          <w:tcPr>
            <w:tcW w:w="478" w:type="pct"/>
            <w:shd w:val="clear" w:color="auto" w:fill="auto"/>
            <w:noWrap/>
            <w:vAlign w:val="center"/>
            <w:hideMark/>
          </w:tcPr>
          <w:p w14:paraId="341B5F03"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26%</w:t>
            </w:r>
          </w:p>
        </w:tc>
        <w:tc>
          <w:tcPr>
            <w:tcW w:w="326" w:type="pct"/>
            <w:shd w:val="clear" w:color="auto" w:fill="auto"/>
            <w:noWrap/>
            <w:vAlign w:val="center"/>
            <w:hideMark/>
          </w:tcPr>
          <w:p w14:paraId="1918C23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44</w:t>
            </w:r>
          </w:p>
        </w:tc>
        <w:tc>
          <w:tcPr>
            <w:tcW w:w="478" w:type="pct"/>
            <w:shd w:val="clear" w:color="auto" w:fill="auto"/>
            <w:noWrap/>
            <w:vAlign w:val="center"/>
            <w:hideMark/>
          </w:tcPr>
          <w:p w14:paraId="65DFA6CC"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15%</w:t>
            </w:r>
          </w:p>
        </w:tc>
        <w:tc>
          <w:tcPr>
            <w:tcW w:w="318" w:type="pct"/>
            <w:shd w:val="clear" w:color="auto" w:fill="auto"/>
            <w:noWrap/>
            <w:vAlign w:val="center"/>
            <w:hideMark/>
          </w:tcPr>
          <w:p w14:paraId="500ED2C0"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80</w:t>
            </w:r>
          </w:p>
        </w:tc>
        <w:tc>
          <w:tcPr>
            <w:tcW w:w="463" w:type="pct"/>
            <w:shd w:val="clear" w:color="auto" w:fill="auto"/>
            <w:noWrap/>
            <w:vAlign w:val="center"/>
            <w:hideMark/>
          </w:tcPr>
          <w:p w14:paraId="63B7E624"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r>
      <w:tr w:rsidR="00A400FF" w:rsidRPr="00694639" w14:paraId="3426EE94" w14:textId="77777777" w:rsidTr="0020372B">
        <w:trPr>
          <w:trHeight w:val="300"/>
        </w:trPr>
        <w:tc>
          <w:tcPr>
            <w:tcW w:w="1043" w:type="pct"/>
            <w:shd w:val="clear" w:color="auto" w:fill="auto"/>
            <w:noWrap/>
            <w:vAlign w:val="center"/>
            <w:hideMark/>
          </w:tcPr>
          <w:p w14:paraId="52B16876" w14:textId="77777777" w:rsidR="00A400FF" w:rsidRPr="00694639"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 xml:space="preserve">Oui </w:t>
            </w:r>
          </w:p>
        </w:tc>
        <w:tc>
          <w:tcPr>
            <w:tcW w:w="318" w:type="pct"/>
            <w:shd w:val="clear" w:color="auto" w:fill="auto"/>
            <w:noWrap/>
            <w:vAlign w:val="center"/>
            <w:hideMark/>
          </w:tcPr>
          <w:p w14:paraId="7B015A3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208</w:t>
            </w:r>
          </w:p>
        </w:tc>
        <w:tc>
          <w:tcPr>
            <w:tcW w:w="467" w:type="pct"/>
            <w:shd w:val="clear" w:color="auto" w:fill="auto"/>
            <w:noWrap/>
            <w:vAlign w:val="center"/>
            <w:hideMark/>
          </w:tcPr>
          <w:p w14:paraId="7DEF10FF"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c>
          <w:tcPr>
            <w:tcW w:w="318" w:type="pct"/>
            <w:shd w:val="clear" w:color="auto" w:fill="auto"/>
            <w:noWrap/>
            <w:vAlign w:val="center"/>
            <w:hideMark/>
          </w:tcPr>
          <w:p w14:paraId="576C142D"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152</w:t>
            </w:r>
          </w:p>
        </w:tc>
        <w:tc>
          <w:tcPr>
            <w:tcW w:w="466" w:type="pct"/>
            <w:shd w:val="clear" w:color="auto" w:fill="auto"/>
            <w:noWrap/>
            <w:vAlign w:val="center"/>
            <w:hideMark/>
          </w:tcPr>
          <w:p w14:paraId="684EE0D5"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c>
          <w:tcPr>
            <w:tcW w:w="326" w:type="pct"/>
            <w:shd w:val="clear" w:color="auto" w:fill="auto"/>
            <w:noWrap/>
            <w:vAlign w:val="center"/>
            <w:hideMark/>
          </w:tcPr>
          <w:p w14:paraId="3514271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105</w:t>
            </w:r>
          </w:p>
        </w:tc>
        <w:tc>
          <w:tcPr>
            <w:tcW w:w="478" w:type="pct"/>
            <w:shd w:val="clear" w:color="auto" w:fill="auto"/>
            <w:noWrap/>
            <w:vAlign w:val="center"/>
            <w:hideMark/>
          </w:tcPr>
          <w:p w14:paraId="612C83C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74%</w:t>
            </w:r>
          </w:p>
        </w:tc>
        <w:tc>
          <w:tcPr>
            <w:tcW w:w="326" w:type="pct"/>
            <w:shd w:val="clear" w:color="auto" w:fill="auto"/>
            <w:noWrap/>
            <w:vAlign w:val="center"/>
            <w:hideMark/>
          </w:tcPr>
          <w:p w14:paraId="03C8751D"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255</w:t>
            </w:r>
          </w:p>
        </w:tc>
        <w:tc>
          <w:tcPr>
            <w:tcW w:w="478" w:type="pct"/>
            <w:shd w:val="clear" w:color="auto" w:fill="auto"/>
            <w:noWrap/>
            <w:vAlign w:val="center"/>
            <w:hideMark/>
          </w:tcPr>
          <w:p w14:paraId="3C418AC3"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85%</w:t>
            </w:r>
          </w:p>
        </w:tc>
        <w:tc>
          <w:tcPr>
            <w:tcW w:w="318" w:type="pct"/>
            <w:shd w:val="clear" w:color="auto" w:fill="auto"/>
            <w:noWrap/>
            <w:vAlign w:val="center"/>
            <w:hideMark/>
          </w:tcPr>
          <w:p w14:paraId="397541A4"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360</w:t>
            </w:r>
          </w:p>
        </w:tc>
        <w:tc>
          <w:tcPr>
            <w:tcW w:w="463" w:type="pct"/>
            <w:shd w:val="clear" w:color="auto" w:fill="auto"/>
            <w:noWrap/>
            <w:vAlign w:val="center"/>
            <w:hideMark/>
          </w:tcPr>
          <w:p w14:paraId="62641282"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r>
      <w:tr w:rsidR="00A400FF" w:rsidRPr="00694639" w14:paraId="3C6E8E35" w14:textId="77777777" w:rsidTr="0020372B">
        <w:trPr>
          <w:trHeight w:val="300"/>
        </w:trPr>
        <w:tc>
          <w:tcPr>
            <w:tcW w:w="1043" w:type="pct"/>
            <w:shd w:val="clear" w:color="000000" w:fill="D9E1F2"/>
            <w:noWrap/>
            <w:vAlign w:val="center"/>
            <w:hideMark/>
          </w:tcPr>
          <w:p w14:paraId="549B6614" w14:textId="77777777" w:rsidR="00A400FF" w:rsidRPr="00694639" w:rsidRDefault="00A400FF" w:rsidP="0020372B">
            <w:pPr>
              <w:keepNext/>
              <w:spacing w:before="0" w:after="0" w:line="240" w:lineRule="auto"/>
              <w:jc w:val="right"/>
              <w:rPr>
                <w:rFonts w:eastAsia="Times New Roman" w:cs="Calibri"/>
                <w:b/>
                <w:bCs/>
                <w:color w:val="000000"/>
                <w:sz w:val="20"/>
                <w:szCs w:val="20"/>
              </w:rPr>
            </w:pPr>
            <w:r w:rsidRPr="00694639">
              <w:rPr>
                <w:rFonts w:eastAsia="Times New Roman" w:cs="Calibri"/>
                <w:b/>
                <w:bCs/>
                <w:color w:val="000000"/>
                <w:sz w:val="20"/>
                <w:szCs w:val="20"/>
              </w:rPr>
              <w:t xml:space="preserve">Total </w:t>
            </w:r>
          </w:p>
        </w:tc>
        <w:tc>
          <w:tcPr>
            <w:tcW w:w="318" w:type="pct"/>
            <w:shd w:val="clear" w:color="000000" w:fill="D9E1F2"/>
            <w:noWrap/>
            <w:vAlign w:val="center"/>
            <w:hideMark/>
          </w:tcPr>
          <w:p w14:paraId="68A7DD96"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254</w:t>
            </w:r>
          </w:p>
        </w:tc>
        <w:tc>
          <w:tcPr>
            <w:tcW w:w="467" w:type="pct"/>
            <w:shd w:val="clear" w:color="000000" w:fill="D9E1F2"/>
            <w:noWrap/>
            <w:vAlign w:val="center"/>
            <w:hideMark/>
          </w:tcPr>
          <w:p w14:paraId="0AECB8E9"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18" w:type="pct"/>
            <w:shd w:val="clear" w:color="000000" w:fill="D9E1F2"/>
            <w:noWrap/>
            <w:vAlign w:val="center"/>
            <w:hideMark/>
          </w:tcPr>
          <w:p w14:paraId="367E67F6"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186</w:t>
            </w:r>
          </w:p>
        </w:tc>
        <w:tc>
          <w:tcPr>
            <w:tcW w:w="466" w:type="pct"/>
            <w:shd w:val="clear" w:color="000000" w:fill="D9E1F2"/>
            <w:noWrap/>
            <w:vAlign w:val="center"/>
            <w:hideMark/>
          </w:tcPr>
          <w:p w14:paraId="2A670D61"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26" w:type="pct"/>
            <w:shd w:val="clear" w:color="000000" w:fill="D9E1F2"/>
            <w:noWrap/>
            <w:vAlign w:val="center"/>
            <w:hideMark/>
          </w:tcPr>
          <w:p w14:paraId="4E7900E1"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141</w:t>
            </w:r>
          </w:p>
        </w:tc>
        <w:tc>
          <w:tcPr>
            <w:tcW w:w="478" w:type="pct"/>
            <w:shd w:val="clear" w:color="000000" w:fill="D9E1F2"/>
            <w:noWrap/>
            <w:vAlign w:val="center"/>
            <w:hideMark/>
          </w:tcPr>
          <w:p w14:paraId="13238BE3"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26" w:type="pct"/>
            <w:shd w:val="clear" w:color="000000" w:fill="D9E1F2"/>
            <w:noWrap/>
            <w:vAlign w:val="center"/>
            <w:hideMark/>
          </w:tcPr>
          <w:p w14:paraId="55BA3644"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299</w:t>
            </w:r>
          </w:p>
        </w:tc>
        <w:tc>
          <w:tcPr>
            <w:tcW w:w="478" w:type="pct"/>
            <w:shd w:val="clear" w:color="000000" w:fill="D9E1F2"/>
            <w:noWrap/>
            <w:vAlign w:val="center"/>
            <w:hideMark/>
          </w:tcPr>
          <w:p w14:paraId="63C0AE62"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18" w:type="pct"/>
            <w:shd w:val="clear" w:color="000000" w:fill="D9E1F2"/>
            <w:noWrap/>
            <w:vAlign w:val="center"/>
            <w:hideMark/>
          </w:tcPr>
          <w:p w14:paraId="71EEE414"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440</w:t>
            </w:r>
          </w:p>
        </w:tc>
        <w:tc>
          <w:tcPr>
            <w:tcW w:w="463" w:type="pct"/>
            <w:shd w:val="clear" w:color="000000" w:fill="D9E1F2"/>
            <w:noWrap/>
            <w:vAlign w:val="center"/>
            <w:hideMark/>
          </w:tcPr>
          <w:p w14:paraId="74B0C47B"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r>
    </w:tbl>
    <w:p w14:paraId="785253E7" w14:textId="77777777" w:rsidR="00A400FF" w:rsidRDefault="00A400FF" w:rsidP="00A400FF">
      <w:pPr>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969BE28" w14:textId="77777777" w:rsidR="00A400FF" w:rsidRDefault="00A400FF" w:rsidP="00A400FF">
      <w:pPr>
        <w:tabs>
          <w:tab w:val="left" w:pos="2763"/>
        </w:tabs>
        <w:spacing w:before="0" w:line="276" w:lineRule="auto"/>
        <w:jc w:val="left"/>
      </w:pPr>
    </w:p>
    <w:p w14:paraId="38B0B41D" w14:textId="5C9D2EA2" w:rsidR="00A400FF" w:rsidRPr="002077A4" w:rsidRDefault="00A400FF" w:rsidP="00A400FF">
      <w:pPr>
        <w:pStyle w:val="Lgende"/>
        <w:keepNext/>
        <w:rPr>
          <w:rFonts w:cs="Times New Roman"/>
        </w:rPr>
      </w:pPr>
      <w:bookmarkStart w:id="1026" w:name="_Toc92262116"/>
      <w:r>
        <w:t xml:space="preserve">Tableau </w:t>
      </w:r>
      <w:r>
        <w:fldChar w:fldCharType="begin"/>
      </w:r>
      <w:r>
        <w:instrText>SEQ Tableau \* ARABIC</w:instrText>
      </w:r>
      <w:r>
        <w:fldChar w:fldCharType="separate"/>
      </w:r>
      <w:r w:rsidR="0046716F">
        <w:rPr>
          <w:noProof/>
        </w:rPr>
        <w:t>14</w:t>
      </w:r>
      <w:r>
        <w:fldChar w:fldCharType="end"/>
      </w:r>
      <w:r>
        <w:t xml:space="preserve"> : </w:t>
      </w:r>
      <w:r w:rsidRPr="00F14F71">
        <w:t>Répartition des femmes et des jeunes membres des MCPGC suivant leur niveau de compréhension des sujets débattus lors des réunions des comités</w:t>
      </w:r>
      <w:bookmarkEnd w:id="1026"/>
    </w:p>
    <w:tbl>
      <w:tblPr>
        <w:tblW w:w="5000" w:type="pct"/>
        <w:tblLook w:val="04A0" w:firstRow="1" w:lastRow="0" w:firstColumn="1" w:lastColumn="0" w:noHBand="0" w:noVBand="1"/>
      </w:tblPr>
      <w:tblGrid>
        <w:gridCol w:w="1886"/>
        <w:gridCol w:w="610"/>
        <w:gridCol w:w="898"/>
        <w:gridCol w:w="441"/>
        <w:gridCol w:w="901"/>
        <w:gridCol w:w="441"/>
        <w:gridCol w:w="923"/>
        <w:gridCol w:w="627"/>
        <w:gridCol w:w="923"/>
        <w:gridCol w:w="575"/>
        <w:gridCol w:w="837"/>
      </w:tblGrid>
      <w:tr w:rsidR="00A400FF" w:rsidRPr="002077A4" w14:paraId="6CF4999C" w14:textId="77777777" w:rsidTr="0020372B">
        <w:trPr>
          <w:trHeight w:val="57"/>
        </w:trPr>
        <w:tc>
          <w:tcPr>
            <w:tcW w:w="1041"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6DFA7D1F" w14:textId="77777777" w:rsidR="00A400FF" w:rsidRPr="002077A4" w:rsidRDefault="00A400FF" w:rsidP="0020372B">
            <w:pPr>
              <w:keepNext/>
              <w:spacing w:before="0" w:after="0" w:line="240" w:lineRule="auto"/>
              <w:jc w:val="center"/>
              <w:rPr>
                <w:rFonts w:ascii="Calibri" w:eastAsia="Times New Roman" w:hAnsi="Calibri" w:cs="Calibri"/>
                <w:color w:val="000000"/>
              </w:rPr>
            </w:pPr>
            <w:r w:rsidRPr="002077A4">
              <w:rPr>
                <w:rFonts w:ascii="Calibri" w:eastAsia="Times New Roman" w:hAnsi="Calibri" w:cs="Calibri"/>
                <w:color w:val="000000"/>
              </w:rPr>
              <w:t> </w:t>
            </w:r>
          </w:p>
        </w:tc>
        <w:tc>
          <w:tcPr>
            <w:tcW w:w="1573"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D9EFE21"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Sexe du répondant</w:t>
            </w:r>
          </w:p>
        </w:tc>
        <w:tc>
          <w:tcPr>
            <w:tcW w:w="1607"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788192C"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Tranche d'âge</w:t>
            </w:r>
          </w:p>
        </w:tc>
        <w:tc>
          <w:tcPr>
            <w:tcW w:w="780"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B3A7703"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 xml:space="preserve">Total </w:t>
            </w:r>
          </w:p>
        </w:tc>
      </w:tr>
      <w:tr w:rsidR="00A400FF" w:rsidRPr="002077A4" w14:paraId="1ED28CF7" w14:textId="77777777" w:rsidTr="0020372B">
        <w:trPr>
          <w:trHeight w:val="57"/>
        </w:trPr>
        <w:tc>
          <w:tcPr>
            <w:tcW w:w="1041" w:type="pct"/>
            <w:vMerge/>
            <w:tcBorders>
              <w:top w:val="single" w:sz="4" w:space="0" w:color="0070C0"/>
              <w:left w:val="single" w:sz="4" w:space="0" w:color="0070C0"/>
              <w:bottom w:val="single" w:sz="4" w:space="0" w:color="0070C0"/>
              <w:right w:val="single" w:sz="4" w:space="0" w:color="0070C0"/>
            </w:tcBorders>
            <w:vAlign w:val="center"/>
            <w:hideMark/>
          </w:tcPr>
          <w:p w14:paraId="7EB5E89C" w14:textId="77777777" w:rsidR="00A400FF" w:rsidRPr="002077A4" w:rsidRDefault="00A400FF" w:rsidP="0020372B">
            <w:pPr>
              <w:keepNext/>
              <w:spacing w:before="0" w:after="0" w:line="240" w:lineRule="auto"/>
              <w:jc w:val="left"/>
              <w:rPr>
                <w:rFonts w:ascii="Calibri" w:eastAsia="Times New Roman" w:hAnsi="Calibri" w:cs="Calibri"/>
                <w:color w:val="000000"/>
              </w:rPr>
            </w:pPr>
          </w:p>
        </w:tc>
        <w:tc>
          <w:tcPr>
            <w:tcW w:w="833"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3A99B1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Féminin</w:t>
            </w:r>
          </w:p>
        </w:tc>
        <w:tc>
          <w:tcPr>
            <w:tcW w:w="739"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CAF82EB"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Masculin</w:t>
            </w:r>
          </w:p>
        </w:tc>
        <w:tc>
          <w:tcPr>
            <w:tcW w:w="75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43E48BD"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 xml:space="preserve">18-34 ans </w:t>
            </w:r>
          </w:p>
        </w:tc>
        <w:tc>
          <w:tcPr>
            <w:tcW w:w="85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4794C8E"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35ans et +</w:t>
            </w:r>
          </w:p>
        </w:tc>
        <w:tc>
          <w:tcPr>
            <w:tcW w:w="780" w:type="pct"/>
            <w:gridSpan w:val="2"/>
            <w:vMerge/>
            <w:tcBorders>
              <w:top w:val="single" w:sz="4" w:space="0" w:color="0070C0"/>
              <w:left w:val="single" w:sz="4" w:space="0" w:color="0070C0"/>
              <w:bottom w:val="single" w:sz="4" w:space="0" w:color="0070C0"/>
              <w:right w:val="single" w:sz="4" w:space="0" w:color="0070C0"/>
            </w:tcBorders>
            <w:vAlign w:val="center"/>
            <w:hideMark/>
          </w:tcPr>
          <w:p w14:paraId="4C7AD1E1" w14:textId="77777777" w:rsidR="00A400FF" w:rsidRPr="002077A4" w:rsidRDefault="00A400FF" w:rsidP="0020372B">
            <w:pPr>
              <w:keepNext/>
              <w:spacing w:before="0" w:after="0" w:line="240" w:lineRule="auto"/>
              <w:jc w:val="left"/>
              <w:rPr>
                <w:rFonts w:eastAsia="Times New Roman" w:cs="Calibri"/>
                <w:b/>
                <w:bCs/>
                <w:color w:val="FFFFFF"/>
                <w:sz w:val="20"/>
                <w:szCs w:val="20"/>
              </w:rPr>
            </w:pPr>
          </w:p>
        </w:tc>
      </w:tr>
      <w:tr w:rsidR="00A400FF" w:rsidRPr="002077A4" w14:paraId="62C587BE" w14:textId="77777777" w:rsidTr="0020372B">
        <w:trPr>
          <w:trHeight w:val="57"/>
        </w:trPr>
        <w:tc>
          <w:tcPr>
            <w:tcW w:w="1041" w:type="pct"/>
            <w:vMerge/>
            <w:tcBorders>
              <w:top w:val="single" w:sz="4" w:space="0" w:color="0070C0"/>
              <w:left w:val="single" w:sz="4" w:space="0" w:color="0070C0"/>
              <w:bottom w:val="single" w:sz="4" w:space="0" w:color="0070C0"/>
              <w:right w:val="single" w:sz="4" w:space="0" w:color="0070C0"/>
            </w:tcBorders>
            <w:vAlign w:val="center"/>
            <w:hideMark/>
          </w:tcPr>
          <w:p w14:paraId="0E76AC9C" w14:textId="77777777" w:rsidR="00A400FF" w:rsidRPr="002077A4" w:rsidRDefault="00A400FF" w:rsidP="0020372B">
            <w:pPr>
              <w:keepNext/>
              <w:spacing w:before="0" w:after="0" w:line="240" w:lineRule="auto"/>
              <w:jc w:val="left"/>
              <w:rPr>
                <w:rFonts w:ascii="Calibri" w:eastAsia="Times New Roman" w:hAnsi="Calibri" w:cs="Calibri"/>
                <w:color w:val="000000"/>
              </w:rPr>
            </w:pPr>
          </w:p>
        </w:tc>
        <w:tc>
          <w:tcPr>
            <w:tcW w:w="337" w:type="pct"/>
            <w:tcBorders>
              <w:top w:val="nil"/>
              <w:left w:val="nil"/>
              <w:bottom w:val="single" w:sz="4" w:space="0" w:color="0070C0"/>
              <w:right w:val="single" w:sz="4" w:space="0" w:color="0070C0"/>
            </w:tcBorders>
            <w:shd w:val="clear" w:color="000000" w:fill="00B0F0"/>
            <w:noWrap/>
            <w:vAlign w:val="center"/>
            <w:hideMark/>
          </w:tcPr>
          <w:p w14:paraId="79C89E15"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96" w:type="pct"/>
            <w:tcBorders>
              <w:top w:val="nil"/>
              <w:left w:val="nil"/>
              <w:bottom w:val="single" w:sz="4" w:space="0" w:color="0070C0"/>
              <w:right w:val="single" w:sz="4" w:space="0" w:color="0070C0"/>
            </w:tcBorders>
            <w:shd w:val="clear" w:color="000000" w:fill="00B0F0"/>
            <w:noWrap/>
            <w:vAlign w:val="center"/>
            <w:hideMark/>
          </w:tcPr>
          <w:p w14:paraId="20657B6D"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243" w:type="pct"/>
            <w:tcBorders>
              <w:top w:val="nil"/>
              <w:left w:val="nil"/>
              <w:bottom w:val="single" w:sz="4" w:space="0" w:color="0070C0"/>
              <w:right w:val="single" w:sz="4" w:space="0" w:color="0070C0"/>
            </w:tcBorders>
            <w:shd w:val="clear" w:color="000000" w:fill="00B0F0"/>
            <w:noWrap/>
            <w:vAlign w:val="center"/>
            <w:hideMark/>
          </w:tcPr>
          <w:p w14:paraId="703CB85F"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96" w:type="pct"/>
            <w:tcBorders>
              <w:top w:val="nil"/>
              <w:left w:val="nil"/>
              <w:bottom w:val="single" w:sz="4" w:space="0" w:color="0070C0"/>
              <w:right w:val="single" w:sz="4" w:space="0" w:color="0070C0"/>
            </w:tcBorders>
            <w:shd w:val="clear" w:color="000000" w:fill="00B0F0"/>
            <w:noWrap/>
            <w:vAlign w:val="center"/>
            <w:hideMark/>
          </w:tcPr>
          <w:p w14:paraId="647A020E"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243" w:type="pct"/>
            <w:tcBorders>
              <w:top w:val="nil"/>
              <w:left w:val="nil"/>
              <w:bottom w:val="single" w:sz="4" w:space="0" w:color="0070C0"/>
              <w:right w:val="single" w:sz="4" w:space="0" w:color="0070C0"/>
            </w:tcBorders>
            <w:shd w:val="clear" w:color="000000" w:fill="00B0F0"/>
            <w:noWrap/>
            <w:vAlign w:val="center"/>
            <w:hideMark/>
          </w:tcPr>
          <w:p w14:paraId="37ADC281"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509" w:type="pct"/>
            <w:tcBorders>
              <w:top w:val="nil"/>
              <w:left w:val="nil"/>
              <w:bottom w:val="single" w:sz="4" w:space="0" w:color="0070C0"/>
              <w:right w:val="single" w:sz="4" w:space="0" w:color="0070C0"/>
            </w:tcBorders>
            <w:shd w:val="clear" w:color="000000" w:fill="00B0F0"/>
            <w:noWrap/>
            <w:vAlign w:val="center"/>
            <w:hideMark/>
          </w:tcPr>
          <w:p w14:paraId="200BAC8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346" w:type="pct"/>
            <w:tcBorders>
              <w:top w:val="nil"/>
              <w:left w:val="nil"/>
              <w:bottom w:val="single" w:sz="4" w:space="0" w:color="0070C0"/>
              <w:right w:val="single" w:sz="4" w:space="0" w:color="0070C0"/>
            </w:tcBorders>
            <w:shd w:val="clear" w:color="000000" w:fill="00B0F0"/>
            <w:noWrap/>
            <w:vAlign w:val="center"/>
            <w:hideMark/>
          </w:tcPr>
          <w:p w14:paraId="7AE66C7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509" w:type="pct"/>
            <w:tcBorders>
              <w:top w:val="nil"/>
              <w:left w:val="nil"/>
              <w:bottom w:val="single" w:sz="4" w:space="0" w:color="0070C0"/>
              <w:right w:val="single" w:sz="4" w:space="0" w:color="0070C0"/>
            </w:tcBorders>
            <w:shd w:val="clear" w:color="000000" w:fill="00B0F0"/>
            <w:noWrap/>
            <w:vAlign w:val="center"/>
            <w:hideMark/>
          </w:tcPr>
          <w:p w14:paraId="74DBFE9F"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317" w:type="pct"/>
            <w:tcBorders>
              <w:top w:val="nil"/>
              <w:left w:val="nil"/>
              <w:bottom w:val="single" w:sz="4" w:space="0" w:color="0070C0"/>
              <w:right w:val="single" w:sz="4" w:space="0" w:color="0070C0"/>
            </w:tcBorders>
            <w:shd w:val="clear" w:color="000000" w:fill="00B0F0"/>
            <w:noWrap/>
            <w:vAlign w:val="center"/>
            <w:hideMark/>
          </w:tcPr>
          <w:p w14:paraId="36C42175"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63" w:type="pct"/>
            <w:tcBorders>
              <w:top w:val="nil"/>
              <w:left w:val="nil"/>
              <w:bottom w:val="single" w:sz="4" w:space="0" w:color="0070C0"/>
              <w:right w:val="single" w:sz="4" w:space="0" w:color="0070C0"/>
            </w:tcBorders>
            <w:shd w:val="clear" w:color="000000" w:fill="00B0F0"/>
            <w:noWrap/>
            <w:vAlign w:val="center"/>
            <w:hideMark/>
          </w:tcPr>
          <w:p w14:paraId="1D445D8C"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r>
      <w:tr w:rsidR="00A400FF" w:rsidRPr="002077A4" w14:paraId="4DB3994D"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auto" w:fill="auto"/>
            <w:noWrap/>
            <w:vAlign w:val="center"/>
            <w:hideMark/>
          </w:tcPr>
          <w:p w14:paraId="4EF57397" w14:textId="77777777" w:rsidR="00A400FF" w:rsidRPr="002077A4" w:rsidRDefault="00A400FF" w:rsidP="0020372B">
            <w:pPr>
              <w:keepNext/>
              <w:spacing w:before="0" w:after="0" w:line="240" w:lineRule="auto"/>
              <w:jc w:val="left"/>
              <w:rPr>
                <w:rFonts w:eastAsia="Times New Roman" w:cs="Calibri"/>
                <w:color w:val="000000"/>
                <w:sz w:val="20"/>
                <w:szCs w:val="20"/>
              </w:rPr>
            </w:pPr>
            <w:r w:rsidRPr="002077A4">
              <w:rPr>
                <w:rFonts w:eastAsia="Times New Roman" w:cs="Calibri"/>
                <w:color w:val="000000"/>
                <w:sz w:val="20"/>
                <w:szCs w:val="20"/>
              </w:rPr>
              <w:t>Non</w:t>
            </w:r>
          </w:p>
        </w:tc>
        <w:tc>
          <w:tcPr>
            <w:tcW w:w="337" w:type="pct"/>
            <w:tcBorders>
              <w:top w:val="nil"/>
              <w:left w:val="nil"/>
              <w:bottom w:val="single" w:sz="4" w:space="0" w:color="0070C0"/>
              <w:right w:val="single" w:sz="4" w:space="0" w:color="0070C0"/>
            </w:tcBorders>
            <w:shd w:val="clear" w:color="auto" w:fill="auto"/>
            <w:noWrap/>
            <w:vAlign w:val="center"/>
            <w:hideMark/>
          </w:tcPr>
          <w:p w14:paraId="39605374"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21</w:t>
            </w:r>
          </w:p>
        </w:tc>
        <w:tc>
          <w:tcPr>
            <w:tcW w:w="496" w:type="pct"/>
            <w:tcBorders>
              <w:top w:val="nil"/>
              <w:left w:val="nil"/>
              <w:bottom w:val="single" w:sz="4" w:space="0" w:color="0070C0"/>
              <w:right w:val="single" w:sz="4" w:space="0" w:color="0070C0"/>
            </w:tcBorders>
            <w:shd w:val="clear" w:color="auto" w:fill="auto"/>
            <w:noWrap/>
            <w:vAlign w:val="center"/>
            <w:hideMark/>
          </w:tcPr>
          <w:p w14:paraId="3F6E5CB0"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21%</w:t>
            </w:r>
          </w:p>
        </w:tc>
        <w:tc>
          <w:tcPr>
            <w:tcW w:w="243" w:type="pct"/>
            <w:tcBorders>
              <w:top w:val="nil"/>
              <w:left w:val="nil"/>
              <w:bottom w:val="single" w:sz="4" w:space="0" w:color="0070C0"/>
              <w:right w:val="single" w:sz="4" w:space="0" w:color="0070C0"/>
            </w:tcBorders>
            <w:shd w:val="clear" w:color="auto" w:fill="auto"/>
            <w:noWrap/>
            <w:vAlign w:val="center"/>
            <w:hideMark/>
          </w:tcPr>
          <w:p w14:paraId="07E693B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14</w:t>
            </w:r>
          </w:p>
        </w:tc>
        <w:tc>
          <w:tcPr>
            <w:tcW w:w="496" w:type="pct"/>
            <w:tcBorders>
              <w:top w:val="nil"/>
              <w:left w:val="nil"/>
              <w:bottom w:val="single" w:sz="4" w:space="0" w:color="0070C0"/>
              <w:right w:val="single" w:sz="4" w:space="0" w:color="0070C0"/>
            </w:tcBorders>
            <w:shd w:val="clear" w:color="auto" w:fill="auto"/>
            <w:noWrap/>
            <w:vAlign w:val="center"/>
            <w:hideMark/>
          </w:tcPr>
          <w:p w14:paraId="33BDD422"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16%</w:t>
            </w:r>
          </w:p>
        </w:tc>
        <w:tc>
          <w:tcPr>
            <w:tcW w:w="243" w:type="pct"/>
            <w:tcBorders>
              <w:top w:val="nil"/>
              <w:left w:val="nil"/>
              <w:bottom w:val="single" w:sz="4" w:space="0" w:color="0070C0"/>
              <w:right w:val="single" w:sz="4" w:space="0" w:color="0070C0"/>
            </w:tcBorders>
            <w:shd w:val="clear" w:color="auto" w:fill="auto"/>
            <w:noWrap/>
            <w:vAlign w:val="center"/>
            <w:hideMark/>
          </w:tcPr>
          <w:p w14:paraId="147FF17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12</w:t>
            </w:r>
          </w:p>
        </w:tc>
        <w:tc>
          <w:tcPr>
            <w:tcW w:w="509" w:type="pct"/>
            <w:tcBorders>
              <w:top w:val="nil"/>
              <w:left w:val="nil"/>
              <w:bottom w:val="single" w:sz="4" w:space="0" w:color="0070C0"/>
              <w:right w:val="single" w:sz="4" w:space="0" w:color="0070C0"/>
            </w:tcBorders>
            <w:shd w:val="clear" w:color="auto" w:fill="auto"/>
            <w:noWrap/>
            <w:vAlign w:val="center"/>
            <w:hideMark/>
          </w:tcPr>
          <w:p w14:paraId="0B5F6FA0"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24%</w:t>
            </w:r>
          </w:p>
        </w:tc>
        <w:tc>
          <w:tcPr>
            <w:tcW w:w="346" w:type="pct"/>
            <w:tcBorders>
              <w:top w:val="nil"/>
              <w:left w:val="nil"/>
              <w:bottom w:val="single" w:sz="4" w:space="0" w:color="0070C0"/>
              <w:right w:val="single" w:sz="4" w:space="0" w:color="0070C0"/>
            </w:tcBorders>
            <w:shd w:val="clear" w:color="auto" w:fill="auto"/>
            <w:noWrap/>
            <w:vAlign w:val="center"/>
            <w:hideMark/>
          </w:tcPr>
          <w:p w14:paraId="6749F73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23</w:t>
            </w:r>
          </w:p>
        </w:tc>
        <w:tc>
          <w:tcPr>
            <w:tcW w:w="509" w:type="pct"/>
            <w:tcBorders>
              <w:top w:val="nil"/>
              <w:left w:val="nil"/>
              <w:bottom w:val="single" w:sz="4" w:space="0" w:color="0070C0"/>
              <w:right w:val="single" w:sz="4" w:space="0" w:color="0070C0"/>
            </w:tcBorders>
            <w:shd w:val="clear" w:color="auto" w:fill="auto"/>
            <w:noWrap/>
            <w:vAlign w:val="center"/>
            <w:hideMark/>
          </w:tcPr>
          <w:p w14:paraId="1B9E95C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17%</w:t>
            </w:r>
          </w:p>
        </w:tc>
        <w:tc>
          <w:tcPr>
            <w:tcW w:w="317" w:type="pct"/>
            <w:tcBorders>
              <w:top w:val="nil"/>
              <w:left w:val="nil"/>
              <w:bottom w:val="single" w:sz="4" w:space="0" w:color="0070C0"/>
              <w:right w:val="single" w:sz="4" w:space="0" w:color="0070C0"/>
            </w:tcBorders>
            <w:shd w:val="clear" w:color="auto" w:fill="auto"/>
            <w:noWrap/>
            <w:vAlign w:val="center"/>
            <w:hideMark/>
          </w:tcPr>
          <w:p w14:paraId="2DE50375"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35</w:t>
            </w:r>
          </w:p>
        </w:tc>
        <w:tc>
          <w:tcPr>
            <w:tcW w:w="463" w:type="pct"/>
            <w:tcBorders>
              <w:top w:val="nil"/>
              <w:left w:val="nil"/>
              <w:bottom w:val="single" w:sz="4" w:space="0" w:color="0070C0"/>
              <w:right w:val="single" w:sz="4" w:space="0" w:color="0070C0"/>
            </w:tcBorders>
            <w:shd w:val="clear" w:color="auto" w:fill="auto"/>
            <w:noWrap/>
            <w:vAlign w:val="center"/>
            <w:hideMark/>
          </w:tcPr>
          <w:p w14:paraId="45C26543"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19%</w:t>
            </w:r>
          </w:p>
        </w:tc>
      </w:tr>
      <w:tr w:rsidR="00A400FF" w:rsidRPr="002077A4" w14:paraId="7A59DD16"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auto" w:fill="auto"/>
            <w:noWrap/>
            <w:vAlign w:val="center"/>
            <w:hideMark/>
          </w:tcPr>
          <w:p w14:paraId="7E0CF044" w14:textId="77777777" w:rsidR="00A400FF" w:rsidRPr="002077A4" w:rsidRDefault="00A400FF" w:rsidP="0020372B">
            <w:pPr>
              <w:keepNext/>
              <w:spacing w:before="0" w:after="0" w:line="240" w:lineRule="auto"/>
              <w:jc w:val="left"/>
              <w:rPr>
                <w:rFonts w:eastAsia="Times New Roman" w:cs="Calibri"/>
                <w:color w:val="000000"/>
                <w:sz w:val="20"/>
                <w:szCs w:val="20"/>
              </w:rPr>
            </w:pPr>
            <w:r w:rsidRPr="002077A4">
              <w:rPr>
                <w:rFonts w:eastAsia="Times New Roman" w:cs="Calibri"/>
                <w:color w:val="000000"/>
                <w:sz w:val="20"/>
                <w:szCs w:val="20"/>
              </w:rPr>
              <w:t>Oui</w:t>
            </w:r>
          </w:p>
        </w:tc>
        <w:tc>
          <w:tcPr>
            <w:tcW w:w="337" w:type="pct"/>
            <w:tcBorders>
              <w:top w:val="nil"/>
              <w:left w:val="nil"/>
              <w:bottom w:val="single" w:sz="4" w:space="0" w:color="0070C0"/>
              <w:right w:val="single" w:sz="4" w:space="0" w:color="0070C0"/>
            </w:tcBorders>
            <w:shd w:val="clear" w:color="auto" w:fill="auto"/>
            <w:noWrap/>
            <w:vAlign w:val="center"/>
            <w:hideMark/>
          </w:tcPr>
          <w:p w14:paraId="516A63FA"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81</w:t>
            </w:r>
          </w:p>
        </w:tc>
        <w:tc>
          <w:tcPr>
            <w:tcW w:w="496" w:type="pct"/>
            <w:tcBorders>
              <w:top w:val="nil"/>
              <w:left w:val="nil"/>
              <w:bottom w:val="single" w:sz="4" w:space="0" w:color="0070C0"/>
              <w:right w:val="single" w:sz="4" w:space="0" w:color="0070C0"/>
            </w:tcBorders>
            <w:shd w:val="clear" w:color="auto" w:fill="auto"/>
            <w:noWrap/>
            <w:vAlign w:val="center"/>
            <w:hideMark/>
          </w:tcPr>
          <w:p w14:paraId="798A50A6"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79%</w:t>
            </w:r>
          </w:p>
        </w:tc>
        <w:tc>
          <w:tcPr>
            <w:tcW w:w="243" w:type="pct"/>
            <w:tcBorders>
              <w:top w:val="nil"/>
              <w:left w:val="nil"/>
              <w:bottom w:val="single" w:sz="4" w:space="0" w:color="0070C0"/>
              <w:right w:val="single" w:sz="4" w:space="0" w:color="0070C0"/>
            </w:tcBorders>
            <w:shd w:val="clear" w:color="auto" w:fill="auto"/>
            <w:noWrap/>
            <w:vAlign w:val="center"/>
            <w:hideMark/>
          </w:tcPr>
          <w:p w14:paraId="4A44E08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73</w:t>
            </w:r>
          </w:p>
        </w:tc>
        <w:tc>
          <w:tcPr>
            <w:tcW w:w="496" w:type="pct"/>
            <w:tcBorders>
              <w:top w:val="nil"/>
              <w:left w:val="nil"/>
              <w:bottom w:val="single" w:sz="4" w:space="0" w:color="0070C0"/>
              <w:right w:val="single" w:sz="4" w:space="0" w:color="0070C0"/>
            </w:tcBorders>
            <w:shd w:val="clear" w:color="auto" w:fill="auto"/>
            <w:noWrap/>
            <w:vAlign w:val="center"/>
            <w:hideMark/>
          </w:tcPr>
          <w:p w14:paraId="4F673898"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84%</w:t>
            </w:r>
          </w:p>
        </w:tc>
        <w:tc>
          <w:tcPr>
            <w:tcW w:w="243" w:type="pct"/>
            <w:tcBorders>
              <w:top w:val="nil"/>
              <w:left w:val="nil"/>
              <w:bottom w:val="single" w:sz="4" w:space="0" w:color="0070C0"/>
              <w:right w:val="single" w:sz="4" w:space="0" w:color="0070C0"/>
            </w:tcBorders>
            <w:shd w:val="clear" w:color="auto" w:fill="auto"/>
            <w:noWrap/>
            <w:vAlign w:val="center"/>
            <w:hideMark/>
          </w:tcPr>
          <w:p w14:paraId="45F301F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39</w:t>
            </w:r>
          </w:p>
        </w:tc>
        <w:tc>
          <w:tcPr>
            <w:tcW w:w="509" w:type="pct"/>
            <w:tcBorders>
              <w:top w:val="nil"/>
              <w:left w:val="nil"/>
              <w:bottom w:val="single" w:sz="4" w:space="0" w:color="0070C0"/>
              <w:right w:val="single" w:sz="4" w:space="0" w:color="0070C0"/>
            </w:tcBorders>
            <w:shd w:val="clear" w:color="auto" w:fill="auto"/>
            <w:noWrap/>
            <w:vAlign w:val="center"/>
            <w:hideMark/>
          </w:tcPr>
          <w:p w14:paraId="169F96B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76%</w:t>
            </w:r>
          </w:p>
        </w:tc>
        <w:tc>
          <w:tcPr>
            <w:tcW w:w="346" w:type="pct"/>
            <w:tcBorders>
              <w:top w:val="nil"/>
              <w:left w:val="nil"/>
              <w:bottom w:val="single" w:sz="4" w:space="0" w:color="0070C0"/>
              <w:right w:val="single" w:sz="4" w:space="0" w:color="0070C0"/>
            </w:tcBorders>
            <w:shd w:val="clear" w:color="auto" w:fill="auto"/>
            <w:noWrap/>
            <w:vAlign w:val="center"/>
            <w:hideMark/>
          </w:tcPr>
          <w:p w14:paraId="036665A5"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115</w:t>
            </w:r>
          </w:p>
        </w:tc>
        <w:tc>
          <w:tcPr>
            <w:tcW w:w="509" w:type="pct"/>
            <w:tcBorders>
              <w:top w:val="nil"/>
              <w:left w:val="nil"/>
              <w:bottom w:val="single" w:sz="4" w:space="0" w:color="0070C0"/>
              <w:right w:val="single" w:sz="4" w:space="0" w:color="0070C0"/>
            </w:tcBorders>
            <w:shd w:val="clear" w:color="auto" w:fill="auto"/>
            <w:noWrap/>
            <w:vAlign w:val="center"/>
            <w:hideMark/>
          </w:tcPr>
          <w:p w14:paraId="0A561907"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83%</w:t>
            </w:r>
          </w:p>
        </w:tc>
        <w:tc>
          <w:tcPr>
            <w:tcW w:w="317" w:type="pct"/>
            <w:tcBorders>
              <w:top w:val="nil"/>
              <w:left w:val="nil"/>
              <w:bottom w:val="single" w:sz="4" w:space="0" w:color="0070C0"/>
              <w:right w:val="single" w:sz="4" w:space="0" w:color="0070C0"/>
            </w:tcBorders>
            <w:shd w:val="clear" w:color="auto" w:fill="auto"/>
            <w:noWrap/>
            <w:vAlign w:val="center"/>
            <w:hideMark/>
          </w:tcPr>
          <w:p w14:paraId="240AC9DB"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154</w:t>
            </w:r>
          </w:p>
        </w:tc>
        <w:tc>
          <w:tcPr>
            <w:tcW w:w="463" w:type="pct"/>
            <w:tcBorders>
              <w:top w:val="nil"/>
              <w:left w:val="nil"/>
              <w:bottom w:val="single" w:sz="4" w:space="0" w:color="0070C0"/>
              <w:right w:val="single" w:sz="4" w:space="0" w:color="0070C0"/>
            </w:tcBorders>
            <w:shd w:val="clear" w:color="auto" w:fill="auto"/>
            <w:noWrap/>
            <w:vAlign w:val="center"/>
            <w:hideMark/>
          </w:tcPr>
          <w:p w14:paraId="4CEEA5C2"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81%</w:t>
            </w:r>
          </w:p>
        </w:tc>
      </w:tr>
      <w:tr w:rsidR="00A400FF" w:rsidRPr="002077A4" w14:paraId="5C88B5EC"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000000" w:fill="D9E1F2"/>
            <w:noWrap/>
            <w:vAlign w:val="center"/>
            <w:hideMark/>
          </w:tcPr>
          <w:p w14:paraId="64839E7C"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 xml:space="preserve">Total </w:t>
            </w:r>
          </w:p>
        </w:tc>
        <w:tc>
          <w:tcPr>
            <w:tcW w:w="337" w:type="pct"/>
            <w:tcBorders>
              <w:top w:val="nil"/>
              <w:left w:val="nil"/>
              <w:bottom w:val="single" w:sz="4" w:space="0" w:color="0070C0"/>
              <w:right w:val="single" w:sz="4" w:space="0" w:color="0070C0"/>
            </w:tcBorders>
            <w:shd w:val="clear" w:color="000000" w:fill="D9E1F2"/>
            <w:noWrap/>
            <w:vAlign w:val="center"/>
            <w:hideMark/>
          </w:tcPr>
          <w:p w14:paraId="2863E0E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102</w:t>
            </w:r>
          </w:p>
        </w:tc>
        <w:tc>
          <w:tcPr>
            <w:tcW w:w="496" w:type="pct"/>
            <w:tcBorders>
              <w:top w:val="nil"/>
              <w:left w:val="nil"/>
              <w:bottom w:val="single" w:sz="4" w:space="0" w:color="0070C0"/>
              <w:right w:val="single" w:sz="4" w:space="0" w:color="0070C0"/>
            </w:tcBorders>
            <w:shd w:val="clear" w:color="000000" w:fill="D9E1F2"/>
            <w:noWrap/>
            <w:vAlign w:val="center"/>
            <w:hideMark/>
          </w:tcPr>
          <w:p w14:paraId="1AB6C572"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243" w:type="pct"/>
            <w:tcBorders>
              <w:top w:val="nil"/>
              <w:left w:val="nil"/>
              <w:bottom w:val="single" w:sz="4" w:space="0" w:color="0070C0"/>
              <w:right w:val="single" w:sz="4" w:space="0" w:color="0070C0"/>
            </w:tcBorders>
            <w:shd w:val="clear" w:color="000000" w:fill="D9E1F2"/>
            <w:noWrap/>
            <w:vAlign w:val="center"/>
            <w:hideMark/>
          </w:tcPr>
          <w:p w14:paraId="70C1789C"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87</w:t>
            </w:r>
          </w:p>
        </w:tc>
        <w:tc>
          <w:tcPr>
            <w:tcW w:w="496" w:type="pct"/>
            <w:tcBorders>
              <w:top w:val="nil"/>
              <w:left w:val="nil"/>
              <w:bottom w:val="single" w:sz="4" w:space="0" w:color="0070C0"/>
              <w:right w:val="single" w:sz="4" w:space="0" w:color="0070C0"/>
            </w:tcBorders>
            <w:shd w:val="clear" w:color="000000" w:fill="D9E1F2"/>
            <w:noWrap/>
            <w:vAlign w:val="center"/>
            <w:hideMark/>
          </w:tcPr>
          <w:p w14:paraId="493CDC7A"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243" w:type="pct"/>
            <w:tcBorders>
              <w:top w:val="nil"/>
              <w:left w:val="nil"/>
              <w:bottom w:val="single" w:sz="4" w:space="0" w:color="0070C0"/>
              <w:right w:val="single" w:sz="4" w:space="0" w:color="0070C0"/>
            </w:tcBorders>
            <w:shd w:val="clear" w:color="000000" w:fill="D9E1F2"/>
            <w:noWrap/>
            <w:vAlign w:val="center"/>
            <w:hideMark/>
          </w:tcPr>
          <w:p w14:paraId="3EE30C1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51</w:t>
            </w:r>
          </w:p>
        </w:tc>
        <w:tc>
          <w:tcPr>
            <w:tcW w:w="509" w:type="pct"/>
            <w:tcBorders>
              <w:top w:val="nil"/>
              <w:left w:val="nil"/>
              <w:bottom w:val="single" w:sz="4" w:space="0" w:color="0070C0"/>
              <w:right w:val="single" w:sz="4" w:space="0" w:color="0070C0"/>
            </w:tcBorders>
            <w:shd w:val="clear" w:color="000000" w:fill="D9E1F2"/>
            <w:noWrap/>
            <w:vAlign w:val="center"/>
            <w:hideMark/>
          </w:tcPr>
          <w:p w14:paraId="2752903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346" w:type="pct"/>
            <w:tcBorders>
              <w:top w:val="nil"/>
              <w:left w:val="nil"/>
              <w:bottom w:val="single" w:sz="4" w:space="0" w:color="0070C0"/>
              <w:right w:val="single" w:sz="4" w:space="0" w:color="0070C0"/>
            </w:tcBorders>
            <w:shd w:val="clear" w:color="000000" w:fill="D9E1F2"/>
            <w:noWrap/>
            <w:vAlign w:val="center"/>
            <w:hideMark/>
          </w:tcPr>
          <w:p w14:paraId="25725B21"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138</w:t>
            </w:r>
          </w:p>
        </w:tc>
        <w:tc>
          <w:tcPr>
            <w:tcW w:w="509" w:type="pct"/>
            <w:tcBorders>
              <w:top w:val="nil"/>
              <w:left w:val="nil"/>
              <w:bottom w:val="single" w:sz="4" w:space="0" w:color="0070C0"/>
              <w:right w:val="single" w:sz="4" w:space="0" w:color="0070C0"/>
            </w:tcBorders>
            <w:shd w:val="clear" w:color="000000" w:fill="D9E1F2"/>
            <w:noWrap/>
            <w:vAlign w:val="center"/>
            <w:hideMark/>
          </w:tcPr>
          <w:p w14:paraId="2F1EC4BA"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317" w:type="pct"/>
            <w:tcBorders>
              <w:top w:val="nil"/>
              <w:left w:val="nil"/>
              <w:bottom w:val="single" w:sz="4" w:space="0" w:color="0070C0"/>
              <w:right w:val="single" w:sz="4" w:space="0" w:color="0070C0"/>
            </w:tcBorders>
            <w:shd w:val="clear" w:color="000000" w:fill="D9E1F2"/>
            <w:noWrap/>
            <w:vAlign w:val="center"/>
            <w:hideMark/>
          </w:tcPr>
          <w:p w14:paraId="4A6DCED7"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189</w:t>
            </w:r>
          </w:p>
        </w:tc>
        <w:tc>
          <w:tcPr>
            <w:tcW w:w="463" w:type="pct"/>
            <w:tcBorders>
              <w:top w:val="nil"/>
              <w:left w:val="nil"/>
              <w:bottom w:val="single" w:sz="4" w:space="0" w:color="0070C0"/>
              <w:right w:val="single" w:sz="4" w:space="0" w:color="0070C0"/>
            </w:tcBorders>
            <w:shd w:val="clear" w:color="000000" w:fill="D9E1F2"/>
            <w:noWrap/>
            <w:vAlign w:val="center"/>
            <w:hideMark/>
          </w:tcPr>
          <w:p w14:paraId="71A4DB94"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r>
    </w:tbl>
    <w:p w14:paraId="03B81400" w14:textId="77777777" w:rsidR="00A400FF" w:rsidRDefault="00A400FF" w:rsidP="00A400FF">
      <w:pPr>
        <w:keepNext/>
        <w:spacing w:before="0" w:after="0" w:line="276" w:lineRule="auto"/>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47E401BE" w14:textId="77777777" w:rsidR="00A400FF" w:rsidRDefault="00A400FF" w:rsidP="00A400FF">
      <w:pPr>
        <w:tabs>
          <w:tab w:val="left" w:pos="2763"/>
        </w:tabs>
        <w:spacing w:line="276" w:lineRule="auto"/>
        <w:jc w:val="left"/>
      </w:pPr>
    </w:p>
    <w:p w14:paraId="1123A347" w14:textId="48467DFB" w:rsidR="00A400FF" w:rsidRPr="00C62F7E" w:rsidRDefault="00A400FF" w:rsidP="00A400FF">
      <w:pPr>
        <w:pStyle w:val="Lgende"/>
        <w:keepNext/>
        <w:rPr>
          <w:color w:val="000000" w:themeColor="text1"/>
          <w:sz w:val="20"/>
        </w:rPr>
      </w:pPr>
      <w:bookmarkStart w:id="1027" w:name="_Toc92262117"/>
      <w:r>
        <w:t xml:space="preserve">Tableau </w:t>
      </w:r>
      <w:r>
        <w:fldChar w:fldCharType="begin"/>
      </w:r>
      <w:r>
        <w:instrText>SEQ Tableau \* ARABIC</w:instrText>
      </w:r>
      <w:r>
        <w:fldChar w:fldCharType="separate"/>
      </w:r>
      <w:r w:rsidR="0046716F">
        <w:rPr>
          <w:noProof/>
        </w:rPr>
        <w:t>15</w:t>
      </w:r>
      <w:r>
        <w:fldChar w:fldCharType="end"/>
      </w:r>
      <w:r>
        <w:t xml:space="preserve"> : </w:t>
      </w:r>
      <w:r w:rsidRPr="00D86F35">
        <w:t>Perception des répondants sur l'amélioration des relations de confiance entre communautés, FDS &amp; ACP</w:t>
      </w:r>
      <w:bookmarkEnd w:id="1027"/>
    </w:p>
    <w:tbl>
      <w:tblPr>
        <w:tblW w:w="5000" w:type="pct"/>
        <w:tblLook w:val="04A0" w:firstRow="1" w:lastRow="0" w:firstColumn="1" w:lastColumn="0" w:noHBand="0" w:noVBand="1"/>
      </w:tblPr>
      <w:tblGrid>
        <w:gridCol w:w="1891"/>
        <w:gridCol w:w="577"/>
        <w:gridCol w:w="846"/>
        <w:gridCol w:w="576"/>
        <w:gridCol w:w="845"/>
        <w:gridCol w:w="591"/>
        <w:gridCol w:w="866"/>
        <w:gridCol w:w="591"/>
        <w:gridCol w:w="866"/>
        <w:gridCol w:w="576"/>
        <w:gridCol w:w="837"/>
      </w:tblGrid>
      <w:tr w:rsidR="00A400FF" w:rsidRPr="005372BA" w14:paraId="12A62853" w14:textId="77777777" w:rsidTr="0020372B">
        <w:trPr>
          <w:trHeight w:val="227"/>
        </w:trPr>
        <w:tc>
          <w:tcPr>
            <w:tcW w:w="1043"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F3B98B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 </w:t>
            </w:r>
          </w:p>
        </w:tc>
        <w:tc>
          <w:tcPr>
            <w:tcW w:w="1569"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4C5D4CC3"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Sexe du répondant</w:t>
            </w:r>
          </w:p>
        </w:tc>
        <w:tc>
          <w:tcPr>
            <w:tcW w:w="1608"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256B0DA"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Tranche d'âge</w:t>
            </w:r>
          </w:p>
        </w:tc>
        <w:tc>
          <w:tcPr>
            <w:tcW w:w="781"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42CB7722"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 xml:space="preserve">Total </w:t>
            </w:r>
          </w:p>
        </w:tc>
      </w:tr>
      <w:tr w:rsidR="00A400FF" w:rsidRPr="005372BA" w14:paraId="0C09196D" w14:textId="77777777" w:rsidTr="0020372B">
        <w:trPr>
          <w:trHeight w:val="227"/>
        </w:trPr>
        <w:tc>
          <w:tcPr>
            <w:tcW w:w="1043" w:type="pct"/>
            <w:vMerge/>
            <w:tcBorders>
              <w:top w:val="single" w:sz="4" w:space="0" w:color="0070C0"/>
              <w:left w:val="single" w:sz="4" w:space="0" w:color="0070C0"/>
              <w:bottom w:val="single" w:sz="4" w:space="0" w:color="0070C0"/>
              <w:right w:val="single" w:sz="4" w:space="0" w:color="0070C0"/>
            </w:tcBorders>
            <w:vAlign w:val="center"/>
            <w:hideMark/>
          </w:tcPr>
          <w:p w14:paraId="0B65AAE2" w14:textId="77777777" w:rsidR="00A400FF" w:rsidRPr="005372BA" w:rsidRDefault="00A400FF" w:rsidP="0020372B">
            <w:pPr>
              <w:keepNext/>
              <w:spacing w:before="0" w:after="0" w:line="240" w:lineRule="auto"/>
              <w:jc w:val="left"/>
              <w:rPr>
                <w:rFonts w:eastAsia="Times New Roman" w:cs="Calibri"/>
                <w:color w:val="000000"/>
                <w:sz w:val="20"/>
                <w:szCs w:val="20"/>
              </w:rPr>
            </w:pPr>
          </w:p>
        </w:tc>
        <w:tc>
          <w:tcPr>
            <w:tcW w:w="78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6595274"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Féminin</w:t>
            </w:r>
          </w:p>
        </w:tc>
        <w:tc>
          <w:tcPr>
            <w:tcW w:w="78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BBD0861"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Masculin</w:t>
            </w:r>
          </w:p>
        </w:tc>
        <w:tc>
          <w:tcPr>
            <w:tcW w:w="80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DF73BB7"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 xml:space="preserve">18-34 ans </w:t>
            </w:r>
          </w:p>
        </w:tc>
        <w:tc>
          <w:tcPr>
            <w:tcW w:w="80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0BACA72"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35ans et +</w:t>
            </w:r>
          </w:p>
        </w:tc>
        <w:tc>
          <w:tcPr>
            <w:tcW w:w="781" w:type="pct"/>
            <w:gridSpan w:val="2"/>
            <w:vMerge/>
            <w:tcBorders>
              <w:top w:val="single" w:sz="4" w:space="0" w:color="0070C0"/>
              <w:left w:val="single" w:sz="4" w:space="0" w:color="0070C0"/>
              <w:bottom w:val="single" w:sz="4" w:space="0" w:color="0070C0"/>
              <w:right w:val="single" w:sz="4" w:space="0" w:color="0070C0"/>
            </w:tcBorders>
            <w:vAlign w:val="center"/>
            <w:hideMark/>
          </w:tcPr>
          <w:p w14:paraId="48F577FE" w14:textId="77777777" w:rsidR="00A400FF" w:rsidRPr="005372BA" w:rsidRDefault="00A400FF" w:rsidP="0020372B">
            <w:pPr>
              <w:keepNext/>
              <w:spacing w:before="0" w:after="0" w:line="240" w:lineRule="auto"/>
              <w:jc w:val="left"/>
              <w:rPr>
                <w:rFonts w:eastAsia="Times New Roman" w:cs="Calibri"/>
                <w:b/>
                <w:bCs/>
                <w:color w:val="FFFFFF"/>
                <w:sz w:val="20"/>
                <w:szCs w:val="20"/>
              </w:rPr>
            </w:pPr>
          </w:p>
        </w:tc>
      </w:tr>
      <w:tr w:rsidR="00A400FF" w:rsidRPr="005372BA" w14:paraId="2564C1AA" w14:textId="77777777" w:rsidTr="0020372B">
        <w:trPr>
          <w:trHeight w:val="227"/>
        </w:trPr>
        <w:tc>
          <w:tcPr>
            <w:tcW w:w="1043" w:type="pct"/>
            <w:vMerge/>
            <w:tcBorders>
              <w:top w:val="single" w:sz="4" w:space="0" w:color="0070C0"/>
              <w:left w:val="single" w:sz="4" w:space="0" w:color="0070C0"/>
              <w:bottom w:val="single" w:sz="4" w:space="0" w:color="0070C0"/>
              <w:right w:val="single" w:sz="4" w:space="0" w:color="0070C0"/>
            </w:tcBorders>
            <w:vAlign w:val="center"/>
            <w:hideMark/>
          </w:tcPr>
          <w:p w14:paraId="54212F62" w14:textId="77777777" w:rsidR="00A400FF" w:rsidRPr="005372BA" w:rsidRDefault="00A400FF" w:rsidP="0020372B">
            <w:pPr>
              <w:keepNext/>
              <w:spacing w:before="0" w:after="0" w:line="240" w:lineRule="auto"/>
              <w:jc w:val="left"/>
              <w:rPr>
                <w:rFonts w:eastAsia="Times New Roman" w:cs="Calibri"/>
                <w:color w:val="000000"/>
                <w:sz w:val="20"/>
                <w:szCs w:val="20"/>
              </w:rPr>
            </w:pPr>
          </w:p>
        </w:tc>
        <w:tc>
          <w:tcPr>
            <w:tcW w:w="318" w:type="pct"/>
            <w:tcBorders>
              <w:top w:val="nil"/>
              <w:left w:val="nil"/>
              <w:bottom w:val="single" w:sz="4" w:space="0" w:color="0070C0"/>
              <w:right w:val="single" w:sz="4" w:space="0" w:color="0070C0"/>
            </w:tcBorders>
            <w:shd w:val="clear" w:color="000000" w:fill="00B0F0"/>
            <w:noWrap/>
            <w:vAlign w:val="center"/>
            <w:hideMark/>
          </w:tcPr>
          <w:p w14:paraId="182392B4"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7" w:type="pct"/>
            <w:tcBorders>
              <w:top w:val="nil"/>
              <w:left w:val="nil"/>
              <w:bottom w:val="single" w:sz="4" w:space="0" w:color="0070C0"/>
              <w:right w:val="single" w:sz="4" w:space="0" w:color="0070C0"/>
            </w:tcBorders>
            <w:shd w:val="clear" w:color="000000" w:fill="00B0F0"/>
            <w:noWrap/>
            <w:vAlign w:val="center"/>
            <w:hideMark/>
          </w:tcPr>
          <w:p w14:paraId="27BFBD89"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01D708D0"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6" w:type="pct"/>
            <w:tcBorders>
              <w:top w:val="nil"/>
              <w:left w:val="nil"/>
              <w:bottom w:val="single" w:sz="4" w:space="0" w:color="0070C0"/>
              <w:right w:val="single" w:sz="4" w:space="0" w:color="0070C0"/>
            </w:tcBorders>
            <w:shd w:val="clear" w:color="000000" w:fill="00B0F0"/>
            <w:noWrap/>
            <w:vAlign w:val="center"/>
            <w:hideMark/>
          </w:tcPr>
          <w:p w14:paraId="3179D773"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2A4B1FFC"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78" w:type="pct"/>
            <w:tcBorders>
              <w:top w:val="nil"/>
              <w:left w:val="nil"/>
              <w:bottom w:val="single" w:sz="4" w:space="0" w:color="0070C0"/>
              <w:right w:val="single" w:sz="4" w:space="0" w:color="0070C0"/>
            </w:tcBorders>
            <w:shd w:val="clear" w:color="000000" w:fill="00B0F0"/>
            <w:noWrap/>
            <w:vAlign w:val="center"/>
            <w:hideMark/>
          </w:tcPr>
          <w:p w14:paraId="1F16E2C9"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4C07037F"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78" w:type="pct"/>
            <w:tcBorders>
              <w:top w:val="nil"/>
              <w:left w:val="nil"/>
              <w:bottom w:val="single" w:sz="4" w:space="0" w:color="0070C0"/>
              <w:right w:val="single" w:sz="4" w:space="0" w:color="0070C0"/>
            </w:tcBorders>
            <w:shd w:val="clear" w:color="000000" w:fill="00B0F0"/>
            <w:noWrap/>
            <w:vAlign w:val="center"/>
            <w:hideMark/>
          </w:tcPr>
          <w:p w14:paraId="441E0E1B"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500FFC06"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3" w:type="pct"/>
            <w:tcBorders>
              <w:top w:val="nil"/>
              <w:left w:val="nil"/>
              <w:bottom w:val="single" w:sz="4" w:space="0" w:color="0070C0"/>
              <w:right w:val="single" w:sz="4" w:space="0" w:color="0070C0"/>
            </w:tcBorders>
            <w:shd w:val="clear" w:color="000000" w:fill="00B0F0"/>
            <w:noWrap/>
            <w:vAlign w:val="center"/>
            <w:hideMark/>
          </w:tcPr>
          <w:p w14:paraId="10444055"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r>
      <w:tr w:rsidR="00A400FF" w:rsidRPr="005372BA" w14:paraId="6484C010" w14:textId="77777777" w:rsidTr="0020372B">
        <w:trPr>
          <w:trHeight w:val="227"/>
        </w:trPr>
        <w:tc>
          <w:tcPr>
            <w:tcW w:w="5000" w:type="pct"/>
            <w:gridSpan w:val="11"/>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256666DC" w14:textId="77777777" w:rsidR="00A400FF" w:rsidRPr="005372BA" w:rsidRDefault="00A400FF" w:rsidP="0020372B">
            <w:pPr>
              <w:keepNext/>
              <w:spacing w:before="0" w:after="0" w:line="240" w:lineRule="auto"/>
              <w:jc w:val="left"/>
              <w:rPr>
                <w:rFonts w:eastAsia="Times New Roman" w:cs="Calibri"/>
                <w:b/>
                <w:bCs/>
                <w:color w:val="000000"/>
                <w:sz w:val="20"/>
                <w:szCs w:val="20"/>
              </w:rPr>
            </w:pPr>
            <w:r>
              <w:rPr>
                <w:rFonts w:eastAsia="Times New Roman" w:cs="Calibri"/>
                <w:b/>
                <w:bCs/>
                <w:color w:val="000000"/>
                <w:sz w:val="20"/>
                <w:szCs w:val="20"/>
              </w:rPr>
              <w:t>C</w:t>
            </w:r>
            <w:r w:rsidRPr="005372BA">
              <w:rPr>
                <w:rFonts w:eastAsia="Times New Roman" w:cs="Calibri"/>
                <w:b/>
                <w:bCs/>
                <w:color w:val="000000"/>
                <w:sz w:val="20"/>
                <w:szCs w:val="20"/>
              </w:rPr>
              <w:t>onfiance entre les communautés et les FDS</w:t>
            </w:r>
          </w:p>
        </w:tc>
      </w:tr>
      <w:tr w:rsidR="00A400FF" w:rsidRPr="005372BA" w14:paraId="59CE4420"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3C92437"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Non</w:t>
            </w:r>
          </w:p>
        </w:tc>
        <w:tc>
          <w:tcPr>
            <w:tcW w:w="318" w:type="pct"/>
            <w:tcBorders>
              <w:top w:val="nil"/>
              <w:left w:val="nil"/>
              <w:bottom w:val="single" w:sz="4" w:space="0" w:color="0070C0"/>
              <w:right w:val="single" w:sz="4" w:space="0" w:color="0070C0"/>
            </w:tcBorders>
            <w:shd w:val="clear" w:color="auto" w:fill="auto"/>
            <w:noWrap/>
            <w:vAlign w:val="center"/>
            <w:hideMark/>
          </w:tcPr>
          <w:p w14:paraId="667F3C3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11</w:t>
            </w:r>
          </w:p>
        </w:tc>
        <w:tc>
          <w:tcPr>
            <w:tcW w:w="467" w:type="pct"/>
            <w:tcBorders>
              <w:top w:val="nil"/>
              <w:left w:val="nil"/>
              <w:bottom w:val="single" w:sz="4" w:space="0" w:color="0070C0"/>
              <w:right w:val="single" w:sz="4" w:space="0" w:color="0070C0"/>
            </w:tcBorders>
            <w:shd w:val="clear" w:color="auto" w:fill="auto"/>
            <w:noWrap/>
            <w:vAlign w:val="center"/>
            <w:hideMark/>
          </w:tcPr>
          <w:p w14:paraId="3A366CA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w:t>
            </w:r>
          </w:p>
        </w:tc>
        <w:tc>
          <w:tcPr>
            <w:tcW w:w="318" w:type="pct"/>
            <w:tcBorders>
              <w:top w:val="nil"/>
              <w:left w:val="nil"/>
              <w:bottom w:val="single" w:sz="4" w:space="0" w:color="0070C0"/>
              <w:right w:val="single" w:sz="4" w:space="0" w:color="0070C0"/>
            </w:tcBorders>
            <w:shd w:val="clear" w:color="auto" w:fill="auto"/>
            <w:noWrap/>
            <w:vAlign w:val="center"/>
            <w:hideMark/>
          </w:tcPr>
          <w:p w14:paraId="54F294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26</w:t>
            </w:r>
          </w:p>
        </w:tc>
        <w:tc>
          <w:tcPr>
            <w:tcW w:w="466" w:type="pct"/>
            <w:tcBorders>
              <w:top w:val="nil"/>
              <w:left w:val="nil"/>
              <w:bottom w:val="single" w:sz="4" w:space="0" w:color="0070C0"/>
              <w:right w:val="single" w:sz="4" w:space="0" w:color="0070C0"/>
            </w:tcBorders>
            <w:shd w:val="clear" w:color="auto" w:fill="auto"/>
            <w:noWrap/>
            <w:vAlign w:val="center"/>
            <w:hideMark/>
          </w:tcPr>
          <w:p w14:paraId="7943C31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w:t>
            </w:r>
          </w:p>
        </w:tc>
        <w:tc>
          <w:tcPr>
            <w:tcW w:w="326" w:type="pct"/>
            <w:tcBorders>
              <w:top w:val="nil"/>
              <w:left w:val="nil"/>
              <w:bottom w:val="single" w:sz="4" w:space="0" w:color="0070C0"/>
              <w:right w:val="single" w:sz="4" w:space="0" w:color="0070C0"/>
            </w:tcBorders>
            <w:shd w:val="clear" w:color="auto" w:fill="auto"/>
            <w:noWrap/>
            <w:vAlign w:val="center"/>
            <w:hideMark/>
          </w:tcPr>
          <w:p w14:paraId="37A0D0F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22</w:t>
            </w:r>
          </w:p>
        </w:tc>
        <w:tc>
          <w:tcPr>
            <w:tcW w:w="478" w:type="pct"/>
            <w:tcBorders>
              <w:top w:val="nil"/>
              <w:left w:val="nil"/>
              <w:bottom w:val="single" w:sz="4" w:space="0" w:color="0070C0"/>
              <w:right w:val="single" w:sz="4" w:space="0" w:color="0070C0"/>
            </w:tcBorders>
            <w:shd w:val="clear" w:color="auto" w:fill="auto"/>
            <w:noWrap/>
            <w:vAlign w:val="center"/>
            <w:hideMark/>
          </w:tcPr>
          <w:p w14:paraId="2F7CFB1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16%</w:t>
            </w:r>
          </w:p>
        </w:tc>
        <w:tc>
          <w:tcPr>
            <w:tcW w:w="326" w:type="pct"/>
            <w:tcBorders>
              <w:top w:val="nil"/>
              <w:left w:val="nil"/>
              <w:bottom w:val="single" w:sz="4" w:space="0" w:color="0070C0"/>
              <w:right w:val="single" w:sz="4" w:space="0" w:color="0070C0"/>
            </w:tcBorders>
            <w:shd w:val="clear" w:color="auto" w:fill="auto"/>
            <w:noWrap/>
            <w:vAlign w:val="center"/>
            <w:hideMark/>
          </w:tcPr>
          <w:p w14:paraId="68B9115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15</w:t>
            </w:r>
          </w:p>
        </w:tc>
        <w:tc>
          <w:tcPr>
            <w:tcW w:w="478" w:type="pct"/>
            <w:tcBorders>
              <w:top w:val="nil"/>
              <w:left w:val="nil"/>
              <w:bottom w:val="single" w:sz="4" w:space="0" w:color="0070C0"/>
              <w:right w:val="single" w:sz="4" w:space="0" w:color="0070C0"/>
            </w:tcBorders>
            <w:shd w:val="clear" w:color="auto" w:fill="auto"/>
            <w:noWrap/>
            <w:vAlign w:val="center"/>
            <w:hideMark/>
          </w:tcPr>
          <w:p w14:paraId="1EDA5593"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w:t>
            </w:r>
          </w:p>
        </w:tc>
        <w:tc>
          <w:tcPr>
            <w:tcW w:w="318" w:type="pct"/>
            <w:tcBorders>
              <w:top w:val="nil"/>
              <w:left w:val="nil"/>
              <w:bottom w:val="single" w:sz="4" w:space="0" w:color="0070C0"/>
              <w:right w:val="single" w:sz="4" w:space="0" w:color="0070C0"/>
            </w:tcBorders>
            <w:shd w:val="clear" w:color="auto" w:fill="auto"/>
            <w:noWrap/>
            <w:vAlign w:val="center"/>
            <w:hideMark/>
          </w:tcPr>
          <w:p w14:paraId="3911B9A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37</w:t>
            </w:r>
          </w:p>
        </w:tc>
        <w:tc>
          <w:tcPr>
            <w:tcW w:w="463" w:type="pct"/>
            <w:tcBorders>
              <w:top w:val="nil"/>
              <w:left w:val="nil"/>
              <w:bottom w:val="single" w:sz="4" w:space="0" w:color="0070C0"/>
              <w:right w:val="single" w:sz="4" w:space="0" w:color="0070C0"/>
            </w:tcBorders>
            <w:shd w:val="clear" w:color="auto" w:fill="auto"/>
            <w:noWrap/>
            <w:vAlign w:val="center"/>
            <w:hideMark/>
          </w:tcPr>
          <w:p w14:paraId="780B051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w:t>
            </w:r>
          </w:p>
        </w:tc>
      </w:tr>
      <w:tr w:rsidR="00A400FF" w:rsidRPr="005372BA" w14:paraId="2E9B03FB"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9186FA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Oui</w:t>
            </w:r>
          </w:p>
        </w:tc>
        <w:tc>
          <w:tcPr>
            <w:tcW w:w="318" w:type="pct"/>
            <w:tcBorders>
              <w:top w:val="nil"/>
              <w:left w:val="nil"/>
              <w:bottom w:val="single" w:sz="4" w:space="0" w:color="0070C0"/>
              <w:right w:val="single" w:sz="4" w:space="0" w:color="0070C0"/>
            </w:tcBorders>
            <w:shd w:val="clear" w:color="auto" w:fill="auto"/>
            <w:noWrap/>
            <w:vAlign w:val="center"/>
            <w:hideMark/>
          </w:tcPr>
          <w:p w14:paraId="197FD5A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243</w:t>
            </w:r>
          </w:p>
        </w:tc>
        <w:tc>
          <w:tcPr>
            <w:tcW w:w="467" w:type="pct"/>
            <w:tcBorders>
              <w:top w:val="nil"/>
              <w:left w:val="nil"/>
              <w:bottom w:val="single" w:sz="4" w:space="0" w:color="0070C0"/>
              <w:right w:val="single" w:sz="4" w:space="0" w:color="0070C0"/>
            </w:tcBorders>
            <w:shd w:val="clear" w:color="auto" w:fill="auto"/>
            <w:noWrap/>
            <w:vAlign w:val="center"/>
            <w:hideMark/>
          </w:tcPr>
          <w:p w14:paraId="583315F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96%</w:t>
            </w:r>
          </w:p>
        </w:tc>
        <w:tc>
          <w:tcPr>
            <w:tcW w:w="318" w:type="pct"/>
            <w:tcBorders>
              <w:top w:val="nil"/>
              <w:left w:val="nil"/>
              <w:bottom w:val="single" w:sz="4" w:space="0" w:color="0070C0"/>
              <w:right w:val="single" w:sz="4" w:space="0" w:color="0070C0"/>
            </w:tcBorders>
            <w:shd w:val="clear" w:color="auto" w:fill="auto"/>
            <w:noWrap/>
            <w:vAlign w:val="center"/>
            <w:hideMark/>
          </w:tcPr>
          <w:p w14:paraId="3ADDAEF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160</w:t>
            </w:r>
          </w:p>
        </w:tc>
        <w:tc>
          <w:tcPr>
            <w:tcW w:w="466" w:type="pct"/>
            <w:tcBorders>
              <w:top w:val="nil"/>
              <w:left w:val="nil"/>
              <w:bottom w:val="single" w:sz="4" w:space="0" w:color="0070C0"/>
              <w:right w:val="single" w:sz="4" w:space="0" w:color="0070C0"/>
            </w:tcBorders>
            <w:shd w:val="clear" w:color="auto" w:fill="auto"/>
            <w:noWrap/>
            <w:vAlign w:val="center"/>
            <w:hideMark/>
          </w:tcPr>
          <w:p w14:paraId="658D3F1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86%</w:t>
            </w:r>
          </w:p>
        </w:tc>
        <w:tc>
          <w:tcPr>
            <w:tcW w:w="326" w:type="pct"/>
            <w:tcBorders>
              <w:top w:val="nil"/>
              <w:left w:val="nil"/>
              <w:bottom w:val="single" w:sz="4" w:space="0" w:color="0070C0"/>
              <w:right w:val="single" w:sz="4" w:space="0" w:color="0070C0"/>
            </w:tcBorders>
            <w:shd w:val="clear" w:color="auto" w:fill="auto"/>
            <w:noWrap/>
            <w:vAlign w:val="center"/>
            <w:hideMark/>
          </w:tcPr>
          <w:p w14:paraId="76B9887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119</w:t>
            </w:r>
          </w:p>
        </w:tc>
        <w:tc>
          <w:tcPr>
            <w:tcW w:w="478" w:type="pct"/>
            <w:tcBorders>
              <w:top w:val="nil"/>
              <w:left w:val="nil"/>
              <w:bottom w:val="single" w:sz="4" w:space="0" w:color="0070C0"/>
              <w:right w:val="single" w:sz="4" w:space="0" w:color="0070C0"/>
            </w:tcBorders>
            <w:shd w:val="clear" w:color="auto" w:fill="auto"/>
            <w:noWrap/>
            <w:vAlign w:val="center"/>
            <w:hideMark/>
          </w:tcPr>
          <w:p w14:paraId="46B5A29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84%</w:t>
            </w:r>
          </w:p>
        </w:tc>
        <w:tc>
          <w:tcPr>
            <w:tcW w:w="326" w:type="pct"/>
            <w:tcBorders>
              <w:top w:val="nil"/>
              <w:left w:val="nil"/>
              <w:bottom w:val="single" w:sz="4" w:space="0" w:color="0070C0"/>
              <w:right w:val="single" w:sz="4" w:space="0" w:color="0070C0"/>
            </w:tcBorders>
            <w:shd w:val="clear" w:color="auto" w:fill="auto"/>
            <w:noWrap/>
            <w:vAlign w:val="center"/>
            <w:hideMark/>
          </w:tcPr>
          <w:p w14:paraId="412B2E7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284</w:t>
            </w:r>
          </w:p>
        </w:tc>
        <w:tc>
          <w:tcPr>
            <w:tcW w:w="478" w:type="pct"/>
            <w:tcBorders>
              <w:top w:val="nil"/>
              <w:left w:val="nil"/>
              <w:bottom w:val="single" w:sz="4" w:space="0" w:color="0070C0"/>
              <w:right w:val="single" w:sz="4" w:space="0" w:color="0070C0"/>
            </w:tcBorders>
            <w:shd w:val="clear" w:color="auto" w:fill="auto"/>
            <w:noWrap/>
            <w:vAlign w:val="center"/>
            <w:hideMark/>
          </w:tcPr>
          <w:p w14:paraId="30A3044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95%</w:t>
            </w:r>
          </w:p>
        </w:tc>
        <w:tc>
          <w:tcPr>
            <w:tcW w:w="318" w:type="pct"/>
            <w:tcBorders>
              <w:top w:val="nil"/>
              <w:left w:val="nil"/>
              <w:bottom w:val="single" w:sz="4" w:space="0" w:color="0070C0"/>
              <w:right w:val="single" w:sz="4" w:space="0" w:color="0070C0"/>
            </w:tcBorders>
            <w:shd w:val="clear" w:color="auto" w:fill="auto"/>
            <w:noWrap/>
            <w:vAlign w:val="center"/>
            <w:hideMark/>
          </w:tcPr>
          <w:p w14:paraId="78E8826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403</w:t>
            </w:r>
          </w:p>
        </w:tc>
        <w:tc>
          <w:tcPr>
            <w:tcW w:w="463" w:type="pct"/>
            <w:tcBorders>
              <w:top w:val="nil"/>
              <w:left w:val="nil"/>
              <w:bottom w:val="single" w:sz="4" w:space="0" w:color="0070C0"/>
              <w:right w:val="single" w:sz="4" w:space="0" w:color="0070C0"/>
            </w:tcBorders>
            <w:shd w:val="clear" w:color="auto" w:fill="auto"/>
            <w:noWrap/>
            <w:vAlign w:val="center"/>
            <w:hideMark/>
          </w:tcPr>
          <w:p w14:paraId="0ADF2BA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92%</w:t>
            </w:r>
          </w:p>
        </w:tc>
      </w:tr>
      <w:tr w:rsidR="00A400FF" w:rsidRPr="005372BA" w14:paraId="45CCEBCA"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000000" w:fill="D9E1F2"/>
            <w:noWrap/>
            <w:vAlign w:val="center"/>
            <w:hideMark/>
          </w:tcPr>
          <w:p w14:paraId="0BF48B4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 xml:space="preserve">Total </w:t>
            </w:r>
          </w:p>
        </w:tc>
        <w:tc>
          <w:tcPr>
            <w:tcW w:w="318" w:type="pct"/>
            <w:tcBorders>
              <w:top w:val="nil"/>
              <w:left w:val="nil"/>
              <w:bottom w:val="single" w:sz="4" w:space="0" w:color="0070C0"/>
              <w:right w:val="single" w:sz="4" w:space="0" w:color="0070C0"/>
            </w:tcBorders>
            <w:shd w:val="clear" w:color="000000" w:fill="D9E1F2"/>
            <w:noWrap/>
            <w:vAlign w:val="center"/>
            <w:hideMark/>
          </w:tcPr>
          <w:p w14:paraId="3F8EF2A3"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254</w:t>
            </w:r>
          </w:p>
        </w:tc>
        <w:tc>
          <w:tcPr>
            <w:tcW w:w="467" w:type="pct"/>
            <w:tcBorders>
              <w:top w:val="nil"/>
              <w:left w:val="nil"/>
              <w:bottom w:val="single" w:sz="4" w:space="0" w:color="0070C0"/>
              <w:right w:val="single" w:sz="4" w:space="0" w:color="0070C0"/>
            </w:tcBorders>
            <w:shd w:val="clear" w:color="000000" w:fill="D9E1F2"/>
            <w:noWrap/>
            <w:vAlign w:val="center"/>
            <w:hideMark/>
          </w:tcPr>
          <w:p w14:paraId="69FF2FA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7DD31A36"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186</w:t>
            </w:r>
          </w:p>
        </w:tc>
        <w:tc>
          <w:tcPr>
            <w:tcW w:w="466" w:type="pct"/>
            <w:tcBorders>
              <w:top w:val="nil"/>
              <w:left w:val="nil"/>
              <w:bottom w:val="single" w:sz="4" w:space="0" w:color="0070C0"/>
              <w:right w:val="single" w:sz="4" w:space="0" w:color="0070C0"/>
            </w:tcBorders>
            <w:shd w:val="clear" w:color="000000" w:fill="D9E1F2"/>
            <w:noWrap/>
            <w:vAlign w:val="center"/>
            <w:hideMark/>
          </w:tcPr>
          <w:p w14:paraId="26A18AF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1E5C2D2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141</w:t>
            </w:r>
          </w:p>
        </w:tc>
        <w:tc>
          <w:tcPr>
            <w:tcW w:w="478" w:type="pct"/>
            <w:tcBorders>
              <w:top w:val="nil"/>
              <w:left w:val="nil"/>
              <w:bottom w:val="single" w:sz="4" w:space="0" w:color="0070C0"/>
              <w:right w:val="single" w:sz="4" w:space="0" w:color="0070C0"/>
            </w:tcBorders>
            <w:shd w:val="clear" w:color="000000" w:fill="D9E1F2"/>
            <w:noWrap/>
            <w:vAlign w:val="center"/>
            <w:hideMark/>
          </w:tcPr>
          <w:p w14:paraId="513DC0D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491C8386"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299</w:t>
            </w:r>
          </w:p>
        </w:tc>
        <w:tc>
          <w:tcPr>
            <w:tcW w:w="478" w:type="pct"/>
            <w:tcBorders>
              <w:top w:val="nil"/>
              <w:left w:val="nil"/>
              <w:bottom w:val="single" w:sz="4" w:space="0" w:color="0070C0"/>
              <w:right w:val="single" w:sz="4" w:space="0" w:color="0070C0"/>
            </w:tcBorders>
            <w:shd w:val="clear" w:color="000000" w:fill="D9E1F2"/>
            <w:noWrap/>
            <w:vAlign w:val="center"/>
            <w:hideMark/>
          </w:tcPr>
          <w:p w14:paraId="65EE9015"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0C1A5EC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440</w:t>
            </w:r>
          </w:p>
        </w:tc>
        <w:tc>
          <w:tcPr>
            <w:tcW w:w="463" w:type="pct"/>
            <w:tcBorders>
              <w:top w:val="nil"/>
              <w:left w:val="nil"/>
              <w:bottom w:val="single" w:sz="4" w:space="0" w:color="0070C0"/>
              <w:right w:val="single" w:sz="4" w:space="0" w:color="0070C0"/>
            </w:tcBorders>
            <w:shd w:val="clear" w:color="000000" w:fill="D9E1F2"/>
            <w:noWrap/>
            <w:vAlign w:val="center"/>
            <w:hideMark/>
          </w:tcPr>
          <w:p w14:paraId="6AB1E5E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r>
      <w:tr w:rsidR="00A400FF" w:rsidRPr="005372BA" w14:paraId="4AF416F1" w14:textId="77777777" w:rsidTr="0020372B">
        <w:trPr>
          <w:trHeight w:val="227"/>
        </w:trPr>
        <w:tc>
          <w:tcPr>
            <w:tcW w:w="5000" w:type="pct"/>
            <w:gridSpan w:val="11"/>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617E724E" w14:textId="77777777" w:rsidR="00A400FF" w:rsidRPr="005372BA" w:rsidRDefault="00A400FF" w:rsidP="0020372B">
            <w:pPr>
              <w:keepNext/>
              <w:spacing w:before="0" w:after="0" w:line="240" w:lineRule="auto"/>
              <w:jc w:val="left"/>
              <w:rPr>
                <w:rFonts w:eastAsia="Times New Roman" w:cs="Calibri"/>
                <w:b/>
                <w:bCs/>
                <w:color w:val="000000"/>
                <w:sz w:val="20"/>
                <w:szCs w:val="20"/>
              </w:rPr>
            </w:pPr>
            <w:r>
              <w:rPr>
                <w:rFonts w:eastAsia="Times New Roman" w:cs="Calibri"/>
                <w:b/>
                <w:bCs/>
                <w:color w:val="000000"/>
                <w:sz w:val="20"/>
                <w:szCs w:val="20"/>
              </w:rPr>
              <w:t>C</w:t>
            </w:r>
            <w:r w:rsidRPr="005372BA">
              <w:rPr>
                <w:rFonts w:eastAsia="Times New Roman" w:cs="Calibri"/>
                <w:b/>
                <w:bCs/>
                <w:color w:val="000000"/>
                <w:sz w:val="20"/>
                <w:szCs w:val="20"/>
              </w:rPr>
              <w:t>onfiance entre les communautés et les ACP</w:t>
            </w:r>
          </w:p>
        </w:tc>
      </w:tr>
      <w:tr w:rsidR="00A400FF" w:rsidRPr="005372BA" w14:paraId="09103717"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1120F80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Non</w:t>
            </w:r>
          </w:p>
        </w:tc>
        <w:tc>
          <w:tcPr>
            <w:tcW w:w="318" w:type="pct"/>
            <w:tcBorders>
              <w:top w:val="nil"/>
              <w:left w:val="nil"/>
              <w:bottom w:val="single" w:sz="4" w:space="0" w:color="0070C0"/>
              <w:right w:val="single" w:sz="4" w:space="0" w:color="0070C0"/>
            </w:tcBorders>
            <w:shd w:val="clear" w:color="auto" w:fill="auto"/>
            <w:noWrap/>
            <w:vAlign w:val="center"/>
            <w:hideMark/>
          </w:tcPr>
          <w:p w14:paraId="38D76A7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24</w:t>
            </w:r>
          </w:p>
        </w:tc>
        <w:tc>
          <w:tcPr>
            <w:tcW w:w="467" w:type="pct"/>
            <w:tcBorders>
              <w:top w:val="nil"/>
              <w:left w:val="nil"/>
              <w:bottom w:val="single" w:sz="4" w:space="0" w:color="0070C0"/>
              <w:right w:val="single" w:sz="4" w:space="0" w:color="0070C0"/>
            </w:tcBorders>
            <w:shd w:val="clear" w:color="auto" w:fill="auto"/>
            <w:noWrap/>
            <w:vAlign w:val="center"/>
            <w:hideMark/>
          </w:tcPr>
          <w:p w14:paraId="3B1C869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w:t>
            </w:r>
          </w:p>
        </w:tc>
        <w:tc>
          <w:tcPr>
            <w:tcW w:w="318" w:type="pct"/>
            <w:tcBorders>
              <w:top w:val="nil"/>
              <w:left w:val="nil"/>
              <w:bottom w:val="single" w:sz="4" w:space="0" w:color="0070C0"/>
              <w:right w:val="single" w:sz="4" w:space="0" w:color="0070C0"/>
            </w:tcBorders>
            <w:shd w:val="clear" w:color="auto" w:fill="auto"/>
            <w:noWrap/>
            <w:vAlign w:val="center"/>
            <w:hideMark/>
          </w:tcPr>
          <w:p w14:paraId="50631DA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35</w:t>
            </w:r>
          </w:p>
        </w:tc>
        <w:tc>
          <w:tcPr>
            <w:tcW w:w="466" w:type="pct"/>
            <w:tcBorders>
              <w:top w:val="nil"/>
              <w:left w:val="nil"/>
              <w:bottom w:val="single" w:sz="4" w:space="0" w:color="0070C0"/>
              <w:right w:val="single" w:sz="4" w:space="0" w:color="0070C0"/>
            </w:tcBorders>
            <w:shd w:val="clear" w:color="auto" w:fill="auto"/>
            <w:noWrap/>
            <w:vAlign w:val="center"/>
            <w:hideMark/>
          </w:tcPr>
          <w:p w14:paraId="0575534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19%</w:t>
            </w:r>
          </w:p>
        </w:tc>
        <w:tc>
          <w:tcPr>
            <w:tcW w:w="326" w:type="pct"/>
            <w:tcBorders>
              <w:top w:val="nil"/>
              <w:left w:val="nil"/>
              <w:bottom w:val="single" w:sz="4" w:space="0" w:color="0070C0"/>
              <w:right w:val="single" w:sz="4" w:space="0" w:color="0070C0"/>
            </w:tcBorders>
            <w:shd w:val="clear" w:color="auto" w:fill="auto"/>
            <w:noWrap/>
            <w:vAlign w:val="center"/>
            <w:hideMark/>
          </w:tcPr>
          <w:p w14:paraId="0107B85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17</w:t>
            </w:r>
          </w:p>
        </w:tc>
        <w:tc>
          <w:tcPr>
            <w:tcW w:w="478" w:type="pct"/>
            <w:tcBorders>
              <w:top w:val="nil"/>
              <w:left w:val="nil"/>
              <w:bottom w:val="single" w:sz="4" w:space="0" w:color="0070C0"/>
              <w:right w:val="single" w:sz="4" w:space="0" w:color="0070C0"/>
            </w:tcBorders>
            <w:shd w:val="clear" w:color="auto" w:fill="auto"/>
            <w:noWrap/>
            <w:vAlign w:val="center"/>
            <w:hideMark/>
          </w:tcPr>
          <w:p w14:paraId="2036846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12%</w:t>
            </w:r>
          </w:p>
        </w:tc>
        <w:tc>
          <w:tcPr>
            <w:tcW w:w="326" w:type="pct"/>
            <w:tcBorders>
              <w:top w:val="nil"/>
              <w:left w:val="nil"/>
              <w:bottom w:val="single" w:sz="4" w:space="0" w:color="0070C0"/>
              <w:right w:val="single" w:sz="4" w:space="0" w:color="0070C0"/>
            </w:tcBorders>
            <w:shd w:val="clear" w:color="auto" w:fill="auto"/>
            <w:noWrap/>
            <w:vAlign w:val="center"/>
            <w:hideMark/>
          </w:tcPr>
          <w:p w14:paraId="6682CEE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42</w:t>
            </w:r>
          </w:p>
        </w:tc>
        <w:tc>
          <w:tcPr>
            <w:tcW w:w="478" w:type="pct"/>
            <w:tcBorders>
              <w:top w:val="nil"/>
              <w:left w:val="nil"/>
              <w:bottom w:val="single" w:sz="4" w:space="0" w:color="0070C0"/>
              <w:right w:val="single" w:sz="4" w:space="0" w:color="0070C0"/>
            </w:tcBorders>
            <w:shd w:val="clear" w:color="auto" w:fill="auto"/>
            <w:noWrap/>
            <w:vAlign w:val="center"/>
            <w:hideMark/>
          </w:tcPr>
          <w:p w14:paraId="4348EEBE"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w:t>
            </w:r>
          </w:p>
        </w:tc>
        <w:tc>
          <w:tcPr>
            <w:tcW w:w="318" w:type="pct"/>
            <w:tcBorders>
              <w:top w:val="nil"/>
              <w:left w:val="nil"/>
              <w:bottom w:val="single" w:sz="4" w:space="0" w:color="0070C0"/>
              <w:right w:val="single" w:sz="4" w:space="0" w:color="0070C0"/>
            </w:tcBorders>
            <w:shd w:val="clear" w:color="auto" w:fill="auto"/>
            <w:noWrap/>
            <w:vAlign w:val="center"/>
            <w:hideMark/>
          </w:tcPr>
          <w:p w14:paraId="5FFBB74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59</w:t>
            </w:r>
          </w:p>
        </w:tc>
        <w:tc>
          <w:tcPr>
            <w:tcW w:w="463" w:type="pct"/>
            <w:tcBorders>
              <w:top w:val="nil"/>
              <w:left w:val="nil"/>
              <w:bottom w:val="single" w:sz="4" w:space="0" w:color="0070C0"/>
              <w:right w:val="single" w:sz="4" w:space="0" w:color="0070C0"/>
            </w:tcBorders>
            <w:shd w:val="clear" w:color="auto" w:fill="auto"/>
            <w:noWrap/>
            <w:vAlign w:val="center"/>
            <w:hideMark/>
          </w:tcPr>
          <w:p w14:paraId="56B2165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13%</w:t>
            </w:r>
          </w:p>
        </w:tc>
      </w:tr>
      <w:tr w:rsidR="00A400FF" w:rsidRPr="005372BA" w14:paraId="2C6C5E97"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4E1E304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Oui</w:t>
            </w:r>
          </w:p>
        </w:tc>
        <w:tc>
          <w:tcPr>
            <w:tcW w:w="318" w:type="pct"/>
            <w:tcBorders>
              <w:top w:val="nil"/>
              <w:left w:val="nil"/>
              <w:bottom w:val="single" w:sz="4" w:space="0" w:color="0070C0"/>
              <w:right w:val="single" w:sz="4" w:space="0" w:color="0070C0"/>
            </w:tcBorders>
            <w:shd w:val="clear" w:color="auto" w:fill="auto"/>
            <w:noWrap/>
            <w:vAlign w:val="center"/>
            <w:hideMark/>
          </w:tcPr>
          <w:p w14:paraId="772E8268"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228</w:t>
            </w:r>
          </w:p>
        </w:tc>
        <w:tc>
          <w:tcPr>
            <w:tcW w:w="467" w:type="pct"/>
            <w:tcBorders>
              <w:top w:val="nil"/>
              <w:left w:val="nil"/>
              <w:bottom w:val="single" w:sz="4" w:space="0" w:color="0070C0"/>
              <w:right w:val="single" w:sz="4" w:space="0" w:color="0070C0"/>
            </w:tcBorders>
            <w:shd w:val="clear" w:color="auto" w:fill="auto"/>
            <w:noWrap/>
            <w:vAlign w:val="center"/>
            <w:hideMark/>
          </w:tcPr>
          <w:p w14:paraId="4E4DCA97"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90%</w:t>
            </w:r>
          </w:p>
        </w:tc>
        <w:tc>
          <w:tcPr>
            <w:tcW w:w="318" w:type="pct"/>
            <w:tcBorders>
              <w:top w:val="nil"/>
              <w:left w:val="nil"/>
              <w:bottom w:val="single" w:sz="4" w:space="0" w:color="0070C0"/>
              <w:right w:val="single" w:sz="4" w:space="0" w:color="0070C0"/>
            </w:tcBorders>
            <w:shd w:val="clear" w:color="auto" w:fill="auto"/>
            <w:noWrap/>
            <w:vAlign w:val="center"/>
            <w:hideMark/>
          </w:tcPr>
          <w:p w14:paraId="1961D19C"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148</w:t>
            </w:r>
          </w:p>
        </w:tc>
        <w:tc>
          <w:tcPr>
            <w:tcW w:w="466" w:type="pct"/>
            <w:tcBorders>
              <w:top w:val="nil"/>
              <w:left w:val="nil"/>
              <w:bottom w:val="single" w:sz="4" w:space="0" w:color="0070C0"/>
              <w:right w:val="single" w:sz="4" w:space="0" w:color="0070C0"/>
            </w:tcBorders>
            <w:shd w:val="clear" w:color="auto" w:fill="auto"/>
            <w:noWrap/>
            <w:vAlign w:val="center"/>
            <w:hideMark/>
          </w:tcPr>
          <w:p w14:paraId="58B2FD7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80%</w:t>
            </w:r>
          </w:p>
        </w:tc>
        <w:tc>
          <w:tcPr>
            <w:tcW w:w="326" w:type="pct"/>
            <w:tcBorders>
              <w:top w:val="nil"/>
              <w:left w:val="nil"/>
              <w:bottom w:val="single" w:sz="4" w:space="0" w:color="0070C0"/>
              <w:right w:val="single" w:sz="4" w:space="0" w:color="0070C0"/>
            </w:tcBorders>
            <w:shd w:val="clear" w:color="auto" w:fill="auto"/>
            <w:noWrap/>
            <w:vAlign w:val="center"/>
            <w:hideMark/>
          </w:tcPr>
          <w:p w14:paraId="65B306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121</w:t>
            </w:r>
          </w:p>
        </w:tc>
        <w:tc>
          <w:tcPr>
            <w:tcW w:w="478" w:type="pct"/>
            <w:tcBorders>
              <w:top w:val="nil"/>
              <w:left w:val="nil"/>
              <w:bottom w:val="single" w:sz="4" w:space="0" w:color="0070C0"/>
              <w:right w:val="single" w:sz="4" w:space="0" w:color="0070C0"/>
            </w:tcBorders>
            <w:shd w:val="clear" w:color="auto" w:fill="auto"/>
            <w:noWrap/>
            <w:vAlign w:val="center"/>
            <w:hideMark/>
          </w:tcPr>
          <w:p w14:paraId="20193D1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86%</w:t>
            </w:r>
          </w:p>
        </w:tc>
        <w:tc>
          <w:tcPr>
            <w:tcW w:w="326" w:type="pct"/>
            <w:tcBorders>
              <w:top w:val="nil"/>
              <w:left w:val="nil"/>
              <w:bottom w:val="single" w:sz="4" w:space="0" w:color="0070C0"/>
              <w:right w:val="single" w:sz="4" w:space="0" w:color="0070C0"/>
            </w:tcBorders>
            <w:shd w:val="clear" w:color="auto" w:fill="auto"/>
            <w:noWrap/>
            <w:vAlign w:val="center"/>
            <w:hideMark/>
          </w:tcPr>
          <w:p w14:paraId="0348976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255</w:t>
            </w:r>
          </w:p>
        </w:tc>
        <w:tc>
          <w:tcPr>
            <w:tcW w:w="478" w:type="pct"/>
            <w:tcBorders>
              <w:top w:val="nil"/>
              <w:left w:val="nil"/>
              <w:bottom w:val="single" w:sz="4" w:space="0" w:color="0070C0"/>
              <w:right w:val="single" w:sz="4" w:space="0" w:color="0070C0"/>
            </w:tcBorders>
            <w:shd w:val="clear" w:color="auto" w:fill="auto"/>
            <w:noWrap/>
            <w:vAlign w:val="center"/>
            <w:hideMark/>
          </w:tcPr>
          <w:p w14:paraId="12E54FA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022D1EC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376</w:t>
            </w:r>
          </w:p>
        </w:tc>
        <w:tc>
          <w:tcPr>
            <w:tcW w:w="463" w:type="pct"/>
            <w:tcBorders>
              <w:top w:val="nil"/>
              <w:left w:val="nil"/>
              <w:bottom w:val="single" w:sz="4" w:space="0" w:color="0070C0"/>
              <w:right w:val="single" w:sz="4" w:space="0" w:color="0070C0"/>
            </w:tcBorders>
            <w:shd w:val="clear" w:color="auto" w:fill="auto"/>
            <w:noWrap/>
            <w:vAlign w:val="center"/>
            <w:hideMark/>
          </w:tcPr>
          <w:p w14:paraId="1802546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85%</w:t>
            </w:r>
          </w:p>
        </w:tc>
      </w:tr>
      <w:tr w:rsidR="00A400FF" w:rsidRPr="005372BA" w14:paraId="770038E4"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475A4AA"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Ne sais pas</w:t>
            </w:r>
          </w:p>
        </w:tc>
        <w:tc>
          <w:tcPr>
            <w:tcW w:w="318" w:type="pct"/>
            <w:tcBorders>
              <w:top w:val="nil"/>
              <w:left w:val="nil"/>
              <w:bottom w:val="single" w:sz="4" w:space="0" w:color="0070C0"/>
              <w:right w:val="single" w:sz="4" w:space="0" w:color="0070C0"/>
            </w:tcBorders>
            <w:shd w:val="clear" w:color="auto" w:fill="auto"/>
            <w:noWrap/>
            <w:vAlign w:val="center"/>
            <w:hideMark/>
          </w:tcPr>
          <w:p w14:paraId="403AF77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467" w:type="pct"/>
            <w:tcBorders>
              <w:top w:val="nil"/>
              <w:left w:val="nil"/>
              <w:bottom w:val="single" w:sz="4" w:space="0" w:color="0070C0"/>
              <w:right w:val="single" w:sz="4" w:space="0" w:color="0070C0"/>
            </w:tcBorders>
            <w:shd w:val="clear" w:color="auto" w:fill="auto"/>
            <w:noWrap/>
            <w:vAlign w:val="center"/>
            <w:hideMark/>
          </w:tcPr>
          <w:p w14:paraId="31350ED7"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c>
          <w:tcPr>
            <w:tcW w:w="318" w:type="pct"/>
            <w:tcBorders>
              <w:top w:val="nil"/>
              <w:left w:val="nil"/>
              <w:bottom w:val="single" w:sz="4" w:space="0" w:color="0070C0"/>
              <w:right w:val="single" w:sz="4" w:space="0" w:color="0070C0"/>
            </w:tcBorders>
            <w:shd w:val="clear" w:color="auto" w:fill="auto"/>
            <w:noWrap/>
            <w:vAlign w:val="center"/>
            <w:hideMark/>
          </w:tcPr>
          <w:p w14:paraId="5B8709D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w:t>
            </w:r>
          </w:p>
        </w:tc>
        <w:tc>
          <w:tcPr>
            <w:tcW w:w="466" w:type="pct"/>
            <w:tcBorders>
              <w:top w:val="nil"/>
              <w:left w:val="nil"/>
              <w:bottom w:val="single" w:sz="4" w:space="0" w:color="0070C0"/>
              <w:right w:val="single" w:sz="4" w:space="0" w:color="0070C0"/>
            </w:tcBorders>
            <w:shd w:val="clear" w:color="auto" w:fill="auto"/>
            <w:noWrap/>
            <w:vAlign w:val="center"/>
            <w:hideMark/>
          </w:tcPr>
          <w:p w14:paraId="6690B493"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326" w:type="pct"/>
            <w:tcBorders>
              <w:top w:val="nil"/>
              <w:left w:val="nil"/>
              <w:bottom w:val="single" w:sz="4" w:space="0" w:color="0070C0"/>
              <w:right w:val="single" w:sz="4" w:space="0" w:color="0070C0"/>
            </w:tcBorders>
            <w:shd w:val="clear" w:color="auto" w:fill="auto"/>
            <w:noWrap/>
            <w:vAlign w:val="center"/>
            <w:hideMark/>
          </w:tcPr>
          <w:p w14:paraId="586C4BD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w:t>
            </w:r>
          </w:p>
        </w:tc>
        <w:tc>
          <w:tcPr>
            <w:tcW w:w="478" w:type="pct"/>
            <w:tcBorders>
              <w:top w:val="nil"/>
              <w:left w:val="nil"/>
              <w:bottom w:val="single" w:sz="4" w:space="0" w:color="0070C0"/>
              <w:right w:val="single" w:sz="4" w:space="0" w:color="0070C0"/>
            </w:tcBorders>
            <w:shd w:val="clear" w:color="auto" w:fill="auto"/>
            <w:noWrap/>
            <w:vAlign w:val="center"/>
            <w:hideMark/>
          </w:tcPr>
          <w:p w14:paraId="4DA621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326" w:type="pct"/>
            <w:tcBorders>
              <w:top w:val="nil"/>
              <w:left w:val="nil"/>
              <w:bottom w:val="single" w:sz="4" w:space="0" w:color="0070C0"/>
              <w:right w:val="single" w:sz="4" w:space="0" w:color="0070C0"/>
            </w:tcBorders>
            <w:shd w:val="clear" w:color="auto" w:fill="auto"/>
            <w:noWrap/>
            <w:vAlign w:val="center"/>
            <w:hideMark/>
          </w:tcPr>
          <w:p w14:paraId="796C16EE"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478" w:type="pct"/>
            <w:tcBorders>
              <w:top w:val="nil"/>
              <w:left w:val="nil"/>
              <w:bottom w:val="single" w:sz="4" w:space="0" w:color="0070C0"/>
              <w:right w:val="single" w:sz="4" w:space="0" w:color="0070C0"/>
            </w:tcBorders>
            <w:shd w:val="clear" w:color="auto" w:fill="auto"/>
            <w:noWrap/>
            <w:vAlign w:val="center"/>
            <w:hideMark/>
          </w:tcPr>
          <w:p w14:paraId="42B897A8"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c>
          <w:tcPr>
            <w:tcW w:w="318" w:type="pct"/>
            <w:tcBorders>
              <w:top w:val="nil"/>
              <w:left w:val="nil"/>
              <w:bottom w:val="single" w:sz="4" w:space="0" w:color="0070C0"/>
              <w:right w:val="single" w:sz="4" w:space="0" w:color="0070C0"/>
            </w:tcBorders>
            <w:shd w:val="clear" w:color="auto" w:fill="auto"/>
            <w:noWrap/>
            <w:vAlign w:val="center"/>
            <w:hideMark/>
          </w:tcPr>
          <w:p w14:paraId="3E9ED0C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w:t>
            </w:r>
          </w:p>
        </w:tc>
        <w:tc>
          <w:tcPr>
            <w:tcW w:w="463" w:type="pct"/>
            <w:tcBorders>
              <w:top w:val="nil"/>
              <w:left w:val="nil"/>
              <w:bottom w:val="single" w:sz="4" w:space="0" w:color="0070C0"/>
              <w:right w:val="single" w:sz="4" w:space="0" w:color="0070C0"/>
            </w:tcBorders>
            <w:shd w:val="clear" w:color="auto" w:fill="auto"/>
            <w:noWrap/>
            <w:vAlign w:val="center"/>
            <w:hideMark/>
          </w:tcPr>
          <w:p w14:paraId="6DBC972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r>
      <w:tr w:rsidR="00A400FF" w:rsidRPr="005372BA" w14:paraId="5AEE1F2C"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000000" w:fill="D9E1F2"/>
            <w:noWrap/>
            <w:vAlign w:val="center"/>
            <w:hideMark/>
          </w:tcPr>
          <w:p w14:paraId="5E936EC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 xml:space="preserve">Total </w:t>
            </w:r>
          </w:p>
        </w:tc>
        <w:tc>
          <w:tcPr>
            <w:tcW w:w="318" w:type="pct"/>
            <w:tcBorders>
              <w:top w:val="nil"/>
              <w:left w:val="nil"/>
              <w:bottom w:val="single" w:sz="4" w:space="0" w:color="0070C0"/>
              <w:right w:val="single" w:sz="4" w:space="0" w:color="0070C0"/>
            </w:tcBorders>
            <w:shd w:val="clear" w:color="000000" w:fill="D9E1F2"/>
            <w:noWrap/>
            <w:vAlign w:val="center"/>
            <w:hideMark/>
          </w:tcPr>
          <w:p w14:paraId="590E7E9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254</w:t>
            </w:r>
          </w:p>
        </w:tc>
        <w:tc>
          <w:tcPr>
            <w:tcW w:w="467" w:type="pct"/>
            <w:tcBorders>
              <w:top w:val="nil"/>
              <w:left w:val="nil"/>
              <w:bottom w:val="single" w:sz="4" w:space="0" w:color="0070C0"/>
              <w:right w:val="single" w:sz="4" w:space="0" w:color="0070C0"/>
            </w:tcBorders>
            <w:shd w:val="clear" w:color="000000" w:fill="D9E1F2"/>
            <w:noWrap/>
            <w:vAlign w:val="center"/>
            <w:hideMark/>
          </w:tcPr>
          <w:p w14:paraId="1C1A878D"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40CEDDE7"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186</w:t>
            </w:r>
          </w:p>
        </w:tc>
        <w:tc>
          <w:tcPr>
            <w:tcW w:w="466" w:type="pct"/>
            <w:tcBorders>
              <w:top w:val="nil"/>
              <w:left w:val="nil"/>
              <w:bottom w:val="single" w:sz="4" w:space="0" w:color="0070C0"/>
              <w:right w:val="single" w:sz="4" w:space="0" w:color="0070C0"/>
            </w:tcBorders>
            <w:shd w:val="clear" w:color="000000" w:fill="D9E1F2"/>
            <w:noWrap/>
            <w:vAlign w:val="center"/>
            <w:hideMark/>
          </w:tcPr>
          <w:p w14:paraId="5B23AACD"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025C6A0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141</w:t>
            </w:r>
          </w:p>
        </w:tc>
        <w:tc>
          <w:tcPr>
            <w:tcW w:w="478" w:type="pct"/>
            <w:tcBorders>
              <w:top w:val="nil"/>
              <w:left w:val="nil"/>
              <w:bottom w:val="single" w:sz="4" w:space="0" w:color="0070C0"/>
              <w:right w:val="single" w:sz="4" w:space="0" w:color="0070C0"/>
            </w:tcBorders>
            <w:shd w:val="clear" w:color="000000" w:fill="D9E1F2"/>
            <w:noWrap/>
            <w:vAlign w:val="center"/>
            <w:hideMark/>
          </w:tcPr>
          <w:p w14:paraId="2E5CED3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3E05C3F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299</w:t>
            </w:r>
          </w:p>
        </w:tc>
        <w:tc>
          <w:tcPr>
            <w:tcW w:w="478" w:type="pct"/>
            <w:tcBorders>
              <w:top w:val="nil"/>
              <w:left w:val="nil"/>
              <w:bottom w:val="single" w:sz="4" w:space="0" w:color="0070C0"/>
              <w:right w:val="single" w:sz="4" w:space="0" w:color="0070C0"/>
            </w:tcBorders>
            <w:shd w:val="clear" w:color="000000" w:fill="D9E1F2"/>
            <w:noWrap/>
            <w:vAlign w:val="center"/>
            <w:hideMark/>
          </w:tcPr>
          <w:p w14:paraId="7E3C52F7"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6B47C550"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440</w:t>
            </w:r>
          </w:p>
        </w:tc>
        <w:tc>
          <w:tcPr>
            <w:tcW w:w="463" w:type="pct"/>
            <w:tcBorders>
              <w:top w:val="nil"/>
              <w:left w:val="nil"/>
              <w:bottom w:val="single" w:sz="4" w:space="0" w:color="0070C0"/>
              <w:right w:val="single" w:sz="4" w:space="0" w:color="0070C0"/>
            </w:tcBorders>
            <w:shd w:val="clear" w:color="000000" w:fill="D9E1F2"/>
            <w:noWrap/>
            <w:vAlign w:val="center"/>
            <w:hideMark/>
          </w:tcPr>
          <w:p w14:paraId="3B698A5F"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r>
    </w:tbl>
    <w:p w14:paraId="7C2ED1D1" w14:textId="77777777" w:rsidR="00A400FF" w:rsidRPr="005A7D22" w:rsidRDefault="00A400FF" w:rsidP="00A400FF">
      <w:pPr>
        <w:keepNext/>
        <w:spacing w:before="0" w:after="0" w:line="276" w:lineRule="auto"/>
        <w:rPr>
          <w:rFonts w:cs="Times New Roman"/>
          <w:bCs/>
          <w:i/>
          <w:iCs/>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2B344247" w14:textId="77777777" w:rsidR="00A400FF" w:rsidRDefault="00A400FF" w:rsidP="00A400FF">
      <w:pPr>
        <w:tabs>
          <w:tab w:val="left" w:pos="2763"/>
        </w:tabs>
        <w:spacing w:line="276" w:lineRule="auto"/>
        <w:jc w:val="left"/>
      </w:pPr>
    </w:p>
    <w:p w14:paraId="0EDF614F" w14:textId="7CEE218A" w:rsidR="00A400FF" w:rsidRPr="00C62F7E" w:rsidRDefault="00A400FF" w:rsidP="00A400FF">
      <w:pPr>
        <w:pStyle w:val="Lgende"/>
        <w:keepNext/>
        <w:rPr>
          <w:color w:val="000000" w:themeColor="text1"/>
          <w:sz w:val="20"/>
        </w:rPr>
      </w:pPr>
      <w:bookmarkStart w:id="1028" w:name="_Toc92262118"/>
      <w:r>
        <w:t xml:space="preserve">Tableau </w:t>
      </w:r>
      <w:r>
        <w:fldChar w:fldCharType="begin"/>
      </w:r>
      <w:r>
        <w:instrText>SEQ Tableau \* ARABIC</w:instrText>
      </w:r>
      <w:r>
        <w:fldChar w:fldCharType="separate"/>
      </w:r>
      <w:r w:rsidR="0046716F">
        <w:rPr>
          <w:noProof/>
        </w:rPr>
        <w:t>16</w:t>
      </w:r>
      <w:r>
        <w:fldChar w:fldCharType="end"/>
      </w:r>
      <w:r>
        <w:t xml:space="preserve"> : </w:t>
      </w:r>
      <w:r w:rsidRPr="00D1347E">
        <w:t>Niveau de confiance des répondants par rapport aux FDS</w:t>
      </w:r>
      <w:bookmarkEnd w:id="1028"/>
    </w:p>
    <w:tbl>
      <w:tblPr>
        <w:tblW w:w="5000" w:type="pct"/>
        <w:tblLook w:val="04A0" w:firstRow="1" w:lastRow="0" w:firstColumn="1" w:lastColumn="0" w:noHBand="0" w:noVBand="1"/>
      </w:tblPr>
      <w:tblGrid>
        <w:gridCol w:w="2440"/>
        <w:gridCol w:w="553"/>
        <w:gridCol w:w="759"/>
        <w:gridCol w:w="553"/>
        <w:gridCol w:w="759"/>
        <w:gridCol w:w="553"/>
        <w:gridCol w:w="788"/>
        <w:gridCol w:w="553"/>
        <w:gridCol w:w="792"/>
        <w:gridCol w:w="553"/>
        <w:gridCol w:w="759"/>
      </w:tblGrid>
      <w:tr w:rsidR="00A400FF" w:rsidRPr="00883A75" w14:paraId="692ACBDC" w14:textId="77777777" w:rsidTr="0020372B">
        <w:trPr>
          <w:trHeight w:val="283"/>
          <w:tblHeader/>
        </w:trPr>
        <w:tc>
          <w:tcPr>
            <w:tcW w:w="1346"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2AA4BA10" w14:textId="77777777" w:rsidR="00A400FF" w:rsidRPr="00883A75" w:rsidRDefault="00A400FF" w:rsidP="0020372B">
            <w:pPr>
              <w:keepNext/>
              <w:spacing w:before="0" w:after="0" w:line="240" w:lineRule="auto"/>
              <w:jc w:val="center"/>
              <w:rPr>
                <w:rFonts w:ascii="Calibri" w:eastAsia="Times New Roman" w:hAnsi="Calibri" w:cs="Calibri"/>
                <w:color w:val="000000"/>
              </w:rPr>
            </w:pPr>
            <w:r w:rsidRPr="00883A75">
              <w:rPr>
                <w:rFonts w:ascii="Calibri" w:eastAsia="Times New Roman" w:hAnsi="Calibri" w:cs="Calibri"/>
                <w:color w:val="000000"/>
              </w:rPr>
              <w:t> </w:t>
            </w:r>
          </w:p>
        </w:tc>
        <w:tc>
          <w:tcPr>
            <w:tcW w:w="1448"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C82D1A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Sexe du répondant</w:t>
            </w:r>
          </w:p>
        </w:tc>
        <w:tc>
          <w:tcPr>
            <w:tcW w:w="1481"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1B1C55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Tranche d'âge</w:t>
            </w:r>
          </w:p>
        </w:tc>
        <w:tc>
          <w:tcPr>
            <w:tcW w:w="724"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6BEC73F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 xml:space="preserve">Total </w:t>
            </w:r>
          </w:p>
        </w:tc>
      </w:tr>
      <w:tr w:rsidR="00A400FF" w:rsidRPr="00883A75" w14:paraId="0AC11D8A" w14:textId="77777777" w:rsidTr="0020372B">
        <w:trPr>
          <w:trHeight w:val="283"/>
          <w:tblHeader/>
        </w:trPr>
        <w:tc>
          <w:tcPr>
            <w:tcW w:w="1346" w:type="pct"/>
            <w:vMerge/>
            <w:tcBorders>
              <w:top w:val="single" w:sz="4" w:space="0" w:color="0070C0"/>
              <w:left w:val="single" w:sz="4" w:space="0" w:color="0070C0"/>
              <w:bottom w:val="single" w:sz="4" w:space="0" w:color="0070C0"/>
              <w:right w:val="single" w:sz="4" w:space="0" w:color="0070C0"/>
            </w:tcBorders>
            <w:vAlign w:val="center"/>
            <w:hideMark/>
          </w:tcPr>
          <w:p w14:paraId="29DBA90A" w14:textId="77777777" w:rsidR="00A400FF" w:rsidRPr="00883A75" w:rsidRDefault="00A400FF" w:rsidP="0020372B">
            <w:pPr>
              <w:keepNext/>
              <w:spacing w:before="0" w:after="0" w:line="240" w:lineRule="auto"/>
              <w:jc w:val="left"/>
              <w:rPr>
                <w:rFonts w:ascii="Calibri" w:eastAsia="Times New Roman" w:hAnsi="Calibri" w:cs="Calibri"/>
                <w:color w:val="000000"/>
              </w:rPr>
            </w:pPr>
          </w:p>
        </w:tc>
        <w:tc>
          <w:tcPr>
            <w:tcW w:w="72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6AF0B09C"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Féminin</w:t>
            </w:r>
          </w:p>
        </w:tc>
        <w:tc>
          <w:tcPr>
            <w:tcW w:w="72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EB4318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Masculin</w:t>
            </w:r>
          </w:p>
        </w:tc>
        <w:tc>
          <w:tcPr>
            <w:tcW w:w="740"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1DDE92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 xml:space="preserve">18-34 ans </w:t>
            </w:r>
          </w:p>
        </w:tc>
        <w:tc>
          <w:tcPr>
            <w:tcW w:w="74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9476652"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35ans et +</w:t>
            </w:r>
          </w:p>
        </w:tc>
        <w:tc>
          <w:tcPr>
            <w:tcW w:w="724" w:type="pct"/>
            <w:gridSpan w:val="2"/>
            <w:vMerge/>
            <w:tcBorders>
              <w:top w:val="single" w:sz="4" w:space="0" w:color="0070C0"/>
              <w:left w:val="single" w:sz="4" w:space="0" w:color="0070C0"/>
              <w:bottom w:val="single" w:sz="4" w:space="0" w:color="0070C0"/>
              <w:right w:val="single" w:sz="4" w:space="0" w:color="0070C0"/>
            </w:tcBorders>
            <w:vAlign w:val="center"/>
            <w:hideMark/>
          </w:tcPr>
          <w:p w14:paraId="532D451C" w14:textId="77777777" w:rsidR="00A400FF" w:rsidRPr="00883A75" w:rsidRDefault="00A400FF" w:rsidP="0020372B">
            <w:pPr>
              <w:keepNext/>
              <w:spacing w:before="0" w:after="0" w:line="240" w:lineRule="auto"/>
              <w:jc w:val="left"/>
              <w:rPr>
                <w:rFonts w:eastAsia="Times New Roman" w:cs="Calibri"/>
                <w:b/>
                <w:bCs/>
                <w:color w:val="FFFFFF"/>
                <w:sz w:val="20"/>
                <w:szCs w:val="20"/>
              </w:rPr>
            </w:pPr>
          </w:p>
        </w:tc>
      </w:tr>
      <w:tr w:rsidR="00A400FF" w:rsidRPr="00883A75" w14:paraId="0C1A6ECA" w14:textId="77777777" w:rsidTr="0020372B">
        <w:trPr>
          <w:trHeight w:val="283"/>
          <w:tblHeader/>
        </w:trPr>
        <w:tc>
          <w:tcPr>
            <w:tcW w:w="1346" w:type="pct"/>
            <w:vMerge/>
            <w:tcBorders>
              <w:top w:val="single" w:sz="4" w:space="0" w:color="0070C0"/>
              <w:left w:val="single" w:sz="4" w:space="0" w:color="0070C0"/>
              <w:bottom w:val="single" w:sz="4" w:space="0" w:color="0070C0"/>
              <w:right w:val="single" w:sz="4" w:space="0" w:color="0070C0"/>
            </w:tcBorders>
            <w:vAlign w:val="center"/>
            <w:hideMark/>
          </w:tcPr>
          <w:p w14:paraId="2D96ECDC" w14:textId="77777777" w:rsidR="00A400FF" w:rsidRPr="00883A75" w:rsidRDefault="00A400FF" w:rsidP="0020372B">
            <w:pPr>
              <w:keepNext/>
              <w:spacing w:before="0" w:after="0" w:line="240" w:lineRule="auto"/>
              <w:jc w:val="left"/>
              <w:rPr>
                <w:rFonts w:ascii="Calibri" w:eastAsia="Times New Roman" w:hAnsi="Calibri" w:cs="Calibri"/>
                <w:color w:val="000000"/>
              </w:rPr>
            </w:pPr>
          </w:p>
        </w:tc>
        <w:tc>
          <w:tcPr>
            <w:tcW w:w="305" w:type="pct"/>
            <w:tcBorders>
              <w:top w:val="nil"/>
              <w:left w:val="nil"/>
              <w:bottom w:val="single" w:sz="4" w:space="0" w:color="0070C0"/>
              <w:right w:val="single" w:sz="4" w:space="0" w:color="0070C0"/>
            </w:tcBorders>
            <w:shd w:val="clear" w:color="000000" w:fill="00B0F0"/>
            <w:noWrap/>
            <w:vAlign w:val="center"/>
            <w:hideMark/>
          </w:tcPr>
          <w:p w14:paraId="1209707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0F2C5615"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2EF16BB"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1947D921"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74618E9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35" w:type="pct"/>
            <w:tcBorders>
              <w:top w:val="nil"/>
              <w:left w:val="nil"/>
              <w:bottom w:val="single" w:sz="4" w:space="0" w:color="0070C0"/>
              <w:right w:val="single" w:sz="4" w:space="0" w:color="0070C0"/>
            </w:tcBorders>
            <w:shd w:val="clear" w:color="000000" w:fill="00B0F0"/>
            <w:noWrap/>
            <w:vAlign w:val="center"/>
            <w:hideMark/>
          </w:tcPr>
          <w:p w14:paraId="5DA9361D"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F8DD3F9"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36" w:type="pct"/>
            <w:tcBorders>
              <w:top w:val="nil"/>
              <w:left w:val="nil"/>
              <w:bottom w:val="single" w:sz="4" w:space="0" w:color="0070C0"/>
              <w:right w:val="single" w:sz="4" w:space="0" w:color="0070C0"/>
            </w:tcBorders>
            <w:shd w:val="clear" w:color="000000" w:fill="00B0F0"/>
            <w:noWrap/>
            <w:vAlign w:val="center"/>
            <w:hideMark/>
          </w:tcPr>
          <w:p w14:paraId="3F09BE57"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73D7E2FF"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3C2C5735"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r>
      <w:tr w:rsidR="00A400FF" w:rsidRPr="00883A75" w14:paraId="57F3DC42"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6D18E963"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Entièrement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6FBE6908"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152</w:t>
            </w:r>
          </w:p>
        </w:tc>
        <w:tc>
          <w:tcPr>
            <w:tcW w:w="419" w:type="pct"/>
            <w:tcBorders>
              <w:top w:val="nil"/>
              <w:left w:val="nil"/>
              <w:bottom w:val="single" w:sz="4" w:space="0" w:color="0070C0"/>
              <w:right w:val="single" w:sz="4" w:space="0" w:color="0070C0"/>
            </w:tcBorders>
            <w:shd w:val="clear" w:color="auto" w:fill="auto"/>
            <w:noWrap/>
            <w:vAlign w:val="center"/>
            <w:hideMark/>
          </w:tcPr>
          <w:p w14:paraId="76D051A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60%</w:t>
            </w:r>
          </w:p>
        </w:tc>
        <w:tc>
          <w:tcPr>
            <w:tcW w:w="305" w:type="pct"/>
            <w:tcBorders>
              <w:top w:val="nil"/>
              <w:left w:val="nil"/>
              <w:bottom w:val="single" w:sz="4" w:space="0" w:color="0070C0"/>
              <w:right w:val="single" w:sz="4" w:space="0" w:color="0070C0"/>
            </w:tcBorders>
            <w:shd w:val="clear" w:color="auto" w:fill="auto"/>
            <w:noWrap/>
            <w:vAlign w:val="center"/>
            <w:hideMark/>
          </w:tcPr>
          <w:p w14:paraId="30D9C70B"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91</w:t>
            </w:r>
          </w:p>
        </w:tc>
        <w:tc>
          <w:tcPr>
            <w:tcW w:w="419" w:type="pct"/>
            <w:tcBorders>
              <w:top w:val="nil"/>
              <w:left w:val="nil"/>
              <w:bottom w:val="single" w:sz="4" w:space="0" w:color="0070C0"/>
              <w:right w:val="single" w:sz="4" w:space="0" w:color="0070C0"/>
            </w:tcBorders>
            <w:shd w:val="clear" w:color="auto" w:fill="auto"/>
            <w:noWrap/>
            <w:vAlign w:val="center"/>
            <w:hideMark/>
          </w:tcPr>
          <w:p w14:paraId="2DB5B43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49%</w:t>
            </w:r>
          </w:p>
        </w:tc>
        <w:tc>
          <w:tcPr>
            <w:tcW w:w="305" w:type="pct"/>
            <w:tcBorders>
              <w:top w:val="nil"/>
              <w:left w:val="nil"/>
              <w:bottom w:val="single" w:sz="4" w:space="0" w:color="0070C0"/>
              <w:right w:val="single" w:sz="4" w:space="0" w:color="0070C0"/>
            </w:tcBorders>
            <w:shd w:val="clear" w:color="auto" w:fill="auto"/>
            <w:noWrap/>
            <w:vAlign w:val="center"/>
            <w:hideMark/>
          </w:tcPr>
          <w:p w14:paraId="2ECF2C7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80</w:t>
            </w:r>
          </w:p>
        </w:tc>
        <w:tc>
          <w:tcPr>
            <w:tcW w:w="435" w:type="pct"/>
            <w:tcBorders>
              <w:top w:val="nil"/>
              <w:left w:val="nil"/>
              <w:bottom w:val="single" w:sz="4" w:space="0" w:color="0070C0"/>
              <w:right w:val="single" w:sz="4" w:space="0" w:color="0070C0"/>
            </w:tcBorders>
            <w:shd w:val="clear" w:color="auto" w:fill="auto"/>
            <w:noWrap/>
            <w:vAlign w:val="center"/>
            <w:hideMark/>
          </w:tcPr>
          <w:p w14:paraId="5CE9E1E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57%</w:t>
            </w:r>
          </w:p>
        </w:tc>
        <w:tc>
          <w:tcPr>
            <w:tcW w:w="305" w:type="pct"/>
            <w:tcBorders>
              <w:top w:val="nil"/>
              <w:left w:val="nil"/>
              <w:bottom w:val="single" w:sz="4" w:space="0" w:color="0070C0"/>
              <w:right w:val="single" w:sz="4" w:space="0" w:color="0070C0"/>
            </w:tcBorders>
            <w:shd w:val="clear" w:color="auto" w:fill="auto"/>
            <w:noWrap/>
            <w:vAlign w:val="center"/>
            <w:hideMark/>
          </w:tcPr>
          <w:p w14:paraId="138CC48C"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163</w:t>
            </w:r>
          </w:p>
        </w:tc>
        <w:tc>
          <w:tcPr>
            <w:tcW w:w="436" w:type="pct"/>
            <w:tcBorders>
              <w:top w:val="nil"/>
              <w:left w:val="nil"/>
              <w:bottom w:val="single" w:sz="4" w:space="0" w:color="0070C0"/>
              <w:right w:val="single" w:sz="4" w:space="0" w:color="0070C0"/>
            </w:tcBorders>
            <w:shd w:val="clear" w:color="auto" w:fill="auto"/>
            <w:noWrap/>
            <w:vAlign w:val="center"/>
            <w:hideMark/>
          </w:tcPr>
          <w:p w14:paraId="1A5CEFF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55%</w:t>
            </w:r>
          </w:p>
        </w:tc>
        <w:tc>
          <w:tcPr>
            <w:tcW w:w="305" w:type="pct"/>
            <w:tcBorders>
              <w:top w:val="nil"/>
              <w:left w:val="nil"/>
              <w:bottom w:val="single" w:sz="4" w:space="0" w:color="0070C0"/>
              <w:right w:val="single" w:sz="4" w:space="0" w:color="0070C0"/>
            </w:tcBorders>
            <w:shd w:val="clear" w:color="auto" w:fill="auto"/>
            <w:noWrap/>
            <w:vAlign w:val="center"/>
            <w:hideMark/>
          </w:tcPr>
          <w:p w14:paraId="7A6EF76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243</w:t>
            </w:r>
          </w:p>
        </w:tc>
        <w:tc>
          <w:tcPr>
            <w:tcW w:w="419" w:type="pct"/>
            <w:tcBorders>
              <w:top w:val="nil"/>
              <w:left w:val="nil"/>
              <w:bottom w:val="single" w:sz="4" w:space="0" w:color="0070C0"/>
              <w:right w:val="single" w:sz="4" w:space="0" w:color="0070C0"/>
            </w:tcBorders>
            <w:shd w:val="clear" w:color="auto" w:fill="auto"/>
            <w:noWrap/>
            <w:vAlign w:val="center"/>
            <w:hideMark/>
          </w:tcPr>
          <w:p w14:paraId="0E15088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55%</w:t>
            </w:r>
          </w:p>
        </w:tc>
      </w:tr>
      <w:tr w:rsidR="00A400FF" w:rsidRPr="00883A75" w14:paraId="1168464A"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4155ADF0"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Pas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0EFEA17D"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w:t>
            </w:r>
          </w:p>
        </w:tc>
        <w:tc>
          <w:tcPr>
            <w:tcW w:w="419" w:type="pct"/>
            <w:tcBorders>
              <w:top w:val="nil"/>
              <w:left w:val="nil"/>
              <w:bottom w:val="single" w:sz="4" w:space="0" w:color="0070C0"/>
              <w:right w:val="single" w:sz="4" w:space="0" w:color="0070C0"/>
            </w:tcBorders>
            <w:shd w:val="clear" w:color="auto" w:fill="auto"/>
            <w:noWrap/>
            <w:vAlign w:val="center"/>
            <w:hideMark/>
          </w:tcPr>
          <w:p w14:paraId="5985EEF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w:t>
            </w:r>
          </w:p>
        </w:tc>
        <w:tc>
          <w:tcPr>
            <w:tcW w:w="305" w:type="pct"/>
            <w:tcBorders>
              <w:top w:val="nil"/>
              <w:left w:val="nil"/>
              <w:bottom w:val="single" w:sz="4" w:space="0" w:color="0070C0"/>
              <w:right w:val="single" w:sz="4" w:space="0" w:color="0070C0"/>
            </w:tcBorders>
            <w:shd w:val="clear" w:color="auto" w:fill="auto"/>
            <w:noWrap/>
            <w:vAlign w:val="center"/>
            <w:hideMark/>
          </w:tcPr>
          <w:p w14:paraId="022D0FD7"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w:t>
            </w:r>
          </w:p>
        </w:tc>
        <w:tc>
          <w:tcPr>
            <w:tcW w:w="419" w:type="pct"/>
            <w:tcBorders>
              <w:top w:val="nil"/>
              <w:left w:val="nil"/>
              <w:bottom w:val="single" w:sz="4" w:space="0" w:color="0070C0"/>
              <w:right w:val="single" w:sz="4" w:space="0" w:color="0070C0"/>
            </w:tcBorders>
            <w:shd w:val="clear" w:color="auto" w:fill="auto"/>
            <w:noWrap/>
            <w:vAlign w:val="center"/>
            <w:hideMark/>
          </w:tcPr>
          <w:p w14:paraId="15C54EA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w:t>
            </w:r>
          </w:p>
        </w:tc>
        <w:tc>
          <w:tcPr>
            <w:tcW w:w="305" w:type="pct"/>
            <w:tcBorders>
              <w:top w:val="nil"/>
              <w:left w:val="nil"/>
              <w:bottom w:val="single" w:sz="4" w:space="0" w:color="0070C0"/>
              <w:right w:val="single" w:sz="4" w:space="0" w:color="0070C0"/>
            </w:tcBorders>
            <w:shd w:val="clear" w:color="auto" w:fill="auto"/>
            <w:noWrap/>
            <w:vAlign w:val="center"/>
            <w:hideMark/>
          </w:tcPr>
          <w:p w14:paraId="4D66075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w:t>
            </w:r>
          </w:p>
        </w:tc>
        <w:tc>
          <w:tcPr>
            <w:tcW w:w="435" w:type="pct"/>
            <w:tcBorders>
              <w:top w:val="nil"/>
              <w:left w:val="nil"/>
              <w:bottom w:val="single" w:sz="4" w:space="0" w:color="0070C0"/>
              <w:right w:val="single" w:sz="4" w:space="0" w:color="0070C0"/>
            </w:tcBorders>
            <w:shd w:val="clear" w:color="auto" w:fill="auto"/>
            <w:noWrap/>
            <w:vAlign w:val="center"/>
            <w:hideMark/>
          </w:tcPr>
          <w:p w14:paraId="5E34CD27"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w:t>
            </w:r>
          </w:p>
        </w:tc>
        <w:tc>
          <w:tcPr>
            <w:tcW w:w="305" w:type="pct"/>
            <w:tcBorders>
              <w:top w:val="nil"/>
              <w:left w:val="nil"/>
              <w:bottom w:val="single" w:sz="4" w:space="0" w:color="0070C0"/>
              <w:right w:val="single" w:sz="4" w:space="0" w:color="0070C0"/>
            </w:tcBorders>
            <w:shd w:val="clear" w:color="auto" w:fill="auto"/>
            <w:noWrap/>
            <w:vAlign w:val="center"/>
            <w:hideMark/>
          </w:tcPr>
          <w:p w14:paraId="2AAF399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10</w:t>
            </w:r>
          </w:p>
        </w:tc>
        <w:tc>
          <w:tcPr>
            <w:tcW w:w="436" w:type="pct"/>
            <w:tcBorders>
              <w:top w:val="nil"/>
              <w:left w:val="nil"/>
              <w:bottom w:val="single" w:sz="4" w:space="0" w:color="0070C0"/>
              <w:right w:val="single" w:sz="4" w:space="0" w:color="0070C0"/>
            </w:tcBorders>
            <w:shd w:val="clear" w:color="auto" w:fill="auto"/>
            <w:noWrap/>
            <w:vAlign w:val="center"/>
            <w:hideMark/>
          </w:tcPr>
          <w:p w14:paraId="1F42442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w:t>
            </w:r>
          </w:p>
        </w:tc>
        <w:tc>
          <w:tcPr>
            <w:tcW w:w="305" w:type="pct"/>
            <w:tcBorders>
              <w:top w:val="nil"/>
              <w:left w:val="nil"/>
              <w:bottom w:val="single" w:sz="4" w:space="0" w:color="0070C0"/>
              <w:right w:val="single" w:sz="4" w:space="0" w:color="0070C0"/>
            </w:tcBorders>
            <w:shd w:val="clear" w:color="auto" w:fill="auto"/>
            <w:noWrap/>
            <w:vAlign w:val="center"/>
            <w:hideMark/>
          </w:tcPr>
          <w:p w14:paraId="4C3E741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12</w:t>
            </w:r>
          </w:p>
        </w:tc>
        <w:tc>
          <w:tcPr>
            <w:tcW w:w="419" w:type="pct"/>
            <w:tcBorders>
              <w:top w:val="nil"/>
              <w:left w:val="nil"/>
              <w:bottom w:val="single" w:sz="4" w:space="0" w:color="0070C0"/>
              <w:right w:val="single" w:sz="4" w:space="0" w:color="0070C0"/>
            </w:tcBorders>
            <w:shd w:val="clear" w:color="auto" w:fill="auto"/>
            <w:noWrap/>
            <w:vAlign w:val="center"/>
            <w:hideMark/>
          </w:tcPr>
          <w:p w14:paraId="12F9BA2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w:t>
            </w:r>
          </w:p>
        </w:tc>
      </w:tr>
      <w:tr w:rsidR="00A400FF" w:rsidRPr="00883A75" w14:paraId="447C55EF"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685D349C"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Peu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5AB8398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98</w:t>
            </w:r>
          </w:p>
        </w:tc>
        <w:tc>
          <w:tcPr>
            <w:tcW w:w="419" w:type="pct"/>
            <w:tcBorders>
              <w:top w:val="nil"/>
              <w:left w:val="nil"/>
              <w:bottom w:val="single" w:sz="4" w:space="0" w:color="0070C0"/>
              <w:right w:val="single" w:sz="4" w:space="0" w:color="0070C0"/>
            </w:tcBorders>
            <w:shd w:val="clear" w:color="auto" w:fill="auto"/>
            <w:noWrap/>
            <w:vAlign w:val="center"/>
            <w:hideMark/>
          </w:tcPr>
          <w:p w14:paraId="68850A93"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39%</w:t>
            </w:r>
          </w:p>
        </w:tc>
        <w:tc>
          <w:tcPr>
            <w:tcW w:w="305" w:type="pct"/>
            <w:tcBorders>
              <w:top w:val="nil"/>
              <w:left w:val="nil"/>
              <w:bottom w:val="single" w:sz="4" w:space="0" w:color="0070C0"/>
              <w:right w:val="single" w:sz="4" w:space="0" w:color="0070C0"/>
            </w:tcBorders>
            <w:shd w:val="clear" w:color="auto" w:fill="auto"/>
            <w:noWrap/>
            <w:vAlign w:val="center"/>
            <w:hideMark/>
          </w:tcPr>
          <w:p w14:paraId="52F38B42"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87</w:t>
            </w:r>
          </w:p>
        </w:tc>
        <w:tc>
          <w:tcPr>
            <w:tcW w:w="419" w:type="pct"/>
            <w:tcBorders>
              <w:top w:val="nil"/>
              <w:left w:val="nil"/>
              <w:bottom w:val="single" w:sz="4" w:space="0" w:color="0070C0"/>
              <w:right w:val="single" w:sz="4" w:space="0" w:color="0070C0"/>
            </w:tcBorders>
            <w:shd w:val="clear" w:color="auto" w:fill="auto"/>
            <w:noWrap/>
            <w:vAlign w:val="center"/>
            <w:hideMark/>
          </w:tcPr>
          <w:p w14:paraId="6432455B"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47%</w:t>
            </w:r>
          </w:p>
        </w:tc>
        <w:tc>
          <w:tcPr>
            <w:tcW w:w="305" w:type="pct"/>
            <w:tcBorders>
              <w:top w:val="nil"/>
              <w:left w:val="nil"/>
              <w:bottom w:val="single" w:sz="4" w:space="0" w:color="0070C0"/>
              <w:right w:val="single" w:sz="4" w:space="0" w:color="0070C0"/>
            </w:tcBorders>
            <w:shd w:val="clear" w:color="auto" w:fill="auto"/>
            <w:noWrap/>
            <w:vAlign w:val="center"/>
            <w:hideMark/>
          </w:tcPr>
          <w:p w14:paraId="779BA0D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59</w:t>
            </w:r>
          </w:p>
        </w:tc>
        <w:tc>
          <w:tcPr>
            <w:tcW w:w="435" w:type="pct"/>
            <w:tcBorders>
              <w:top w:val="nil"/>
              <w:left w:val="nil"/>
              <w:bottom w:val="single" w:sz="4" w:space="0" w:color="0070C0"/>
              <w:right w:val="single" w:sz="4" w:space="0" w:color="0070C0"/>
            </w:tcBorders>
            <w:shd w:val="clear" w:color="auto" w:fill="auto"/>
            <w:noWrap/>
            <w:vAlign w:val="center"/>
            <w:hideMark/>
          </w:tcPr>
          <w:p w14:paraId="2876C182"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c>
          <w:tcPr>
            <w:tcW w:w="305" w:type="pct"/>
            <w:tcBorders>
              <w:top w:val="nil"/>
              <w:left w:val="nil"/>
              <w:bottom w:val="single" w:sz="4" w:space="0" w:color="0070C0"/>
              <w:right w:val="single" w:sz="4" w:space="0" w:color="0070C0"/>
            </w:tcBorders>
            <w:shd w:val="clear" w:color="auto" w:fill="auto"/>
            <w:noWrap/>
            <w:vAlign w:val="center"/>
            <w:hideMark/>
          </w:tcPr>
          <w:p w14:paraId="6EEA6AD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126</w:t>
            </w:r>
          </w:p>
        </w:tc>
        <w:tc>
          <w:tcPr>
            <w:tcW w:w="436" w:type="pct"/>
            <w:tcBorders>
              <w:top w:val="nil"/>
              <w:left w:val="nil"/>
              <w:bottom w:val="single" w:sz="4" w:space="0" w:color="0070C0"/>
              <w:right w:val="single" w:sz="4" w:space="0" w:color="0070C0"/>
            </w:tcBorders>
            <w:shd w:val="clear" w:color="auto" w:fill="auto"/>
            <w:noWrap/>
            <w:vAlign w:val="center"/>
            <w:hideMark/>
          </w:tcPr>
          <w:p w14:paraId="3212D444"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c>
          <w:tcPr>
            <w:tcW w:w="305" w:type="pct"/>
            <w:tcBorders>
              <w:top w:val="nil"/>
              <w:left w:val="nil"/>
              <w:bottom w:val="single" w:sz="4" w:space="0" w:color="0070C0"/>
              <w:right w:val="single" w:sz="4" w:space="0" w:color="0070C0"/>
            </w:tcBorders>
            <w:shd w:val="clear" w:color="auto" w:fill="auto"/>
            <w:noWrap/>
            <w:vAlign w:val="center"/>
            <w:hideMark/>
          </w:tcPr>
          <w:p w14:paraId="1765F3D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185</w:t>
            </w:r>
          </w:p>
        </w:tc>
        <w:tc>
          <w:tcPr>
            <w:tcW w:w="419" w:type="pct"/>
            <w:tcBorders>
              <w:top w:val="nil"/>
              <w:left w:val="nil"/>
              <w:bottom w:val="single" w:sz="4" w:space="0" w:color="0070C0"/>
              <w:right w:val="single" w:sz="4" w:space="0" w:color="0070C0"/>
            </w:tcBorders>
            <w:shd w:val="clear" w:color="auto" w:fill="auto"/>
            <w:noWrap/>
            <w:vAlign w:val="center"/>
            <w:hideMark/>
          </w:tcPr>
          <w:p w14:paraId="3D496A3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r>
      <w:tr w:rsidR="00A400FF" w:rsidRPr="00883A75" w14:paraId="50310BD6"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000000" w:fill="D9E1F2"/>
            <w:noWrap/>
            <w:vAlign w:val="center"/>
            <w:hideMark/>
          </w:tcPr>
          <w:p w14:paraId="70F9942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 xml:space="preserve">Total </w:t>
            </w:r>
          </w:p>
        </w:tc>
        <w:tc>
          <w:tcPr>
            <w:tcW w:w="305" w:type="pct"/>
            <w:tcBorders>
              <w:top w:val="nil"/>
              <w:left w:val="nil"/>
              <w:bottom w:val="single" w:sz="4" w:space="0" w:color="0070C0"/>
              <w:right w:val="single" w:sz="4" w:space="0" w:color="0070C0"/>
            </w:tcBorders>
            <w:shd w:val="clear" w:color="000000" w:fill="D9E1F2"/>
            <w:noWrap/>
            <w:vAlign w:val="center"/>
            <w:hideMark/>
          </w:tcPr>
          <w:p w14:paraId="31B49BD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254</w:t>
            </w:r>
          </w:p>
        </w:tc>
        <w:tc>
          <w:tcPr>
            <w:tcW w:w="419" w:type="pct"/>
            <w:tcBorders>
              <w:top w:val="nil"/>
              <w:left w:val="nil"/>
              <w:bottom w:val="single" w:sz="4" w:space="0" w:color="0070C0"/>
              <w:right w:val="single" w:sz="4" w:space="0" w:color="0070C0"/>
            </w:tcBorders>
            <w:shd w:val="clear" w:color="000000" w:fill="D9E1F2"/>
            <w:noWrap/>
            <w:vAlign w:val="center"/>
            <w:hideMark/>
          </w:tcPr>
          <w:p w14:paraId="78CA751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9FA0CB5"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186</w:t>
            </w:r>
          </w:p>
        </w:tc>
        <w:tc>
          <w:tcPr>
            <w:tcW w:w="419" w:type="pct"/>
            <w:tcBorders>
              <w:top w:val="nil"/>
              <w:left w:val="nil"/>
              <w:bottom w:val="single" w:sz="4" w:space="0" w:color="0070C0"/>
              <w:right w:val="single" w:sz="4" w:space="0" w:color="0070C0"/>
            </w:tcBorders>
            <w:shd w:val="clear" w:color="000000" w:fill="D9E1F2"/>
            <w:noWrap/>
            <w:vAlign w:val="center"/>
            <w:hideMark/>
          </w:tcPr>
          <w:p w14:paraId="58C63539"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6F4B1C2"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141</w:t>
            </w:r>
          </w:p>
        </w:tc>
        <w:tc>
          <w:tcPr>
            <w:tcW w:w="435" w:type="pct"/>
            <w:tcBorders>
              <w:top w:val="nil"/>
              <w:left w:val="nil"/>
              <w:bottom w:val="single" w:sz="4" w:space="0" w:color="0070C0"/>
              <w:right w:val="single" w:sz="4" w:space="0" w:color="0070C0"/>
            </w:tcBorders>
            <w:shd w:val="clear" w:color="000000" w:fill="D9E1F2"/>
            <w:noWrap/>
            <w:vAlign w:val="center"/>
            <w:hideMark/>
          </w:tcPr>
          <w:p w14:paraId="34544874"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206C4FFA"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299</w:t>
            </w:r>
          </w:p>
        </w:tc>
        <w:tc>
          <w:tcPr>
            <w:tcW w:w="436" w:type="pct"/>
            <w:tcBorders>
              <w:top w:val="nil"/>
              <w:left w:val="nil"/>
              <w:bottom w:val="single" w:sz="4" w:space="0" w:color="0070C0"/>
              <w:right w:val="single" w:sz="4" w:space="0" w:color="0070C0"/>
            </w:tcBorders>
            <w:shd w:val="clear" w:color="000000" w:fill="D9E1F2"/>
            <w:noWrap/>
            <w:vAlign w:val="center"/>
            <w:hideMark/>
          </w:tcPr>
          <w:p w14:paraId="7644E862"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C93EB24"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440</w:t>
            </w:r>
          </w:p>
        </w:tc>
        <w:tc>
          <w:tcPr>
            <w:tcW w:w="419" w:type="pct"/>
            <w:tcBorders>
              <w:top w:val="nil"/>
              <w:left w:val="nil"/>
              <w:bottom w:val="single" w:sz="4" w:space="0" w:color="0070C0"/>
              <w:right w:val="single" w:sz="4" w:space="0" w:color="0070C0"/>
            </w:tcBorders>
            <w:shd w:val="clear" w:color="000000" w:fill="D9E1F2"/>
            <w:noWrap/>
            <w:vAlign w:val="center"/>
            <w:hideMark/>
          </w:tcPr>
          <w:p w14:paraId="61B0A183"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r>
    </w:tbl>
    <w:p w14:paraId="049FE424"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4FFF2ED" w14:textId="77777777" w:rsidR="00A400FF" w:rsidRDefault="00A400FF" w:rsidP="00A400FF">
      <w:pPr>
        <w:widowControl w:val="0"/>
        <w:tabs>
          <w:tab w:val="left" w:pos="2763"/>
        </w:tabs>
        <w:spacing w:before="0" w:line="276" w:lineRule="auto"/>
        <w:jc w:val="left"/>
      </w:pPr>
    </w:p>
    <w:p w14:paraId="6A172A43" w14:textId="752551EE" w:rsidR="00A400FF" w:rsidRPr="00C62F7E" w:rsidRDefault="00A400FF" w:rsidP="00A400FF">
      <w:pPr>
        <w:pStyle w:val="Lgende"/>
        <w:keepNext/>
        <w:rPr>
          <w:color w:val="000000" w:themeColor="text1"/>
        </w:rPr>
      </w:pPr>
      <w:bookmarkStart w:id="1029" w:name="_Toc92262119"/>
      <w:r>
        <w:t xml:space="preserve">Tableau </w:t>
      </w:r>
      <w:r>
        <w:fldChar w:fldCharType="begin"/>
      </w:r>
      <w:r>
        <w:instrText>SEQ Tableau \* ARABIC</w:instrText>
      </w:r>
      <w:r>
        <w:fldChar w:fldCharType="separate"/>
      </w:r>
      <w:r w:rsidR="0046716F">
        <w:rPr>
          <w:noProof/>
        </w:rPr>
        <w:t>17</w:t>
      </w:r>
      <w:r>
        <w:fldChar w:fldCharType="end"/>
      </w:r>
      <w:r>
        <w:t xml:space="preserve"> : Niveau de c</w:t>
      </w:r>
      <w:r w:rsidRPr="0058627F">
        <w:t xml:space="preserve">onnaissance des droits humains par </w:t>
      </w:r>
      <w:r>
        <w:t>les bénéficiaires directs</w:t>
      </w:r>
      <w:bookmarkEnd w:id="1029"/>
    </w:p>
    <w:tbl>
      <w:tblPr>
        <w:tblW w:w="5000" w:type="pct"/>
        <w:tblLook w:val="04A0" w:firstRow="1" w:lastRow="0" w:firstColumn="1" w:lastColumn="0" w:noHBand="0" w:noVBand="1"/>
      </w:tblPr>
      <w:tblGrid>
        <w:gridCol w:w="78"/>
        <w:gridCol w:w="1664"/>
        <w:gridCol w:w="724"/>
        <w:gridCol w:w="796"/>
        <w:gridCol w:w="593"/>
        <w:gridCol w:w="796"/>
        <w:gridCol w:w="607"/>
        <w:gridCol w:w="809"/>
        <w:gridCol w:w="739"/>
        <w:gridCol w:w="809"/>
        <w:gridCol w:w="693"/>
        <w:gridCol w:w="754"/>
      </w:tblGrid>
      <w:tr w:rsidR="00A400FF" w:rsidRPr="00C35053" w14:paraId="04AE4F3F" w14:textId="77777777" w:rsidTr="0020372B">
        <w:trPr>
          <w:gridBefore w:val="1"/>
          <w:trHeight w:val="170"/>
          <w:tblHeader/>
        </w:trPr>
        <w:tc>
          <w:tcPr>
            <w:tcW w:w="972"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5BD471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 </w:t>
            </w:r>
          </w:p>
        </w:tc>
        <w:tc>
          <w:tcPr>
            <w:tcW w:w="160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95C6B9D"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Sexe </w:t>
            </w:r>
          </w:p>
        </w:tc>
        <w:tc>
          <w:tcPr>
            <w:tcW w:w="1632"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99912F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Tranche d'âge</w:t>
            </w:r>
          </w:p>
        </w:tc>
        <w:tc>
          <w:tcPr>
            <w:tcW w:w="797"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07A7383"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Total </w:t>
            </w:r>
          </w:p>
        </w:tc>
      </w:tr>
      <w:tr w:rsidR="00A400FF" w:rsidRPr="002F1BBC" w14:paraId="7B341447" w14:textId="77777777" w:rsidTr="0020372B">
        <w:trPr>
          <w:gridBefore w:val="1"/>
          <w:trHeight w:val="170"/>
          <w:tblHeader/>
        </w:trPr>
        <w:tc>
          <w:tcPr>
            <w:tcW w:w="972" w:type="pct"/>
            <w:vMerge/>
            <w:tcBorders>
              <w:top w:val="single" w:sz="4" w:space="0" w:color="0070C0"/>
              <w:left w:val="single" w:sz="4" w:space="0" w:color="0070C0"/>
              <w:bottom w:val="single" w:sz="4" w:space="0" w:color="0070C0"/>
              <w:right w:val="single" w:sz="4" w:space="0" w:color="0070C0"/>
            </w:tcBorders>
            <w:vAlign w:val="center"/>
            <w:hideMark/>
          </w:tcPr>
          <w:p w14:paraId="2E22D185" w14:textId="77777777" w:rsidR="00A400FF" w:rsidRPr="00C35053" w:rsidRDefault="00A400FF" w:rsidP="0020372B">
            <w:pPr>
              <w:keepNext/>
              <w:spacing w:before="0" w:after="0" w:line="240" w:lineRule="auto"/>
              <w:jc w:val="left"/>
              <w:rPr>
                <w:rFonts w:eastAsia="Times New Roman" w:cs="Calibri"/>
                <w:color w:val="000000"/>
                <w:sz w:val="20"/>
                <w:szCs w:val="20"/>
              </w:rPr>
            </w:pPr>
          </w:p>
        </w:tc>
        <w:tc>
          <w:tcPr>
            <w:tcW w:w="840"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08CCA68C"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Féminin</w:t>
            </w:r>
          </w:p>
        </w:tc>
        <w:tc>
          <w:tcPr>
            <w:tcW w:w="759"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E1E0A6C"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Masculin</w:t>
            </w:r>
          </w:p>
        </w:tc>
        <w:tc>
          <w:tcPr>
            <w:tcW w:w="77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182A89A"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18-34 ans </w:t>
            </w:r>
          </w:p>
        </w:tc>
        <w:tc>
          <w:tcPr>
            <w:tcW w:w="85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C8AEDD8"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35ans et +</w:t>
            </w:r>
          </w:p>
        </w:tc>
        <w:tc>
          <w:tcPr>
            <w:tcW w:w="797" w:type="pct"/>
            <w:gridSpan w:val="2"/>
            <w:vMerge/>
            <w:tcBorders>
              <w:top w:val="single" w:sz="4" w:space="0" w:color="0070C0"/>
              <w:left w:val="single" w:sz="4" w:space="0" w:color="0070C0"/>
              <w:bottom w:val="single" w:sz="4" w:space="0" w:color="0070C0"/>
              <w:right w:val="single" w:sz="4" w:space="0" w:color="0070C0"/>
            </w:tcBorders>
            <w:vAlign w:val="center"/>
            <w:hideMark/>
          </w:tcPr>
          <w:p w14:paraId="18D33F67" w14:textId="77777777" w:rsidR="00A400FF" w:rsidRPr="00C35053" w:rsidRDefault="00A400FF" w:rsidP="0020372B">
            <w:pPr>
              <w:keepNext/>
              <w:spacing w:before="0" w:after="0" w:line="240" w:lineRule="auto"/>
              <w:jc w:val="left"/>
              <w:rPr>
                <w:rFonts w:eastAsia="Times New Roman" w:cs="Calibri"/>
                <w:b/>
                <w:bCs/>
                <w:color w:val="FFFFFF"/>
                <w:sz w:val="20"/>
                <w:szCs w:val="20"/>
              </w:rPr>
            </w:pPr>
          </w:p>
        </w:tc>
      </w:tr>
      <w:tr w:rsidR="00A400FF" w:rsidRPr="002F1BBC" w14:paraId="2F1823A9" w14:textId="77777777" w:rsidTr="0020372B">
        <w:trPr>
          <w:gridBefore w:val="1"/>
          <w:trHeight w:val="170"/>
          <w:tblHeader/>
        </w:trPr>
        <w:tc>
          <w:tcPr>
            <w:tcW w:w="972" w:type="pct"/>
            <w:vMerge/>
            <w:tcBorders>
              <w:top w:val="single" w:sz="4" w:space="0" w:color="0070C0"/>
              <w:left w:val="single" w:sz="4" w:space="0" w:color="0070C0"/>
              <w:bottom w:val="single" w:sz="4" w:space="0" w:color="0070C0"/>
              <w:right w:val="single" w:sz="4" w:space="0" w:color="0070C0"/>
            </w:tcBorders>
            <w:vAlign w:val="center"/>
            <w:hideMark/>
          </w:tcPr>
          <w:p w14:paraId="17FADB09" w14:textId="77777777" w:rsidR="00A400FF" w:rsidRPr="00C35053" w:rsidRDefault="00A400FF" w:rsidP="0020372B">
            <w:pPr>
              <w:keepNext/>
              <w:spacing w:before="0" w:after="0" w:line="240" w:lineRule="auto"/>
              <w:jc w:val="left"/>
              <w:rPr>
                <w:rFonts w:eastAsia="Times New Roman" w:cs="Calibri"/>
                <w:color w:val="000000"/>
                <w:sz w:val="20"/>
                <w:szCs w:val="20"/>
              </w:rPr>
            </w:pPr>
          </w:p>
        </w:tc>
        <w:tc>
          <w:tcPr>
            <w:tcW w:w="398" w:type="pct"/>
            <w:tcBorders>
              <w:top w:val="nil"/>
              <w:left w:val="nil"/>
              <w:bottom w:val="single" w:sz="4" w:space="0" w:color="0070C0"/>
              <w:right w:val="single" w:sz="4" w:space="0" w:color="0070C0"/>
            </w:tcBorders>
            <w:shd w:val="clear" w:color="000000" w:fill="00B0F0"/>
            <w:noWrap/>
            <w:vAlign w:val="center"/>
            <w:hideMark/>
          </w:tcPr>
          <w:p w14:paraId="0DB1A9D6"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42" w:type="pct"/>
            <w:tcBorders>
              <w:top w:val="nil"/>
              <w:left w:val="nil"/>
              <w:bottom w:val="single" w:sz="4" w:space="0" w:color="0070C0"/>
              <w:right w:val="single" w:sz="4" w:space="0" w:color="0070C0"/>
            </w:tcBorders>
            <w:shd w:val="clear" w:color="000000" w:fill="00B0F0"/>
            <w:noWrap/>
            <w:vAlign w:val="center"/>
            <w:hideMark/>
          </w:tcPr>
          <w:p w14:paraId="73CD27BE"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207A9C49"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41" w:type="pct"/>
            <w:tcBorders>
              <w:top w:val="nil"/>
              <w:left w:val="nil"/>
              <w:bottom w:val="single" w:sz="4" w:space="0" w:color="0070C0"/>
              <w:right w:val="single" w:sz="4" w:space="0" w:color="0070C0"/>
            </w:tcBorders>
            <w:shd w:val="clear" w:color="000000" w:fill="00B0F0"/>
            <w:noWrap/>
            <w:vAlign w:val="center"/>
            <w:hideMark/>
          </w:tcPr>
          <w:p w14:paraId="1ACA6487"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617F57D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50" w:type="pct"/>
            <w:tcBorders>
              <w:top w:val="nil"/>
              <w:left w:val="nil"/>
              <w:bottom w:val="single" w:sz="4" w:space="0" w:color="0070C0"/>
              <w:right w:val="single" w:sz="4" w:space="0" w:color="0070C0"/>
            </w:tcBorders>
            <w:shd w:val="clear" w:color="000000" w:fill="00B0F0"/>
            <w:noWrap/>
            <w:vAlign w:val="center"/>
            <w:hideMark/>
          </w:tcPr>
          <w:p w14:paraId="6D5AF521"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07" w:type="pct"/>
            <w:tcBorders>
              <w:top w:val="nil"/>
              <w:left w:val="nil"/>
              <w:bottom w:val="single" w:sz="4" w:space="0" w:color="0070C0"/>
              <w:right w:val="single" w:sz="4" w:space="0" w:color="0070C0"/>
            </w:tcBorders>
            <w:shd w:val="clear" w:color="000000" w:fill="00B0F0"/>
            <w:noWrap/>
            <w:vAlign w:val="center"/>
            <w:hideMark/>
          </w:tcPr>
          <w:p w14:paraId="557ADB23"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50" w:type="pct"/>
            <w:tcBorders>
              <w:top w:val="nil"/>
              <w:left w:val="nil"/>
              <w:bottom w:val="single" w:sz="4" w:space="0" w:color="0070C0"/>
              <w:right w:val="single" w:sz="4" w:space="0" w:color="0070C0"/>
            </w:tcBorders>
            <w:shd w:val="clear" w:color="000000" w:fill="00B0F0"/>
            <w:noWrap/>
            <w:vAlign w:val="center"/>
            <w:hideMark/>
          </w:tcPr>
          <w:p w14:paraId="6535BA22"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79" w:type="pct"/>
            <w:tcBorders>
              <w:top w:val="nil"/>
              <w:left w:val="nil"/>
              <w:bottom w:val="single" w:sz="4" w:space="0" w:color="0070C0"/>
              <w:right w:val="single" w:sz="4" w:space="0" w:color="0070C0"/>
            </w:tcBorders>
            <w:shd w:val="clear" w:color="000000" w:fill="00B0F0"/>
            <w:noWrap/>
            <w:vAlign w:val="center"/>
            <w:hideMark/>
          </w:tcPr>
          <w:p w14:paraId="5932A42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18" w:type="pct"/>
            <w:tcBorders>
              <w:top w:val="nil"/>
              <w:left w:val="nil"/>
              <w:bottom w:val="single" w:sz="4" w:space="0" w:color="0070C0"/>
              <w:right w:val="single" w:sz="4" w:space="0" w:color="0070C0"/>
            </w:tcBorders>
            <w:shd w:val="clear" w:color="000000" w:fill="00B0F0"/>
            <w:noWrap/>
            <w:vAlign w:val="center"/>
            <w:hideMark/>
          </w:tcPr>
          <w:p w14:paraId="06D18641"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r>
      <w:tr w:rsidR="00A400FF" w:rsidRPr="00C35053" w14:paraId="0AA92C44"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4C1CDF23"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sociaux</w:t>
            </w:r>
            <w:r w:rsidRPr="00C35053">
              <w:rPr>
                <w:rFonts w:eastAsia="Times New Roman" w:cs="Calibri"/>
                <w:color w:val="000000"/>
                <w:sz w:val="16"/>
                <w:szCs w:val="16"/>
              </w:rPr>
              <w:t xml:space="preserve"> </w:t>
            </w:r>
            <w:r w:rsidRPr="00524D7C">
              <w:rPr>
                <w:rFonts w:eastAsia="Times New Roman" w:cs="Calibri"/>
                <w:color w:val="000000"/>
                <w:sz w:val="18"/>
                <w:szCs w:val="18"/>
              </w:rPr>
              <w:t>(droit à la vie, l’intégrité physique, sécurité &amp; protection contre la violence, l’égalité, liberté de mouvement, de culte, etc.)</w:t>
            </w:r>
          </w:p>
        </w:tc>
      </w:tr>
      <w:tr w:rsidR="00A400FF" w:rsidRPr="002F1BBC" w14:paraId="4726CF63"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713EB6C"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723B42F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442" w:type="pct"/>
            <w:tcBorders>
              <w:top w:val="nil"/>
              <w:left w:val="nil"/>
              <w:bottom w:val="single" w:sz="4" w:space="0" w:color="0070C0"/>
              <w:right w:val="single" w:sz="4" w:space="0" w:color="0070C0"/>
            </w:tcBorders>
            <w:shd w:val="clear" w:color="auto" w:fill="auto"/>
            <w:noWrap/>
            <w:vAlign w:val="center"/>
            <w:hideMark/>
          </w:tcPr>
          <w:p w14:paraId="6685929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318" w:type="pct"/>
            <w:tcBorders>
              <w:top w:val="nil"/>
              <w:left w:val="nil"/>
              <w:bottom w:val="single" w:sz="4" w:space="0" w:color="0070C0"/>
              <w:right w:val="single" w:sz="4" w:space="0" w:color="0070C0"/>
            </w:tcBorders>
            <w:shd w:val="clear" w:color="auto" w:fill="auto"/>
            <w:noWrap/>
            <w:vAlign w:val="center"/>
            <w:hideMark/>
          </w:tcPr>
          <w:p w14:paraId="2D558AF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441" w:type="pct"/>
            <w:tcBorders>
              <w:top w:val="nil"/>
              <w:left w:val="nil"/>
              <w:bottom w:val="single" w:sz="4" w:space="0" w:color="0070C0"/>
              <w:right w:val="single" w:sz="4" w:space="0" w:color="0070C0"/>
            </w:tcBorders>
            <w:shd w:val="clear" w:color="auto" w:fill="auto"/>
            <w:noWrap/>
            <w:vAlign w:val="center"/>
            <w:hideMark/>
          </w:tcPr>
          <w:p w14:paraId="45C1E77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26" w:type="pct"/>
            <w:tcBorders>
              <w:top w:val="nil"/>
              <w:left w:val="nil"/>
              <w:bottom w:val="single" w:sz="4" w:space="0" w:color="0070C0"/>
              <w:right w:val="single" w:sz="4" w:space="0" w:color="0070C0"/>
            </w:tcBorders>
            <w:shd w:val="clear" w:color="auto" w:fill="auto"/>
            <w:noWrap/>
            <w:vAlign w:val="center"/>
            <w:hideMark/>
          </w:tcPr>
          <w:p w14:paraId="3AD9E57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c>
          <w:tcPr>
            <w:tcW w:w="450" w:type="pct"/>
            <w:tcBorders>
              <w:top w:val="nil"/>
              <w:left w:val="nil"/>
              <w:bottom w:val="single" w:sz="4" w:space="0" w:color="0070C0"/>
              <w:right w:val="single" w:sz="4" w:space="0" w:color="0070C0"/>
            </w:tcBorders>
            <w:shd w:val="clear" w:color="auto" w:fill="auto"/>
            <w:noWrap/>
            <w:vAlign w:val="center"/>
            <w:hideMark/>
          </w:tcPr>
          <w:p w14:paraId="5444341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w:t>
            </w:r>
          </w:p>
        </w:tc>
        <w:tc>
          <w:tcPr>
            <w:tcW w:w="407" w:type="pct"/>
            <w:tcBorders>
              <w:top w:val="nil"/>
              <w:left w:val="nil"/>
              <w:bottom w:val="single" w:sz="4" w:space="0" w:color="0070C0"/>
              <w:right w:val="single" w:sz="4" w:space="0" w:color="0070C0"/>
            </w:tcBorders>
            <w:shd w:val="clear" w:color="auto" w:fill="auto"/>
            <w:noWrap/>
            <w:vAlign w:val="center"/>
            <w:hideMark/>
          </w:tcPr>
          <w:p w14:paraId="578FED0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w:t>
            </w:r>
          </w:p>
        </w:tc>
        <w:tc>
          <w:tcPr>
            <w:tcW w:w="450" w:type="pct"/>
            <w:tcBorders>
              <w:top w:val="nil"/>
              <w:left w:val="nil"/>
              <w:bottom w:val="single" w:sz="4" w:space="0" w:color="0070C0"/>
              <w:right w:val="single" w:sz="4" w:space="0" w:color="0070C0"/>
            </w:tcBorders>
            <w:shd w:val="clear" w:color="auto" w:fill="auto"/>
            <w:noWrap/>
            <w:vAlign w:val="center"/>
            <w:hideMark/>
          </w:tcPr>
          <w:p w14:paraId="478479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79" w:type="pct"/>
            <w:tcBorders>
              <w:top w:val="nil"/>
              <w:left w:val="nil"/>
              <w:bottom w:val="single" w:sz="4" w:space="0" w:color="0070C0"/>
              <w:right w:val="single" w:sz="4" w:space="0" w:color="0070C0"/>
            </w:tcBorders>
            <w:shd w:val="clear" w:color="auto" w:fill="auto"/>
            <w:noWrap/>
            <w:vAlign w:val="center"/>
            <w:hideMark/>
          </w:tcPr>
          <w:p w14:paraId="4046AA9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w:t>
            </w:r>
          </w:p>
        </w:tc>
        <w:tc>
          <w:tcPr>
            <w:tcW w:w="418" w:type="pct"/>
            <w:tcBorders>
              <w:top w:val="nil"/>
              <w:left w:val="nil"/>
              <w:bottom w:val="single" w:sz="4" w:space="0" w:color="0070C0"/>
              <w:right w:val="single" w:sz="4" w:space="0" w:color="0070C0"/>
            </w:tcBorders>
            <w:shd w:val="clear" w:color="auto" w:fill="auto"/>
            <w:noWrap/>
            <w:vAlign w:val="center"/>
            <w:hideMark/>
          </w:tcPr>
          <w:p w14:paraId="720BBB8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w:t>
            </w:r>
          </w:p>
        </w:tc>
      </w:tr>
      <w:tr w:rsidR="00A400FF" w:rsidRPr="002F1BBC" w14:paraId="3661F975"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36EEE79A"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0637C23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239</w:t>
            </w:r>
          </w:p>
        </w:tc>
        <w:tc>
          <w:tcPr>
            <w:tcW w:w="442" w:type="pct"/>
            <w:tcBorders>
              <w:top w:val="nil"/>
              <w:left w:val="nil"/>
              <w:bottom w:val="single" w:sz="4" w:space="0" w:color="0070C0"/>
              <w:right w:val="single" w:sz="4" w:space="0" w:color="0070C0"/>
            </w:tcBorders>
            <w:shd w:val="clear" w:color="auto" w:fill="auto"/>
            <w:noWrap/>
            <w:vAlign w:val="center"/>
            <w:hideMark/>
          </w:tcPr>
          <w:p w14:paraId="24232F9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94%</w:t>
            </w:r>
          </w:p>
        </w:tc>
        <w:tc>
          <w:tcPr>
            <w:tcW w:w="318" w:type="pct"/>
            <w:tcBorders>
              <w:top w:val="nil"/>
              <w:left w:val="nil"/>
              <w:bottom w:val="single" w:sz="4" w:space="0" w:color="0070C0"/>
              <w:right w:val="single" w:sz="4" w:space="0" w:color="0070C0"/>
            </w:tcBorders>
            <w:shd w:val="clear" w:color="auto" w:fill="auto"/>
            <w:noWrap/>
            <w:vAlign w:val="center"/>
            <w:hideMark/>
          </w:tcPr>
          <w:p w14:paraId="74E6A69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180</w:t>
            </w:r>
          </w:p>
        </w:tc>
        <w:tc>
          <w:tcPr>
            <w:tcW w:w="441" w:type="pct"/>
            <w:tcBorders>
              <w:top w:val="nil"/>
              <w:left w:val="nil"/>
              <w:bottom w:val="single" w:sz="4" w:space="0" w:color="0070C0"/>
              <w:right w:val="single" w:sz="4" w:space="0" w:color="0070C0"/>
            </w:tcBorders>
            <w:shd w:val="clear" w:color="auto" w:fill="auto"/>
            <w:noWrap/>
            <w:vAlign w:val="center"/>
            <w:hideMark/>
          </w:tcPr>
          <w:p w14:paraId="4F92327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26" w:type="pct"/>
            <w:tcBorders>
              <w:top w:val="nil"/>
              <w:left w:val="nil"/>
              <w:bottom w:val="single" w:sz="4" w:space="0" w:color="0070C0"/>
              <w:right w:val="single" w:sz="4" w:space="0" w:color="0070C0"/>
            </w:tcBorders>
            <w:shd w:val="clear" w:color="auto" w:fill="auto"/>
            <w:noWrap/>
            <w:vAlign w:val="center"/>
            <w:hideMark/>
          </w:tcPr>
          <w:p w14:paraId="36A7EFC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128</w:t>
            </w:r>
          </w:p>
        </w:tc>
        <w:tc>
          <w:tcPr>
            <w:tcW w:w="450" w:type="pct"/>
            <w:tcBorders>
              <w:top w:val="nil"/>
              <w:left w:val="nil"/>
              <w:bottom w:val="single" w:sz="4" w:space="0" w:color="0070C0"/>
              <w:right w:val="single" w:sz="4" w:space="0" w:color="0070C0"/>
            </w:tcBorders>
            <w:shd w:val="clear" w:color="auto" w:fill="auto"/>
            <w:noWrap/>
            <w:vAlign w:val="center"/>
            <w:hideMark/>
          </w:tcPr>
          <w:p w14:paraId="63A7781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91%</w:t>
            </w:r>
          </w:p>
        </w:tc>
        <w:tc>
          <w:tcPr>
            <w:tcW w:w="407" w:type="pct"/>
            <w:tcBorders>
              <w:top w:val="nil"/>
              <w:left w:val="nil"/>
              <w:bottom w:val="single" w:sz="4" w:space="0" w:color="0070C0"/>
              <w:right w:val="single" w:sz="4" w:space="0" w:color="0070C0"/>
            </w:tcBorders>
            <w:shd w:val="clear" w:color="auto" w:fill="auto"/>
            <w:noWrap/>
            <w:vAlign w:val="center"/>
            <w:hideMark/>
          </w:tcPr>
          <w:p w14:paraId="2AB7FF4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291</w:t>
            </w:r>
          </w:p>
        </w:tc>
        <w:tc>
          <w:tcPr>
            <w:tcW w:w="450" w:type="pct"/>
            <w:tcBorders>
              <w:top w:val="nil"/>
              <w:left w:val="nil"/>
              <w:bottom w:val="single" w:sz="4" w:space="0" w:color="0070C0"/>
              <w:right w:val="single" w:sz="4" w:space="0" w:color="0070C0"/>
            </w:tcBorders>
            <w:shd w:val="clear" w:color="auto" w:fill="auto"/>
            <w:noWrap/>
            <w:vAlign w:val="center"/>
            <w:hideMark/>
          </w:tcPr>
          <w:p w14:paraId="6FC8FB3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79" w:type="pct"/>
            <w:tcBorders>
              <w:top w:val="nil"/>
              <w:left w:val="nil"/>
              <w:bottom w:val="single" w:sz="4" w:space="0" w:color="0070C0"/>
              <w:right w:val="single" w:sz="4" w:space="0" w:color="0070C0"/>
            </w:tcBorders>
            <w:shd w:val="clear" w:color="auto" w:fill="auto"/>
            <w:noWrap/>
            <w:vAlign w:val="center"/>
            <w:hideMark/>
          </w:tcPr>
          <w:p w14:paraId="0C5B590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419</w:t>
            </w:r>
          </w:p>
        </w:tc>
        <w:tc>
          <w:tcPr>
            <w:tcW w:w="418" w:type="pct"/>
            <w:tcBorders>
              <w:top w:val="nil"/>
              <w:left w:val="nil"/>
              <w:bottom w:val="single" w:sz="4" w:space="0" w:color="0070C0"/>
              <w:right w:val="single" w:sz="4" w:space="0" w:color="0070C0"/>
            </w:tcBorders>
            <w:shd w:val="clear" w:color="auto" w:fill="auto"/>
            <w:noWrap/>
            <w:vAlign w:val="center"/>
            <w:hideMark/>
          </w:tcPr>
          <w:p w14:paraId="27745EB4"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95%</w:t>
            </w:r>
          </w:p>
        </w:tc>
      </w:tr>
      <w:tr w:rsidR="00A400FF" w:rsidRPr="00C35053" w14:paraId="429A08DF"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67ABBDB7" w14:textId="77777777" w:rsidR="00A400FF" w:rsidRPr="00C35053" w:rsidRDefault="00A400FF" w:rsidP="0020372B">
            <w:pPr>
              <w:keepNext/>
              <w:spacing w:before="0" w:after="0" w:line="240" w:lineRule="auto"/>
              <w:jc w:val="left"/>
              <w:rPr>
                <w:rFonts w:eastAsia="Times New Roman" w:cs="Calibri"/>
                <w:b/>
                <w:bCs/>
                <w:color w:val="000000"/>
                <w:sz w:val="20"/>
                <w:szCs w:val="20"/>
              </w:rPr>
            </w:pPr>
            <w:r w:rsidRPr="00C35053">
              <w:rPr>
                <w:rFonts w:eastAsia="Times New Roman" w:cs="Calibri"/>
                <w:b/>
                <w:bCs/>
                <w:color w:val="000000"/>
                <w:sz w:val="20"/>
                <w:szCs w:val="20"/>
              </w:rPr>
              <w:t xml:space="preserve">Droits économiques </w:t>
            </w:r>
            <w:r w:rsidRPr="00524D7C">
              <w:rPr>
                <w:rFonts w:eastAsia="Times New Roman" w:cs="Calibri"/>
                <w:color w:val="000000"/>
                <w:sz w:val="18"/>
                <w:szCs w:val="18"/>
              </w:rPr>
              <w:t>(accès à l’éducation, la santé, respect de la vie privée, non-discrimination ; liberté de mariage, repos et loisirs, etc.)</w:t>
            </w:r>
          </w:p>
        </w:tc>
      </w:tr>
      <w:tr w:rsidR="00A400FF" w:rsidRPr="002F1BBC" w14:paraId="6A3BEA4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2A53225D"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525A0AF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37</w:t>
            </w:r>
          </w:p>
        </w:tc>
        <w:tc>
          <w:tcPr>
            <w:tcW w:w="442" w:type="pct"/>
            <w:tcBorders>
              <w:top w:val="nil"/>
              <w:left w:val="nil"/>
              <w:bottom w:val="single" w:sz="4" w:space="0" w:color="0070C0"/>
              <w:right w:val="single" w:sz="4" w:space="0" w:color="0070C0"/>
            </w:tcBorders>
            <w:shd w:val="clear" w:color="auto" w:fill="auto"/>
            <w:noWrap/>
            <w:vAlign w:val="center"/>
            <w:hideMark/>
          </w:tcPr>
          <w:p w14:paraId="6363CD5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318" w:type="pct"/>
            <w:tcBorders>
              <w:top w:val="nil"/>
              <w:left w:val="nil"/>
              <w:bottom w:val="single" w:sz="4" w:space="0" w:color="0070C0"/>
              <w:right w:val="single" w:sz="4" w:space="0" w:color="0070C0"/>
            </w:tcBorders>
            <w:shd w:val="clear" w:color="auto" w:fill="auto"/>
            <w:noWrap/>
            <w:vAlign w:val="center"/>
            <w:hideMark/>
          </w:tcPr>
          <w:p w14:paraId="06C98F7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c>
          <w:tcPr>
            <w:tcW w:w="441" w:type="pct"/>
            <w:tcBorders>
              <w:top w:val="nil"/>
              <w:left w:val="nil"/>
              <w:bottom w:val="single" w:sz="4" w:space="0" w:color="0070C0"/>
              <w:right w:val="single" w:sz="4" w:space="0" w:color="0070C0"/>
            </w:tcBorders>
            <w:shd w:val="clear" w:color="auto" w:fill="auto"/>
            <w:noWrap/>
            <w:vAlign w:val="center"/>
            <w:hideMark/>
          </w:tcPr>
          <w:p w14:paraId="7D91DB0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326" w:type="pct"/>
            <w:tcBorders>
              <w:top w:val="nil"/>
              <w:left w:val="nil"/>
              <w:bottom w:val="single" w:sz="4" w:space="0" w:color="0070C0"/>
              <w:right w:val="single" w:sz="4" w:space="0" w:color="0070C0"/>
            </w:tcBorders>
            <w:shd w:val="clear" w:color="auto" w:fill="auto"/>
            <w:noWrap/>
            <w:vAlign w:val="center"/>
            <w:hideMark/>
          </w:tcPr>
          <w:p w14:paraId="5F8BFBE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28</w:t>
            </w:r>
          </w:p>
        </w:tc>
        <w:tc>
          <w:tcPr>
            <w:tcW w:w="450" w:type="pct"/>
            <w:tcBorders>
              <w:top w:val="nil"/>
              <w:left w:val="nil"/>
              <w:bottom w:val="single" w:sz="4" w:space="0" w:color="0070C0"/>
              <w:right w:val="single" w:sz="4" w:space="0" w:color="0070C0"/>
            </w:tcBorders>
            <w:shd w:val="clear" w:color="auto" w:fill="auto"/>
            <w:noWrap/>
            <w:vAlign w:val="center"/>
            <w:hideMark/>
          </w:tcPr>
          <w:p w14:paraId="184C741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20%</w:t>
            </w:r>
          </w:p>
        </w:tc>
        <w:tc>
          <w:tcPr>
            <w:tcW w:w="407" w:type="pct"/>
            <w:tcBorders>
              <w:top w:val="nil"/>
              <w:left w:val="nil"/>
              <w:bottom w:val="single" w:sz="4" w:space="0" w:color="0070C0"/>
              <w:right w:val="single" w:sz="4" w:space="0" w:color="0070C0"/>
            </w:tcBorders>
            <w:shd w:val="clear" w:color="auto" w:fill="auto"/>
            <w:noWrap/>
            <w:vAlign w:val="center"/>
            <w:hideMark/>
          </w:tcPr>
          <w:p w14:paraId="480D4FC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22</w:t>
            </w:r>
          </w:p>
        </w:tc>
        <w:tc>
          <w:tcPr>
            <w:tcW w:w="450" w:type="pct"/>
            <w:tcBorders>
              <w:top w:val="nil"/>
              <w:left w:val="nil"/>
              <w:bottom w:val="single" w:sz="4" w:space="0" w:color="0070C0"/>
              <w:right w:val="single" w:sz="4" w:space="0" w:color="0070C0"/>
            </w:tcBorders>
            <w:shd w:val="clear" w:color="auto" w:fill="auto"/>
            <w:noWrap/>
            <w:vAlign w:val="center"/>
            <w:hideMark/>
          </w:tcPr>
          <w:p w14:paraId="41BB119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379" w:type="pct"/>
            <w:tcBorders>
              <w:top w:val="nil"/>
              <w:left w:val="nil"/>
              <w:bottom w:val="single" w:sz="4" w:space="0" w:color="0070C0"/>
              <w:right w:val="single" w:sz="4" w:space="0" w:color="0070C0"/>
            </w:tcBorders>
            <w:shd w:val="clear" w:color="auto" w:fill="auto"/>
            <w:noWrap/>
            <w:vAlign w:val="center"/>
            <w:hideMark/>
          </w:tcPr>
          <w:p w14:paraId="409F78F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50</w:t>
            </w:r>
          </w:p>
        </w:tc>
        <w:tc>
          <w:tcPr>
            <w:tcW w:w="418" w:type="pct"/>
            <w:tcBorders>
              <w:top w:val="nil"/>
              <w:left w:val="nil"/>
              <w:bottom w:val="single" w:sz="4" w:space="0" w:color="0070C0"/>
              <w:right w:val="single" w:sz="4" w:space="0" w:color="0070C0"/>
            </w:tcBorders>
            <w:shd w:val="clear" w:color="auto" w:fill="auto"/>
            <w:noWrap/>
            <w:vAlign w:val="center"/>
            <w:hideMark/>
          </w:tcPr>
          <w:p w14:paraId="40F0A021"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11%</w:t>
            </w:r>
          </w:p>
        </w:tc>
      </w:tr>
      <w:tr w:rsidR="00A400FF" w:rsidRPr="002F1BBC" w14:paraId="70DBD49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7969868"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07618A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217</w:t>
            </w:r>
          </w:p>
        </w:tc>
        <w:tc>
          <w:tcPr>
            <w:tcW w:w="442" w:type="pct"/>
            <w:tcBorders>
              <w:top w:val="nil"/>
              <w:left w:val="nil"/>
              <w:bottom w:val="single" w:sz="4" w:space="0" w:color="0070C0"/>
              <w:right w:val="single" w:sz="4" w:space="0" w:color="0070C0"/>
            </w:tcBorders>
            <w:shd w:val="clear" w:color="auto" w:fill="auto"/>
            <w:noWrap/>
            <w:vAlign w:val="center"/>
            <w:hideMark/>
          </w:tcPr>
          <w:p w14:paraId="440FE27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3070780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173</w:t>
            </w:r>
          </w:p>
        </w:tc>
        <w:tc>
          <w:tcPr>
            <w:tcW w:w="441" w:type="pct"/>
            <w:tcBorders>
              <w:top w:val="nil"/>
              <w:left w:val="nil"/>
              <w:bottom w:val="single" w:sz="4" w:space="0" w:color="0070C0"/>
              <w:right w:val="single" w:sz="4" w:space="0" w:color="0070C0"/>
            </w:tcBorders>
            <w:shd w:val="clear" w:color="auto" w:fill="auto"/>
            <w:noWrap/>
            <w:vAlign w:val="center"/>
            <w:hideMark/>
          </w:tcPr>
          <w:p w14:paraId="65B97B3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93%</w:t>
            </w:r>
          </w:p>
        </w:tc>
        <w:tc>
          <w:tcPr>
            <w:tcW w:w="326" w:type="pct"/>
            <w:tcBorders>
              <w:top w:val="nil"/>
              <w:left w:val="nil"/>
              <w:bottom w:val="single" w:sz="4" w:space="0" w:color="0070C0"/>
              <w:right w:val="single" w:sz="4" w:space="0" w:color="0070C0"/>
            </w:tcBorders>
            <w:shd w:val="clear" w:color="auto" w:fill="auto"/>
            <w:noWrap/>
            <w:vAlign w:val="center"/>
            <w:hideMark/>
          </w:tcPr>
          <w:p w14:paraId="17B98CB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113</w:t>
            </w:r>
          </w:p>
        </w:tc>
        <w:tc>
          <w:tcPr>
            <w:tcW w:w="450" w:type="pct"/>
            <w:tcBorders>
              <w:top w:val="nil"/>
              <w:left w:val="nil"/>
              <w:bottom w:val="single" w:sz="4" w:space="0" w:color="0070C0"/>
              <w:right w:val="single" w:sz="4" w:space="0" w:color="0070C0"/>
            </w:tcBorders>
            <w:shd w:val="clear" w:color="auto" w:fill="auto"/>
            <w:noWrap/>
            <w:vAlign w:val="center"/>
            <w:hideMark/>
          </w:tcPr>
          <w:p w14:paraId="4457C26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80%</w:t>
            </w:r>
          </w:p>
        </w:tc>
        <w:tc>
          <w:tcPr>
            <w:tcW w:w="407" w:type="pct"/>
            <w:tcBorders>
              <w:top w:val="nil"/>
              <w:left w:val="nil"/>
              <w:bottom w:val="single" w:sz="4" w:space="0" w:color="0070C0"/>
              <w:right w:val="single" w:sz="4" w:space="0" w:color="0070C0"/>
            </w:tcBorders>
            <w:shd w:val="clear" w:color="auto" w:fill="auto"/>
            <w:noWrap/>
            <w:vAlign w:val="center"/>
            <w:hideMark/>
          </w:tcPr>
          <w:p w14:paraId="75CA1AF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277</w:t>
            </w:r>
          </w:p>
        </w:tc>
        <w:tc>
          <w:tcPr>
            <w:tcW w:w="450" w:type="pct"/>
            <w:tcBorders>
              <w:top w:val="nil"/>
              <w:left w:val="nil"/>
              <w:bottom w:val="single" w:sz="4" w:space="0" w:color="0070C0"/>
              <w:right w:val="single" w:sz="4" w:space="0" w:color="0070C0"/>
            </w:tcBorders>
            <w:shd w:val="clear" w:color="auto" w:fill="auto"/>
            <w:noWrap/>
            <w:vAlign w:val="center"/>
            <w:hideMark/>
          </w:tcPr>
          <w:p w14:paraId="657A953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93%</w:t>
            </w:r>
          </w:p>
        </w:tc>
        <w:tc>
          <w:tcPr>
            <w:tcW w:w="379" w:type="pct"/>
            <w:tcBorders>
              <w:top w:val="nil"/>
              <w:left w:val="nil"/>
              <w:bottom w:val="single" w:sz="4" w:space="0" w:color="0070C0"/>
              <w:right w:val="single" w:sz="4" w:space="0" w:color="0070C0"/>
            </w:tcBorders>
            <w:shd w:val="clear" w:color="auto" w:fill="auto"/>
            <w:noWrap/>
            <w:vAlign w:val="center"/>
            <w:hideMark/>
          </w:tcPr>
          <w:p w14:paraId="2ABAF3B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390</w:t>
            </w:r>
          </w:p>
        </w:tc>
        <w:tc>
          <w:tcPr>
            <w:tcW w:w="418" w:type="pct"/>
            <w:tcBorders>
              <w:top w:val="nil"/>
              <w:left w:val="nil"/>
              <w:bottom w:val="single" w:sz="4" w:space="0" w:color="0070C0"/>
              <w:right w:val="single" w:sz="4" w:space="0" w:color="0070C0"/>
            </w:tcBorders>
            <w:shd w:val="clear" w:color="auto" w:fill="auto"/>
            <w:noWrap/>
            <w:vAlign w:val="center"/>
            <w:hideMark/>
          </w:tcPr>
          <w:p w14:paraId="6125593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89%</w:t>
            </w:r>
          </w:p>
        </w:tc>
      </w:tr>
      <w:tr w:rsidR="00A400FF" w:rsidRPr="00C35053" w14:paraId="2B028615"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3C768CC0"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politiques</w:t>
            </w:r>
            <w:r w:rsidRPr="00C35053">
              <w:rPr>
                <w:rFonts w:eastAsia="Times New Roman" w:cs="Calibri"/>
                <w:color w:val="000000"/>
                <w:sz w:val="16"/>
                <w:szCs w:val="16"/>
              </w:rPr>
              <w:t xml:space="preserve"> </w:t>
            </w:r>
            <w:r w:rsidRPr="00524D7C">
              <w:rPr>
                <w:rFonts w:eastAsia="Times New Roman" w:cs="Calibri"/>
                <w:color w:val="000000"/>
                <w:sz w:val="18"/>
                <w:szCs w:val="18"/>
              </w:rPr>
              <w:t>(droits de propriété, de travail/accès à l’emploi, égalité de revenu, etc.)</w:t>
            </w:r>
          </w:p>
        </w:tc>
      </w:tr>
      <w:tr w:rsidR="00A400FF" w:rsidRPr="002F1BBC" w14:paraId="3C77F06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ADE8F6D"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6730FA2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442" w:type="pct"/>
            <w:tcBorders>
              <w:top w:val="nil"/>
              <w:left w:val="nil"/>
              <w:bottom w:val="single" w:sz="4" w:space="0" w:color="0070C0"/>
              <w:right w:val="single" w:sz="4" w:space="0" w:color="0070C0"/>
            </w:tcBorders>
            <w:shd w:val="clear" w:color="auto" w:fill="auto"/>
            <w:noWrap/>
            <w:vAlign w:val="center"/>
            <w:hideMark/>
          </w:tcPr>
          <w:p w14:paraId="5CF879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18" w:type="pct"/>
            <w:tcBorders>
              <w:top w:val="nil"/>
              <w:left w:val="nil"/>
              <w:bottom w:val="single" w:sz="4" w:space="0" w:color="0070C0"/>
              <w:right w:val="single" w:sz="4" w:space="0" w:color="0070C0"/>
            </w:tcBorders>
            <w:shd w:val="clear" w:color="auto" w:fill="auto"/>
            <w:noWrap/>
            <w:vAlign w:val="center"/>
            <w:hideMark/>
          </w:tcPr>
          <w:p w14:paraId="436ABDA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441" w:type="pct"/>
            <w:tcBorders>
              <w:top w:val="nil"/>
              <w:left w:val="nil"/>
              <w:bottom w:val="single" w:sz="4" w:space="0" w:color="0070C0"/>
              <w:right w:val="single" w:sz="4" w:space="0" w:color="0070C0"/>
            </w:tcBorders>
            <w:shd w:val="clear" w:color="auto" w:fill="auto"/>
            <w:noWrap/>
            <w:vAlign w:val="center"/>
            <w:hideMark/>
          </w:tcPr>
          <w:p w14:paraId="70F9DAB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w:t>
            </w:r>
          </w:p>
        </w:tc>
        <w:tc>
          <w:tcPr>
            <w:tcW w:w="326" w:type="pct"/>
            <w:tcBorders>
              <w:top w:val="nil"/>
              <w:left w:val="nil"/>
              <w:bottom w:val="single" w:sz="4" w:space="0" w:color="0070C0"/>
              <w:right w:val="single" w:sz="4" w:space="0" w:color="0070C0"/>
            </w:tcBorders>
            <w:shd w:val="clear" w:color="auto" w:fill="auto"/>
            <w:noWrap/>
            <w:vAlign w:val="center"/>
            <w:hideMark/>
          </w:tcPr>
          <w:p w14:paraId="3C47DF9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450" w:type="pct"/>
            <w:tcBorders>
              <w:top w:val="nil"/>
              <w:left w:val="nil"/>
              <w:bottom w:val="single" w:sz="4" w:space="0" w:color="0070C0"/>
              <w:right w:val="single" w:sz="4" w:space="0" w:color="0070C0"/>
            </w:tcBorders>
            <w:shd w:val="clear" w:color="auto" w:fill="auto"/>
            <w:noWrap/>
            <w:vAlign w:val="center"/>
            <w:hideMark/>
          </w:tcPr>
          <w:p w14:paraId="2C5A7B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407" w:type="pct"/>
            <w:tcBorders>
              <w:top w:val="nil"/>
              <w:left w:val="nil"/>
              <w:bottom w:val="single" w:sz="4" w:space="0" w:color="0070C0"/>
              <w:right w:val="single" w:sz="4" w:space="0" w:color="0070C0"/>
            </w:tcBorders>
            <w:shd w:val="clear" w:color="auto" w:fill="auto"/>
            <w:noWrap/>
            <w:vAlign w:val="center"/>
            <w:hideMark/>
          </w:tcPr>
          <w:p w14:paraId="263171F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450" w:type="pct"/>
            <w:tcBorders>
              <w:top w:val="nil"/>
              <w:left w:val="nil"/>
              <w:bottom w:val="single" w:sz="4" w:space="0" w:color="0070C0"/>
              <w:right w:val="single" w:sz="4" w:space="0" w:color="0070C0"/>
            </w:tcBorders>
            <w:shd w:val="clear" w:color="auto" w:fill="auto"/>
            <w:noWrap/>
            <w:vAlign w:val="center"/>
            <w:hideMark/>
          </w:tcPr>
          <w:p w14:paraId="51ED91D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379" w:type="pct"/>
            <w:tcBorders>
              <w:top w:val="nil"/>
              <w:left w:val="nil"/>
              <w:bottom w:val="single" w:sz="4" w:space="0" w:color="0070C0"/>
              <w:right w:val="single" w:sz="4" w:space="0" w:color="0070C0"/>
            </w:tcBorders>
            <w:shd w:val="clear" w:color="auto" w:fill="auto"/>
            <w:noWrap/>
            <w:vAlign w:val="center"/>
            <w:hideMark/>
          </w:tcPr>
          <w:p w14:paraId="22014DD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w:t>
            </w:r>
          </w:p>
        </w:tc>
        <w:tc>
          <w:tcPr>
            <w:tcW w:w="418" w:type="pct"/>
            <w:tcBorders>
              <w:top w:val="nil"/>
              <w:left w:val="nil"/>
              <w:bottom w:val="single" w:sz="4" w:space="0" w:color="0070C0"/>
              <w:right w:val="single" w:sz="4" w:space="0" w:color="0070C0"/>
            </w:tcBorders>
            <w:shd w:val="clear" w:color="auto" w:fill="auto"/>
            <w:noWrap/>
            <w:vAlign w:val="center"/>
            <w:hideMark/>
          </w:tcPr>
          <w:p w14:paraId="2713C4F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r>
      <w:tr w:rsidR="00A400FF" w:rsidRPr="002F1BBC" w14:paraId="1ED2F4DF"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604D7900"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1727E4F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247</w:t>
            </w:r>
          </w:p>
        </w:tc>
        <w:tc>
          <w:tcPr>
            <w:tcW w:w="442" w:type="pct"/>
            <w:tcBorders>
              <w:top w:val="nil"/>
              <w:left w:val="nil"/>
              <w:bottom w:val="single" w:sz="4" w:space="0" w:color="0070C0"/>
              <w:right w:val="single" w:sz="4" w:space="0" w:color="0070C0"/>
            </w:tcBorders>
            <w:shd w:val="clear" w:color="auto" w:fill="auto"/>
            <w:noWrap/>
            <w:vAlign w:val="center"/>
            <w:hideMark/>
          </w:tcPr>
          <w:p w14:paraId="7086D9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18" w:type="pct"/>
            <w:tcBorders>
              <w:top w:val="nil"/>
              <w:left w:val="nil"/>
              <w:bottom w:val="single" w:sz="4" w:space="0" w:color="0070C0"/>
              <w:right w:val="single" w:sz="4" w:space="0" w:color="0070C0"/>
            </w:tcBorders>
            <w:shd w:val="clear" w:color="auto" w:fill="auto"/>
            <w:noWrap/>
            <w:vAlign w:val="center"/>
            <w:hideMark/>
          </w:tcPr>
          <w:p w14:paraId="0057B46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184</w:t>
            </w:r>
          </w:p>
        </w:tc>
        <w:tc>
          <w:tcPr>
            <w:tcW w:w="441" w:type="pct"/>
            <w:tcBorders>
              <w:top w:val="nil"/>
              <w:left w:val="nil"/>
              <w:bottom w:val="single" w:sz="4" w:space="0" w:color="0070C0"/>
              <w:right w:val="single" w:sz="4" w:space="0" w:color="0070C0"/>
            </w:tcBorders>
            <w:shd w:val="clear" w:color="auto" w:fill="auto"/>
            <w:noWrap/>
            <w:vAlign w:val="center"/>
            <w:hideMark/>
          </w:tcPr>
          <w:p w14:paraId="3FB1A99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99%</w:t>
            </w:r>
          </w:p>
        </w:tc>
        <w:tc>
          <w:tcPr>
            <w:tcW w:w="326" w:type="pct"/>
            <w:tcBorders>
              <w:top w:val="nil"/>
              <w:left w:val="nil"/>
              <w:bottom w:val="single" w:sz="4" w:space="0" w:color="0070C0"/>
              <w:right w:val="single" w:sz="4" w:space="0" w:color="0070C0"/>
            </w:tcBorders>
            <w:shd w:val="clear" w:color="auto" w:fill="auto"/>
            <w:noWrap/>
            <w:vAlign w:val="center"/>
            <w:hideMark/>
          </w:tcPr>
          <w:p w14:paraId="1DC4DB1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138</w:t>
            </w:r>
          </w:p>
        </w:tc>
        <w:tc>
          <w:tcPr>
            <w:tcW w:w="450" w:type="pct"/>
            <w:tcBorders>
              <w:top w:val="nil"/>
              <w:left w:val="nil"/>
              <w:bottom w:val="single" w:sz="4" w:space="0" w:color="0070C0"/>
              <w:right w:val="single" w:sz="4" w:space="0" w:color="0070C0"/>
            </w:tcBorders>
            <w:shd w:val="clear" w:color="auto" w:fill="auto"/>
            <w:noWrap/>
            <w:vAlign w:val="center"/>
            <w:hideMark/>
          </w:tcPr>
          <w:p w14:paraId="24157DD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c>
          <w:tcPr>
            <w:tcW w:w="407" w:type="pct"/>
            <w:tcBorders>
              <w:top w:val="nil"/>
              <w:left w:val="nil"/>
              <w:bottom w:val="single" w:sz="4" w:space="0" w:color="0070C0"/>
              <w:right w:val="single" w:sz="4" w:space="0" w:color="0070C0"/>
            </w:tcBorders>
            <w:shd w:val="clear" w:color="auto" w:fill="auto"/>
            <w:noWrap/>
            <w:vAlign w:val="center"/>
            <w:hideMark/>
          </w:tcPr>
          <w:p w14:paraId="67893FF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293</w:t>
            </w:r>
          </w:p>
        </w:tc>
        <w:tc>
          <w:tcPr>
            <w:tcW w:w="450" w:type="pct"/>
            <w:tcBorders>
              <w:top w:val="nil"/>
              <w:left w:val="nil"/>
              <w:bottom w:val="single" w:sz="4" w:space="0" w:color="0070C0"/>
              <w:right w:val="single" w:sz="4" w:space="0" w:color="0070C0"/>
            </w:tcBorders>
            <w:shd w:val="clear" w:color="auto" w:fill="auto"/>
            <w:noWrap/>
            <w:vAlign w:val="center"/>
            <w:hideMark/>
          </w:tcPr>
          <w:p w14:paraId="17682D5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c>
          <w:tcPr>
            <w:tcW w:w="379" w:type="pct"/>
            <w:tcBorders>
              <w:top w:val="nil"/>
              <w:left w:val="nil"/>
              <w:bottom w:val="single" w:sz="4" w:space="0" w:color="0070C0"/>
              <w:right w:val="single" w:sz="4" w:space="0" w:color="0070C0"/>
            </w:tcBorders>
            <w:shd w:val="clear" w:color="auto" w:fill="auto"/>
            <w:noWrap/>
            <w:vAlign w:val="center"/>
            <w:hideMark/>
          </w:tcPr>
          <w:p w14:paraId="12A136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431</w:t>
            </w:r>
          </w:p>
        </w:tc>
        <w:tc>
          <w:tcPr>
            <w:tcW w:w="418" w:type="pct"/>
            <w:tcBorders>
              <w:top w:val="nil"/>
              <w:left w:val="nil"/>
              <w:bottom w:val="single" w:sz="4" w:space="0" w:color="0070C0"/>
              <w:right w:val="single" w:sz="4" w:space="0" w:color="0070C0"/>
            </w:tcBorders>
            <w:shd w:val="clear" w:color="auto" w:fill="auto"/>
            <w:noWrap/>
            <w:vAlign w:val="center"/>
            <w:hideMark/>
          </w:tcPr>
          <w:p w14:paraId="4DC522C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r>
      <w:tr w:rsidR="00A400FF" w:rsidRPr="00C35053" w14:paraId="5313F052"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1E08CFAD"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sexuels et reproductifs</w:t>
            </w:r>
            <w:r w:rsidRPr="00C35053">
              <w:rPr>
                <w:rFonts w:eastAsia="Times New Roman" w:cs="Calibri"/>
                <w:color w:val="000000"/>
                <w:sz w:val="16"/>
                <w:szCs w:val="16"/>
              </w:rPr>
              <w:t xml:space="preserve"> </w:t>
            </w:r>
            <w:r w:rsidRPr="00524D7C">
              <w:rPr>
                <w:rFonts w:eastAsia="Times New Roman" w:cs="Calibri"/>
                <w:color w:val="000000"/>
                <w:sz w:val="18"/>
                <w:szCs w:val="18"/>
              </w:rPr>
              <w:t>(droits de vote, droits d’être éligible, liberté de réunion, d’association, liberté d’opinion et d’expression, etc.)</w:t>
            </w:r>
          </w:p>
        </w:tc>
      </w:tr>
      <w:tr w:rsidR="00A400FF" w:rsidRPr="002F1BBC" w14:paraId="5F4DBE7B"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3EF756C7"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31C8D3B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92</w:t>
            </w:r>
          </w:p>
        </w:tc>
        <w:tc>
          <w:tcPr>
            <w:tcW w:w="442" w:type="pct"/>
            <w:tcBorders>
              <w:top w:val="nil"/>
              <w:left w:val="nil"/>
              <w:bottom w:val="single" w:sz="4" w:space="0" w:color="0070C0"/>
              <w:right w:val="single" w:sz="4" w:space="0" w:color="0070C0"/>
            </w:tcBorders>
            <w:shd w:val="clear" w:color="auto" w:fill="auto"/>
            <w:noWrap/>
            <w:vAlign w:val="center"/>
            <w:hideMark/>
          </w:tcPr>
          <w:p w14:paraId="006F72B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36%</w:t>
            </w:r>
          </w:p>
        </w:tc>
        <w:tc>
          <w:tcPr>
            <w:tcW w:w="318" w:type="pct"/>
            <w:tcBorders>
              <w:top w:val="nil"/>
              <w:left w:val="nil"/>
              <w:bottom w:val="single" w:sz="4" w:space="0" w:color="0070C0"/>
              <w:right w:val="single" w:sz="4" w:space="0" w:color="0070C0"/>
            </w:tcBorders>
            <w:shd w:val="clear" w:color="auto" w:fill="auto"/>
            <w:noWrap/>
            <w:vAlign w:val="center"/>
            <w:hideMark/>
          </w:tcPr>
          <w:p w14:paraId="4E8FCE4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50</w:t>
            </w:r>
          </w:p>
        </w:tc>
        <w:tc>
          <w:tcPr>
            <w:tcW w:w="441" w:type="pct"/>
            <w:tcBorders>
              <w:top w:val="nil"/>
              <w:left w:val="nil"/>
              <w:bottom w:val="single" w:sz="4" w:space="0" w:color="0070C0"/>
              <w:right w:val="single" w:sz="4" w:space="0" w:color="0070C0"/>
            </w:tcBorders>
            <w:shd w:val="clear" w:color="auto" w:fill="auto"/>
            <w:noWrap/>
            <w:vAlign w:val="center"/>
            <w:hideMark/>
          </w:tcPr>
          <w:p w14:paraId="7DE8B1A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27%</w:t>
            </w:r>
          </w:p>
        </w:tc>
        <w:tc>
          <w:tcPr>
            <w:tcW w:w="326" w:type="pct"/>
            <w:tcBorders>
              <w:top w:val="nil"/>
              <w:left w:val="nil"/>
              <w:bottom w:val="single" w:sz="4" w:space="0" w:color="0070C0"/>
              <w:right w:val="single" w:sz="4" w:space="0" w:color="0070C0"/>
            </w:tcBorders>
            <w:shd w:val="clear" w:color="auto" w:fill="auto"/>
            <w:noWrap/>
            <w:vAlign w:val="center"/>
            <w:hideMark/>
          </w:tcPr>
          <w:p w14:paraId="62F3A29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58</w:t>
            </w:r>
          </w:p>
        </w:tc>
        <w:tc>
          <w:tcPr>
            <w:tcW w:w="450" w:type="pct"/>
            <w:tcBorders>
              <w:top w:val="nil"/>
              <w:left w:val="nil"/>
              <w:bottom w:val="single" w:sz="4" w:space="0" w:color="0070C0"/>
              <w:right w:val="single" w:sz="4" w:space="0" w:color="0070C0"/>
            </w:tcBorders>
            <w:shd w:val="clear" w:color="auto" w:fill="auto"/>
            <w:noWrap/>
            <w:vAlign w:val="center"/>
            <w:hideMark/>
          </w:tcPr>
          <w:p w14:paraId="37B155B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41%</w:t>
            </w:r>
          </w:p>
        </w:tc>
        <w:tc>
          <w:tcPr>
            <w:tcW w:w="407" w:type="pct"/>
            <w:tcBorders>
              <w:top w:val="nil"/>
              <w:left w:val="nil"/>
              <w:bottom w:val="single" w:sz="4" w:space="0" w:color="0070C0"/>
              <w:right w:val="single" w:sz="4" w:space="0" w:color="0070C0"/>
            </w:tcBorders>
            <w:shd w:val="clear" w:color="auto" w:fill="auto"/>
            <w:noWrap/>
            <w:vAlign w:val="center"/>
            <w:hideMark/>
          </w:tcPr>
          <w:p w14:paraId="2933408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84</w:t>
            </w:r>
          </w:p>
        </w:tc>
        <w:tc>
          <w:tcPr>
            <w:tcW w:w="450" w:type="pct"/>
            <w:tcBorders>
              <w:top w:val="nil"/>
              <w:left w:val="nil"/>
              <w:bottom w:val="single" w:sz="4" w:space="0" w:color="0070C0"/>
              <w:right w:val="single" w:sz="4" w:space="0" w:color="0070C0"/>
            </w:tcBorders>
            <w:shd w:val="clear" w:color="auto" w:fill="auto"/>
            <w:noWrap/>
            <w:vAlign w:val="center"/>
            <w:hideMark/>
          </w:tcPr>
          <w:p w14:paraId="2E3F41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28%</w:t>
            </w:r>
          </w:p>
        </w:tc>
        <w:tc>
          <w:tcPr>
            <w:tcW w:w="379" w:type="pct"/>
            <w:tcBorders>
              <w:top w:val="nil"/>
              <w:left w:val="nil"/>
              <w:bottom w:val="single" w:sz="4" w:space="0" w:color="0070C0"/>
              <w:right w:val="single" w:sz="4" w:space="0" w:color="0070C0"/>
            </w:tcBorders>
            <w:shd w:val="clear" w:color="auto" w:fill="auto"/>
            <w:noWrap/>
            <w:vAlign w:val="center"/>
            <w:hideMark/>
          </w:tcPr>
          <w:p w14:paraId="4BB155E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142</w:t>
            </w:r>
          </w:p>
        </w:tc>
        <w:tc>
          <w:tcPr>
            <w:tcW w:w="418" w:type="pct"/>
            <w:tcBorders>
              <w:top w:val="nil"/>
              <w:left w:val="nil"/>
              <w:bottom w:val="single" w:sz="4" w:space="0" w:color="0070C0"/>
              <w:right w:val="single" w:sz="4" w:space="0" w:color="0070C0"/>
            </w:tcBorders>
            <w:shd w:val="clear" w:color="auto" w:fill="auto"/>
            <w:noWrap/>
            <w:vAlign w:val="center"/>
            <w:hideMark/>
          </w:tcPr>
          <w:p w14:paraId="6D39D92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32%</w:t>
            </w:r>
          </w:p>
        </w:tc>
      </w:tr>
      <w:tr w:rsidR="00A400FF" w:rsidRPr="002F1BBC" w14:paraId="283BD7F2"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44916FCA"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1A7A82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162</w:t>
            </w:r>
          </w:p>
        </w:tc>
        <w:tc>
          <w:tcPr>
            <w:tcW w:w="442" w:type="pct"/>
            <w:tcBorders>
              <w:top w:val="nil"/>
              <w:left w:val="nil"/>
              <w:bottom w:val="single" w:sz="4" w:space="0" w:color="0070C0"/>
              <w:right w:val="single" w:sz="4" w:space="0" w:color="0070C0"/>
            </w:tcBorders>
            <w:shd w:val="clear" w:color="auto" w:fill="auto"/>
            <w:noWrap/>
            <w:vAlign w:val="center"/>
            <w:hideMark/>
          </w:tcPr>
          <w:p w14:paraId="68FDC98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64%</w:t>
            </w:r>
          </w:p>
        </w:tc>
        <w:tc>
          <w:tcPr>
            <w:tcW w:w="318" w:type="pct"/>
            <w:tcBorders>
              <w:top w:val="nil"/>
              <w:left w:val="nil"/>
              <w:bottom w:val="single" w:sz="4" w:space="0" w:color="0070C0"/>
              <w:right w:val="single" w:sz="4" w:space="0" w:color="0070C0"/>
            </w:tcBorders>
            <w:shd w:val="clear" w:color="auto" w:fill="auto"/>
            <w:noWrap/>
            <w:vAlign w:val="center"/>
            <w:hideMark/>
          </w:tcPr>
          <w:p w14:paraId="6B298E3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136</w:t>
            </w:r>
          </w:p>
        </w:tc>
        <w:tc>
          <w:tcPr>
            <w:tcW w:w="441" w:type="pct"/>
            <w:tcBorders>
              <w:top w:val="nil"/>
              <w:left w:val="nil"/>
              <w:bottom w:val="single" w:sz="4" w:space="0" w:color="0070C0"/>
              <w:right w:val="single" w:sz="4" w:space="0" w:color="0070C0"/>
            </w:tcBorders>
            <w:shd w:val="clear" w:color="auto" w:fill="auto"/>
            <w:noWrap/>
            <w:vAlign w:val="center"/>
            <w:hideMark/>
          </w:tcPr>
          <w:p w14:paraId="3442DBE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73%</w:t>
            </w:r>
          </w:p>
        </w:tc>
        <w:tc>
          <w:tcPr>
            <w:tcW w:w="326" w:type="pct"/>
            <w:tcBorders>
              <w:top w:val="nil"/>
              <w:left w:val="nil"/>
              <w:bottom w:val="single" w:sz="4" w:space="0" w:color="0070C0"/>
              <w:right w:val="single" w:sz="4" w:space="0" w:color="0070C0"/>
            </w:tcBorders>
            <w:shd w:val="clear" w:color="auto" w:fill="auto"/>
            <w:noWrap/>
            <w:vAlign w:val="center"/>
            <w:hideMark/>
          </w:tcPr>
          <w:p w14:paraId="03FC199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83</w:t>
            </w:r>
          </w:p>
        </w:tc>
        <w:tc>
          <w:tcPr>
            <w:tcW w:w="450" w:type="pct"/>
            <w:tcBorders>
              <w:top w:val="nil"/>
              <w:left w:val="nil"/>
              <w:bottom w:val="single" w:sz="4" w:space="0" w:color="0070C0"/>
              <w:right w:val="single" w:sz="4" w:space="0" w:color="0070C0"/>
            </w:tcBorders>
            <w:shd w:val="clear" w:color="auto" w:fill="auto"/>
            <w:noWrap/>
            <w:vAlign w:val="center"/>
            <w:hideMark/>
          </w:tcPr>
          <w:p w14:paraId="796EB7C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59%</w:t>
            </w:r>
          </w:p>
        </w:tc>
        <w:tc>
          <w:tcPr>
            <w:tcW w:w="407" w:type="pct"/>
            <w:tcBorders>
              <w:top w:val="nil"/>
              <w:left w:val="nil"/>
              <w:bottom w:val="single" w:sz="4" w:space="0" w:color="0070C0"/>
              <w:right w:val="single" w:sz="4" w:space="0" w:color="0070C0"/>
            </w:tcBorders>
            <w:shd w:val="clear" w:color="auto" w:fill="auto"/>
            <w:noWrap/>
            <w:vAlign w:val="center"/>
            <w:hideMark/>
          </w:tcPr>
          <w:p w14:paraId="278D4C2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215</w:t>
            </w:r>
          </w:p>
        </w:tc>
        <w:tc>
          <w:tcPr>
            <w:tcW w:w="450" w:type="pct"/>
            <w:tcBorders>
              <w:top w:val="nil"/>
              <w:left w:val="nil"/>
              <w:bottom w:val="single" w:sz="4" w:space="0" w:color="0070C0"/>
              <w:right w:val="single" w:sz="4" w:space="0" w:color="0070C0"/>
            </w:tcBorders>
            <w:shd w:val="clear" w:color="auto" w:fill="auto"/>
            <w:noWrap/>
            <w:vAlign w:val="center"/>
            <w:hideMark/>
          </w:tcPr>
          <w:p w14:paraId="72AF153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72%</w:t>
            </w:r>
          </w:p>
        </w:tc>
        <w:tc>
          <w:tcPr>
            <w:tcW w:w="379" w:type="pct"/>
            <w:tcBorders>
              <w:top w:val="nil"/>
              <w:left w:val="nil"/>
              <w:bottom w:val="single" w:sz="4" w:space="0" w:color="0070C0"/>
              <w:right w:val="single" w:sz="4" w:space="0" w:color="0070C0"/>
            </w:tcBorders>
            <w:shd w:val="clear" w:color="auto" w:fill="auto"/>
            <w:noWrap/>
            <w:vAlign w:val="center"/>
            <w:hideMark/>
          </w:tcPr>
          <w:p w14:paraId="41CD966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298</w:t>
            </w:r>
          </w:p>
        </w:tc>
        <w:tc>
          <w:tcPr>
            <w:tcW w:w="418" w:type="pct"/>
            <w:tcBorders>
              <w:top w:val="nil"/>
              <w:left w:val="nil"/>
              <w:bottom w:val="single" w:sz="4" w:space="0" w:color="0070C0"/>
              <w:right w:val="single" w:sz="4" w:space="0" w:color="0070C0"/>
            </w:tcBorders>
            <w:shd w:val="clear" w:color="auto" w:fill="auto"/>
            <w:noWrap/>
            <w:vAlign w:val="center"/>
            <w:hideMark/>
          </w:tcPr>
          <w:p w14:paraId="0710BD5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68%</w:t>
            </w:r>
          </w:p>
        </w:tc>
      </w:tr>
      <w:tr w:rsidR="00A400FF" w:rsidRPr="00C35053" w14:paraId="6F8289C6"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1AD81AA2" w14:textId="77777777" w:rsidR="00A400FF" w:rsidRPr="00C35053" w:rsidRDefault="00A400FF" w:rsidP="0020372B">
            <w:pPr>
              <w:keepNext/>
              <w:spacing w:before="0" w:after="0" w:line="240" w:lineRule="auto"/>
              <w:jc w:val="left"/>
              <w:rPr>
                <w:rFonts w:eastAsia="Times New Roman" w:cs="Calibri"/>
                <w:b/>
                <w:bCs/>
                <w:color w:val="000000"/>
                <w:sz w:val="20"/>
                <w:szCs w:val="20"/>
              </w:rPr>
            </w:pPr>
            <w:r w:rsidRPr="00C35053">
              <w:rPr>
                <w:rFonts w:eastAsia="Times New Roman" w:cs="Calibri"/>
                <w:b/>
                <w:bCs/>
                <w:color w:val="000000"/>
                <w:sz w:val="20"/>
                <w:szCs w:val="20"/>
              </w:rPr>
              <w:t xml:space="preserve">Total </w:t>
            </w:r>
          </w:p>
        </w:tc>
      </w:tr>
      <w:tr w:rsidR="00A400FF" w:rsidRPr="002F1BBC" w14:paraId="0A7832EF"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7DEC515C"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6DFA2DE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151</w:t>
            </w:r>
          </w:p>
        </w:tc>
        <w:tc>
          <w:tcPr>
            <w:tcW w:w="442" w:type="pct"/>
            <w:tcBorders>
              <w:top w:val="nil"/>
              <w:left w:val="nil"/>
              <w:bottom w:val="single" w:sz="4" w:space="0" w:color="0070C0"/>
              <w:right w:val="single" w:sz="4" w:space="0" w:color="0070C0"/>
            </w:tcBorders>
            <w:shd w:val="clear" w:color="auto" w:fill="auto"/>
            <w:noWrap/>
            <w:vAlign w:val="center"/>
            <w:hideMark/>
          </w:tcPr>
          <w:p w14:paraId="31C0F8E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318" w:type="pct"/>
            <w:tcBorders>
              <w:top w:val="nil"/>
              <w:left w:val="nil"/>
              <w:bottom w:val="single" w:sz="4" w:space="0" w:color="0070C0"/>
              <w:right w:val="single" w:sz="4" w:space="0" w:color="0070C0"/>
            </w:tcBorders>
            <w:shd w:val="clear" w:color="auto" w:fill="auto"/>
            <w:noWrap/>
            <w:vAlign w:val="center"/>
            <w:hideMark/>
          </w:tcPr>
          <w:p w14:paraId="5318752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71</w:t>
            </w:r>
          </w:p>
        </w:tc>
        <w:tc>
          <w:tcPr>
            <w:tcW w:w="441" w:type="pct"/>
            <w:tcBorders>
              <w:top w:val="nil"/>
              <w:left w:val="nil"/>
              <w:bottom w:val="single" w:sz="4" w:space="0" w:color="0070C0"/>
              <w:right w:val="single" w:sz="4" w:space="0" w:color="0070C0"/>
            </w:tcBorders>
            <w:shd w:val="clear" w:color="auto" w:fill="auto"/>
            <w:noWrap/>
            <w:vAlign w:val="center"/>
            <w:hideMark/>
          </w:tcPr>
          <w:p w14:paraId="6C523EF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w:t>
            </w:r>
          </w:p>
        </w:tc>
        <w:tc>
          <w:tcPr>
            <w:tcW w:w="326" w:type="pct"/>
            <w:tcBorders>
              <w:top w:val="nil"/>
              <w:left w:val="nil"/>
              <w:bottom w:val="single" w:sz="4" w:space="0" w:color="0070C0"/>
              <w:right w:val="single" w:sz="4" w:space="0" w:color="0070C0"/>
            </w:tcBorders>
            <w:shd w:val="clear" w:color="auto" w:fill="auto"/>
            <w:noWrap/>
            <w:vAlign w:val="center"/>
            <w:hideMark/>
          </w:tcPr>
          <w:p w14:paraId="2A466A9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102</w:t>
            </w:r>
          </w:p>
        </w:tc>
        <w:tc>
          <w:tcPr>
            <w:tcW w:w="450" w:type="pct"/>
            <w:tcBorders>
              <w:top w:val="nil"/>
              <w:left w:val="nil"/>
              <w:bottom w:val="single" w:sz="4" w:space="0" w:color="0070C0"/>
              <w:right w:val="single" w:sz="4" w:space="0" w:color="0070C0"/>
            </w:tcBorders>
            <w:shd w:val="clear" w:color="auto" w:fill="auto"/>
            <w:noWrap/>
            <w:vAlign w:val="center"/>
            <w:hideMark/>
          </w:tcPr>
          <w:p w14:paraId="6A74DD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w:t>
            </w:r>
          </w:p>
        </w:tc>
        <w:tc>
          <w:tcPr>
            <w:tcW w:w="407" w:type="pct"/>
            <w:tcBorders>
              <w:top w:val="nil"/>
              <w:left w:val="nil"/>
              <w:bottom w:val="single" w:sz="4" w:space="0" w:color="0070C0"/>
              <w:right w:val="single" w:sz="4" w:space="0" w:color="0070C0"/>
            </w:tcBorders>
            <w:shd w:val="clear" w:color="auto" w:fill="auto"/>
            <w:noWrap/>
            <w:vAlign w:val="center"/>
            <w:hideMark/>
          </w:tcPr>
          <w:p w14:paraId="206746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120</w:t>
            </w:r>
          </w:p>
        </w:tc>
        <w:tc>
          <w:tcPr>
            <w:tcW w:w="450" w:type="pct"/>
            <w:tcBorders>
              <w:top w:val="nil"/>
              <w:left w:val="nil"/>
              <w:bottom w:val="single" w:sz="4" w:space="0" w:color="0070C0"/>
              <w:right w:val="single" w:sz="4" w:space="0" w:color="0070C0"/>
            </w:tcBorders>
            <w:shd w:val="clear" w:color="auto" w:fill="auto"/>
            <w:noWrap/>
            <w:vAlign w:val="center"/>
            <w:hideMark/>
          </w:tcPr>
          <w:p w14:paraId="34F91A6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w:t>
            </w:r>
          </w:p>
        </w:tc>
        <w:tc>
          <w:tcPr>
            <w:tcW w:w="379" w:type="pct"/>
            <w:tcBorders>
              <w:top w:val="nil"/>
              <w:left w:val="nil"/>
              <w:bottom w:val="single" w:sz="4" w:space="0" w:color="0070C0"/>
              <w:right w:val="single" w:sz="4" w:space="0" w:color="0070C0"/>
            </w:tcBorders>
            <w:shd w:val="clear" w:color="auto" w:fill="auto"/>
            <w:noWrap/>
            <w:vAlign w:val="center"/>
            <w:hideMark/>
          </w:tcPr>
          <w:p w14:paraId="5376BBC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222</w:t>
            </w:r>
          </w:p>
        </w:tc>
        <w:tc>
          <w:tcPr>
            <w:tcW w:w="418" w:type="pct"/>
            <w:tcBorders>
              <w:top w:val="nil"/>
              <w:left w:val="nil"/>
              <w:bottom w:val="single" w:sz="4" w:space="0" w:color="0070C0"/>
              <w:right w:val="single" w:sz="4" w:space="0" w:color="0070C0"/>
            </w:tcBorders>
            <w:shd w:val="clear" w:color="auto" w:fill="auto"/>
            <w:noWrap/>
            <w:vAlign w:val="center"/>
            <w:hideMark/>
          </w:tcPr>
          <w:p w14:paraId="0D0EC3B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r>
      <w:tr w:rsidR="00A400FF" w:rsidRPr="002F1BBC" w14:paraId="0DC7B335"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4046A54F"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7140A12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865</w:t>
            </w:r>
          </w:p>
        </w:tc>
        <w:tc>
          <w:tcPr>
            <w:tcW w:w="442" w:type="pct"/>
            <w:tcBorders>
              <w:top w:val="nil"/>
              <w:left w:val="nil"/>
              <w:bottom w:val="single" w:sz="4" w:space="0" w:color="0070C0"/>
              <w:right w:val="single" w:sz="4" w:space="0" w:color="0070C0"/>
            </w:tcBorders>
            <w:shd w:val="clear" w:color="auto" w:fill="auto"/>
            <w:noWrap/>
            <w:vAlign w:val="center"/>
            <w:hideMark/>
          </w:tcPr>
          <w:p w14:paraId="57739D7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096C32D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673</w:t>
            </w:r>
          </w:p>
        </w:tc>
        <w:tc>
          <w:tcPr>
            <w:tcW w:w="441" w:type="pct"/>
            <w:tcBorders>
              <w:top w:val="nil"/>
              <w:left w:val="nil"/>
              <w:bottom w:val="single" w:sz="4" w:space="0" w:color="0070C0"/>
              <w:right w:val="single" w:sz="4" w:space="0" w:color="0070C0"/>
            </w:tcBorders>
            <w:shd w:val="clear" w:color="auto" w:fill="auto"/>
            <w:noWrap/>
            <w:vAlign w:val="center"/>
            <w:hideMark/>
          </w:tcPr>
          <w:p w14:paraId="16E7822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90%</w:t>
            </w:r>
          </w:p>
        </w:tc>
        <w:tc>
          <w:tcPr>
            <w:tcW w:w="326" w:type="pct"/>
            <w:tcBorders>
              <w:top w:val="nil"/>
              <w:left w:val="nil"/>
              <w:bottom w:val="single" w:sz="4" w:space="0" w:color="0070C0"/>
              <w:right w:val="single" w:sz="4" w:space="0" w:color="0070C0"/>
            </w:tcBorders>
            <w:shd w:val="clear" w:color="auto" w:fill="auto"/>
            <w:noWrap/>
            <w:vAlign w:val="center"/>
            <w:hideMark/>
          </w:tcPr>
          <w:p w14:paraId="4A78EB6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462</w:t>
            </w:r>
          </w:p>
        </w:tc>
        <w:tc>
          <w:tcPr>
            <w:tcW w:w="450" w:type="pct"/>
            <w:tcBorders>
              <w:top w:val="nil"/>
              <w:left w:val="nil"/>
              <w:bottom w:val="single" w:sz="4" w:space="0" w:color="0070C0"/>
              <w:right w:val="single" w:sz="4" w:space="0" w:color="0070C0"/>
            </w:tcBorders>
            <w:shd w:val="clear" w:color="auto" w:fill="auto"/>
            <w:noWrap/>
            <w:vAlign w:val="center"/>
            <w:hideMark/>
          </w:tcPr>
          <w:p w14:paraId="1BEBDB6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82%</w:t>
            </w:r>
          </w:p>
        </w:tc>
        <w:tc>
          <w:tcPr>
            <w:tcW w:w="407" w:type="pct"/>
            <w:tcBorders>
              <w:top w:val="nil"/>
              <w:left w:val="nil"/>
              <w:bottom w:val="single" w:sz="4" w:space="0" w:color="0070C0"/>
              <w:right w:val="single" w:sz="4" w:space="0" w:color="0070C0"/>
            </w:tcBorders>
            <w:shd w:val="clear" w:color="auto" w:fill="auto"/>
            <w:noWrap/>
            <w:vAlign w:val="center"/>
            <w:hideMark/>
          </w:tcPr>
          <w:p w14:paraId="424E055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1076</w:t>
            </w:r>
          </w:p>
        </w:tc>
        <w:tc>
          <w:tcPr>
            <w:tcW w:w="450" w:type="pct"/>
            <w:tcBorders>
              <w:top w:val="nil"/>
              <w:left w:val="nil"/>
              <w:bottom w:val="single" w:sz="4" w:space="0" w:color="0070C0"/>
              <w:right w:val="single" w:sz="4" w:space="0" w:color="0070C0"/>
            </w:tcBorders>
            <w:shd w:val="clear" w:color="auto" w:fill="auto"/>
            <w:noWrap/>
            <w:vAlign w:val="center"/>
            <w:hideMark/>
          </w:tcPr>
          <w:p w14:paraId="462EE604"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90%</w:t>
            </w:r>
          </w:p>
        </w:tc>
        <w:tc>
          <w:tcPr>
            <w:tcW w:w="379" w:type="pct"/>
            <w:tcBorders>
              <w:top w:val="nil"/>
              <w:left w:val="nil"/>
              <w:bottom w:val="single" w:sz="4" w:space="0" w:color="0070C0"/>
              <w:right w:val="single" w:sz="4" w:space="0" w:color="0070C0"/>
            </w:tcBorders>
            <w:shd w:val="clear" w:color="auto" w:fill="auto"/>
            <w:noWrap/>
            <w:vAlign w:val="center"/>
            <w:hideMark/>
          </w:tcPr>
          <w:p w14:paraId="103B0F6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1538</w:t>
            </w:r>
          </w:p>
        </w:tc>
        <w:tc>
          <w:tcPr>
            <w:tcW w:w="418" w:type="pct"/>
            <w:tcBorders>
              <w:top w:val="nil"/>
              <w:left w:val="nil"/>
              <w:bottom w:val="single" w:sz="4" w:space="0" w:color="0070C0"/>
              <w:right w:val="single" w:sz="4" w:space="0" w:color="0070C0"/>
            </w:tcBorders>
            <w:shd w:val="clear" w:color="auto" w:fill="auto"/>
            <w:noWrap/>
            <w:vAlign w:val="center"/>
            <w:hideMark/>
          </w:tcPr>
          <w:p w14:paraId="44C9D39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87%</w:t>
            </w:r>
          </w:p>
        </w:tc>
      </w:tr>
      <w:tr w:rsidR="00A400FF" w:rsidRPr="002F1BBC" w14:paraId="761ECDFD"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000000" w:fill="D9E1F2"/>
            <w:noWrap/>
            <w:vAlign w:val="center"/>
            <w:hideMark/>
          </w:tcPr>
          <w:p w14:paraId="4132C02F"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 xml:space="preserve">Total </w:t>
            </w:r>
          </w:p>
        </w:tc>
        <w:tc>
          <w:tcPr>
            <w:tcW w:w="398" w:type="pct"/>
            <w:tcBorders>
              <w:top w:val="nil"/>
              <w:left w:val="nil"/>
              <w:bottom w:val="single" w:sz="4" w:space="0" w:color="0070C0"/>
              <w:right w:val="single" w:sz="4" w:space="0" w:color="0070C0"/>
            </w:tcBorders>
            <w:shd w:val="clear" w:color="000000" w:fill="D9E1F2"/>
            <w:noWrap/>
            <w:vAlign w:val="center"/>
            <w:hideMark/>
          </w:tcPr>
          <w:p w14:paraId="5303B34C"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1016</w:t>
            </w:r>
          </w:p>
        </w:tc>
        <w:tc>
          <w:tcPr>
            <w:tcW w:w="442" w:type="pct"/>
            <w:tcBorders>
              <w:top w:val="nil"/>
              <w:left w:val="nil"/>
              <w:bottom w:val="single" w:sz="4" w:space="0" w:color="0070C0"/>
              <w:right w:val="single" w:sz="4" w:space="0" w:color="0070C0"/>
            </w:tcBorders>
            <w:shd w:val="clear" w:color="000000" w:fill="D9E1F2"/>
            <w:noWrap/>
            <w:vAlign w:val="center"/>
            <w:hideMark/>
          </w:tcPr>
          <w:p w14:paraId="50025DD9"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05D7359D"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744</w:t>
            </w:r>
          </w:p>
        </w:tc>
        <w:tc>
          <w:tcPr>
            <w:tcW w:w="441" w:type="pct"/>
            <w:tcBorders>
              <w:top w:val="nil"/>
              <w:left w:val="nil"/>
              <w:bottom w:val="single" w:sz="4" w:space="0" w:color="0070C0"/>
              <w:right w:val="single" w:sz="4" w:space="0" w:color="0070C0"/>
            </w:tcBorders>
            <w:shd w:val="clear" w:color="000000" w:fill="D9E1F2"/>
            <w:noWrap/>
            <w:vAlign w:val="center"/>
            <w:hideMark/>
          </w:tcPr>
          <w:p w14:paraId="2C306B1A"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58899E95"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564</w:t>
            </w:r>
          </w:p>
        </w:tc>
        <w:tc>
          <w:tcPr>
            <w:tcW w:w="450" w:type="pct"/>
            <w:tcBorders>
              <w:top w:val="nil"/>
              <w:left w:val="nil"/>
              <w:bottom w:val="single" w:sz="4" w:space="0" w:color="0070C0"/>
              <w:right w:val="single" w:sz="4" w:space="0" w:color="0070C0"/>
            </w:tcBorders>
            <w:shd w:val="clear" w:color="000000" w:fill="D9E1F2"/>
            <w:noWrap/>
            <w:vAlign w:val="center"/>
            <w:hideMark/>
          </w:tcPr>
          <w:p w14:paraId="3295A7AD"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407" w:type="pct"/>
            <w:tcBorders>
              <w:top w:val="nil"/>
              <w:left w:val="nil"/>
              <w:bottom w:val="single" w:sz="4" w:space="0" w:color="0070C0"/>
              <w:right w:val="single" w:sz="4" w:space="0" w:color="0070C0"/>
            </w:tcBorders>
            <w:shd w:val="clear" w:color="000000" w:fill="D9E1F2"/>
            <w:noWrap/>
            <w:vAlign w:val="center"/>
            <w:hideMark/>
          </w:tcPr>
          <w:p w14:paraId="324E60C1"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1196</w:t>
            </w:r>
          </w:p>
        </w:tc>
        <w:tc>
          <w:tcPr>
            <w:tcW w:w="450" w:type="pct"/>
            <w:tcBorders>
              <w:top w:val="nil"/>
              <w:left w:val="nil"/>
              <w:bottom w:val="single" w:sz="4" w:space="0" w:color="0070C0"/>
              <w:right w:val="single" w:sz="4" w:space="0" w:color="0070C0"/>
            </w:tcBorders>
            <w:shd w:val="clear" w:color="000000" w:fill="D9E1F2"/>
            <w:noWrap/>
            <w:vAlign w:val="center"/>
            <w:hideMark/>
          </w:tcPr>
          <w:p w14:paraId="03E29BD7"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79" w:type="pct"/>
            <w:tcBorders>
              <w:top w:val="nil"/>
              <w:left w:val="nil"/>
              <w:bottom w:val="single" w:sz="4" w:space="0" w:color="0070C0"/>
              <w:right w:val="single" w:sz="4" w:space="0" w:color="0070C0"/>
            </w:tcBorders>
            <w:shd w:val="clear" w:color="000000" w:fill="D9E1F2"/>
            <w:noWrap/>
            <w:vAlign w:val="center"/>
            <w:hideMark/>
          </w:tcPr>
          <w:p w14:paraId="278144C6"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1760</w:t>
            </w:r>
          </w:p>
        </w:tc>
        <w:tc>
          <w:tcPr>
            <w:tcW w:w="418" w:type="pct"/>
            <w:tcBorders>
              <w:top w:val="nil"/>
              <w:left w:val="nil"/>
              <w:bottom w:val="single" w:sz="4" w:space="0" w:color="0070C0"/>
              <w:right w:val="single" w:sz="4" w:space="0" w:color="0070C0"/>
            </w:tcBorders>
            <w:shd w:val="clear" w:color="000000" w:fill="D9E1F2"/>
            <w:noWrap/>
            <w:vAlign w:val="center"/>
            <w:hideMark/>
          </w:tcPr>
          <w:p w14:paraId="25382637"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r>
    </w:tbl>
    <w:p w14:paraId="16D16417" w14:textId="77777777" w:rsidR="00A400FF" w:rsidRPr="009F5BDE" w:rsidRDefault="00A400FF" w:rsidP="00A400FF">
      <w:pPr>
        <w:keepNext/>
        <w:spacing w:before="0" w:after="0" w:line="276" w:lineRule="auto"/>
        <w:rPr>
          <w:b/>
          <w:color w:val="00000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79F97F86" w14:textId="77777777" w:rsidR="00A400FF" w:rsidRDefault="00A400FF" w:rsidP="00A400FF">
      <w:pPr>
        <w:tabs>
          <w:tab w:val="left" w:pos="2763"/>
        </w:tabs>
        <w:spacing w:line="276" w:lineRule="auto"/>
        <w:jc w:val="left"/>
      </w:pPr>
    </w:p>
    <w:p w14:paraId="739E2838" w14:textId="386B76E7" w:rsidR="00A400FF" w:rsidRPr="00C62F7E" w:rsidRDefault="00A400FF" w:rsidP="00A400FF">
      <w:pPr>
        <w:pStyle w:val="Lgende"/>
        <w:keepNext/>
        <w:rPr>
          <w:color w:val="000000" w:themeColor="text1"/>
        </w:rPr>
      </w:pPr>
      <w:bookmarkStart w:id="1030" w:name="_Toc92262120"/>
      <w:r>
        <w:t xml:space="preserve">Tableau </w:t>
      </w:r>
      <w:r>
        <w:fldChar w:fldCharType="begin"/>
      </w:r>
      <w:r>
        <w:instrText>SEQ Tableau \* ARABIC</w:instrText>
      </w:r>
      <w:r>
        <w:fldChar w:fldCharType="separate"/>
      </w:r>
      <w:r w:rsidR="0046716F">
        <w:rPr>
          <w:noProof/>
        </w:rPr>
        <w:t>18</w:t>
      </w:r>
      <w:r>
        <w:fldChar w:fldCharType="end"/>
      </w:r>
      <w:r>
        <w:t xml:space="preserve"> :</w:t>
      </w:r>
      <w:r w:rsidRPr="00AA19B7">
        <w:t xml:space="preserve"> Connaissance des voies de recours par les bénéficiaires directs</w:t>
      </w:r>
      <w:bookmarkEnd w:id="1030"/>
    </w:p>
    <w:tbl>
      <w:tblPr>
        <w:tblW w:w="0" w:type="auto"/>
        <w:tblLook w:val="04A0" w:firstRow="1" w:lastRow="0" w:firstColumn="1" w:lastColumn="0" w:noHBand="0" w:noVBand="1"/>
      </w:tblPr>
      <w:tblGrid>
        <w:gridCol w:w="1901"/>
        <w:gridCol w:w="595"/>
        <w:gridCol w:w="717"/>
        <w:gridCol w:w="967"/>
        <w:gridCol w:w="831"/>
        <w:gridCol w:w="584"/>
        <w:gridCol w:w="717"/>
        <w:gridCol w:w="658"/>
        <w:gridCol w:w="717"/>
        <w:gridCol w:w="658"/>
        <w:gridCol w:w="717"/>
      </w:tblGrid>
      <w:tr w:rsidR="00A400FF" w:rsidRPr="004E0C20" w14:paraId="6A8D1438" w14:textId="77777777" w:rsidTr="0020372B">
        <w:trPr>
          <w:trHeight w:val="57"/>
          <w:tblHeader/>
        </w:trPr>
        <w:tc>
          <w:tcPr>
            <w:tcW w:w="1929" w:type="dxa"/>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579E5F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 </w:t>
            </w:r>
          </w:p>
        </w:tc>
        <w:tc>
          <w:tcPr>
            <w:tcW w:w="3137" w:type="dxa"/>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07793FE"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Sexe </w:t>
            </w:r>
          </w:p>
        </w:tc>
        <w:tc>
          <w:tcPr>
            <w:tcW w:w="2645" w:type="dxa"/>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6751C4B"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Tranche d'âge</w:t>
            </w:r>
          </w:p>
        </w:tc>
        <w:tc>
          <w:tcPr>
            <w:tcW w:w="0" w:type="auto"/>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5CB1262"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Total </w:t>
            </w:r>
          </w:p>
        </w:tc>
      </w:tr>
      <w:tr w:rsidR="00A400FF" w:rsidRPr="004E0C20" w14:paraId="4FECBD9C" w14:textId="77777777" w:rsidTr="0020372B">
        <w:trPr>
          <w:trHeight w:val="57"/>
          <w:tblHeader/>
        </w:trPr>
        <w:tc>
          <w:tcPr>
            <w:tcW w:w="1929" w:type="dxa"/>
            <w:vMerge/>
            <w:tcBorders>
              <w:top w:val="single" w:sz="4" w:space="0" w:color="0070C0"/>
              <w:left w:val="single" w:sz="4" w:space="0" w:color="0070C0"/>
              <w:bottom w:val="single" w:sz="4" w:space="0" w:color="0070C0"/>
              <w:right w:val="single" w:sz="4" w:space="0" w:color="0070C0"/>
            </w:tcBorders>
            <w:vAlign w:val="center"/>
            <w:hideMark/>
          </w:tcPr>
          <w:p w14:paraId="414DA865" w14:textId="77777777" w:rsidR="00A400FF" w:rsidRPr="004E0C20" w:rsidRDefault="00A400FF" w:rsidP="0020372B">
            <w:pPr>
              <w:keepNext/>
              <w:spacing w:before="0" w:after="0" w:line="240" w:lineRule="auto"/>
              <w:jc w:val="left"/>
              <w:rPr>
                <w:rFonts w:eastAsia="Times New Roman" w:cs="Calibri"/>
                <w:color w:val="000000"/>
                <w:sz w:val="20"/>
                <w:szCs w:val="20"/>
              </w:rPr>
            </w:pPr>
          </w:p>
        </w:tc>
        <w:tc>
          <w:tcPr>
            <w:tcW w:w="1317"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B4214CA"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Féminin</w:t>
            </w:r>
          </w:p>
        </w:tc>
        <w:tc>
          <w:tcPr>
            <w:tcW w:w="1820"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1246B04"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Masculin</w:t>
            </w:r>
          </w:p>
        </w:tc>
        <w:tc>
          <w:tcPr>
            <w:tcW w:w="1294"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D2A45EE"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18-34 ans </w:t>
            </w:r>
          </w:p>
        </w:tc>
        <w:tc>
          <w:tcPr>
            <w:tcW w:w="0" w:type="auto"/>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9C98E42"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35ans et +</w:t>
            </w:r>
          </w:p>
        </w:tc>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14:paraId="646348CD" w14:textId="77777777" w:rsidR="00A400FF" w:rsidRPr="004E0C20" w:rsidRDefault="00A400FF" w:rsidP="0020372B">
            <w:pPr>
              <w:keepNext/>
              <w:spacing w:before="0" w:after="0" w:line="240" w:lineRule="auto"/>
              <w:jc w:val="left"/>
              <w:rPr>
                <w:rFonts w:eastAsia="Times New Roman" w:cs="Calibri"/>
                <w:b/>
                <w:bCs/>
                <w:color w:val="FFFFFF"/>
                <w:sz w:val="20"/>
                <w:szCs w:val="20"/>
              </w:rPr>
            </w:pPr>
          </w:p>
        </w:tc>
      </w:tr>
      <w:tr w:rsidR="00A400FF" w:rsidRPr="004E0C20" w14:paraId="6CCBF94D" w14:textId="77777777" w:rsidTr="0020372B">
        <w:trPr>
          <w:trHeight w:val="57"/>
          <w:tblHeader/>
        </w:trPr>
        <w:tc>
          <w:tcPr>
            <w:tcW w:w="1929" w:type="dxa"/>
            <w:vMerge/>
            <w:tcBorders>
              <w:top w:val="single" w:sz="4" w:space="0" w:color="0070C0"/>
              <w:left w:val="single" w:sz="4" w:space="0" w:color="0070C0"/>
              <w:bottom w:val="single" w:sz="4" w:space="0" w:color="0070C0"/>
              <w:right w:val="single" w:sz="4" w:space="0" w:color="0070C0"/>
            </w:tcBorders>
            <w:vAlign w:val="center"/>
            <w:hideMark/>
          </w:tcPr>
          <w:p w14:paraId="4832DB0B" w14:textId="77777777" w:rsidR="00A400FF" w:rsidRPr="004E0C20" w:rsidRDefault="00A400FF" w:rsidP="0020372B">
            <w:pPr>
              <w:keepNext/>
              <w:spacing w:before="0" w:after="0" w:line="240" w:lineRule="auto"/>
              <w:jc w:val="left"/>
              <w:rPr>
                <w:rFonts w:eastAsia="Times New Roman" w:cs="Calibri"/>
                <w:color w:val="000000"/>
                <w:sz w:val="20"/>
                <w:szCs w:val="20"/>
              </w:rPr>
            </w:pPr>
          </w:p>
        </w:tc>
        <w:tc>
          <w:tcPr>
            <w:tcW w:w="602" w:type="dxa"/>
            <w:tcBorders>
              <w:top w:val="nil"/>
              <w:left w:val="nil"/>
              <w:bottom w:val="single" w:sz="4" w:space="0" w:color="0070C0"/>
              <w:right w:val="single" w:sz="4" w:space="0" w:color="0070C0"/>
            </w:tcBorders>
            <w:shd w:val="clear" w:color="000000" w:fill="00B0F0"/>
            <w:noWrap/>
            <w:vAlign w:val="center"/>
            <w:hideMark/>
          </w:tcPr>
          <w:p w14:paraId="620A18E0"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715" w:type="dxa"/>
            <w:tcBorders>
              <w:top w:val="nil"/>
              <w:left w:val="nil"/>
              <w:bottom w:val="single" w:sz="4" w:space="0" w:color="0070C0"/>
              <w:right w:val="single" w:sz="4" w:space="0" w:color="0070C0"/>
            </w:tcBorders>
            <w:shd w:val="clear" w:color="000000" w:fill="00B0F0"/>
            <w:noWrap/>
            <w:vAlign w:val="center"/>
            <w:hideMark/>
          </w:tcPr>
          <w:p w14:paraId="38692816"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979" w:type="dxa"/>
            <w:tcBorders>
              <w:top w:val="nil"/>
              <w:left w:val="nil"/>
              <w:bottom w:val="single" w:sz="4" w:space="0" w:color="0070C0"/>
              <w:right w:val="single" w:sz="4" w:space="0" w:color="0070C0"/>
            </w:tcBorders>
            <w:shd w:val="clear" w:color="000000" w:fill="00B0F0"/>
            <w:noWrap/>
            <w:vAlign w:val="center"/>
            <w:hideMark/>
          </w:tcPr>
          <w:p w14:paraId="35339E3F"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841" w:type="dxa"/>
            <w:tcBorders>
              <w:top w:val="nil"/>
              <w:left w:val="nil"/>
              <w:bottom w:val="single" w:sz="4" w:space="0" w:color="0070C0"/>
              <w:right w:val="single" w:sz="4" w:space="0" w:color="0070C0"/>
            </w:tcBorders>
            <w:shd w:val="clear" w:color="000000" w:fill="00B0F0"/>
            <w:noWrap/>
            <w:vAlign w:val="center"/>
            <w:hideMark/>
          </w:tcPr>
          <w:p w14:paraId="184AB0F4"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590" w:type="dxa"/>
            <w:tcBorders>
              <w:top w:val="nil"/>
              <w:left w:val="nil"/>
              <w:bottom w:val="single" w:sz="4" w:space="0" w:color="0070C0"/>
              <w:right w:val="single" w:sz="4" w:space="0" w:color="0070C0"/>
            </w:tcBorders>
            <w:shd w:val="clear" w:color="000000" w:fill="00B0F0"/>
            <w:noWrap/>
            <w:vAlign w:val="center"/>
            <w:hideMark/>
          </w:tcPr>
          <w:p w14:paraId="047340DC"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548BDE95"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14E6EFD8"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7A8BF2A7"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65E8F1EB"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3495AAF3"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r>
      <w:tr w:rsidR="00A400FF" w:rsidRPr="004E0C20" w14:paraId="5FE2C533" w14:textId="77777777" w:rsidTr="0020372B">
        <w:trPr>
          <w:trHeight w:val="57"/>
        </w:trPr>
        <w:tc>
          <w:tcPr>
            <w:tcW w:w="0" w:type="auto"/>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6827F4AF" w14:textId="77777777" w:rsidR="00A400FF" w:rsidRPr="004E0C20" w:rsidRDefault="00A400FF" w:rsidP="0020372B">
            <w:pPr>
              <w:keepNext/>
              <w:spacing w:before="0" w:after="0" w:line="240" w:lineRule="auto"/>
              <w:jc w:val="left"/>
              <w:rPr>
                <w:rFonts w:eastAsia="Times New Roman" w:cs="Calibri"/>
                <w:b/>
                <w:bCs/>
                <w:color w:val="000000"/>
                <w:sz w:val="20"/>
                <w:szCs w:val="20"/>
              </w:rPr>
            </w:pPr>
            <w:r w:rsidRPr="004E0C20">
              <w:rPr>
                <w:rFonts w:eastAsia="Times New Roman" w:cs="Calibri"/>
                <w:b/>
                <w:bCs/>
                <w:color w:val="000000"/>
                <w:sz w:val="20"/>
                <w:szCs w:val="20"/>
              </w:rPr>
              <w:t xml:space="preserve">Connaissance des voies de recours </w:t>
            </w:r>
          </w:p>
        </w:tc>
      </w:tr>
      <w:tr w:rsidR="00A400FF" w:rsidRPr="004E0C20" w14:paraId="26A1C596"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19B41763"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Non</w:t>
            </w:r>
          </w:p>
        </w:tc>
        <w:tc>
          <w:tcPr>
            <w:tcW w:w="602" w:type="dxa"/>
            <w:tcBorders>
              <w:top w:val="nil"/>
              <w:left w:val="nil"/>
              <w:bottom w:val="single" w:sz="4" w:space="0" w:color="0070C0"/>
              <w:right w:val="single" w:sz="4" w:space="0" w:color="0070C0"/>
            </w:tcBorders>
            <w:shd w:val="clear" w:color="auto" w:fill="auto"/>
            <w:noWrap/>
            <w:vAlign w:val="center"/>
            <w:hideMark/>
          </w:tcPr>
          <w:p w14:paraId="2CF1ECF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715" w:type="dxa"/>
            <w:tcBorders>
              <w:top w:val="nil"/>
              <w:left w:val="nil"/>
              <w:bottom w:val="single" w:sz="4" w:space="0" w:color="0070C0"/>
              <w:right w:val="single" w:sz="4" w:space="0" w:color="0070C0"/>
            </w:tcBorders>
            <w:shd w:val="clear" w:color="auto" w:fill="auto"/>
            <w:noWrap/>
            <w:vAlign w:val="center"/>
            <w:hideMark/>
          </w:tcPr>
          <w:p w14:paraId="581D45F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979" w:type="dxa"/>
            <w:tcBorders>
              <w:top w:val="nil"/>
              <w:left w:val="nil"/>
              <w:bottom w:val="single" w:sz="4" w:space="0" w:color="0070C0"/>
              <w:right w:val="single" w:sz="4" w:space="0" w:color="0070C0"/>
            </w:tcBorders>
            <w:shd w:val="clear" w:color="auto" w:fill="auto"/>
            <w:noWrap/>
            <w:vAlign w:val="center"/>
            <w:hideMark/>
          </w:tcPr>
          <w:p w14:paraId="76127E2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841" w:type="dxa"/>
            <w:tcBorders>
              <w:top w:val="nil"/>
              <w:left w:val="nil"/>
              <w:bottom w:val="single" w:sz="4" w:space="0" w:color="0070C0"/>
              <w:right w:val="single" w:sz="4" w:space="0" w:color="0070C0"/>
            </w:tcBorders>
            <w:shd w:val="clear" w:color="auto" w:fill="auto"/>
            <w:noWrap/>
            <w:vAlign w:val="center"/>
            <w:hideMark/>
          </w:tcPr>
          <w:p w14:paraId="3E7DB0E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590" w:type="dxa"/>
            <w:tcBorders>
              <w:top w:val="nil"/>
              <w:left w:val="nil"/>
              <w:bottom w:val="single" w:sz="4" w:space="0" w:color="0070C0"/>
              <w:right w:val="single" w:sz="4" w:space="0" w:color="0070C0"/>
            </w:tcBorders>
            <w:shd w:val="clear" w:color="auto" w:fill="auto"/>
            <w:noWrap/>
            <w:vAlign w:val="center"/>
            <w:hideMark/>
          </w:tcPr>
          <w:p w14:paraId="76F92E2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w:t>
            </w:r>
          </w:p>
        </w:tc>
        <w:tc>
          <w:tcPr>
            <w:tcW w:w="0" w:type="auto"/>
            <w:tcBorders>
              <w:top w:val="nil"/>
              <w:left w:val="nil"/>
              <w:bottom w:val="single" w:sz="4" w:space="0" w:color="0070C0"/>
              <w:right w:val="single" w:sz="4" w:space="0" w:color="0070C0"/>
            </w:tcBorders>
            <w:shd w:val="clear" w:color="auto" w:fill="auto"/>
            <w:noWrap/>
            <w:vAlign w:val="center"/>
            <w:hideMark/>
          </w:tcPr>
          <w:p w14:paraId="506CF8B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0" w:type="auto"/>
            <w:tcBorders>
              <w:top w:val="nil"/>
              <w:left w:val="nil"/>
              <w:bottom w:val="single" w:sz="4" w:space="0" w:color="0070C0"/>
              <w:right w:val="single" w:sz="4" w:space="0" w:color="0070C0"/>
            </w:tcBorders>
            <w:shd w:val="clear" w:color="auto" w:fill="auto"/>
            <w:noWrap/>
            <w:vAlign w:val="center"/>
            <w:hideMark/>
          </w:tcPr>
          <w:p w14:paraId="7F8D8C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0" w:type="auto"/>
            <w:tcBorders>
              <w:top w:val="nil"/>
              <w:left w:val="nil"/>
              <w:bottom w:val="single" w:sz="4" w:space="0" w:color="0070C0"/>
              <w:right w:val="single" w:sz="4" w:space="0" w:color="0070C0"/>
            </w:tcBorders>
            <w:shd w:val="clear" w:color="auto" w:fill="auto"/>
            <w:noWrap/>
            <w:vAlign w:val="center"/>
            <w:hideMark/>
          </w:tcPr>
          <w:p w14:paraId="74602B0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0%</w:t>
            </w:r>
          </w:p>
        </w:tc>
        <w:tc>
          <w:tcPr>
            <w:tcW w:w="0" w:type="auto"/>
            <w:tcBorders>
              <w:top w:val="nil"/>
              <w:left w:val="nil"/>
              <w:bottom w:val="single" w:sz="4" w:space="0" w:color="0070C0"/>
              <w:right w:val="single" w:sz="4" w:space="0" w:color="0070C0"/>
            </w:tcBorders>
            <w:shd w:val="clear" w:color="auto" w:fill="auto"/>
            <w:noWrap/>
            <w:vAlign w:val="center"/>
            <w:hideMark/>
          </w:tcPr>
          <w:p w14:paraId="28609F1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4</w:t>
            </w:r>
          </w:p>
        </w:tc>
        <w:tc>
          <w:tcPr>
            <w:tcW w:w="0" w:type="auto"/>
            <w:tcBorders>
              <w:top w:val="nil"/>
              <w:left w:val="nil"/>
              <w:bottom w:val="single" w:sz="4" w:space="0" w:color="0070C0"/>
              <w:right w:val="single" w:sz="4" w:space="0" w:color="0070C0"/>
            </w:tcBorders>
            <w:shd w:val="clear" w:color="auto" w:fill="auto"/>
            <w:noWrap/>
            <w:vAlign w:val="center"/>
            <w:hideMark/>
          </w:tcPr>
          <w:p w14:paraId="1DC4EC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r>
      <w:tr w:rsidR="00A400FF" w:rsidRPr="004E0C20" w14:paraId="631F2E1A"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2725CACF"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Oui </w:t>
            </w:r>
          </w:p>
        </w:tc>
        <w:tc>
          <w:tcPr>
            <w:tcW w:w="602" w:type="dxa"/>
            <w:tcBorders>
              <w:top w:val="nil"/>
              <w:left w:val="nil"/>
              <w:bottom w:val="single" w:sz="4" w:space="0" w:color="0070C0"/>
              <w:right w:val="single" w:sz="4" w:space="0" w:color="0070C0"/>
            </w:tcBorders>
            <w:shd w:val="clear" w:color="auto" w:fill="auto"/>
            <w:noWrap/>
            <w:vAlign w:val="center"/>
            <w:hideMark/>
          </w:tcPr>
          <w:p w14:paraId="6FE22D54"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252</w:t>
            </w:r>
          </w:p>
        </w:tc>
        <w:tc>
          <w:tcPr>
            <w:tcW w:w="715" w:type="dxa"/>
            <w:tcBorders>
              <w:top w:val="nil"/>
              <w:left w:val="nil"/>
              <w:bottom w:val="single" w:sz="4" w:space="0" w:color="0070C0"/>
              <w:right w:val="single" w:sz="4" w:space="0" w:color="0070C0"/>
            </w:tcBorders>
            <w:shd w:val="clear" w:color="auto" w:fill="auto"/>
            <w:noWrap/>
            <w:vAlign w:val="center"/>
            <w:hideMark/>
          </w:tcPr>
          <w:p w14:paraId="52F1F05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c>
          <w:tcPr>
            <w:tcW w:w="979" w:type="dxa"/>
            <w:tcBorders>
              <w:top w:val="nil"/>
              <w:left w:val="nil"/>
              <w:bottom w:val="single" w:sz="4" w:space="0" w:color="0070C0"/>
              <w:right w:val="single" w:sz="4" w:space="0" w:color="0070C0"/>
            </w:tcBorders>
            <w:shd w:val="clear" w:color="auto" w:fill="auto"/>
            <w:noWrap/>
            <w:vAlign w:val="center"/>
            <w:hideMark/>
          </w:tcPr>
          <w:p w14:paraId="269D368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184</w:t>
            </w:r>
          </w:p>
        </w:tc>
        <w:tc>
          <w:tcPr>
            <w:tcW w:w="841" w:type="dxa"/>
            <w:tcBorders>
              <w:top w:val="nil"/>
              <w:left w:val="nil"/>
              <w:bottom w:val="single" w:sz="4" w:space="0" w:color="0070C0"/>
              <w:right w:val="single" w:sz="4" w:space="0" w:color="0070C0"/>
            </w:tcBorders>
            <w:shd w:val="clear" w:color="auto" w:fill="auto"/>
            <w:noWrap/>
            <w:vAlign w:val="center"/>
            <w:hideMark/>
          </w:tcPr>
          <w:p w14:paraId="7842CB5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c>
          <w:tcPr>
            <w:tcW w:w="590" w:type="dxa"/>
            <w:tcBorders>
              <w:top w:val="nil"/>
              <w:left w:val="nil"/>
              <w:bottom w:val="single" w:sz="4" w:space="0" w:color="0070C0"/>
              <w:right w:val="single" w:sz="4" w:space="0" w:color="0070C0"/>
            </w:tcBorders>
            <w:shd w:val="clear" w:color="auto" w:fill="auto"/>
            <w:noWrap/>
            <w:vAlign w:val="center"/>
            <w:hideMark/>
          </w:tcPr>
          <w:p w14:paraId="357F95B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138</w:t>
            </w:r>
          </w:p>
        </w:tc>
        <w:tc>
          <w:tcPr>
            <w:tcW w:w="0" w:type="auto"/>
            <w:tcBorders>
              <w:top w:val="nil"/>
              <w:left w:val="nil"/>
              <w:bottom w:val="single" w:sz="4" w:space="0" w:color="0070C0"/>
              <w:right w:val="single" w:sz="4" w:space="0" w:color="0070C0"/>
            </w:tcBorders>
            <w:shd w:val="clear" w:color="auto" w:fill="auto"/>
            <w:noWrap/>
            <w:vAlign w:val="center"/>
            <w:hideMark/>
          </w:tcPr>
          <w:p w14:paraId="7A9F172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98%</w:t>
            </w:r>
          </w:p>
        </w:tc>
        <w:tc>
          <w:tcPr>
            <w:tcW w:w="0" w:type="auto"/>
            <w:tcBorders>
              <w:top w:val="nil"/>
              <w:left w:val="nil"/>
              <w:bottom w:val="single" w:sz="4" w:space="0" w:color="0070C0"/>
              <w:right w:val="single" w:sz="4" w:space="0" w:color="0070C0"/>
            </w:tcBorders>
            <w:shd w:val="clear" w:color="auto" w:fill="auto"/>
            <w:noWrap/>
            <w:vAlign w:val="center"/>
            <w:hideMark/>
          </w:tcPr>
          <w:p w14:paraId="4447D0D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298</w:t>
            </w:r>
          </w:p>
        </w:tc>
        <w:tc>
          <w:tcPr>
            <w:tcW w:w="0" w:type="auto"/>
            <w:tcBorders>
              <w:top w:val="nil"/>
              <w:left w:val="nil"/>
              <w:bottom w:val="single" w:sz="4" w:space="0" w:color="0070C0"/>
              <w:right w:val="single" w:sz="4" w:space="0" w:color="0070C0"/>
            </w:tcBorders>
            <w:shd w:val="clear" w:color="auto" w:fill="auto"/>
            <w:noWrap/>
            <w:vAlign w:val="center"/>
            <w:hideMark/>
          </w:tcPr>
          <w:p w14:paraId="12239F4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100%</w:t>
            </w:r>
          </w:p>
        </w:tc>
        <w:tc>
          <w:tcPr>
            <w:tcW w:w="0" w:type="auto"/>
            <w:tcBorders>
              <w:top w:val="nil"/>
              <w:left w:val="nil"/>
              <w:bottom w:val="single" w:sz="4" w:space="0" w:color="0070C0"/>
              <w:right w:val="single" w:sz="4" w:space="0" w:color="0070C0"/>
            </w:tcBorders>
            <w:shd w:val="clear" w:color="auto" w:fill="auto"/>
            <w:noWrap/>
            <w:vAlign w:val="center"/>
            <w:hideMark/>
          </w:tcPr>
          <w:p w14:paraId="7BA1173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436</w:t>
            </w:r>
          </w:p>
        </w:tc>
        <w:tc>
          <w:tcPr>
            <w:tcW w:w="0" w:type="auto"/>
            <w:tcBorders>
              <w:top w:val="nil"/>
              <w:left w:val="nil"/>
              <w:bottom w:val="single" w:sz="4" w:space="0" w:color="0070C0"/>
              <w:right w:val="single" w:sz="4" w:space="0" w:color="0070C0"/>
            </w:tcBorders>
            <w:shd w:val="clear" w:color="auto" w:fill="auto"/>
            <w:noWrap/>
            <w:vAlign w:val="center"/>
            <w:hideMark/>
          </w:tcPr>
          <w:p w14:paraId="6E0579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r>
      <w:tr w:rsidR="00A400FF" w:rsidRPr="004E0C20" w14:paraId="16C851E2"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000000" w:fill="D9E1F2"/>
            <w:noWrap/>
            <w:vAlign w:val="center"/>
            <w:hideMark/>
          </w:tcPr>
          <w:p w14:paraId="3E3879EE"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 xml:space="preserve">Total </w:t>
            </w:r>
          </w:p>
        </w:tc>
        <w:tc>
          <w:tcPr>
            <w:tcW w:w="602" w:type="dxa"/>
            <w:tcBorders>
              <w:top w:val="nil"/>
              <w:left w:val="nil"/>
              <w:bottom w:val="single" w:sz="4" w:space="0" w:color="0070C0"/>
              <w:right w:val="single" w:sz="4" w:space="0" w:color="0070C0"/>
            </w:tcBorders>
            <w:shd w:val="clear" w:color="000000" w:fill="D9E1F2"/>
            <w:noWrap/>
            <w:vAlign w:val="center"/>
            <w:hideMark/>
          </w:tcPr>
          <w:p w14:paraId="17AA7B2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254</w:t>
            </w:r>
          </w:p>
        </w:tc>
        <w:tc>
          <w:tcPr>
            <w:tcW w:w="715" w:type="dxa"/>
            <w:tcBorders>
              <w:top w:val="nil"/>
              <w:left w:val="nil"/>
              <w:bottom w:val="single" w:sz="4" w:space="0" w:color="0070C0"/>
              <w:right w:val="single" w:sz="4" w:space="0" w:color="0070C0"/>
            </w:tcBorders>
            <w:shd w:val="clear" w:color="000000" w:fill="D9E1F2"/>
            <w:noWrap/>
            <w:vAlign w:val="center"/>
            <w:hideMark/>
          </w:tcPr>
          <w:p w14:paraId="02442D6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979" w:type="dxa"/>
            <w:tcBorders>
              <w:top w:val="nil"/>
              <w:left w:val="nil"/>
              <w:bottom w:val="single" w:sz="4" w:space="0" w:color="0070C0"/>
              <w:right w:val="single" w:sz="4" w:space="0" w:color="0070C0"/>
            </w:tcBorders>
            <w:shd w:val="clear" w:color="000000" w:fill="D9E1F2"/>
            <w:noWrap/>
            <w:vAlign w:val="center"/>
            <w:hideMark/>
          </w:tcPr>
          <w:p w14:paraId="0C8EFA9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186</w:t>
            </w:r>
          </w:p>
        </w:tc>
        <w:tc>
          <w:tcPr>
            <w:tcW w:w="841" w:type="dxa"/>
            <w:tcBorders>
              <w:top w:val="nil"/>
              <w:left w:val="nil"/>
              <w:bottom w:val="single" w:sz="4" w:space="0" w:color="0070C0"/>
              <w:right w:val="single" w:sz="4" w:space="0" w:color="0070C0"/>
            </w:tcBorders>
            <w:shd w:val="clear" w:color="000000" w:fill="D9E1F2"/>
            <w:noWrap/>
            <w:vAlign w:val="center"/>
            <w:hideMark/>
          </w:tcPr>
          <w:p w14:paraId="6430972C"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590" w:type="dxa"/>
            <w:tcBorders>
              <w:top w:val="nil"/>
              <w:left w:val="nil"/>
              <w:bottom w:val="single" w:sz="4" w:space="0" w:color="0070C0"/>
              <w:right w:val="single" w:sz="4" w:space="0" w:color="0070C0"/>
            </w:tcBorders>
            <w:shd w:val="clear" w:color="000000" w:fill="D9E1F2"/>
            <w:noWrap/>
            <w:vAlign w:val="center"/>
            <w:hideMark/>
          </w:tcPr>
          <w:p w14:paraId="372470C8"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141</w:t>
            </w:r>
          </w:p>
        </w:tc>
        <w:tc>
          <w:tcPr>
            <w:tcW w:w="0" w:type="auto"/>
            <w:tcBorders>
              <w:top w:val="nil"/>
              <w:left w:val="nil"/>
              <w:bottom w:val="single" w:sz="4" w:space="0" w:color="0070C0"/>
              <w:right w:val="single" w:sz="4" w:space="0" w:color="0070C0"/>
            </w:tcBorders>
            <w:shd w:val="clear" w:color="000000" w:fill="D9E1F2"/>
            <w:noWrap/>
            <w:vAlign w:val="center"/>
            <w:hideMark/>
          </w:tcPr>
          <w:p w14:paraId="0C07723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14B64FE0"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299</w:t>
            </w:r>
          </w:p>
        </w:tc>
        <w:tc>
          <w:tcPr>
            <w:tcW w:w="0" w:type="auto"/>
            <w:tcBorders>
              <w:top w:val="nil"/>
              <w:left w:val="nil"/>
              <w:bottom w:val="single" w:sz="4" w:space="0" w:color="0070C0"/>
              <w:right w:val="single" w:sz="4" w:space="0" w:color="0070C0"/>
            </w:tcBorders>
            <w:shd w:val="clear" w:color="000000" w:fill="D9E1F2"/>
            <w:noWrap/>
            <w:vAlign w:val="center"/>
            <w:hideMark/>
          </w:tcPr>
          <w:p w14:paraId="31230351"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27430415"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440</w:t>
            </w:r>
          </w:p>
        </w:tc>
        <w:tc>
          <w:tcPr>
            <w:tcW w:w="0" w:type="auto"/>
            <w:tcBorders>
              <w:top w:val="nil"/>
              <w:left w:val="nil"/>
              <w:bottom w:val="single" w:sz="4" w:space="0" w:color="0070C0"/>
              <w:right w:val="single" w:sz="4" w:space="0" w:color="0070C0"/>
            </w:tcBorders>
            <w:shd w:val="clear" w:color="000000" w:fill="D9E1F2"/>
            <w:noWrap/>
            <w:vAlign w:val="center"/>
            <w:hideMark/>
          </w:tcPr>
          <w:p w14:paraId="5100624F"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r>
      <w:tr w:rsidR="00A400FF" w:rsidRPr="004E0C20" w14:paraId="1E097E83" w14:textId="77777777" w:rsidTr="0020372B">
        <w:trPr>
          <w:trHeight w:val="57"/>
        </w:trPr>
        <w:tc>
          <w:tcPr>
            <w:tcW w:w="0" w:type="auto"/>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1DFA1522" w14:textId="77777777" w:rsidR="00A400FF" w:rsidRPr="004E0C20" w:rsidRDefault="00A400FF" w:rsidP="0020372B">
            <w:pPr>
              <w:keepNext/>
              <w:spacing w:before="0" w:after="0" w:line="240" w:lineRule="auto"/>
              <w:jc w:val="left"/>
              <w:rPr>
                <w:rFonts w:eastAsia="Times New Roman" w:cs="Calibri"/>
                <w:b/>
                <w:bCs/>
                <w:color w:val="000000"/>
                <w:sz w:val="20"/>
                <w:szCs w:val="20"/>
              </w:rPr>
            </w:pPr>
            <w:r w:rsidRPr="004E0C20">
              <w:rPr>
                <w:rFonts w:eastAsia="Times New Roman" w:cs="Calibri"/>
                <w:b/>
                <w:bCs/>
                <w:color w:val="000000"/>
                <w:sz w:val="20"/>
                <w:szCs w:val="20"/>
              </w:rPr>
              <w:t xml:space="preserve">Voies de recours cités </w:t>
            </w:r>
          </w:p>
        </w:tc>
      </w:tr>
      <w:tr w:rsidR="00A400FF" w:rsidRPr="004E0C20" w14:paraId="5CC98597"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6D47342A"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Gendarmerie / Police </w:t>
            </w:r>
          </w:p>
        </w:tc>
        <w:tc>
          <w:tcPr>
            <w:tcW w:w="602" w:type="dxa"/>
            <w:tcBorders>
              <w:top w:val="nil"/>
              <w:left w:val="nil"/>
              <w:bottom w:val="single" w:sz="4" w:space="0" w:color="0070C0"/>
              <w:right w:val="single" w:sz="4" w:space="0" w:color="0070C0"/>
            </w:tcBorders>
            <w:shd w:val="clear" w:color="auto" w:fill="auto"/>
            <w:noWrap/>
            <w:vAlign w:val="center"/>
            <w:hideMark/>
          </w:tcPr>
          <w:p w14:paraId="5FA9218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214</w:t>
            </w:r>
          </w:p>
        </w:tc>
        <w:tc>
          <w:tcPr>
            <w:tcW w:w="715" w:type="dxa"/>
            <w:tcBorders>
              <w:top w:val="nil"/>
              <w:left w:val="nil"/>
              <w:bottom w:val="single" w:sz="4" w:space="0" w:color="0070C0"/>
              <w:right w:val="single" w:sz="4" w:space="0" w:color="0070C0"/>
            </w:tcBorders>
            <w:shd w:val="clear" w:color="auto" w:fill="auto"/>
            <w:noWrap/>
            <w:vAlign w:val="center"/>
            <w:hideMark/>
          </w:tcPr>
          <w:p w14:paraId="7677EBA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979" w:type="dxa"/>
            <w:tcBorders>
              <w:top w:val="nil"/>
              <w:left w:val="nil"/>
              <w:bottom w:val="single" w:sz="4" w:space="0" w:color="0070C0"/>
              <w:right w:val="single" w:sz="4" w:space="0" w:color="0070C0"/>
            </w:tcBorders>
            <w:shd w:val="clear" w:color="auto" w:fill="auto"/>
            <w:noWrap/>
            <w:vAlign w:val="center"/>
            <w:hideMark/>
          </w:tcPr>
          <w:p w14:paraId="7198DEB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158</w:t>
            </w:r>
          </w:p>
        </w:tc>
        <w:tc>
          <w:tcPr>
            <w:tcW w:w="841" w:type="dxa"/>
            <w:tcBorders>
              <w:top w:val="nil"/>
              <w:left w:val="nil"/>
              <w:bottom w:val="single" w:sz="4" w:space="0" w:color="0070C0"/>
              <w:right w:val="single" w:sz="4" w:space="0" w:color="0070C0"/>
            </w:tcBorders>
            <w:shd w:val="clear" w:color="auto" w:fill="auto"/>
            <w:noWrap/>
            <w:vAlign w:val="center"/>
            <w:hideMark/>
          </w:tcPr>
          <w:p w14:paraId="10A57D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590" w:type="dxa"/>
            <w:tcBorders>
              <w:top w:val="nil"/>
              <w:left w:val="nil"/>
              <w:bottom w:val="single" w:sz="4" w:space="0" w:color="0070C0"/>
              <w:right w:val="single" w:sz="4" w:space="0" w:color="0070C0"/>
            </w:tcBorders>
            <w:shd w:val="clear" w:color="auto" w:fill="auto"/>
            <w:noWrap/>
            <w:vAlign w:val="center"/>
            <w:hideMark/>
          </w:tcPr>
          <w:p w14:paraId="37BC5DA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110</w:t>
            </w:r>
          </w:p>
        </w:tc>
        <w:tc>
          <w:tcPr>
            <w:tcW w:w="0" w:type="auto"/>
            <w:tcBorders>
              <w:top w:val="nil"/>
              <w:left w:val="nil"/>
              <w:bottom w:val="single" w:sz="4" w:space="0" w:color="0070C0"/>
              <w:right w:val="single" w:sz="4" w:space="0" w:color="0070C0"/>
            </w:tcBorders>
            <w:shd w:val="clear" w:color="auto" w:fill="auto"/>
            <w:noWrap/>
            <w:vAlign w:val="center"/>
            <w:hideMark/>
          </w:tcPr>
          <w:p w14:paraId="5062A7E3"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29%</w:t>
            </w:r>
          </w:p>
        </w:tc>
        <w:tc>
          <w:tcPr>
            <w:tcW w:w="0" w:type="auto"/>
            <w:tcBorders>
              <w:top w:val="nil"/>
              <w:left w:val="nil"/>
              <w:bottom w:val="single" w:sz="4" w:space="0" w:color="0070C0"/>
              <w:right w:val="single" w:sz="4" w:space="0" w:color="0070C0"/>
            </w:tcBorders>
            <w:shd w:val="clear" w:color="auto" w:fill="auto"/>
            <w:noWrap/>
            <w:vAlign w:val="center"/>
            <w:hideMark/>
          </w:tcPr>
          <w:p w14:paraId="73CF9AD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262</w:t>
            </w:r>
          </w:p>
        </w:tc>
        <w:tc>
          <w:tcPr>
            <w:tcW w:w="0" w:type="auto"/>
            <w:tcBorders>
              <w:top w:val="nil"/>
              <w:left w:val="nil"/>
              <w:bottom w:val="single" w:sz="4" w:space="0" w:color="0070C0"/>
              <w:right w:val="single" w:sz="4" w:space="0" w:color="0070C0"/>
            </w:tcBorders>
            <w:shd w:val="clear" w:color="auto" w:fill="auto"/>
            <w:noWrap/>
            <w:vAlign w:val="center"/>
            <w:hideMark/>
          </w:tcPr>
          <w:p w14:paraId="7E73E8B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0" w:type="auto"/>
            <w:tcBorders>
              <w:top w:val="nil"/>
              <w:left w:val="nil"/>
              <w:bottom w:val="single" w:sz="4" w:space="0" w:color="0070C0"/>
              <w:right w:val="single" w:sz="4" w:space="0" w:color="0070C0"/>
            </w:tcBorders>
            <w:shd w:val="clear" w:color="auto" w:fill="auto"/>
            <w:noWrap/>
            <w:vAlign w:val="center"/>
            <w:hideMark/>
          </w:tcPr>
          <w:p w14:paraId="3FB4BB8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372</w:t>
            </w:r>
          </w:p>
        </w:tc>
        <w:tc>
          <w:tcPr>
            <w:tcW w:w="0" w:type="auto"/>
            <w:tcBorders>
              <w:top w:val="nil"/>
              <w:left w:val="nil"/>
              <w:bottom w:val="single" w:sz="4" w:space="0" w:color="0070C0"/>
              <w:right w:val="single" w:sz="4" w:space="0" w:color="0070C0"/>
            </w:tcBorders>
            <w:shd w:val="clear" w:color="auto" w:fill="auto"/>
            <w:noWrap/>
            <w:vAlign w:val="center"/>
            <w:hideMark/>
          </w:tcPr>
          <w:p w14:paraId="138B29A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r>
      <w:tr w:rsidR="00A400FF" w:rsidRPr="004E0C20" w14:paraId="268DB5C6"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3A16EC37"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Justice </w:t>
            </w:r>
            <w:r w:rsidRPr="0064284C">
              <w:rPr>
                <w:rFonts w:eastAsia="Times New Roman" w:cs="Calibri"/>
                <w:color w:val="000000"/>
                <w:sz w:val="18"/>
                <w:szCs w:val="18"/>
              </w:rPr>
              <w:t>(Tribunaux départementaux / de cercle, etc.)</w:t>
            </w:r>
          </w:p>
        </w:tc>
        <w:tc>
          <w:tcPr>
            <w:tcW w:w="602" w:type="dxa"/>
            <w:tcBorders>
              <w:top w:val="nil"/>
              <w:left w:val="nil"/>
              <w:bottom w:val="single" w:sz="4" w:space="0" w:color="0070C0"/>
              <w:right w:val="single" w:sz="4" w:space="0" w:color="0070C0"/>
            </w:tcBorders>
            <w:shd w:val="clear" w:color="auto" w:fill="auto"/>
            <w:noWrap/>
            <w:vAlign w:val="center"/>
            <w:hideMark/>
          </w:tcPr>
          <w:p w14:paraId="1C70C53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186</w:t>
            </w:r>
          </w:p>
        </w:tc>
        <w:tc>
          <w:tcPr>
            <w:tcW w:w="715" w:type="dxa"/>
            <w:tcBorders>
              <w:top w:val="nil"/>
              <w:left w:val="nil"/>
              <w:bottom w:val="single" w:sz="4" w:space="0" w:color="0070C0"/>
              <w:right w:val="single" w:sz="4" w:space="0" w:color="0070C0"/>
            </w:tcBorders>
            <w:shd w:val="clear" w:color="auto" w:fill="auto"/>
            <w:noWrap/>
            <w:vAlign w:val="center"/>
            <w:hideMark/>
          </w:tcPr>
          <w:p w14:paraId="2D4A6A2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979" w:type="dxa"/>
            <w:tcBorders>
              <w:top w:val="nil"/>
              <w:left w:val="nil"/>
              <w:bottom w:val="single" w:sz="4" w:space="0" w:color="0070C0"/>
              <w:right w:val="single" w:sz="4" w:space="0" w:color="0070C0"/>
            </w:tcBorders>
            <w:shd w:val="clear" w:color="auto" w:fill="auto"/>
            <w:noWrap/>
            <w:vAlign w:val="center"/>
            <w:hideMark/>
          </w:tcPr>
          <w:p w14:paraId="1AD83E14"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136</w:t>
            </w:r>
          </w:p>
        </w:tc>
        <w:tc>
          <w:tcPr>
            <w:tcW w:w="841" w:type="dxa"/>
            <w:tcBorders>
              <w:top w:val="nil"/>
              <w:left w:val="nil"/>
              <w:bottom w:val="single" w:sz="4" w:space="0" w:color="0070C0"/>
              <w:right w:val="single" w:sz="4" w:space="0" w:color="0070C0"/>
            </w:tcBorders>
            <w:shd w:val="clear" w:color="auto" w:fill="auto"/>
            <w:noWrap/>
            <w:vAlign w:val="center"/>
            <w:hideMark/>
          </w:tcPr>
          <w:p w14:paraId="74D2572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590" w:type="dxa"/>
            <w:tcBorders>
              <w:top w:val="nil"/>
              <w:left w:val="nil"/>
              <w:bottom w:val="single" w:sz="4" w:space="0" w:color="0070C0"/>
              <w:right w:val="single" w:sz="4" w:space="0" w:color="0070C0"/>
            </w:tcBorders>
            <w:shd w:val="clear" w:color="auto" w:fill="auto"/>
            <w:noWrap/>
            <w:vAlign w:val="center"/>
            <w:hideMark/>
          </w:tcPr>
          <w:p w14:paraId="4466AE3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90</w:t>
            </w:r>
          </w:p>
        </w:tc>
        <w:tc>
          <w:tcPr>
            <w:tcW w:w="0" w:type="auto"/>
            <w:tcBorders>
              <w:top w:val="nil"/>
              <w:left w:val="nil"/>
              <w:bottom w:val="single" w:sz="4" w:space="0" w:color="0070C0"/>
              <w:right w:val="single" w:sz="4" w:space="0" w:color="0070C0"/>
            </w:tcBorders>
            <w:shd w:val="clear" w:color="auto" w:fill="auto"/>
            <w:noWrap/>
            <w:vAlign w:val="center"/>
            <w:hideMark/>
          </w:tcPr>
          <w:p w14:paraId="32354FA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w:t>
            </w:r>
          </w:p>
        </w:tc>
        <w:tc>
          <w:tcPr>
            <w:tcW w:w="0" w:type="auto"/>
            <w:tcBorders>
              <w:top w:val="nil"/>
              <w:left w:val="nil"/>
              <w:bottom w:val="single" w:sz="4" w:space="0" w:color="0070C0"/>
              <w:right w:val="single" w:sz="4" w:space="0" w:color="0070C0"/>
            </w:tcBorders>
            <w:shd w:val="clear" w:color="auto" w:fill="auto"/>
            <w:noWrap/>
            <w:vAlign w:val="center"/>
            <w:hideMark/>
          </w:tcPr>
          <w:p w14:paraId="423DF9A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232</w:t>
            </w:r>
          </w:p>
        </w:tc>
        <w:tc>
          <w:tcPr>
            <w:tcW w:w="0" w:type="auto"/>
            <w:tcBorders>
              <w:top w:val="nil"/>
              <w:left w:val="nil"/>
              <w:bottom w:val="single" w:sz="4" w:space="0" w:color="0070C0"/>
              <w:right w:val="single" w:sz="4" w:space="0" w:color="0070C0"/>
            </w:tcBorders>
            <w:shd w:val="clear" w:color="auto" w:fill="auto"/>
            <w:noWrap/>
            <w:vAlign w:val="center"/>
            <w:hideMark/>
          </w:tcPr>
          <w:p w14:paraId="5E9EA3A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0" w:type="auto"/>
            <w:tcBorders>
              <w:top w:val="nil"/>
              <w:left w:val="nil"/>
              <w:bottom w:val="single" w:sz="4" w:space="0" w:color="0070C0"/>
              <w:right w:val="single" w:sz="4" w:space="0" w:color="0070C0"/>
            </w:tcBorders>
            <w:shd w:val="clear" w:color="auto" w:fill="auto"/>
            <w:noWrap/>
            <w:vAlign w:val="center"/>
            <w:hideMark/>
          </w:tcPr>
          <w:p w14:paraId="06F820E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322</w:t>
            </w:r>
          </w:p>
        </w:tc>
        <w:tc>
          <w:tcPr>
            <w:tcW w:w="0" w:type="auto"/>
            <w:tcBorders>
              <w:top w:val="nil"/>
              <w:left w:val="nil"/>
              <w:bottom w:val="single" w:sz="4" w:space="0" w:color="0070C0"/>
              <w:right w:val="single" w:sz="4" w:space="0" w:color="0070C0"/>
            </w:tcBorders>
            <w:shd w:val="clear" w:color="auto" w:fill="auto"/>
            <w:noWrap/>
            <w:vAlign w:val="center"/>
            <w:hideMark/>
          </w:tcPr>
          <w:p w14:paraId="7813B18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r>
      <w:tr w:rsidR="00A400FF" w:rsidRPr="004E0C20" w14:paraId="772FBB91"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258335FD"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Préfecture / sous-préfecture</w:t>
            </w:r>
          </w:p>
        </w:tc>
        <w:tc>
          <w:tcPr>
            <w:tcW w:w="602" w:type="dxa"/>
            <w:tcBorders>
              <w:top w:val="nil"/>
              <w:left w:val="nil"/>
              <w:bottom w:val="single" w:sz="4" w:space="0" w:color="0070C0"/>
              <w:right w:val="single" w:sz="4" w:space="0" w:color="0070C0"/>
            </w:tcBorders>
            <w:shd w:val="clear" w:color="auto" w:fill="auto"/>
            <w:noWrap/>
            <w:vAlign w:val="center"/>
            <w:hideMark/>
          </w:tcPr>
          <w:p w14:paraId="35BAE23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79</w:t>
            </w:r>
          </w:p>
        </w:tc>
        <w:tc>
          <w:tcPr>
            <w:tcW w:w="715" w:type="dxa"/>
            <w:tcBorders>
              <w:top w:val="nil"/>
              <w:left w:val="nil"/>
              <w:bottom w:val="single" w:sz="4" w:space="0" w:color="0070C0"/>
              <w:right w:val="single" w:sz="4" w:space="0" w:color="0070C0"/>
            </w:tcBorders>
            <w:shd w:val="clear" w:color="auto" w:fill="auto"/>
            <w:noWrap/>
            <w:vAlign w:val="center"/>
            <w:hideMark/>
          </w:tcPr>
          <w:p w14:paraId="5D84E70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c>
          <w:tcPr>
            <w:tcW w:w="979" w:type="dxa"/>
            <w:tcBorders>
              <w:top w:val="nil"/>
              <w:left w:val="nil"/>
              <w:bottom w:val="single" w:sz="4" w:space="0" w:color="0070C0"/>
              <w:right w:val="single" w:sz="4" w:space="0" w:color="0070C0"/>
            </w:tcBorders>
            <w:shd w:val="clear" w:color="auto" w:fill="auto"/>
            <w:noWrap/>
            <w:vAlign w:val="center"/>
            <w:hideMark/>
          </w:tcPr>
          <w:p w14:paraId="4EA0580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64</w:t>
            </w:r>
          </w:p>
        </w:tc>
        <w:tc>
          <w:tcPr>
            <w:tcW w:w="841" w:type="dxa"/>
            <w:tcBorders>
              <w:top w:val="nil"/>
              <w:left w:val="nil"/>
              <w:bottom w:val="single" w:sz="4" w:space="0" w:color="0070C0"/>
              <w:right w:val="single" w:sz="4" w:space="0" w:color="0070C0"/>
            </w:tcBorders>
            <w:shd w:val="clear" w:color="auto" w:fill="auto"/>
            <w:noWrap/>
            <w:vAlign w:val="center"/>
            <w:hideMark/>
          </w:tcPr>
          <w:p w14:paraId="785DE5D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c>
          <w:tcPr>
            <w:tcW w:w="590" w:type="dxa"/>
            <w:tcBorders>
              <w:top w:val="nil"/>
              <w:left w:val="nil"/>
              <w:bottom w:val="single" w:sz="4" w:space="0" w:color="0070C0"/>
              <w:right w:val="single" w:sz="4" w:space="0" w:color="0070C0"/>
            </w:tcBorders>
            <w:shd w:val="clear" w:color="auto" w:fill="auto"/>
            <w:noWrap/>
            <w:vAlign w:val="center"/>
            <w:hideMark/>
          </w:tcPr>
          <w:p w14:paraId="45489A5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31</w:t>
            </w:r>
          </w:p>
        </w:tc>
        <w:tc>
          <w:tcPr>
            <w:tcW w:w="0" w:type="auto"/>
            <w:tcBorders>
              <w:top w:val="nil"/>
              <w:left w:val="nil"/>
              <w:bottom w:val="single" w:sz="4" w:space="0" w:color="0070C0"/>
              <w:right w:val="single" w:sz="4" w:space="0" w:color="0070C0"/>
            </w:tcBorders>
            <w:shd w:val="clear" w:color="auto" w:fill="auto"/>
            <w:noWrap/>
            <w:vAlign w:val="center"/>
            <w:hideMark/>
          </w:tcPr>
          <w:p w14:paraId="0D55DF0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8%</w:t>
            </w:r>
          </w:p>
        </w:tc>
        <w:tc>
          <w:tcPr>
            <w:tcW w:w="0" w:type="auto"/>
            <w:tcBorders>
              <w:top w:val="nil"/>
              <w:left w:val="nil"/>
              <w:bottom w:val="single" w:sz="4" w:space="0" w:color="0070C0"/>
              <w:right w:val="single" w:sz="4" w:space="0" w:color="0070C0"/>
            </w:tcBorders>
            <w:shd w:val="clear" w:color="auto" w:fill="auto"/>
            <w:noWrap/>
            <w:vAlign w:val="center"/>
            <w:hideMark/>
          </w:tcPr>
          <w:p w14:paraId="325A378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112</w:t>
            </w:r>
          </w:p>
        </w:tc>
        <w:tc>
          <w:tcPr>
            <w:tcW w:w="0" w:type="auto"/>
            <w:tcBorders>
              <w:top w:val="nil"/>
              <w:left w:val="nil"/>
              <w:bottom w:val="single" w:sz="4" w:space="0" w:color="0070C0"/>
              <w:right w:val="single" w:sz="4" w:space="0" w:color="0070C0"/>
            </w:tcBorders>
            <w:shd w:val="clear" w:color="auto" w:fill="auto"/>
            <w:noWrap/>
            <w:vAlign w:val="center"/>
            <w:hideMark/>
          </w:tcPr>
          <w:p w14:paraId="4A113F63"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w:t>
            </w:r>
          </w:p>
        </w:tc>
        <w:tc>
          <w:tcPr>
            <w:tcW w:w="0" w:type="auto"/>
            <w:tcBorders>
              <w:top w:val="nil"/>
              <w:left w:val="nil"/>
              <w:bottom w:val="single" w:sz="4" w:space="0" w:color="0070C0"/>
              <w:right w:val="single" w:sz="4" w:space="0" w:color="0070C0"/>
            </w:tcBorders>
            <w:shd w:val="clear" w:color="auto" w:fill="auto"/>
            <w:noWrap/>
            <w:vAlign w:val="center"/>
            <w:hideMark/>
          </w:tcPr>
          <w:p w14:paraId="12B990C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143</w:t>
            </w:r>
          </w:p>
        </w:tc>
        <w:tc>
          <w:tcPr>
            <w:tcW w:w="0" w:type="auto"/>
            <w:tcBorders>
              <w:top w:val="nil"/>
              <w:left w:val="nil"/>
              <w:bottom w:val="single" w:sz="4" w:space="0" w:color="0070C0"/>
              <w:right w:val="single" w:sz="4" w:space="0" w:color="0070C0"/>
            </w:tcBorders>
            <w:shd w:val="clear" w:color="auto" w:fill="auto"/>
            <w:noWrap/>
            <w:vAlign w:val="center"/>
            <w:hideMark/>
          </w:tcPr>
          <w:p w14:paraId="73F41DF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r>
      <w:tr w:rsidR="00A400FF" w:rsidRPr="004E0C20" w14:paraId="7AB573A5"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7D3B944C"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Mairie</w:t>
            </w:r>
          </w:p>
        </w:tc>
        <w:tc>
          <w:tcPr>
            <w:tcW w:w="602" w:type="dxa"/>
            <w:tcBorders>
              <w:top w:val="nil"/>
              <w:left w:val="nil"/>
              <w:bottom w:val="single" w:sz="4" w:space="0" w:color="0070C0"/>
              <w:right w:val="single" w:sz="4" w:space="0" w:color="0070C0"/>
            </w:tcBorders>
            <w:shd w:val="clear" w:color="auto" w:fill="auto"/>
            <w:noWrap/>
            <w:vAlign w:val="center"/>
            <w:hideMark/>
          </w:tcPr>
          <w:p w14:paraId="71B513B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134</w:t>
            </w:r>
          </w:p>
        </w:tc>
        <w:tc>
          <w:tcPr>
            <w:tcW w:w="715" w:type="dxa"/>
            <w:tcBorders>
              <w:top w:val="nil"/>
              <w:left w:val="nil"/>
              <w:bottom w:val="single" w:sz="4" w:space="0" w:color="0070C0"/>
              <w:right w:val="single" w:sz="4" w:space="0" w:color="0070C0"/>
            </w:tcBorders>
            <w:shd w:val="clear" w:color="auto" w:fill="auto"/>
            <w:noWrap/>
            <w:vAlign w:val="center"/>
            <w:hideMark/>
          </w:tcPr>
          <w:p w14:paraId="4AC2CAF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c>
          <w:tcPr>
            <w:tcW w:w="979" w:type="dxa"/>
            <w:tcBorders>
              <w:top w:val="nil"/>
              <w:left w:val="nil"/>
              <w:bottom w:val="single" w:sz="4" w:space="0" w:color="0070C0"/>
              <w:right w:val="single" w:sz="4" w:space="0" w:color="0070C0"/>
            </w:tcBorders>
            <w:shd w:val="clear" w:color="auto" w:fill="auto"/>
            <w:noWrap/>
            <w:vAlign w:val="center"/>
            <w:hideMark/>
          </w:tcPr>
          <w:p w14:paraId="2DF1647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100</w:t>
            </w:r>
          </w:p>
        </w:tc>
        <w:tc>
          <w:tcPr>
            <w:tcW w:w="841" w:type="dxa"/>
            <w:tcBorders>
              <w:top w:val="nil"/>
              <w:left w:val="nil"/>
              <w:bottom w:val="single" w:sz="4" w:space="0" w:color="0070C0"/>
              <w:right w:val="single" w:sz="4" w:space="0" w:color="0070C0"/>
            </w:tcBorders>
            <w:shd w:val="clear" w:color="auto" w:fill="auto"/>
            <w:noWrap/>
            <w:vAlign w:val="center"/>
            <w:hideMark/>
          </w:tcPr>
          <w:p w14:paraId="20A6D6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c>
          <w:tcPr>
            <w:tcW w:w="590" w:type="dxa"/>
            <w:tcBorders>
              <w:top w:val="nil"/>
              <w:left w:val="nil"/>
              <w:bottom w:val="single" w:sz="4" w:space="0" w:color="0070C0"/>
              <w:right w:val="single" w:sz="4" w:space="0" w:color="0070C0"/>
            </w:tcBorders>
            <w:shd w:val="clear" w:color="auto" w:fill="auto"/>
            <w:noWrap/>
            <w:vAlign w:val="center"/>
            <w:hideMark/>
          </w:tcPr>
          <w:p w14:paraId="3B6FC2B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56</w:t>
            </w:r>
          </w:p>
        </w:tc>
        <w:tc>
          <w:tcPr>
            <w:tcW w:w="0" w:type="auto"/>
            <w:tcBorders>
              <w:top w:val="nil"/>
              <w:left w:val="nil"/>
              <w:bottom w:val="single" w:sz="4" w:space="0" w:color="0070C0"/>
              <w:right w:val="single" w:sz="4" w:space="0" w:color="0070C0"/>
            </w:tcBorders>
            <w:shd w:val="clear" w:color="auto" w:fill="auto"/>
            <w:noWrap/>
            <w:vAlign w:val="center"/>
            <w:hideMark/>
          </w:tcPr>
          <w:p w14:paraId="498DAD3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w:t>
            </w:r>
          </w:p>
        </w:tc>
        <w:tc>
          <w:tcPr>
            <w:tcW w:w="0" w:type="auto"/>
            <w:tcBorders>
              <w:top w:val="nil"/>
              <w:left w:val="nil"/>
              <w:bottom w:val="single" w:sz="4" w:space="0" w:color="0070C0"/>
              <w:right w:val="single" w:sz="4" w:space="0" w:color="0070C0"/>
            </w:tcBorders>
            <w:shd w:val="clear" w:color="auto" w:fill="auto"/>
            <w:noWrap/>
            <w:vAlign w:val="center"/>
            <w:hideMark/>
          </w:tcPr>
          <w:p w14:paraId="5B3ADC7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178</w:t>
            </w:r>
          </w:p>
        </w:tc>
        <w:tc>
          <w:tcPr>
            <w:tcW w:w="0" w:type="auto"/>
            <w:tcBorders>
              <w:top w:val="nil"/>
              <w:left w:val="nil"/>
              <w:bottom w:val="single" w:sz="4" w:space="0" w:color="0070C0"/>
              <w:right w:val="single" w:sz="4" w:space="0" w:color="0070C0"/>
            </w:tcBorders>
            <w:shd w:val="clear" w:color="auto" w:fill="auto"/>
            <w:noWrap/>
            <w:vAlign w:val="center"/>
            <w:hideMark/>
          </w:tcPr>
          <w:p w14:paraId="7C279D2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17%</w:t>
            </w:r>
          </w:p>
        </w:tc>
        <w:tc>
          <w:tcPr>
            <w:tcW w:w="0" w:type="auto"/>
            <w:tcBorders>
              <w:top w:val="nil"/>
              <w:left w:val="nil"/>
              <w:bottom w:val="single" w:sz="4" w:space="0" w:color="0070C0"/>
              <w:right w:val="single" w:sz="4" w:space="0" w:color="0070C0"/>
            </w:tcBorders>
            <w:shd w:val="clear" w:color="auto" w:fill="auto"/>
            <w:noWrap/>
            <w:vAlign w:val="center"/>
            <w:hideMark/>
          </w:tcPr>
          <w:p w14:paraId="16C4298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234</w:t>
            </w:r>
          </w:p>
        </w:tc>
        <w:tc>
          <w:tcPr>
            <w:tcW w:w="0" w:type="auto"/>
            <w:tcBorders>
              <w:top w:val="nil"/>
              <w:left w:val="nil"/>
              <w:bottom w:val="single" w:sz="4" w:space="0" w:color="0070C0"/>
              <w:right w:val="single" w:sz="4" w:space="0" w:color="0070C0"/>
            </w:tcBorders>
            <w:shd w:val="clear" w:color="auto" w:fill="auto"/>
            <w:noWrap/>
            <w:vAlign w:val="center"/>
            <w:hideMark/>
          </w:tcPr>
          <w:p w14:paraId="7E78C89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r>
      <w:tr w:rsidR="00A400FF" w:rsidRPr="004E0C20" w14:paraId="45F76FB8"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1E2272C3" w14:textId="77777777" w:rsidR="00A400FF" w:rsidRPr="004E0C20"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 xml:space="preserve">Comité locaux </w:t>
            </w:r>
            <w:r w:rsidRPr="004E0C20">
              <w:rPr>
                <w:rFonts w:eastAsia="Times New Roman" w:cs="Calibri"/>
                <w:color w:val="000000"/>
                <w:sz w:val="16"/>
                <w:szCs w:val="16"/>
              </w:rPr>
              <w:t>(MCPGB)</w:t>
            </w:r>
          </w:p>
        </w:tc>
        <w:tc>
          <w:tcPr>
            <w:tcW w:w="602" w:type="dxa"/>
            <w:tcBorders>
              <w:top w:val="nil"/>
              <w:left w:val="nil"/>
              <w:bottom w:val="single" w:sz="4" w:space="0" w:color="0070C0"/>
              <w:right w:val="single" w:sz="4" w:space="0" w:color="0070C0"/>
            </w:tcBorders>
            <w:shd w:val="clear" w:color="auto" w:fill="auto"/>
            <w:noWrap/>
            <w:vAlign w:val="center"/>
            <w:hideMark/>
          </w:tcPr>
          <w:p w14:paraId="2A99530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216</w:t>
            </w:r>
          </w:p>
        </w:tc>
        <w:tc>
          <w:tcPr>
            <w:tcW w:w="715" w:type="dxa"/>
            <w:tcBorders>
              <w:top w:val="nil"/>
              <w:left w:val="nil"/>
              <w:bottom w:val="single" w:sz="4" w:space="0" w:color="0070C0"/>
              <w:right w:val="single" w:sz="4" w:space="0" w:color="0070C0"/>
            </w:tcBorders>
            <w:shd w:val="clear" w:color="auto" w:fill="auto"/>
            <w:noWrap/>
            <w:vAlign w:val="center"/>
            <w:hideMark/>
          </w:tcPr>
          <w:p w14:paraId="5712B8C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979" w:type="dxa"/>
            <w:tcBorders>
              <w:top w:val="nil"/>
              <w:left w:val="nil"/>
              <w:bottom w:val="single" w:sz="4" w:space="0" w:color="0070C0"/>
              <w:right w:val="single" w:sz="4" w:space="0" w:color="0070C0"/>
            </w:tcBorders>
            <w:shd w:val="clear" w:color="auto" w:fill="auto"/>
            <w:noWrap/>
            <w:vAlign w:val="center"/>
            <w:hideMark/>
          </w:tcPr>
          <w:p w14:paraId="0447EC4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155</w:t>
            </w:r>
          </w:p>
        </w:tc>
        <w:tc>
          <w:tcPr>
            <w:tcW w:w="841" w:type="dxa"/>
            <w:tcBorders>
              <w:top w:val="nil"/>
              <w:left w:val="nil"/>
              <w:bottom w:val="single" w:sz="4" w:space="0" w:color="0070C0"/>
              <w:right w:val="single" w:sz="4" w:space="0" w:color="0070C0"/>
            </w:tcBorders>
            <w:shd w:val="clear" w:color="auto" w:fill="auto"/>
            <w:noWrap/>
            <w:vAlign w:val="center"/>
            <w:hideMark/>
          </w:tcPr>
          <w:p w14:paraId="56406A4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590" w:type="dxa"/>
            <w:tcBorders>
              <w:top w:val="nil"/>
              <w:left w:val="nil"/>
              <w:bottom w:val="single" w:sz="4" w:space="0" w:color="0070C0"/>
              <w:right w:val="single" w:sz="4" w:space="0" w:color="0070C0"/>
            </w:tcBorders>
            <w:shd w:val="clear" w:color="auto" w:fill="auto"/>
            <w:noWrap/>
            <w:vAlign w:val="center"/>
            <w:hideMark/>
          </w:tcPr>
          <w:p w14:paraId="0039599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97</w:t>
            </w:r>
          </w:p>
        </w:tc>
        <w:tc>
          <w:tcPr>
            <w:tcW w:w="0" w:type="auto"/>
            <w:tcBorders>
              <w:top w:val="nil"/>
              <w:left w:val="nil"/>
              <w:bottom w:val="single" w:sz="4" w:space="0" w:color="0070C0"/>
              <w:right w:val="single" w:sz="4" w:space="0" w:color="0070C0"/>
            </w:tcBorders>
            <w:shd w:val="clear" w:color="auto" w:fill="auto"/>
            <w:noWrap/>
            <w:vAlign w:val="center"/>
            <w:hideMark/>
          </w:tcPr>
          <w:p w14:paraId="332EDA1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0" w:type="auto"/>
            <w:tcBorders>
              <w:top w:val="nil"/>
              <w:left w:val="nil"/>
              <w:bottom w:val="single" w:sz="4" w:space="0" w:color="0070C0"/>
              <w:right w:val="single" w:sz="4" w:space="0" w:color="0070C0"/>
            </w:tcBorders>
            <w:shd w:val="clear" w:color="auto" w:fill="auto"/>
            <w:noWrap/>
            <w:vAlign w:val="center"/>
            <w:hideMark/>
          </w:tcPr>
          <w:p w14:paraId="27723F5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274</w:t>
            </w:r>
          </w:p>
        </w:tc>
        <w:tc>
          <w:tcPr>
            <w:tcW w:w="0" w:type="auto"/>
            <w:tcBorders>
              <w:top w:val="nil"/>
              <w:left w:val="nil"/>
              <w:bottom w:val="single" w:sz="4" w:space="0" w:color="0070C0"/>
              <w:right w:val="single" w:sz="4" w:space="0" w:color="0070C0"/>
            </w:tcBorders>
            <w:shd w:val="clear" w:color="auto" w:fill="auto"/>
            <w:noWrap/>
            <w:vAlign w:val="center"/>
            <w:hideMark/>
          </w:tcPr>
          <w:p w14:paraId="64F596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0" w:type="auto"/>
            <w:tcBorders>
              <w:top w:val="nil"/>
              <w:left w:val="nil"/>
              <w:bottom w:val="single" w:sz="4" w:space="0" w:color="0070C0"/>
              <w:right w:val="single" w:sz="4" w:space="0" w:color="0070C0"/>
            </w:tcBorders>
            <w:shd w:val="clear" w:color="auto" w:fill="auto"/>
            <w:noWrap/>
            <w:vAlign w:val="center"/>
            <w:hideMark/>
          </w:tcPr>
          <w:p w14:paraId="3CA7CD6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371</w:t>
            </w:r>
          </w:p>
        </w:tc>
        <w:tc>
          <w:tcPr>
            <w:tcW w:w="0" w:type="auto"/>
            <w:tcBorders>
              <w:top w:val="nil"/>
              <w:left w:val="nil"/>
              <w:bottom w:val="single" w:sz="4" w:space="0" w:color="0070C0"/>
              <w:right w:val="single" w:sz="4" w:space="0" w:color="0070C0"/>
            </w:tcBorders>
            <w:shd w:val="clear" w:color="auto" w:fill="auto"/>
            <w:noWrap/>
            <w:vAlign w:val="center"/>
            <w:hideMark/>
          </w:tcPr>
          <w:p w14:paraId="0C80D85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r>
      <w:tr w:rsidR="00A400FF" w:rsidRPr="004E0C20" w14:paraId="1AEE0DCE"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000000" w:fill="D9E1F2"/>
            <w:noWrap/>
            <w:vAlign w:val="center"/>
            <w:hideMark/>
          </w:tcPr>
          <w:p w14:paraId="4085CCF2"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 xml:space="preserve">Total </w:t>
            </w:r>
          </w:p>
        </w:tc>
        <w:tc>
          <w:tcPr>
            <w:tcW w:w="602" w:type="dxa"/>
            <w:tcBorders>
              <w:top w:val="nil"/>
              <w:left w:val="nil"/>
              <w:bottom w:val="single" w:sz="4" w:space="0" w:color="0070C0"/>
              <w:right w:val="single" w:sz="4" w:space="0" w:color="0070C0"/>
            </w:tcBorders>
            <w:shd w:val="clear" w:color="000000" w:fill="D9E1F2"/>
            <w:noWrap/>
            <w:vAlign w:val="center"/>
            <w:hideMark/>
          </w:tcPr>
          <w:p w14:paraId="6814375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829</w:t>
            </w:r>
          </w:p>
        </w:tc>
        <w:tc>
          <w:tcPr>
            <w:tcW w:w="715" w:type="dxa"/>
            <w:tcBorders>
              <w:top w:val="nil"/>
              <w:left w:val="nil"/>
              <w:bottom w:val="single" w:sz="4" w:space="0" w:color="0070C0"/>
              <w:right w:val="single" w:sz="4" w:space="0" w:color="0070C0"/>
            </w:tcBorders>
            <w:shd w:val="clear" w:color="000000" w:fill="D9E1F2"/>
            <w:noWrap/>
            <w:vAlign w:val="center"/>
            <w:hideMark/>
          </w:tcPr>
          <w:p w14:paraId="6A9C76EC"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979" w:type="dxa"/>
            <w:tcBorders>
              <w:top w:val="nil"/>
              <w:left w:val="nil"/>
              <w:bottom w:val="single" w:sz="4" w:space="0" w:color="0070C0"/>
              <w:right w:val="single" w:sz="4" w:space="0" w:color="0070C0"/>
            </w:tcBorders>
            <w:shd w:val="clear" w:color="000000" w:fill="D9E1F2"/>
            <w:noWrap/>
            <w:vAlign w:val="center"/>
            <w:hideMark/>
          </w:tcPr>
          <w:p w14:paraId="0F8B25E9"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613</w:t>
            </w:r>
          </w:p>
        </w:tc>
        <w:tc>
          <w:tcPr>
            <w:tcW w:w="841" w:type="dxa"/>
            <w:tcBorders>
              <w:top w:val="nil"/>
              <w:left w:val="nil"/>
              <w:bottom w:val="single" w:sz="4" w:space="0" w:color="0070C0"/>
              <w:right w:val="single" w:sz="4" w:space="0" w:color="0070C0"/>
            </w:tcBorders>
            <w:shd w:val="clear" w:color="000000" w:fill="D9E1F2"/>
            <w:noWrap/>
            <w:vAlign w:val="center"/>
            <w:hideMark/>
          </w:tcPr>
          <w:p w14:paraId="683A1DE1"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590" w:type="dxa"/>
            <w:tcBorders>
              <w:top w:val="nil"/>
              <w:left w:val="nil"/>
              <w:bottom w:val="single" w:sz="4" w:space="0" w:color="0070C0"/>
              <w:right w:val="single" w:sz="4" w:space="0" w:color="0070C0"/>
            </w:tcBorders>
            <w:shd w:val="clear" w:color="000000" w:fill="D9E1F2"/>
            <w:noWrap/>
            <w:vAlign w:val="center"/>
            <w:hideMark/>
          </w:tcPr>
          <w:p w14:paraId="18993076"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384</w:t>
            </w:r>
          </w:p>
        </w:tc>
        <w:tc>
          <w:tcPr>
            <w:tcW w:w="0" w:type="auto"/>
            <w:tcBorders>
              <w:top w:val="nil"/>
              <w:left w:val="nil"/>
              <w:bottom w:val="single" w:sz="4" w:space="0" w:color="0070C0"/>
              <w:right w:val="single" w:sz="4" w:space="0" w:color="0070C0"/>
            </w:tcBorders>
            <w:shd w:val="clear" w:color="000000" w:fill="D9E1F2"/>
            <w:noWrap/>
            <w:vAlign w:val="center"/>
            <w:hideMark/>
          </w:tcPr>
          <w:p w14:paraId="47E4CBA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2F667727"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1058</w:t>
            </w:r>
          </w:p>
        </w:tc>
        <w:tc>
          <w:tcPr>
            <w:tcW w:w="0" w:type="auto"/>
            <w:tcBorders>
              <w:top w:val="nil"/>
              <w:left w:val="nil"/>
              <w:bottom w:val="single" w:sz="4" w:space="0" w:color="0070C0"/>
              <w:right w:val="single" w:sz="4" w:space="0" w:color="0070C0"/>
            </w:tcBorders>
            <w:shd w:val="clear" w:color="000000" w:fill="D9E1F2"/>
            <w:noWrap/>
            <w:vAlign w:val="center"/>
            <w:hideMark/>
          </w:tcPr>
          <w:p w14:paraId="08F5DBB4"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5AFA3545"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1442</w:t>
            </w:r>
          </w:p>
        </w:tc>
        <w:tc>
          <w:tcPr>
            <w:tcW w:w="0" w:type="auto"/>
            <w:tcBorders>
              <w:top w:val="nil"/>
              <w:left w:val="nil"/>
              <w:bottom w:val="single" w:sz="4" w:space="0" w:color="0070C0"/>
              <w:right w:val="single" w:sz="4" w:space="0" w:color="0070C0"/>
            </w:tcBorders>
            <w:shd w:val="clear" w:color="000000" w:fill="D9E1F2"/>
            <w:noWrap/>
            <w:vAlign w:val="center"/>
            <w:hideMark/>
          </w:tcPr>
          <w:p w14:paraId="4BDA90B3"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r>
    </w:tbl>
    <w:p w14:paraId="39944518"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82B7879" w14:textId="77777777" w:rsidR="00A400FF" w:rsidRDefault="00A400FF" w:rsidP="00A400FF">
      <w:pPr>
        <w:tabs>
          <w:tab w:val="left" w:pos="2763"/>
        </w:tabs>
        <w:spacing w:before="0" w:line="276" w:lineRule="auto"/>
        <w:jc w:val="left"/>
      </w:pPr>
    </w:p>
    <w:p w14:paraId="06B969C4" w14:textId="0919C547" w:rsidR="00A400FF" w:rsidRDefault="00A400FF" w:rsidP="00A400FF">
      <w:pPr>
        <w:pStyle w:val="Lgende"/>
        <w:keepNext/>
      </w:pPr>
      <w:bookmarkStart w:id="1031" w:name="_Toc92262121"/>
      <w:r>
        <w:t xml:space="preserve">Tableau </w:t>
      </w:r>
      <w:r>
        <w:fldChar w:fldCharType="begin"/>
      </w:r>
      <w:r>
        <w:instrText>SEQ Tableau \* ARABIC</w:instrText>
      </w:r>
      <w:r>
        <w:fldChar w:fldCharType="separate"/>
      </w:r>
      <w:r w:rsidR="0046716F">
        <w:rPr>
          <w:noProof/>
        </w:rPr>
        <w:t>19</w:t>
      </w:r>
      <w:r>
        <w:fldChar w:fldCharType="end"/>
      </w:r>
      <w:r>
        <w:t xml:space="preserve"> : Disposition et niveau d'engagement des membres de MCPGC à maintenir la participation des femmes</w:t>
      </w:r>
      <w:bookmarkEnd w:id="1031"/>
    </w:p>
    <w:tbl>
      <w:tblPr>
        <w:tblW w:w="5000" w:type="pct"/>
        <w:tblLook w:val="04A0" w:firstRow="1" w:lastRow="0" w:firstColumn="1" w:lastColumn="0" w:noHBand="0" w:noVBand="1"/>
      </w:tblPr>
      <w:tblGrid>
        <w:gridCol w:w="1480"/>
        <w:gridCol w:w="784"/>
        <w:gridCol w:w="1150"/>
        <w:gridCol w:w="546"/>
        <w:gridCol w:w="854"/>
        <w:gridCol w:w="739"/>
        <w:gridCol w:w="832"/>
        <w:gridCol w:w="567"/>
        <w:gridCol w:w="832"/>
        <w:gridCol w:w="553"/>
        <w:gridCol w:w="725"/>
      </w:tblGrid>
      <w:tr w:rsidR="00A400FF" w:rsidRPr="001769FE" w14:paraId="7842FA59" w14:textId="77777777" w:rsidTr="0020372B">
        <w:trPr>
          <w:trHeight w:val="283"/>
        </w:trPr>
        <w:tc>
          <w:tcPr>
            <w:tcW w:w="817"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21B335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184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88D2762"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Sexe </w:t>
            </w:r>
          </w:p>
        </w:tc>
        <w:tc>
          <w:tcPr>
            <w:tcW w:w="1639"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A2CBCD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Tranche d'âge</w:t>
            </w:r>
          </w:p>
        </w:tc>
        <w:tc>
          <w:tcPr>
            <w:tcW w:w="705"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4155163D"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Total </w:t>
            </w:r>
          </w:p>
        </w:tc>
      </w:tr>
      <w:tr w:rsidR="00A400FF" w:rsidRPr="001769FE" w14:paraId="5E2066FD" w14:textId="77777777" w:rsidTr="0020372B">
        <w:trPr>
          <w:trHeight w:val="283"/>
        </w:trPr>
        <w:tc>
          <w:tcPr>
            <w:tcW w:w="817" w:type="pct"/>
            <w:vMerge/>
            <w:tcBorders>
              <w:top w:val="single" w:sz="4" w:space="0" w:color="0070C0"/>
              <w:left w:val="single" w:sz="4" w:space="0" w:color="0070C0"/>
              <w:bottom w:val="single" w:sz="4" w:space="0" w:color="0070C0"/>
              <w:right w:val="single" w:sz="4" w:space="0" w:color="0070C0"/>
            </w:tcBorders>
            <w:vAlign w:val="center"/>
            <w:hideMark/>
          </w:tcPr>
          <w:p w14:paraId="3C8B2084" w14:textId="77777777" w:rsidR="00A400FF" w:rsidRPr="001769FE" w:rsidRDefault="00A400FF" w:rsidP="0020372B">
            <w:pPr>
              <w:keepNext/>
              <w:spacing w:before="0" w:after="0" w:line="240" w:lineRule="auto"/>
              <w:jc w:val="left"/>
              <w:rPr>
                <w:rFonts w:eastAsia="Times New Roman" w:cs="Calibri"/>
                <w:color w:val="000000"/>
                <w:sz w:val="20"/>
                <w:szCs w:val="20"/>
              </w:rPr>
            </w:pPr>
          </w:p>
        </w:tc>
        <w:tc>
          <w:tcPr>
            <w:tcW w:w="106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06B4F48"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Féminin</w:t>
            </w:r>
          </w:p>
        </w:tc>
        <w:tc>
          <w:tcPr>
            <w:tcW w:w="77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6FCD4323"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Masculin</w:t>
            </w:r>
          </w:p>
        </w:tc>
        <w:tc>
          <w:tcPr>
            <w:tcW w:w="86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0958895"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18-34 ans </w:t>
            </w:r>
          </w:p>
        </w:tc>
        <w:tc>
          <w:tcPr>
            <w:tcW w:w="77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3A58123"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35ans et +</w:t>
            </w:r>
          </w:p>
        </w:tc>
        <w:tc>
          <w:tcPr>
            <w:tcW w:w="705" w:type="pct"/>
            <w:gridSpan w:val="2"/>
            <w:vMerge/>
            <w:tcBorders>
              <w:top w:val="single" w:sz="4" w:space="0" w:color="0070C0"/>
              <w:left w:val="single" w:sz="4" w:space="0" w:color="0070C0"/>
              <w:bottom w:val="single" w:sz="4" w:space="0" w:color="0070C0"/>
              <w:right w:val="single" w:sz="4" w:space="0" w:color="0070C0"/>
            </w:tcBorders>
            <w:vAlign w:val="center"/>
            <w:hideMark/>
          </w:tcPr>
          <w:p w14:paraId="2F5800B8" w14:textId="77777777" w:rsidR="00A400FF" w:rsidRPr="001769FE" w:rsidRDefault="00A400FF" w:rsidP="0020372B">
            <w:pPr>
              <w:keepNext/>
              <w:spacing w:before="0" w:after="0" w:line="240" w:lineRule="auto"/>
              <w:jc w:val="left"/>
              <w:rPr>
                <w:rFonts w:eastAsia="Times New Roman" w:cs="Calibri"/>
                <w:b/>
                <w:bCs/>
                <w:color w:val="FFFFFF"/>
                <w:sz w:val="20"/>
                <w:szCs w:val="20"/>
              </w:rPr>
            </w:pPr>
          </w:p>
        </w:tc>
      </w:tr>
      <w:tr w:rsidR="00A400FF" w:rsidRPr="001769FE" w14:paraId="76AB483E" w14:textId="77777777" w:rsidTr="0020372B">
        <w:trPr>
          <w:trHeight w:val="283"/>
        </w:trPr>
        <w:tc>
          <w:tcPr>
            <w:tcW w:w="817" w:type="pct"/>
            <w:vMerge/>
            <w:tcBorders>
              <w:top w:val="single" w:sz="4" w:space="0" w:color="0070C0"/>
              <w:left w:val="single" w:sz="4" w:space="0" w:color="0070C0"/>
              <w:bottom w:val="single" w:sz="4" w:space="0" w:color="0070C0"/>
              <w:right w:val="single" w:sz="4" w:space="0" w:color="0070C0"/>
            </w:tcBorders>
            <w:vAlign w:val="center"/>
            <w:hideMark/>
          </w:tcPr>
          <w:p w14:paraId="1C1BD114" w14:textId="77777777" w:rsidR="00A400FF" w:rsidRPr="001769FE" w:rsidRDefault="00A400FF" w:rsidP="0020372B">
            <w:pPr>
              <w:keepNext/>
              <w:spacing w:before="0" w:after="0" w:line="240" w:lineRule="auto"/>
              <w:jc w:val="left"/>
              <w:rPr>
                <w:rFonts w:eastAsia="Times New Roman" w:cs="Calibri"/>
                <w:color w:val="000000"/>
                <w:sz w:val="20"/>
                <w:szCs w:val="20"/>
              </w:rPr>
            </w:pPr>
          </w:p>
        </w:tc>
        <w:tc>
          <w:tcPr>
            <w:tcW w:w="433" w:type="pct"/>
            <w:tcBorders>
              <w:top w:val="nil"/>
              <w:left w:val="nil"/>
              <w:bottom w:val="single" w:sz="4" w:space="0" w:color="0070C0"/>
              <w:right w:val="single" w:sz="4" w:space="0" w:color="0070C0"/>
            </w:tcBorders>
            <w:shd w:val="clear" w:color="000000" w:fill="00B0F0"/>
            <w:noWrap/>
            <w:vAlign w:val="center"/>
            <w:hideMark/>
          </w:tcPr>
          <w:p w14:paraId="7230A595"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635" w:type="pct"/>
            <w:tcBorders>
              <w:top w:val="nil"/>
              <w:left w:val="nil"/>
              <w:bottom w:val="single" w:sz="4" w:space="0" w:color="0070C0"/>
              <w:right w:val="single" w:sz="4" w:space="0" w:color="0070C0"/>
            </w:tcBorders>
            <w:shd w:val="clear" w:color="000000" w:fill="00B0F0"/>
            <w:noWrap/>
            <w:vAlign w:val="center"/>
            <w:hideMark/>
          </w:tcPr>
          <w:p w14:paraId="4F4D439B"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01" w:type="pct"/>
            <w:tcBorders>
              <w:top w:val="nil"/>
              <w:left w:val="nil"/>
              <w:bottom w:val="single" w:sz="4" w:space="0" w:color="0070C0"/>
              <w:right w:val="single" w:sz="4" w:space="0" w:color="0070C0"/>
            </w:tcBorders>
            <w:shd w:val="clear" w:color="000000" w:fill="00B0F0"/>
            <w:noWrap/>
            <w:vAlign w:val="center"/>
            <w:hideMark/>
          </w:tcPr>
          <w:p w14:paraId="6227828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71" w:type="pct"/>
            <w:tcBorders>
              <w:top w:val="nil"/>
              <w:left w:val="nil"/>
              <w:bottom w:val="single" w:sz="4" w:space="0" w:color="0070C0"/>
              <w:right w:val="single" w:sz="4" w:space="0" w:color="0070C0"/>
            </w:tcBorders>
            <w:shd w:val="clear" w:color="000000" w:fill="00B0F0"/>
            <w:noWrap/>
            <w:vAlign w:val="center"/>
            <w:hideMark/>
          </w:tcPr>
          <w:p w14:paraId="20C73A21"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08" w:type="pct"/>
            <w:tcBorders>
              <w:top w:val="nil"/>
              <w:left w:val="nil"/>
              <w:bottom w:val="single" w:sz="4" w:space="0" w:color="0070C0"/>
              <w:right w:val="single" w:sz="4" w:space="0" w:color="0070C0"/>
            </w:tcBorders>
            <w:shd w:val="clear" w:color="000000" w:fill="00B0F0"/>
            <w:noWrap/>
            <w:vAlign w:val="center"/>
            <w:hideMark/>
          </w:tcPr>
          <w:p w14:paraId="160DC999"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59" w:type="pct"/>
            <w:tcBorders>
              <w:top w:val="nil"/>
              <w:left w:val="nil"/>
              <w:bottom w:val="single" w:sz="4" w:space="0" w:color="0070C0"/>
              <w:right w:val="single" w:sz="4" w:space="0" w:color="0070C0"/>
            </w:tcBorders>
            <w:shd w:val="clear" w:color="000000" w:fill="00B0F0"/>
            <w:noWrap/>
            <w:vAlign w:val="center"/>
            <w:hideMark/>
          </w:tcPr>
          <w:p w14:paraId="29FBC29B"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13" w:type="pct"/>
            <w:tcBorders>
              <w:top w:val="nil"/>
              <w:left w:val="nil"/>
              <w:bottom w:val="single" w:sz="4" w:space="0" w:color="0070C0"/>
              <w:right w:val="single" w:sz="4" w:space="0" w:color="0070C0"/>
            </w:tcBorders>
            <w:shd w:val="clear" w:color="000000" w:fill="00B0F0"/>
            <w:noWrap/>
            <w:vAlign w:val="center"/>
            <w:hideMark/>
          </w:tcPr>
          <w:p w14:paraId="3A658DD9"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59" w:type="pct"/>
            <w:tcBorders>
              <w:top w:val="nil"/>
              <w:left w:val="nil"/>
              <w:bottom w:val="single" w:sz="4" w:space="0" w:color="0070C0"/>
              <w:right w:val="single" w:sz="4" w:space="0" w:color="0070C0"/>
            </w:tcBorders>
            <w:shd w:val="clear" w:color="000000" w:fill="00B0F0"/>
            <w:noWrap/>
            <w:vAlign w:val="center"/>
            <w:hideMark/>
          </w:tcPr>
          <w:p w14:paraId="64FF99FE"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CC38F2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00" w:type="pct"/>
            <w:tcBorders>
              <w:top w:val="nil"/>
              <w:left w:val="nil"/>
              <w:bottom w:val="single" w:sz="4" w:space="0" w:color="0070C0"/>
              <w:right w:val="single" w:sz="4" w:space="0" w:color="0070C0"/>
            </w:tcBorders>
            <w:shd w:val="clear" w:color="000000" w:fill="00B0F0"/>
            <w:noWrap/>
            <w:vAlign w:val="center"/>
            <w:hideMark/>
          </w:tcPr>
          <w:p w14:paraId="35577188"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r>
      <w:tr w:rsidR="00A400FF" w:rsidRPr="001769FE" w14:paraId="18A7C97E" w14:textId="77777777" w:rsidTr="0020372B">
        <w:trPr>
          <w:trHeight w:val="283"/>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23FF6A90" w14:textId="77777777" w:rsidR="00A400FF" w:rsidRPr="001769FE" w:rsidRDefault="00A400FF" w:rsidP="0020372B">
            <w:pPr>
              <w:keepNext/>
              <w:spacing w:before="0" w:after="0" w:line="240" w:lineRule="auto"/>
              <w:jc w:val="left"/>
              <w:rPr>
                <w:rFonts w:eastAsia="Times New Roman" w:cs="Calibri"/>
                <w:b/>
                <w:bCs/>
                <w:color w:val="000000"/>
                <w:sz w:val="20"/>
                <w:szCs w:val="20"/>
              </w:rPr>
            </w:pPr>
            <w:r w:rsidRPr="001769FE">
              <w:rPr>
                <w:rFonts w:eastAsia="Times New Roman" w:cs="Calibri"/>
                <w:b/>
                <w:bCs/>
                <w:color w:val="000000"/>
                <w:sz w:val="20"/>
                <w:szCs w:val="20"/>
              </w:rPr>
              <w:t>Disposition des hommes à accepter plus de femmes et de jeunes dans les MCPGC</w:t>
            </w:r>
          </w:p>
        </w:tc>
      </w:tr>
      <w:tr w:rsidR="00A400FF" w:rsidRPr="001769FE" w14:paraId="343D43EA"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77E99C92"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Non</w:t>
            </w:r>
          </w:p>
        </w:tc>
        <w:tc>
          <w:tcPr>
            <w:tcW w:w="433" w:type="pct"/>
            <w:tcBorders>
              <w:top w:val="nil"/>
              <w:left w:val="nil"/>
              <w:bottom w:val="single" w:sz="4" w:space="0" w:color="0070C0"/>
              <w:right w:val="single" w:sz="4" w:space="0" w:color="0070C0"/>
            </w:tcBorders>
            <w:shd w:val="clear" w:color="auto" w:fill="auto"/>
            <w:noWrap/>
            <w:vAlign w:val="center"/>
            <w:hideMark/>
          </w:tcPr>
          <w:p w14:paraId="582876E9"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635" w:type="pct"/>
            <w:tcBorders>
              <w:top w:val="nil"/>
              <w:left w:val="nil"/>
              <w:bottom w:val="single" w:sz="4" w:space="0" w:color="0070C0"/>
              <w:right w:val="single" w:sz="4" w:space="0" w:color="0070C0"/>
            </w:tcBorders>
            <w:shd w:val="clear" w:color="auto" w:fill="auto"/>
            <w:noWrap/>
            <w:vAlign w:val="center"/>
            <w:hideMark/>
          </w:tcPr>
          <w:p w14:paraId="2366BBD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301" w:type="pct"/>
            <w:tcBorders>
              <w:top w:val="nil"/>
              <w:left w:val="nil"/>
              <w:bottom w:val="single" w:sz="4" w:space="0" w:color="0070C0"/>
              <w:right w:val="single" w:sz="4" w:space="0" w:color="0070C0"/>
            </w:tcBorders>
            <w:shd w:val="clear" w:color="auto" w:fill="auto"/>
            <w:noWrap/>
            <w:vAlign w:val="center"/>
            <w:hideMark/>
          </w:tcPr>
          <w:p w14:paraId="373FD50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w:t>
            </w:r>
          </w:p>
        </w:tc>
        <w:tc>
          <w:tcPr>
            <w:tcW w:w="471" w:type="pct"/>
            <w:tcBorders>
              <w:top w:val="nil"/>
              <w:left w:val="nil"/>
              <w:bottom w:val="single" w:sz="4" w:space="0" w:color="0070C0"/>
              <w:right w:val="single" w:sz="4" w:space="0" w:color="0070C0"/>
            </w:tcBorders>
            <w:shd w:val="clear" w:color="auto" w:fill="auto"/>
            <w:noWrap/>
            <w:vAlign w:val="center"/>
            <w:hideMark/>
          </w:tcPr>
          <w:p w14:paraId="26DB7B4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408" w:type="pct"/>
            <w:tcBorders>
              <w:top w:val="nil"/>
              <w:left w:val="nil"/>
              <w:bottom w:val="single" w:sz="4" w:space="0" w:color="0070C0"/>
              <w:right w:val="single" w:sz="4" w:space="0" w:color="0070C0"/>
            </w:tcBorders>
            <w:shd w:val="clear" w:color="auto" w:fill="auto"/>
            <w:noWrap/>
            <w:vAlign w:val="center"/>
            <w:hideMark/>
          </w:tcPr>
          <w:p w14:paraId="4D152C8E"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3</w:t>
            </w:r>
          </w:p>
        </w:tc>
        <w:tc>
          <w:tcPr>
            <w:tcW w:w="459" w:type="pct"/>
            <w:tcBorders>
              <w:top w:val="nil"/>
              <w:left w:val="nil"/>
              <w:bottom w:val="single" w:sz="4" w:space="0" w:color="0070C0"/>
              <w:right w:val="single" w:sz="4" w:space="0" w:color="0070C0"/>
            </w:tcBorders>
            <w:shd w:val="clear" w:color="auto" w:fill="auto"/>
            <w:noWrap/>
            <w:vAlign w:val="center"/>
            <w:hideMark/>
          </w:tcPr>
          <w:p w14:paraId="405B34A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6%</w:t>
            </w:r>
          </w:p>
        </w:tc>
        <w:tc>
          <w:tcPr>
            <w:tcW w:w="313" w:type="pct"/>
            <w:tcBorders>
              <w:top w:val="nil"/>
              <w:left w:val="nil"/>
              <w:bottom w:val="single" w:sz="4" w:space="0" w:color="0070C0"/>
              <w:right w:val="single" w:sz="4" w:space="0" w:color="0070C0"/>
            </w:tcBorders>
            <w:shd w:val="clear" w:color="auto" w:fill="auto"/>
            <w:noWrap/>
            <w:vAlign w:val="center"/>
            <w:hideMark/>
          </w:tcPr>
          <w:p w14:paraId="05FFC82F"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16</w:t>
            </w:r>
          </w:p>
        </w:tc>
        <w:tc>
          <w:tcPr>
            <w:tcW w:w="459" w:type="pct"/>
            <w:tcBorders>
              <w:top w:val="nil"/>
              <w:left w:val="nil"/>
              <w:bottom w:val="single" w:sz="4" w:space="0" w:color="0070C0"/>
              <w:right w:val="single" w:sz="4" w:space="0" w:color="0070C0"/>
            </w:tcBorders>
            <w:shd w:val="clear" w:color="auto" w:fill="auto"/>
            <w:noWrap/>
            <w:vAlign w:val="center"/>
            <w:hideMark/>
          </w:tcPr>
          <w:p w14:paraId="40AF5A9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12%</w:t>
            </w:r>
          </w:p>
        </w:tc>
        <w:tc>
          <w:tcPr>
            <w:tcW w:w="305" w:type="pct"/>
            <w:tcBorders>
              <w:top w:val="nil"/>
              <w:left w:val="nil"/>
              <w:bottom w:val="single" w:sz="4" w:space="0" w:color="0070C0"/>
              <w:right w:val="single" w:sz="4" w:space="0" w:color="0070C0"/>
            </w:tcBorders>
            <w:shd w:val="clear" w:color="auto" w:fill="auto"/>
            <w:noWrap/>
            <w:vAlign w:val="center"/>
            <w:hideMark/>
          </w:tcPr>
          <w:p w14:paraId="22321597"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19</w:t>
            </w:r>
          </w:p>
        </w:tc>
        <w:tc>
          <w:tcPr>
            <w:tcW w:w="400" w:type="pct"/>
            <w:tcBorders>
              <w:top w:val="nil"/>
              <w:left w:val="nil"/>
              <w:bottom w:val="single" w:sz="4" w:space="0" w:color="0070C0"/>
              <w:right w:val="single" w:sz="4" w:space="0" w:color="0070C0"/>
            </w:tcBorders>
            <w:shd w:val="clear" w:color="auto" w:fill="auto"/>
            <w:noWrap/>
            <w:vAlign w:val="center"/>
            <w:hideMark/>
          </w:tcPr>
          <w:p w14:paraId="7672FC12"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10%</w:t>
            </w:r>
          </w:p>
        </w:tc>
      </w:tr>
      <w:tr w:rsidR="00A400FF" w:rsidRPr="001769FE" w14:paraId="3A49584E"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2D6327C6"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 xml:space="preserve">Oui </w:t>
            </w:r>
          </w:p>
        </w:tc>
        <w:tc>
          <w:tcPr>
            <w:tcW w:w="433" w:type="pct"/>
            <w:tcBorders>
              <w:top w:val="nil"/>
              <w:left w:val="nil"/>
              <w:bottom w:val="single" w:sz="4" w:space="0" w:color="0070C0"/>
              <w:right w:val="single" w:sz="4" w:space="0" w:color="0070C0"/>
            </w:tcBorders>
            <w:shd w:val="clear" w:color="auto" w:fill="auto"/>
            <w:noWrap/>
            <w:vAlign w:val="center"/>
            <w:hideMark/>
          </w:tcPr>
          <w:p w14:paraId="4FF9A08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92</w:t>
            </w:r>
          </w:p>
        </w:tc>
        <w:tc>
          <w:tcPr>
            <w:tcW w:w="635" w:type="pct"/>
            <w:tcBorders>
              <w:top w:val="nil"/>
              <w:left w:val="nil"/>
              <w:bottom w:val="single" w:sz="4" w:space="0" w:color="0070C0"/>
              <w:right w:val="single" w:sz="4" w:space="0" w:color="0070C0"/>
            </w:tcBorders>
            <w:shd w:val="clear" w:color="auto" w:fill="auto"/>
            <w:noWrap/>
            <w:vAlign w:val="center"/>
            <w:hideMark/>
          </w:tcPr>
          <w:p w14:paraId="368F834E"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90%</w:t>
            </w:r>
          </w:p>
        </w:tc>
        <w:tc>
          <w:tcPr>
            <w:tcW w:w="301" w:type="pct"/>
            <w:tcBorders>
              <w:top w:val="nil"/>
              <w:left w:val="nil"/>
              <w:bottom w:val="single" w:sz="4" w:space="0" w:color="0070C0"/>
              <w:right w:val="single" w:sz="4" w:space="0" w:color="0070C0"/>
            </w:tcBorders>
            <w:shd w:val="clear" w:color="auto" w:fill="auto"/>
            <w:noWrap/>
            <w:vAlign w:val="center"/>
            <w:hideMark/>
          </w:tcPr>
          <w:p w14:paraId="3AAD064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78</w:t>
            </w:r>
          </w:p>
        </w:tc>
        <w:tc>
          <w:tcPr>
            <w:tcW w:w="471" w:type="pct"/>
            <w:tcBorders>
              <w:top w:val="nil"/>
              <w:left w:val="nil"/>
              <w:bottom w:val="single" w:sz="4" w:space="0" w:color="0070C0"/>
              <w:right w:val="single" w:sz="4" w:space="0" w:color="0070C0"/>
            </w:tcBorders>
            <w:shd w:val="clear" w:color="auto" w:fill="auto"/>
            <w:noWrap/>
            <w:vAlign w:val="center"/>
            <w:hideMark/>
          </w:tcPr>
          <w:p w14:paraId="1AD69B73"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90%</w:t>
            </w:r>
          </w:p>
        </w:tc>
        <w:tc>
          <w:tcPr>
            <w:tcW w:w="408" w:type="pct"/>
            <w:tcBorders>
              <w:top w:val="nil"/>
              <w:left w:val="nil"/>
              <w:bottom w:val="single" w:sz="4" w:space="0" w:color="0070C0"/>
              <w:right w:val="single" w:sz="4" w:space="0" w:color="0070C0"/>
            </w:tcBorders>
            <w:shd w:val="clear" w:color="auto" w:fill="auto"/>
            <w:noWrap/>
            <w:vAlign w:val="center"/>
            <w:hideMark/>
          </w:tcPr>
          <w:p w14:paraId="36165375"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48</w:t>
            </w:r>
          </w:p>
        </w:tc>
        <w:tc>
          <w:tcPr>
            <w:tcW w:w="459" w:type="pct"/>
            <w:tcBorders>
              <w:top w:val="nil"/>
              <w:left w:val="nil"/>
              <w:bottom w:val="single" w:sz="4" w:space="0" w:color="0070C0"/>
              <w:right w:val="single" w:sz="4" w:space="0" w:color="0070C0"/>
            </w:tcBorders>
            <w:shd w:val="clear" w:color="auto" w:fill="auto"/>
            <w:noWrap/>
            <w:vAlign w:val="center"/>
            <w:hideMark/>
          </w:tcPr>
          <w:p w14:paraId="118C90B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94%</w:t>
            </w:r>
          </w:p>
        </w:tc>
        <w:tc>
          <w:tcPr>
            <w:tcW w:w="313" w:type="pct"/>
            <w:tcBorders>
              <w:top w:val="nil"/>
              <w:left w:val="nil"/>
              <w:bottom w:val="single" w:sz="4" w:space="0" w:color="0070C0"/>
              <w:right w:val="single" w:sz="4" w:space="0" w:color="0070C0"/>
            </w:tcBorders>
            <w:shd w:val="clear" w:color="auto" w:fill="auto"/>
            <w:noWrap/>
            <w:vAlign w:val="center"/>
            <w:hideMark/>
          </w:tcPr>
          <w:p w14:paraId="589779F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122</w:t>
            </w:r>
          </w:p>
        </w:tc>
        <w:tc>
          <w:tcPr>
            <w:tcW w:w="459" w:type="pct"/>
            <w:tcBorders>
              <w:top w:val="nil"/>
              <w:left w:val="nil"/>
              <w:bottom w:val="single" w:sz="4" w:space="0" w:color="0070C0"/>
              <w:right w:val="single" w:sz="4" w:space="0" w:color="0070C0"/>
            </w:tcBorders>
            <w:shd w:val="clear" w:color="auto" w:fill="auto"/>
            <w:noWrap/>
            <w:vAlign w:val="center"/>
            <w:hideMark/>
          </w:tcPr>
          <w:p w14:paraId="462EE441"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88%</w:t>
            </w:r>
          </w:p>
        </w:tc>
        <w:tc>
          <w:tcPr>
            <w:tcW w:w="305" w:type="pct"/>
            <w:tcBorders>
              <w:top w:val="nil"/>
              <w:left w:val="nil"/>
              <w:bottom w:val="single" w:sz="4" w:space="0" w:color="0070C0"/>
              <w:right w:val="single" w:sz="4" w:space="0" w:color="0070C0"/>
            </w:tcBorders>
            <w:shd w:val="clear" w:color="auto" w:fill="auto"/>
            <w:noWrap/>
            <w:vAlign w:val="center"/>
            <w:hideMark/>
          </w:tcPr>
          <w:p w14:paraId="0FF75E31"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170</w:t>
            </w:r>
          </w:p>
        </w:tc>
        <w:tc>
          <w:tcPr>
            <w:tcW w:w="400" w:type="pct"/>
            <w:tcBorders>
              <w:top w:val="nil"/>
              <w:left w:val="nil"/>
              <w:bottom w:val="single" w:sz="4" w:space="0" w:color="0070C0"/>
              <w:right w:val="single" w:sz="4" w:space="0" w:color="0070C0"/>
            </w:tcBorders>
            <w:shd w:val="clear" w:color="auto" w:fill="auto"/>
            <w:noWrap/>
            <w:vAlign w:val="center"/>
            <w:hideMark/>
          </w:tcPr>
          <w:p w14:paraId="1FE549B5"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90%</w:t>
            </w:r>
          </w:p>
        </w:tc>
      </w:tr>
      <w:tr w:rsidR="00A400FF" w:rsidRPr="001769FE" w14:paraId="7EA118D6"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000000" w:fill="D9E1F2"/>
            <w:noWrap/>
            <w:vAlign w:val="center"/>
            <w:hideMark/>
          </w:tcPr>
          <w:p w14:paraId="2ACD80FA"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 xml:space="preserve">Total </w:t>
            </w:r>
          </w:p>
        </w:tc>
        <w:tc>
          <w:tcPr>
            <w:tcW w:w="433" w:type="pct"/>
            <w:tcBorders>
              <w:top w:val="nil"/>
              <w:left w:val="nil"/>
              <w:bottom w:val="single" w:sz="4" w:space="0" w:color="0070C0"/>
              <w:right w:val="single" w:sz="4" w:space="0" w:color="0070C0"/>
            </w:tcBorders>
            <w:shd w:val="clear" w:color="000000" w:fill="D9E1F2"/>
            <w:noWrap/>
            <w:vAlign w:val="center"/>
            <w:hideMark/>
          </w:tcPr>
          <w:p w14:paraId="28D9CC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102</w:t>
            </w:r>
          </w:p>
        </w:tc>
        <w:tc>
          <w:tcPr>
            <w:tcW w:w="635" w:type="pct"/>
            <w:tcBorders>
              <w:top w:val="nil"/>
              <w:left w:val="nil"/>
              <w:bottom w:val="single" w:sz="4" w:space="0" w:color="0070C0"/>
              <w:right w:val="single" w:sz="4" w:space="0" w:color="0070C0"/>
            </w:tcBorders>
            <w:shd w:val="clear" w:color="000000" w:fill="D9E1F2"/>
            <w:noWrap/>
            <w:vAlign w:val="center"/>
            <w:hideMark/>
          </w:tcPr>
          <w:p w14:paraId="46775CF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1" w:type="pct"/>
            <w:tcBorders>
              <w:top w:val="nil"/>
              <w:left w:val="nil"/>
              <w:bottom w:val="single" w:sz="4" w:space="0" w:color="0070C0"/>
              <w:right w:val="single" w:sz="4" w:space="0" w:color="0070C0"/>
            </w:tcBorders>
            <w:shd w:val="clear" w:color="000000" w:fill="D9E1F2"/>
            <w:noWrap/>
            <w:vAlign w:val="center"/>
            <w:hideMark/>
          </w:tcPr>
          <w:p w14:paraId="6C35EB3B"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87</w:t>
            </w:r>
          </w:p>
        </w:tc>
        <w:tc>
          <w:tcPr>
            <w:tcW w:w="471" w:type="pct"/>
            <w:tcBorders>
              <w:top w:val="nil"/>
              <w:left w:val="nil"/>
              <w:bottom w:val="single" w:sz="4" w:space="0" w:color="0070C0"/>
              <w:right w:val="single" w:sz="4" w:space="0" w:color="0070C0"/>
            </w:tcBorders>
            <w:shd w:val="clear" w:color="000000" w:fill="D9E1F2"/>
            <w:noWrap/>
            <w:vAlign w:val="center"/>
            <w:hideMark/>
          </w:tcPr>
          <w:p w14:paraId="6B8E3A88"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408" w:type="pct"/>
            <w:tcBorders>
              <w:top w:val="nil"/>
              <w:left w:val="nil"/>
              <w:bottom w:val="single" w:sz="4" w:space="0" w:color="0070C0"/>
              <w:right w:val="single" w:sz="4" w:space="0" w:color="0070C0"/>
            </w:tcBorders>
            <w:shd w:val="clear" w:color="000000" w:fill="D9E1F2"/>
            <w:noWrap/>
            <w:vAlign w:val="center"/>
            <w:hideMark/>
          </w:tcPr>
          <w:p w14:paraId="4A68563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51</w:t>
            </w:r>
          </w:p>
        </w:tc>
        <w:tc>
          <w:tcPr>
            <w:tcW w:w="459" w:type="pct"/>
            <w:tcBorders>
              <w:top w:val="nil"/>
              <w:left w:val="nil"/>
              <w:bottom w:val="single" w:sz="4" w:space="0" w:color="0070C0"/>
              <w:right w:val="single" w:sz="4" w:space="0" w:color="0070C0"/>
            </w:tcBorders>
            <w:shd w:val="clear" w:color="000000" w:fill="D9E1F2"/>
            <w:noWrap/>
            <w:vAlign w:val="center"/>
            <w:hideMark/>
          </w:tcPr>
          <w:p w14:paraId="1FC12C1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13" w:type="pct"/>
            <w:tcBorders>
              <w:top w:val="nil"/>
              <w:left w:val="nil"/>
              <w:bottom w:val="single" w:sz="4" w:space="0" w:color="0070C0"/>
              <w:right w:val="single" w:sz="4" w:space="0" w:color="0070C0"/>
            </w:tcBorders>
            <w:shd w:val="clear" w:color="000000" w:fill="D9E1F2"/>
            <w:noWrap/>
            <w:vAlign w:val="center"/>
            <w:hideMark/>
          </w:tcPr>
          <w:p w14:paraId="50C639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138</w:t>
            </w:r>
          </w:p>
        </w:tc>
        <w:tc>
          <w:tcPr>
            <w:tcW w:w="459" w:type="pct"/>
            <w:tcBorders>
              <w:top w:val="nil"/>
              <w:left w:val="nil"/>
              <w:bottom w:val="single" w:sz="4" w:space="0" w:color="0070C0"/>
              <w:right w:val="single" w:sz="4" w:space="0" w:color="0070C0"/>
            </w:tcBorders>
            <w:shd w:val="clear" w:color="000000" w:fill="D9E1F2"/>
            <w:noWrap/>
            <w:vAlign w:val="center"/>
            <w:hideMark/>
          </w:tcPr>
          <w:p w14:paraId="5F88F80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24A0FC9E"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189</w:t>
            </w:r>
          </w:p>
        </w:tc>
        <w:tc>
          <w:tcPr>
            <w:tcW w:w="400" w:type="pct"/>
            <w:tcBorders>
              <w:top w:val="nil"/>
              <w:left w:val="nil"/>
              <w:bottom w:val="single" w:sz="4" w:space="0" w:color="0070C0"/>
              <w:right w:val="single" w:sz="4" w:space="0" w:color="0070C0"/>
            </w:tcBorders>
            <w:shd w:val="clear" w:color="000000" w:fill="D9E1F2"/>
            <w:noWrap/>
            <w:vAlign w:val="center"/>
            <w:hideMark/>
          </w:tcPr>
          <w:p w14:paraId="4F07F078"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100%</w:t>
            </w:r>
          </w:p>
        </w:tc>
      </w:tr>
      <w:tr w:rsidR="00A400FF" w:rsidRPr="001769FE" w14:paraId="6D52E5C8" w14:textId="77777777" w:rsidTr="0020372B">
        <w:trPr>
          <w:trHeight w:val="283"/>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0542C381" w14:textId="77777777" w:rsidR="00A400FF" w:rsidRPr="001769FE" w:rsidRDefault="00A400FF" w:rsidP="0020372B">
            <w:pPr>
              <w:keepNext/>
              <w:spacing w:before="0" w:after="0" w:line="240" w:lineRule="auto"/>
              <w:jc w:val="left"/>
              <w:rPr>
                <w:rFonts w:eastAsia="Times New Roman" w:cs="Calibri"/>
                <w:b/>
                <w:bCs/>
                <w:color w:val="000000"/>
                <w:sz w:val="20"/>
                <w:szCs w:val="20"/>
              </w:rPr>
            </w:pPr>
            <w:r w:rsidRPr="001769FE">
              <w:rPr>
                <w:rFonts w:eastAsia="Times New Roman" w:cs="Calibri"/>
                <w:b/>
                <w:bCs/>
                <w:color w:val="000000"/>
                <w:sz w:val="20"/>
                <w:szCs w:val="20"/>
              </w:rPr>
              <w:t>Disposition des femmes et de jeunes membres des MCPGC à maintenir leur engagement</w:t>
            </w:r>
          </w:p>
        </w:tc>
      </w:tr>
      <w:tr w:rsidR="00A400FF" w:rsidRPr="001769FE" w14:paraId="0E2B8BD5"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20461328"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Non</w:t>
            </w:r>
          </w:p>
        </w:tc>
        <w:tc>
          <w:tcPr>
            <w:tcW w:w="433" w:type="pct"/>
            <w:tcBorders>
              <w:top w:val="nil"/>
              <w:left w:val="nil"/>
              <w:bottom w:val="single" w:sz="4" w:space="0" w:color="0070C0"/>
              <w:right w:val="single" w:sz="4" w:space="0" w:color="0070C0"/>
            </w:tcBorders>
            <w:shd w:val="clear" w:color="auto" w:fill="auto"/>
            <w:noWrap/>
            <w:vAlign w:val="center"/>
            <w:hideMark/>
          </w:tcPr>
          <w:p w14:paraId="3B59B5C8"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635" w:type="pct"/>
            <w:tcBorders>
              <w:top w:val="nil"/>
              <w:left w:val="nil"/>
              <w:bottom w:val="single" w:sz="4" w:space="0" w:color="0070C0"/>
              <w:right w:val="single" w:sz="4" w:space="0" w:color="0070C0"/>
            </w:tcBorders>
            <w:shd w:val="clear" w:color="auto" w:fill="auto"/>
            <w:noWrap/>
            <w:vAlign w:val="center"/>
            <w:hideMark/>
          </w:tcPr>
          <w:p w14:paraId="7B9F81BC"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0%</w:t>
            </w:r>
          </w:p>
        </w:tc>
        <w:tc>
          <w:tcPr>
            <w:tcW w:w="301" w:type="pct"/>
            <w:tcBorders>
              <w:top w:val="nil"/>
              <w:left w:val="nil"/>
              <w:bottom w:val="single" w:sz="4" w:space="0" w:color="0070C0"/>
              <w:right w:val="single" w:sz="4" w:space="0" w:color="0070C0"/>
            </w:tcBorders>
            <w:shd w:val="clear" w:color="auto" w:fill="auto"/>
            <w:noWrap/>
            <w:vAlign w:val="center"/>
            <w:hideMark/>
          </w:tcPr>
          <w:p w14:paraId="3140FF7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71" w:type="pct"/>
            <w:tcBorders>
              <w:top w:val="nil"/>
              <w:left w:val="nil"/>
              <w:bottom w:val="single" w:sz="4" w:space="0" w:color="0070C0"/>
              <w:right w:val="single" w:sz="4" w:space="0" w:color="0070C0"/>
            </w:tcBorders>
            <w:shd w:val="clear" w:color="auto" w:fill="auto"/>
            <w:noWrap/>
            <w:vAlign w:val="center"/>
            <w:hideMark/>
          </w:tcPr>
          <w:p w14:paraId="25951694"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08" w:type="pct"/>
            <w:tcBorders>
              <w:top w:val="nil"/>
              <w:left w:val="nil"/>
              <w:bottom w:val="single" w:sz="4" w:space="0" w:color="0070C0"/>
              <w:right w:val="single" w:sz="4" w:space="0" w:color="0070C0"/>
            </w:tcBorders>
            <w:shd w:val="clear" w:color="auto" w:fill="auto"/>
            <w:noWrap/>
            <w:vAlign w:val="center"/>
            <w:hideMark/>
          </w:tcPr>
          <w:p w14:paraId="638FF4E5"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459" w:type="pct"/>
            <w:tcBorders>
              <w:top w:val="nil"/>
              <w:left w:val="nil"/>
              <w:bottom w:val="single" w:sz="4" w:space="0" w:color="0070C0"/>
              <w:right w:val="single" w:sz="4" w:space="0" w:color="0070C0"/>
            </w:tcBorders>
            <w:shd w:val="clear" w:color="auto" w:fill="auto"/>
            <w:noWrap/>
            <w:vAlign w:val="center"/>
            <w:hideMark/>
          </w:tcPr>
          <w:p w14:paraId="24B2D9D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0%</w:t>
            </w:r>
          </w:p>
        </w:tc>
        <w:tc>
          <w:tcPr>
            <w:tcW w:w="313" w:type="pct"/>
            <w:tcBorders>
              <w:top w:val="nil"/>
              <w:left w:val="nil"/>
              <w:bottom w:val="single" w:sz="4" w:space="0" w:color="0070C0"/>
              <w:right w:val="single" w:sz="4" w:space="0" w:color="0070C0"/>
            </w:tcBorders>
            <w:shd w:val="clear" w:color="auto" w:fill="auto"/>
            <w:noWrap/>
            <w:vAlign w:val="center"/>
            <w:hideMark/>
          </w:tcPr>
          <w:p w14:paraId="7C5B24F4"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59" w:type="pct"/>
            <w:tcBorders>
              <w:top w:val="nil"/>
              <w:left w:val="nil"/>
              <w:bottom w:val="single" w:sz="4" w:space="0" w:color="0070C0"/>
              <w:right w:val="single" w:sz="4" w:space="0" w:color="0070C0"/>
            </w:tcBorders>
            <w:shd w:val="clear" w:color="auto" w:fill="auto"/>
            <w:noWrap/>
            <w:vAlign w:val="center"/>
            <w:hideMark/>
          </w:tcPr>
          <w:p w14:paraId="4FA59269"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305" w:type="pct"/>
            <w:tcBorders>
              <w:top w:val="nil"/>
              <w:left w:val="nil"/>
              <w:bottom w:val="single" w:sz="4" w:space="0" w:color="0070C0"/>
              <w:right w:val="single" w:sz="4" w:space="0" w:color="0070C0"/>
            </w:tcBorders>
            <w:shd w:val="clear" w:color="auto" w:fill="auto"/>
            <w:noWrap/>
            <w:vAlign w:val="center"/>
            <w:hideMark/>
          </w:tcPr>
          <w:p w14:paraId="1DEEA408"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w:t>
            </w:r>
          </w:p>
        </w:tc>
        <w:tc>
          <w:tcPr>
            <w:tcW w:w="400" w:type="pct"/>
            <w:tcBorders>
              <w:top w:val="nil"/>
              <w:left w:val="nil"/>
              <w:bottom w:val="single" w:sz="4" w:space="0" w:color="0070C0"/>
              <w:right w:val="single" w:sz="4" w:space="0" w:color="0070C0"/>
            </w:tcBorders>
            <w:shd w:val="clear" w:color="auto" w:fill="auto"/>
            <w:noWrap/>
            <w:vAlign w:val="center"/>
            <w:hideMark/>
          </w:tcPr>
          <w:p w14:paraId="6717913C"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w:t>
            </w:r>
          </w:p>
        </w:tc>
      </w:tr>
      <w:tr w:rsidR="00A400FF" w:rsidRPr="001769FE" w14:paraId="25C6FC7E"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37A02679"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 xml:space="preserve">Oui </w:t>
            </w:r>
          </w:p>
        </w:tc>
        <w:tc>
          <w:tcPr>
            <w:tcW w:w="433" w:type="pct"/>
            <w:tcBorders>
              <w:top w:val="nil"/>
              <w:left w:val="nil"/>
              <w:bottom w:val="single" w:sz="4" w:space="0" w:color="0070C0"/>
              <w:right w:val="single" w:sz="4" w:space="0" w:color="0070C0"/>
            </w:tcBorders>
            <w:shd w:val="clear" w:color="auto" w:fill="auto"/>
            <w:noWrap/>
            <w:vAlign w:val="center"/>
            <w:hideMark/>
          </w:tcPr>
          <w:p w14:paraId="15F0BD5C"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102</w:t>
            </w:r>
          </w:p>
        </w:tc>
        <w:tc>
          <w:tcPr>
            <w:tcW w:w="635" w:type="pct"/>
            <w:tcBorders>
              <w:top w:val="nil"/>
              <w:left w:val="nil"/>
              <w:bottom w:val="single" w:sz="4" w:space="0" w:color="0070C0"/>
              <w:right w:val="single" w:sz="4" w:space="0" w:color="0070C0"/>
            </w:tcBorders>
            <w:shd w:val="clear" w:color="auto" w:fill="auto"/>
            <w:noWrap/>
            <w:vAlign w:val="center"/>
            <w:hideMark/>
          </w:tcPr>
          <w:p w14:paraId="4F9D3E4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100%</w:t>
            </w:r>
          </w:p>
        </w:tc>
        <w:tc>
          <w:tcPr>
            <w:tcW w:w="301" w:type="pct"/>
            <w:tcBorders>
              <w:top w:val="nil"/>
              <w:left w:val="nil"/>
              <w:bottom w:val="single" w:sz="4" w:space="0" w:color="0070C0"/>
              <w:right w:val="single" w:sz="4" w:space="0" w:color="0070C0"/>
            </w:tcBorders>
            <w:shd w:val="clear" w:color="auto" w:fill="auto"/>
            <w:noWrap/>
            <w:vAlign w:val="center"/>
            <w:hideMark/>
          </w:tcPr>
          <w:p w14:paraId="5E69F03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86</w:t>
            </w:r>
          </w:p>
        </w:tc>
        <w:tc>
          <w:tcPr>
            <w:tcW w:w="471" w:type="pct"/>
            <w:tcBorders>
              <w:top w:val="nil"/>
              <w:left w:val="nil"/>
              <w:bottom w:val="single" w:sz="4" w:space="0" w:color="0070C0"/>
              <w:right w:val="single" w:sz="4" w:space="0" w:color="0070C0"/>
            </w:tcBorders>
            <w:shd w:val="clear" w:color="auto" w:fill="auto"/>
            <w:noWrap/>
            <w:vAlign w:val="center"/>
            <w:hideMark/>
          </w:tcPr>
          <w:p w14:paraId="21308AED"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99%</w:t>
            </w:r>
          </w:p>
        </w:tc>
        <w:tc>
          <w:tcPr>
            <w:tcW w:w="408" w:type="pct"/>
            <w:tcBorders>
              <w:top w:val="nil"/>
              <w:left w:val="nil"/>
              <w:bottom w:val="single" w:sz="4" w:space="0" w:color="0070C0"/>
              <w:right w:val="single" w:sz="4" w:space="0" w:color="0070C0"/>
            </w:tcBorders>
            <w:shd w:val="clear" w:color="auto" w:fill="auto"/>
            <w:noWrap/>
            <w:vAlign w:val="center"/>
            <w:hideMark/>
          </w:tcPr>
          <w:p w14:paraId="5E4E7AFD"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51</w:t>
            </w:r>
          </w:p>
        </w:tc>
        <w:tc>
          <w:tcPr>
            <w:tcW w:w="459" w:type="pct"/>
            <w:tcBorders>
              <w:top w:val="nil"/>
              <w:left w:val="nil"/>
              <w:bottom w:val="single" w:sz="4" w:space="0" w:color="0070C0"/>
              <w:right w:val="single" w:sz="4" w:space="0" w:color="0070C0"/>
            </w:tcBorders>
            <w:shd w:val="clear" w:color="auto" w:fill="auto"/>
            <w:noWrap/>
            <w:vAlign w:val="center"/>
            <w:hideMark/>
          </w:tcPr>
          <w:p w14:paraId="03D1346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100%</w:t>
            </w:r>
          </w:p>
        </w:tc>
        <w:tc>
          <w:tcPr>
            <w:tcW w:w="313" w:type="pct"/>
            <w:tcBorders>
              <w:top w:val="nil"/>
              <w:left w:val="nil"/>
              <w:bottom w:val="single" w:sz="4" w:space="0" w:color="0070C0"/>
              <w:right w:val="single" w:sz="4" w:space="0" w:color="0070C0"/>
            </w:tcBorders>
            <w:shd w:val="clear" w:color="auto" w:fill="auto"/>
            <w:noWrap/>
            <w:vAlign w:val="center"/>
            <w:hideMark/>
          </w:tcPr>
          <w:p w14:paraId="0BD3E388"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137</w:t>
            </w:r>
          </w:p>
        </w:tc>
        <w:tc>
          <w:tcPr>
            <w:tcW w:w="459" w:type="pct"/>
            <w:tcBorders>
              <w:top w:val="nil"/>
              <w:left w:val="nil"/>
              <w:bottom w:val="single" w:sz="4" w:space="0" w:color="0070C0"/>
              <w:right w:val="single" w:sz="4" w:space="0" w:color="0070C0"/>
            </w:tcBorders>
            <w:shd w:val="clear" w:color="auto" w:fill="auto"/>
            <w:noWrap/>
            <w:vAlign w:val="center"/>
            <w:hideMark/>
          </w:tcPr>
          <w:p w14:paraId="5ACC8DE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99%</w:t>
            </w:r>
          </w:p>
        </w:tc>
        <w:tc>
          <w:tcPr>
            <w:tcW w:w="305" w:type="pct"/>
            <w:tcBorders>
              <w:top w:val="nil"/>
              <w:left w:val="nil"/>
              <w:bottom w:val="single" w:sz="4" w:space="0" w:color="0070C0"/>
              <w:right w:val="single" w:sz="4" w:space="0" w:color="0070C0"/>
            </w:tcBorders>
            <w:shd w:val="clear" w:color="auto" w:fill="auto"/>
            <w:noWrap/>
            <w:vAlign w:val="center"/>
            <w:hideMark/>
          </w:tcPr>
          <w:p w14:paraId="746CCB47"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188</w:t>
            </w:r>
          </w:p>
        </w:tc>
        <w:tc>
          <w:tcPr>
            <w:tcW w:w="400" w:type="pct"/>
            <w:tcBorders>
              <w:top w:val="nil"/>
              <w:left w:val="nil"/>
              <w:bottom w:val="single" w:sz="4" w:space="0" w:color="0070C0"/>
              <w:right w:val="single" w:sz="4" w:space="0" w:color="0070C0"/>
            </w:tcBorders>
            <w:shd w:val="clear" w:color="auto" w:fill="auto"/>
            <w:noWrap/>
            <w:vAlign w:val="center"/>
            <w:hideMark/>
          </w:tcPr>
          <w:p w14:paraId="0CBF665F"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99%</w:t>
            </w:r>
          </w:p>
        </w:tc>
      </w:tr>
      <w:tr w:rsidR="00A400FF" w:rsidRPr="001769FE" w14:paraId="1FAAA5B0"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000000" w:fill="D9E1F2"/>
            <w:noWrap/>
            <w:vAlign w:val="center"/>
            <w:hideMark/>
          </w:tcPr>
          <w:p w14:paraId="5DD1272B"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 xml:space="preserve">Total </w:t>
            </w:r>
          </w:p>
        </w:tc>
        <w:tc>
          <w:tcPr>
            <w:tcW w:w="433" w:type="pct"/>
            <w:tcBorders>
              <w:top w:val="nil"/>
              <w:left w:val="nil"/>
              <w:bottom w:val="single" w:sz="4" w:space="0" w:color="0070C0"/>
              <w:right w:val="single" w:sz="4" w:space="0" w:color="0070C0"/>
            </w:tcBorders>
            <w:shd w:val="clear" w:color="000000" w:fill="D9E1F2"/>
            <w:noWrap/>
            <w:vAlign w:val="center"/>
            <w:hideMark/>
          </w:tcPr>
          <w:p w14:paraId="3BD87BB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102</w:t>
            </w:r>
          </w:p>
        </w:tc>
        <w:tc>
          <w:tcPr>
            <w:tcW w:w="635" w:type="pct"/>
            <w:tcBorders>
              <w:top w:val="nil"/>
              <w:left w:val="nil"/>
              <w:bottom w:val="single" w:sz="4" w:space="0" w:color="0070C0"/>
              <w:right w:val="single" w:sz="4" w:space="0" w:color="0070C0"/>
            </w:tcBorders>
            <w:shd w:val="clear" w:color="000000" w:fill="D9E1F2"/>
            <w:noWrap/>
            <w:vAlign w:val="center"/>
            <w:hideMark/>
          </w:tcPr>
          <w:p w14:paraId="7B0E957C"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1" w:type="pct"/>
            <w:tcBorders>
              <w:top w:val="nil"/>
              <w:left w:val="nil"/>
              <w:bottom w:val="single" w:sz="4" w:space="0" w:color="0070C0"/>
              <w:right w:val="single" w:sz="4" w:space="0" w:color="0070C0"/>
            </w:tcBorders>
            <w:shd w:val="clear" w:color="000000" w:fill="D9E1F2"/>
            <w:noWrap/>
            <w:vAlign w:val="center"/>
            <w:hideMark/>
          </w:tcPr>
          <w:p w14:paraId="7989A1D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87</w:t>
            </w:r>
          </w:p>
        </w:tc>
        <w:tc>
          <w:tcPr>
            <w:tcW w:w="471" w:type="pct"/>
            <w:tcBorders>
              <w:top w:val="nil"/>
              <w:left w:val="nil"/>
              <w:bottom w:val="single" w:sz="4" w:space="0" w:color="0070C0"/>
              <w:right w:val="single" w:sz="4" w:space="0" w:color="0070C0"/>
            </w:tcBorders>
            <w:shd w:val="clear" w:color="000000" w:fill="D9E1F2"/>
            <w:noWrap/>
            <w:vAlign w:val="center"/>
            <w:hideMark/>
          </w:tcPr>
          <w:p w14:paraId="3013AA2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408" w:type="pct"/>
            <w:tcBorders>
              <w:top w:val="nil"/>
              <w:left w:val="nil"/>
              <w:bottom w:val="single" w:sz="4" w:space="0" w:color="0070C0"/>
              <w:right w:val="single" w:sz="4" w:space="0" w:color="0070C0"/>
            </w:tcBorders>
            <w:shd w:val="clear" w:color="000000" w:fill="D9E1F2"/>
            <w:noWrap/>
            <w:vAlign w:val="center"/>
            <w:hideMark/>
          </w:tcPr>
          <w:p w14:paraId="7D7442C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51</w:t>
            </w:r>
          </w:p>
        </w:tc>
        <w:tc>
          <w:tcPr>
            <w:tcW w:w="459" w:type="pct"/>
            <w:tcBorders>
              <w:top w:val="nil"/>
              <w:left w:val="nil"/>
              <w:bottom w:val="single" w:sz="4" w:space="0" w:color="0070C0"/>
              <w:right w:val="single" w:sz="4" w:space="0" w:color="0070C0"/>
            </w:tcBorders>
            <w:shd w:val="clear" w:color="000000" w:fill="D9E1F2"/>
            <w:noWrap/>
            <w:vAlign w:val="center"/>
            <w:hideMark/>
          </w:tcPr>
          <w:p w14:paraId="7033DD7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13" w:type="pct"/>
            <w:tcBorders>
              <w:top w:val="nil"/>
              <w:left w:val="nil"/>
              <w:bottom w:val="single" w:sz="4" w:space="0" w:color="0070C0"/>
              <w:right w:val="single" w:sz="4" w:space="0" w:color="0070C0"/>
            </w:tcBorders>
            <w:shd w:val="clear" w:color="000000" w:fill="D9E1F2"/>
            <w:noWrap/>
            <w:vAlign w:val="center"/>
            <w:hideMark/>
          </w:tcPr>
          <w:p w14:paraId="10C3BED4"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138</w:t>
            </w:r>
          </w:p>
        </w:tc>
        <w:tc>
          <w:tcPr>
            <w:tcW w:w="459" w:type="pct"/>
            <w:tcBorders>
              <w:top w:val="nil"/>
              <w:left w:val="nil"/>
              <w:bottom w:val="single" w:sz="4" w:space="0" w:color="0070C0"/>
              <w:right w:val="single" w:sz="4" w:space="0" w:color="0070C0"/>
            </w:tcBorders>
            <w:shd w:val="clear" w:color="000000" w:fill="D9E1F2"/>
            <w:noWrap/>
            <w:vAlign w:val="center"/>
            <w:hideMark/>
          </w:tcPr>
          <w:p w14:paraId="407C7F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324786A"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189</w:t>
            </w:r>
          </w:p>
        </w:tc>
        <w:tc>
          <w:tcPr>
            <w:tcW w:w="400" w:type="pct"/>
            <w:tcBorders>
              <w:top w:val="nil"/>
              <w:left w:val="nil"/>
              <w:bottom w:val="single" w:sz="4" w:space="0" w:color="0070C0"/>
              <w:right w:val="single" w:sz="4" w:space="0" w:color="0070C0"/>
            </w:tcBorders>
            <w:shd w:val="clear" w:color="000000" w:fill="D9E1F2"/>
            <w:noWrap/>
            <w:vAlign w:val="center"/>
            <w:hideMark/>
          </w:tcPr>
          <w:p w14:paraId="292C32EE"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100%</w:t>
            </w:r>
          </w:p>
        </w:tc>
      </w:tr>
    </w:tbl>
    <w:p w14:paraId="70A31784"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3BCA2734" w14:textId="77777777" w:rsidR="00A400FF" w:rsidRDefault="00A400FF" w:rsidP="00A400FF">
      <w:pPr>
        <w:pStyle w:val="Lgende"/>
        <w:widowControl w:val="0"/>
      </w:pPr>
    </w:p>
    <w:p w14:paraId="554EC04B" w14:textId="77777777" w:rsidR="00A400FF" w:rsidRDefault="00A400FF" w:rsidP="00A400FF">
      <w:pPr>
        <w:pStyle w:val="Lgende"/>
        <w:widowControl w:val="0"/>
      </w:pPr>
    </w:p>
    <w:p w14:paraId="4933E53F" w14:textId="4DAA7EC6" w:rsidR="00A400FF" w:rsidRDefault="00A400FF" w:rsidP="00A400FF">
      <w:pPr>
        <w:pStyle w:val="Lgende"/>
        <w:widowControl w:val="0"/>
      </w:pPr>
      <w:bookmarkStart w:id="1032" w:name="_Toc92262122"/>
      <w:r>
        <w:t xml:space="preserve">Tableau </w:t>
      </w:r>
      <w:r>
        <w:fldChar w:fldCharType="begin"/>
      </w:r>
      <w:r>
        <w:instrText>SEQ Tableau \* ARABIC</w:instrText>
      </w:r>
      <w:r>
        <w:fldChar w:fldCharType="separate"/>
      </w:r>
      <w:r w:rsidR="0046716F">
        <w:rPr>
          <w:noProof/>
        </w:rPr>
        <w:t>20</w:t>
      </w:r>
      <w:r>
        <w:fldChar w:fldCharType="end"/>
      </w:r>
      <w:r>
        <w:t xml:space="preserve"> : Répertoire </w:t>
      </w:r>
      <w:r w:rsidRPr="00B631A4">
        <w:t xml:space="preserve">des organisations engagées sur les questions de femmes, paix et sécurité dans </w:t>
      </w:r>
      <w:r>
        <w:t>le cercle d’Ansongo</w:t>
      </w:r>
      <w:bookmarkEnd w:id="103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69"/>
        <w:gridCol w:w="1657"/>
        <w:gridCol w:w="2010"/>
        <w:gridCol w:w="3726"/>
      </w:tblGrid>
      <w:tr w:rsidR="00A400FF" w:rsidRPr="00340A39" w14:paraId="6EC1A1B0" w14:textId="77777777" w:rsidTr="0020372B">
        <w:trPr>
          <w:trHeight w:val="20"/>
          <w:tblHeader/>
        </w:trPr>
        <w:tc>
          <w:tcPr>
            <w:tcW w:w="921" w:type="pct"/>
            <w:shd w:val="clear" w:color="auto" w:fill="auto"/>
            <w:vAlign w:val="center"/>
          </w:tcPr>
          <w:p w14:paraId="66EE8038"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Organisations</w:t>
            </w:r>
          </w:p>
        </w:tc>
        <w:tc>
          <w:tcPr>
            <w:tcW w:w="914" w:type="pct"/>
            <w:shd w:val="clear" w:color="auto" w:fill="auto"/>
            <w:vAlign w:val="center"/>
          </w:tcPr>
          <w:p w14:paraId="66B9D87B"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Thématique /domaine</w:t>
            </w:r>
          </w:p>
        </w:tc>
        <w:tc>
          <w:tcPr>
            <w:tcW w:w="1109" w:type="pct"/>
            <w:shd w:val="clear" w:color="auto" w:fill="auto"/>
            <w:vAlign w:val="center"/>
          </w:tcPr>
          <w:p w14:paraId="02B2D55B"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Zone d’intervention (commune)</w:t>
            </w:r>
          </w:p>
        </w:tc>
        <w:tc>
          <w:tcPr>
            <w:tcW w:w="2056" w:type="pct"/>
            <w:shd w:val="clear" w:color="auto" w:fill="auto"/>
            <w:vAlign w:val="center"/>
          </w:tcPr>
          <w:p w14:paraId="21AFC267"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Activités principales</w:t>
            </w:r>
          </w:p>
        </w:tc>
      </w:tr>
      <w:tr w:rsidR="00A400FF" w:rsidRPr="00340A39" w14:paraId="74F0A4AB" w14:textId="77777777" w:rsidTr="0020372B">
        <w:trPr>
          <w:trHeight w:val="780"/>
        </w:trPr>
        <w:tc>
          <w:tcPr>
            <w:tcW w:w="921" w:type="pct"/>
            <w:shd w:val="clear" w:color="auto" w:fill="auto"/>
          </w:tcPr>
          <w:p w14:paraId="1564DD9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Equipe régionale d’appui à la Réconciliation (ERAR/MARN)</w:t>
            </w:r>
          </w:p>
        </w:tc>
        <w:tc>
          <w:tcPr>
            <w:tcW w:w="914" w:type="pct"/>
            <w:shd w:val="clear" w:color="auto" w:fill="auto"/>
          </w:tcPr>
          <w:p w14:paraId="5995BF0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Cohésion sociale et réconciliation </w:t>
            </w:r>
          </w:p>
        </w:tc>
        <w:tc>
          <w:tcPr>
            <w:tcW w:w="1109" w:type="pct"/>
            <w:shd w:val="clear" w:color="auto" w:fill="auto"/>
          </w:tcPr>
          <w:p w14:paraId="60CF1D5A" w14:textId="77777777" w:rsidR="00A400FF" w:rsidRPr="00340A39" w:rsidRDefault="00A400FF" w:rsidP="0020372B">
            <w:pPr>
              <w:keepNext/>
              <w:spacing w:before="0" w:after="0" w:line="276" w:lineRule="auto"/>
              <w:rPr>
                <w:sz w:val="20"/>
                <w:szCs w:val="20"/>
              </w:rPr>
            </w:pPr>
            <w:r w:rsidRPr="00340A39">
              <w:rPr>
                <w:sz w:val="20"/>
                <w:szCs w:val="20"/>
              </w:rPr>
              <w:t xml:space="preserve">Bara, Ansongo, Tin Hama, Tessit, Talataye, Bourra et Ouattagouna. </w:t>
            </w:r>
          </w:p>
        </w:tc>
        <w:tc>
          <w:tcPr>
            <w:tcW w:w="2056" w:type="pct"/>
            <w:shd w:val="clear" w:color="auto" w:fill="auto"/>
          </w:tcPr>
          <w:p w14:paraId="04A5F86A"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Médiation ;</w:t>
            </w:r>
          </w:p>
          <w:p w14:paraId="6E37B181"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Veille ;</w:t>
            </w:r>
          </w:p>
          <w:p w14:paraId="69A18823"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Appui aux autorités.</w:t>
            </w:r>
          </w:p>
        </w:tc>
      </w:tr>
      <w:tr w:rsidR="00A400FF" w:rsidRPr="00340A39" w14:paraId="280CF828" w14:textId="77777777" w:rsidTr="0020372B">
        <w:trPr>
          <w:trHeight w:val="20"/>
        </w:trPr>
        <w:tc>
          <w:tcPr>
            <w:tcW w:w="921" w:type="pct"/>
            <w:shd w:val="clear" w:color="auto" w:fill="auto"/>
          </w:tcPr>
          <w:p w14:paraId="4EEA1AE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CAR-D en partenariat avec ONU FEMME</w:t>
            </w:r>
          </w:p>
        </w:tc>
        <w:tc>
          <w:tcPr>
            <w:tcW w:w="914" w:type="pct"/>
            <w:shd w:val="clear" w:color="auto" w:fill="auto"/>
          </w:tcPr>
          <w:p w14:paraId="0617B1AB"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Consolidation de la paix </w:t>
            </w:r>
          </w:p>
        </w:tc>
        <w:tc>
          <w:tcPr>
            <w:tcW w:w="1109" w:type="pct"/>
            <w:shd w:val="clear" w:color="auto" w:fill="auto"/>
          </w:tcPr>
          <w:p w14:paraId="5607B01B"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Tessit et Ouattagouna </w:t>
            </w:r>
          </w:p>
        </w:tc>
        <w:tc>
          <w:tcPr>
            <w:tcW w:w="2056" w:type="pct"/>
            <w:shd w:val="clear" w:color="auto" w:fill="auto"/>
          </w:tcPr>
          <w:p w14:paraId="7FFBE47B"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Renforcements des capacités des acteurs ;</w:t>
            </w:r>
          </w:p>
          <w:p w14:paraId="7D79395E"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d’échanges et de coordination des actions ; </w:t>
            </w:r>
          </w:p>
          <w:p w14:paraId="2E9AC090"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Mise en place des organes de prévention et de gestion pacifique ;</w:t>
            </w:r>
          </w:p>
          <w:p w14:paraId="01DA201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et sensibilisation.</w:t>
            </w:r>
          </w:p>
        </w:tc>
      </w:tr>
      <w:tr w:rsidR="00A400FF" w:rsidRPr="00340A39" w14:paraId="3B33FFD0" w14:textId="77777777" w:rsidTr="0020372B">
        <w:trPr>
          <w:trHeight w:val="20"/>
        </w:trPr>
        <w:tc>
          <w:tcPr>
            <w:tcW w:w="921" w:type="pct"/>
            <w:shd w:val="clear" w:color="auto" w:fill="auto"/>
          </w:tcPr>
          <w:p w14:paraId="1498D10E" w14:textId="77777777" w:rsidR="00A400FF" w:rsidRPr="00340A39" w:rsidRDefault="00A400FF" w:rsidP="0020372B">
            <w:pPr>
              <w:keepNext/>
              <w:spacing w:before="0" w:after="0" w:line="276" w:lineRule="auto"/>
              <w:rPr>
                <w:sz w:val="20"/>
                <w:szCs w:val="20"/>
              </w:rPr>
            </w:pPr>
            <w:r w:rsidRPr="00340A39">
              <w:rPr>
                <w:sz w:val="20"/>
                <w:szCs w:val="20"/>
              </w:rPr>
              <w:t>Dialogue Humanitaire</w:t>
            </w:r>
            <w:r>
              <w:rPr>
                <w:sz w:val="20"/>
                <w:szCs w:val="20"/>
              </w:rPr>
              <w:t xml:space="preserve"> </w:t>
            </w:r>
          </w:p>
        </w:tc>
        <w:tc>
          <w:tcPr>
            <w:tcW w:w="914" w:type="pct"/>
            <w:shd w:val="clear" w:color="auto" w:fill="auto"/>
          </w:tcPr>
          <w:p w14:paraId="4598CB3F"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Gestion et prévention des conflits/ pastoralisme </w:t>
            </w:r>
          </w:p>
        </w:tc>
        <w:tc>
          <w:tcPr>
            <w:tcW w:w="1109" w:type="pct"/>
            <w:shd w:val="clear" w:color="auto" w:fill="auto"/>
          </w:tcPr>
          <w:p w14:paraId="11B9FC77"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27172D2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Réseautage entre les acteurs ;</w:t>
            </w:r>
          </w:p>
          <w:p w14:paraId="3F2B4B44"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w:t>
            </w:r>
            <w:r>
              <w:rPr>
                <w:sz w:val="20"/>
                <w:szCs w:val="20"/>
              </w:rPr>
              <w:t xml:space="preserve"> </w:t>
            </w:r>
          </w:p>
          <w:p w14:paraId="7AF34857"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et Sensibilisation ;</w:t>
            </w:r>
          </w:p>
          <w:p w14:paraId="622B2D3C"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Organisation des rencontres intracommunautaire ;</w:t>
            </w:r>
          </w:p>
          <w:p w14:paraId="2D734BE9"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transfrontalière. </w:t>
            </w:r>
          </w:p>
        </w:tc>
      </w:tr>
      <w:tr w:rsidR="00A400FF" w:rsidRPr="00340A39" w14:paraId="7E23D534" w14:textId="77777777" w:rsidTr="0020372B">
        <w:trPr>
          <w:trHeight w:val="20"/>
        </w:trPr>
        <w:tc>
          <w:tcPr>
            <w:tcW w:w="921" w:type="pct"/>
            <w:shd w:val="clear" w:color="auto" w:fill="auto"/>
          </w:tcPr>
          <w:p w14:paraId="54E9A40E" w14:textId="77777777" w:rsidR="00A400FF" w:rsidRPr="00340A39" w:rsidRDefault="00A400FF" w:rsidP="0020372B">
            <w:pPr>
              <w:keepNext/>
              <w:spacing w:before="0" w:after="0" w:line="276" w:lineRule="auto"/>
              <w:rPr>
                <w:rFonts w:cstheme="minorHAnsi"/>
                <w:sz w:val="20"/>
                <w:szCs w:val="20"/>
              </w:rPr>
            </w:pPr>
            <w:r w:rsidRPr="00340A39">
              <w:rPr>
                <w:sz w:val="20"/>
                <w:szCs w:val="20"/>
              </w:rPr>
              <w:t>Equal Access International</w:t>
            </w:r>
          </w:p>
        </w:tc>
        <w:tc>
          <w:tcPr>
            <w:tcW w:w="914" w:type="pct"/>
            <w:shd w:val="clear" w:color="auto" w:fill="auto"/>
          </w:tcPr>
          <w:p w14:paraId="2247909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Paix et Gouvernance </w:t>
            </w:r>
          </w:p>
        </w:tc>
        <w:tc>
          <w:tcPr>
            <w:tcW w:w="1109" w:type="pct"/>
            <w:shd w:val="clear" w:color="auto" w:fill="auto"/>
          </w:tcPr>
          <w:p w14:paraId="2E82D316"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Ouattagouna, Ansongo, Talataye et Tin Hama</w:t>
            </w:r>
          </w:p>
        </w:tc>
        <w:tc>
          <w:tcPr>
            <w:tcW w:w="2056" w:type="pct"/>
            <w:shd w:val="clear" w:color="auto" w:fill="auto"/>
          </w:tcPr>
          <w:p w14:paraId="6BE8D1D9"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locaux, structures de prévention et de gestion des conflits</w:t>
            </w:r>
          </w:p>
          <w:p w14:paraId="5DC7706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Education et communication ;</w:t>
            </w:r>
          </w:p>
          <w:p w14:paraId="472F57DD"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Médiation ;</w:t>
            </w:r>
          </w:p>
          <w:p w14:paraId="7E4A813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inter et intracommunautaire ; </w:t>
            </w:r>
          </w:p>
          <w:p w14:paraId="0B4C033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transfrontalière </w:t>
            </w:r>
          </w:p>
        </w:tc>
      </w:tr>
      <w:tr w:rsidR="00A400FF" w:rsidRPr="00340A39" w14:paraId="029C5497" w14:textId="77777777" w:rsidTr="0020372B">
        <w:trPr>
          <w:trHeight w:val="20"/>
        </w:trPr>
        <w:tc>
          <w:tcPr>
            <w:tcW w:w="921" w:type="pct"/>
            <w:shd w:val="clear" w:color="auto" w:fill="auto"/>
          </w:tcPr>
          <w:p w14:paraId="3FB71AA3" w14:textId="77777777" w:rsidR="00A400FF" w:rsidRPr="00340A39" w:rsidRDefault="00A400FF" w:rsidP="0020372B">
            <w:pPr>
              <w:keepNext/>
              <w:spacing w:before="0" w:after="0" w:line="276" w:lineRule="auto"/>
              <w:rPr>
                <w:rFonts w:cstheme="minorHAnsi"/>
                <w:sz w:val="20"/>
                <w:szCs w:val="20"/>
              </w:rPr>
            </w:pPr>
            <w:r w:rsidRPr="00340A39">
              <w:rPr>
                <w:sz w:val="20"/>
                <w:szCs w:val="20"/>
              </w:rPr>
              <w:t xml:space="preserve">Search For Common Ground </w:t>
            </w:r>
          </w:p>
        </w:tc>
        <w:tc>
          <w:tcPr>
            <w:tcW w:w="914" w:type="pct"/>
            <w:shd w:val="clear" w:color="auto" w:fill="auto"/>
          </w:tcPr>
          <w:p w14:paraId="6E85A4AC" w14:textId="77777777" w:rsidR="00A400FF" w:rsidRPr="00340A39" w:rsidRDefault="00A400FF" w:rsidP="0020372B">
            <w:pPr>
              <w:pStyle w:val="Paragraphedeliste"/>
              <w:keepNext/>
              <w:spacing w:before="0" w:after="0" w:line="276" w:lineRule="auto"/>
              <w:ind w:left="170"/>
              <w:rPr>
                <w:rFonts w:cstheme="minorHAnsi"/>
                <w:sz w:val="20"/>
                <w:szCs w:val="20"/>
              </w:rPr>
            </w:pPr>
            <w:r w:rsidRPr="00340A39">
              <w:rPr>
                <w:rFonts w:cstheme="minorHAnsi"/>
                <w:sz w:val="20"/>
                <w:szCs w:val="20"/>
              </w:rPr>
              <w:t xml:space="preserve">Prevention et gestion des conflits </w:t>
            </w:r>
          </w:p>
        </w:tc>
        <w:tc>
          <w:tcPr>
            <w:tcW w:w="1109" w:type="pct"/>
            <w:shd w:val="clear" w:color="auto" w:fill="auto"/>
          </w:tcPr>
          <w:p w14:paraId="180B42F0"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0313ACC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Médiation </w:t>
            </w:r>
          </w:p>
          <w:p w14:paraId="24D75177"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Système de veille citoyen</w:t>
            </w:r>
          </w:p>
          <w:p w14:paraId="735D048B"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locaux ;</w:t>
            </w:r>
          </w:p>
          <w:p w14:paraId="52842FD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Mise en place des structures ;</w:t>
            </w:r>
          </w:p>
          <w:p w14:paraId="342B77B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Sensibilisation et formation.</w:t>
            </w:r>
          </w:p>
        </w:tc>
      </w:tr>
      <w:tr w:rsidR="00A400FF" w:rsidRPr="00340A39" w14:paraId="05159FF9" w14:textId="77777777" w:rsidTr="0020372B">
        <w:trPr>
          <w:trHeight w:val="20"/>
        </w:trPr>
        <w:tc>
          <w:tcPr>
            <w:tcW w:w="921" w:type="pct"/>
            <w:shd w:val="clear" w:color="auto" w:fill="auto"/>
          </w:tcPr>
          <w:p w14:paraId="4265E5AB" w14:textId="77777777" w:rsidR="00A400FF" w:rsidRPr="00340A39" w:rsidRDefault="00A400FF" w:rsidP="0020372B">
            <w:pPr>
              <w:keepNext/>
              <w:spacing w:before="0" w:after="0" w:line="276" w:lineRule="auto"/>
              <w:rPr>
                <w:rFonts w:cstheme="minorHAnsi"/>
                <w:sz w:val="20"/>
                <w:szCs w:val="20"/>
              </w:rPr>
            </w:pPr>
            <w:r w:rsidRPr="00340A39">
              <w:rPr>
                <w:sz w:val="20"/>
                <w:szCs w:val="20"/>
              </w:rPr>
              <w:t>GREFFA</w:t>
            </w:r>
          </w:p>
        </w:tc>
        <w:tc>
          <w:tcPr>
            <w:tcW w:w="914" w:type="pct"/>
            <w:shd w:val="clear" w:color="auto" w:fill="auto"/>
          </w:tcPr>
          <w:p w14:paraId="5A28AF88" w14:textId="77777777" w:rsidR="00A400FF" w:rsidRPr="00340A39" w:rsidRDefault="00A400FF" w:rsidP="0020372B">
            <w:pPr>
              <w:pStyle w:val="Paragraphedeliste"/>
              <w:keepNext/>
              <w:spacing w:before="0" w:after="0" w:line="276" w:lineRule="auto"/>
              <w:ind w:left="318"/>
              <w:rPr>
                <w:rFonts w:cstheme="minorHAnsi"/>
                <w:sz w:val="20"/>
                <w:szCs w:val="20"/>
              </w:rPr>
            </w:pPr>
          </w:p>
        </w:tc>
        <w:tc>
          <w:tcPr>
            <w:tcW w:w="1109" w:type="pct"/>
            <w:shd w:val="clear" w:color="auto" w:fill="auto"/>
          </w:tcPr>
          <w:p w14:paraId="65E2E027"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4BBE19A6"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Médiation </w:t>
            </w:r>
          </w:p>
          <w:p w14:paraId="56EADB35"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Mise en place des structures ;</w:t>
            </w:r>
          </w:p>
          <w:p w14:paraId="0AE85B4C"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sz w:val="20"/>
                <w:szCs w:val="20"/>
              </w:rPr>
              <w:t>Information et sensibilisation ;</w:t>
            </w:r>
          </w:p>
          <w:p w14:paraId="0F031A53"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Autonomisation des femmes.</w:t>
            </w:r>
          </w:p>
        </w:tc>
      </w:tr>
      <w:tr w:rsidR="00A400FF" w:rsidRPr="00340A39" w14:paraId="72E5BDEF" w14:textId="77777777" w:rsidTr="0020372B">
        <w:trPr>
          <w:trHeight w:val="20"/>
        </w:trPr>
        <w:tc>
          <w:tcPr>
            <w:tcW w:w="921" w:type="pct"/>
            <w:shd w:val="clear" w:color="auto" w:fill="auto"/>
          </w:tcPr>
          <w:p w14:paraId="29A6C151" w14:textId="77777777" w:rsidR="00A400FF" w:rsidRPr="00340A39" w:rsidRDefault="00A400FF" w:rsidP="0020372B">
            <w:pPr>
              <w:keepNext/>
              <w:spacing w:before="0" w:after="0" w:line="276" w:lineRule="auto"/>
              <w:rPr>
                <w:sz w:val="20"/>
                <w:szCs w:val="20"/>
              </w:rPr>
            </w:pPr>
            <w:r w:rsidRPr="00340A39">
              <w:rPr>
                <w:sz w:val="20"/>
                <w:szCs w:val="20"/>
              </w:rPr>
              <w:t>Promo médiation</w:t>
            </w:r>
          </w:p>
        </w:tc>
        <w:tc>
          <w:tcPr>
            <w:tcW w:w="914" w:type="pct"/>
            <w:shd w:val="clear" w:color="auto" w:fill="auto"/>
          </w:tcPr>
          <w:p w14:paraId="7D52FA31"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Médiation </w:t>
            </w:r>
          </w:p>
        </w:tc>
        <w:tc>
          <w:tcPr>
            <w:tcW w:w="1109" w:type="pct"/>
            <w:shd w:val="clear" w:color="auto" w:fill="auto"/>
          </w:tcPr>
          <w:p w14:paraId="73552BB9"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w:t>
            </w:r>
            <w:r>
              <w:rPr>
                <w:rFonts w:cstheme="minorHAnsi"/>
                <w:sz w:val="20"/>
                <w:szCs w:val="20"/>
              </w:rPr>
              <w:t xml:space="preserve"> </w:t>
            </w:r>
          </w:p>
        </w:tc>
        <w:tc>
          <w:tcPr>
            <w:tcW w:w="2056" w:type="pct"/>
            <w:shd w:val="clear" w:color="auto" w:fill="auto"/>
          </w:tcPr>
          <w:p w14:paraId="257B5736"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Médiation ;</w:t>
            </w:r>
          </w:p>
          <w:p w14:paraId="07CD87F7"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Analyse et étude.</w:t>
            </w:r>
          </w:p>
        </w:tc>
      </w:tr>
      <w:tr w:rsidR="00A400FF" w:rsidRPr="00340A39" w14:paraId="529F7857" w14:textId="77777777" w:rsidTr="0020372B">
        <w:trPr>
          <w:trHeight w:val="20"/>
        </w:trPr>
        <w:tc>
          <w:tcPr>
            <w:tcW w:w="921" w:type="pct"/>
            <w:shd w:val="clear" w:color="auto" w:fill="auto"/>
          </w:tcPr>
          <w:p w14:paraId="72B4644B" w14:textId="77777777" w:rsidR="00A400FF" w:rsidRPr="00340A39" w:rsidRDefault="00A400FF" w:rsidP="0020372B">
            <w:pPr>
              <w:keepNext/>
              <w:spacing w:before="0" w:after="0" w:line="276" w:lineRule="auto"/>
              <w:rPr>
                <w:sz w:val="20"/>
                <w:szCs w:val="20"/>
              </w:rPr>
            </w:pPr>
            <w:r w:rsidRPr="00340A39">
              <w:rPr>
                <w:sz w:val="20"/>
                <w:szCs w:val="20"/>
              </w:rPr>
              <w:t>GIZ / PASP</w:t>
            </w:r>
          </w:p>
        </w:tc>
        <w:tc>
          <w:tcPr>
            <w:tcW w:w="914" w:type="pct"/>
            <w:shd w:val="clear" w:color="auto" w:fill="auto"/>
          </w:tcPr>
          <w:p w14:paraId="0D7895C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Stabilisation </w:t>
            </w:r>
          </w:p>
        </w:tc>
        <w:tc>
          <w:tcPr>
            <w:tcW w:w="1109" w:type="pct"/>
            <w:shd w:val="clear" w:color="auto" w:fill="auto"/>
          </w:tcPr>
          <w:p w14:paraId="66177305"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2CA484B3"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Rencontre inter et intracommunautaire ;</w:t>
            </w:r>
          </w:p>
          <w:p w14:paraId="3E83807F"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Dialogue ;</w:t>
            </w:r>
          </w:p>
          <w:p w14:paraId="55E56E30"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Bons offices ;</w:t>
            </w:r>
          </w:p>
          <w:p w14:paraId="5DC11069"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Réalisation de microprojet de stabilisation. </w:t>
            </w:r>
          </w:p>
        </w:tc>
      </w:tr>
      <w:tr w:rsidR="00A400FF" w:rsidRPr="00340A39" w14:paraId="454F24AA" w14:textId="77777777" w:rsidTr="0020372B">
        <w:trPr>
          <w:trHeight w:val="20"/>
        </w:trPr>
        <w:tc>
          <w:tcPr>
            <w:tcW w:w="921" w:type="pct"/>
            <w:shd w:val="clear" w:color="auto" w:fill="auto"/>
          </w:tcPr>
          <w:p w14:paraId="4AD88689" w14:textId="77777777" w:rsidR="00A400FF" w:rsidRPr="00340A39" w:rsidRDefault="00A400FF" w:rsidP="0020372B">
            <w:pPr>
              <w:keepNext/>
              <w:spacing w:before="0" w:after="0" w:line="276" w:lineRule="auto"/>
              <w:rPr>
                <w:sz w:val="20"/>
                <w:szCs w:val="20"/>
              </w:rPr>
            </w:pPr>
            <w:r w:rsidRPr="00340A39">
              <w:rPr>
                <w:sz w:val="20"/>
                <w:szCs w:val="20"/>
              </w:rPr>
              <w:t>NOHO/ SNV</w:t>
            </w:r>
          </w:p>
        </w:tc>
        <w:tc>
          <w:tcPr>
            <w:tcW w:w="914" w:type="pct"/>
            <w:shd w:val="clear" w:color="auto" w:fill="auto"/>
          </w:tcPr>
          <w:p w14:paraId="6FAE02F1"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Gouvernance et gestion des conflits </w:t>
            </w:r>
          </w:p>
        </w:tc>
        <w:tc>
          <w:tcPr>
            <w:tcW w:w="1109" w:type="pct"/>
            <w:shd w:val="clear" w:color="auto" w:fill="auto"/>
          </w:tcPr>
          <w:p w14:paraId="01B3DB34"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6BED12E9"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Création des AGR pour les jeunes ;</w:t>
            </w:r>
          </w:p>
          <w:p w14:paraId="00FB5742"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Renforcement des capacités des acteurs locaux (jeunes et femmes).</w:t>
            </w:r>
          </w:p>
        </w:tc>
      </w:tr>
      <w:tr w:rsidR="00A400FF" w:rsidRPr="00340A39" w14:paraId="19DACFC2" w14:textId="77777777" w:rsidTr="0020372B">
        <w:trPr>
          <w:trHeight w:val="20"/>
        </w:trPr>
        <w:tc>
          <w:tcPr>
            <w:tcW w:w="921" w:type="pct"/>
            <w:shd w:val="clear" w:color="auto" w:fill="auto"/>
          </w:tcPr>
          <w:p w14:paraId="083E759D" w14:textId="77777777" w:rsidR="00A400FF" w:rsidRPr="00340A39" w:rsidRDefault="00A400FF" w:rsidP="0020372B">
            <w:pPr>
              <w:keepNext/>
              <w:spacing w:before="0" w:after="0" w:line="276" w:lineRule="auto"/>
              <w:rPr>
                <w:sz w:val="20"/>
                <w:szCs w:val="20"/>
              </w:rPr>
            </w:pPr>
            <w:r w:rsidRPr="00340A39">
              <w:rPr>
                <w:sz w:val="20"/>
                <w:szCs w:val="20"/>
              </w:rPr>
              <w:t xml:space="preserve">MINUSMA </w:t>
            </w:r>
          </w:p>
        </w:tc>
        <w:tc>
          <w:tcPr>
            <w:tcW w:w="914" w:type="pct"/>
            <w:shd w:val="clear" w:color="auto" w:fill="auto"/>
          </w:tcPr>
          <w:p w14:paraId="5F32BD8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Stabilisation</w:t>
            </w:r>
          </w:p>
        </w:tc>
        <w:tc>
          <w:tcPr>
            <w:tcW w:w="1109" w:type="pct"/>
            <w:shd w:val="clear" w:color="auto" w:fill="auto"/>
          </w:tcPr>
          <w:p w14:paraId="389DFEC5"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2043A8C8"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Réalisation des mesures de stabilisation ;</w:t>
            </w:r>
          </w:p>
          <w:p w14:paraId="5EAEB2A2"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Sensibilisation ; </w:t>
            </w:r>
          </w:p>
          <w:p w14:paraId="6F07D09B"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Formation.</w:t>
            </w:r>
          </w:p>
        </w:tc>
      </w:tr>
    </w:tbl>
    <w:p w14:paraId="7A610C48" w14:textId="77777777" w:rsidR="00A400FF" w:rsidRDefault="00A400FF" w:rsidP="00A400FF">
      <w:pPr>
        <w:keepNext/>
        <w:spacing w:before="0" w:after="160" w:line="276" w:lineRule="auto"/>
        <w:rPr>
          <w:i/>
          <w:iCs/>
          <w:sz w:val="20"/>
          <w:szCs w:val="20"/>
        </w:rPr>
      </w:pPr>
      <w:r w:rsidRPr="00B14E1B">
        <w:rPr>
          <w:i/>
          <w:iCs/>
          <w:sz w:val="20"/>
          <w:szCs w:val="20"/>
        </w:rPr>
        <w:t xml:space="preserve">Source : </w:t>
      </w:r>
      <w:r>
        <w:rPr>
          <w:i/>
          <w:iCs/>
          <w:sz w:val="20"/>
          <w:szCs w:val="20"/>
        </w:rPr>
        <w:t>E</w:t>
      </w:r>
      <w:r w:rsidRPr="00B14E1B">
        <w:rPr>
          <w:i/>
          <w:iCs/>
          <w:sz w:val="20"/>
          <w:szCs w:val="20"/>
        </w:rPr>
        <w:t>xtrait du Rapport d’études « Répertoire des organisations engagées sur les questions de femmes, paix et sécurité dans la zone d’intervention »</w:t>
      </w:r>
      <w:r>
        <w:rPr>
          <w:i/>
          <w:iCs/>
          <w:sz w:val="20"/>
          <w:szCs w:val="20"/>
        </w:rPr>
        <w:t>, CAR.D, Juin 2020.</w:t>
      </w:r>
    </w:p>
    <w:p w14:paraId="782118F1" w14:textId="77777777" w:rsidR="00A400FF" w:rsidRDefault="00A400FF" w:rsidP="00A400FF">
      <w:pPr>
        <w:widowControl w:val="0"/>
        <w:spacing w:before="0" w:after="160" w:line="276" w:lineRule="auto"/>
        <w:rPr>
          <w:i/>
          <w:iCs/>
          <w:sz w:val="20"/>
          <w:szCs w:val="20"/>
        </w:rPr>
      </w:pPr>
    </w:p>
    <w:p w14:paraId="28C6E03F" w14:textId="6B79E369" w:rsidR="00A400FF" w:rsidRDefault="0046716F" w:rsidP="0046716F">
      <w:pPr>
        <w:pStyle w:val="Lgende"/>
        <w:rPr>
          <w:sz w:val="20"/>
          <w:szCs w:val="20"/>
        </w:rPr>
      </w:pPr>
      <w:r>
        <w:t xml:space="preserve">Tableau </w:t>
      </w:r>
      <w:r w:rsidR="00BD0DF0">
        <w:fldChar w:fldCharType="begin"/>
      </w:r>
      <w:r w:rsidR="00BD0DF0">
        <w:instrText xml:space="preserve"> SEQ Tableau \* ARABIC </w:instrText>
      </w:r>
      <w:r w:rsidR="00BD0DF0">
        <w:fldChar w:fldCharType="separate"/>
      </w:r>
      <w:r>
        <w:rPr>
          <w:noProof/>
        </w:rPr>
        <w:t>21</w:t>
      </w:r>
      <w:r w:rsidR="00BD0DF0">
        <w:rPr>
          <w:noProof/>
        </w:rPr>
        <w:fldChar w:fldCharType="end"/>
      </w:r>
      <w:r>
        <w:t xml:space="preserve"> : </w:t>
      </w:r>
      <w:r w:rsidRPr="00674CDF">
        <w:t>Répertoire des organisations intervenant sur les questions de femmes, paix et sécurité dans les Communes de Bankilaré,Ayorou, Banibangou et Gorouol</w:t>
      </w:r>
    </w:p>
    <w:tbl>
      <w:tblPr>
        <w:tblpPr w:leftFromText="141" w:rightFromText="141"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4"/>
        <w:gridCol w:w="2429"/>
        <w:gridCol w:w="3649"/>
        <w:gridCol w:w="2540"/>
      </w:tblGrid>
      <w:tr w:rsidR="00A400FF" w:rsidRPr="00FF03AA" w14:paraId="67B1D6E1" w14:textId="77777777" w:rsidTr="0020372B">
        <w:trPr>
          <w:trHeight w:val="20"/>
          <w:tblHeader/>
        </w:trPr>
        <w:tc>
          <w:tcPr>
            <w:tcW w:w="238" w:type="pct"/>
            <w:shd w:val="clear" w:color="auto" w:fill="0070C0"/>
            <w:vAlign w:val="center"/>
          </w:tcPr>
          <w:p w14:paraId="70958CC0"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N°</w:t>
            </w:r>
          </w:p>
        </w:tc>
        <w:tc>
          <w:tcPr>
            <w:tcW w:w="1299" w:type="pct"/>
            <w:shd w:val="clear" w:color="auto" w:fill="0070C0"/>
            <w:vAlign w:val="center"/>
          </w:tcPr>
          <w:p w14:paraId="3445A6F9"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Catégorie d’Organisation</w:t>
            </w:r>
          </w:p>
        </w:tc>
        <w:tc>
          <w:tcPr>
            <w:tcW w:w="2104" w:type="pct"/>
            <w:shd w:val="clear" w:color="auto" w:fill="0070C0"/>
            <w:vAlign w:val="center"/>
          </w:tcPr>
          <w:p w14:paraId="6F2376CC"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Dénomination</w:t>
            </w:r>
          </w:p>
        </w:tc>
        <w:tc>
          <w:tcPr>
            <w:tcW w:w="1359" w:type="pct"/>
            <w:shd w:val="clear" w:color="auto" w:fill="0070C0"/>
            <w:vAlign w:val="center"/>
          </w:tcPr>
          <w:p w14:paraId="3E914FDE"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Localité(s)d’intervention</w:t>
            </w:r>
          </w:p>
        </w:tc>
      </w:tr>
      <w:tr w:rsidR="00A400FF" w:rsidRPr="00FF03AA" w14:paraId="5B8AC2D4" w14:textId="77777777" w:rsidTr="0020372B">
        <w:trPr>
          <w:trHeight w:val="20"/>
        </w:trPr>
        <w:tc>
          <w:tcPr>
            <w:tcW w:w="238" w:type="pct"/>
            <w:vAlign w:val="center"/>
          </w:tcPr>
          <w:p w14:paraId="2C8D70C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w:t>
            </w:r>
          </w:p>
          <w:p w14:paraId="492C1925"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restart"/>
            <w:vAlign w:val="center"/>
          </w:tcPr>
          <w:p w14:paraId="3BCD89A4"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b/>
                <w:sz w:val="20"/>
                <w:szCs w:val="20"/>
              </w:rPr>
              <w:t>Organisation internationale/Agence Onusienne</w:t>
            </w:r>
          </w:p>
        </w:tc>
        <w:tc>
          <w:tcPr>
            <w:tcW w:w="2104" w:type="pct"/>
            <w:vAlign w:val="center"/>
          </w:tcPr>
          <w:p w14:paraId="5726335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Organisations des Nations Unies pour les Femmes (ONU -Femmes)</w:t>
            </w:r>
          </w:p>
        </w:tc>
        <w:tc>
          <w:tcPr>
            <w:tcW w:w="1359" w:type="pct"/>
            <w:vAlign w:val="center"/>
          </w:tcPr>
          <w:p w14:paraId="6F8B82F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562D189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B14923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7F397D5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4B5D8380" w14:textId="77777777" w:rsidTr="0020372B">
        <w:trPr>
          <w:trHeight w:val="20"/>
        </w:trPr>
        <w:tc>
          <w:tcPr>
            <w:tcW w:w="238" w:type="pct"/>
            <w:vAlign w:val="center"/>
          </w:tcPr>
          <w:p w14:paraId="756136D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w:t>
            </w:r>
          </w:p>
        </w:tc>
        <w:tc>
          <w:tcPr>
            <w:tcW w:w="1299" w:type="pct"/>
            <w:vMerge/>
            <w:vAlign w:val="center"/>
          </w:tcPr>
          <w:p w14:paraId="2D812780"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4ED5343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 Internationale pour les Migrations (OIM)</w:t>
            </w:r>
          </w:p>
        </w:tc>
        <w:tc>
          <w:tcPr>
            <w:tcW w:w="1359" w:type="pct"/>
            <w:vAlign w:val="center"/>
          </w:tcPr>
          <w:p w14:paraId="6441E0B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4E570DD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7CBBF6B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51F5522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4C77C890" w14:textId="77777777" w:rsidTr="0020372B">
        <w:trPr>
          <w:trHeight w:val="20"/>
        </w:trPr>
        <w:tc>
          <w:tcPr>
            <w:tcW w:w="238" w:type="pct"/>
            <w:vAlign w:val="center"/>
          </w:tcPr>
          <w:p w14:paraId="5D8A9D7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3</w:t>
            </w:r>
          </w:p>
          <w:p w14:paraId="29C7C183"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restart"/>
            <w:vAlign w:val="center"/>
          </w:tcPr>
          <w:p w14:paraId="6F578BEA"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b/>
                <w:sz w:val="20"/>
                <w:szCs w:val="20"/>
              </w:rPr>
              <w:t>ONG Internationale</w:t>
            </w:r>
          </w:p>
        </w:tc>
        <w:tc>
          <w:tcPr>
            <w:tcW w:w="2104" w:type="pct"/>
            <w:vAlign w:val="center"/>
          </w:tcPr>
          <w:p w14:paraId="0C9F7B3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CARE</w:t>
            </w:r>
          </w:p>
        </w:tc>
        <w:tc>
          <w:tcPr>
            <w:tcW w:w="1359" w:type="pct"/>
            <w:vAlign w:val="center"/>
          </w:tcPr>
          <w:p w14:paraId="5D475D9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15DDB3C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7545EDC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16BF85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16702020" w14:textId="77777777" w:rsidTr="0020372B">
        <w:trPr>
          <w:trHeight w:val="20"/>
        </w:trPr>
        <w:tc>
          <w:tcPr>
            <w:tcW w:w="238" w:type="pct"/>
            <w:vAlign w:val="center"/>
          </w:tcPr>
          <w:p w14:paraId="2A56152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4</w:t>
            </w:r>
          </w:p>
          <w:p w14:paraId="43774985"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ign w:val="center"/>
          </w:tcPr>
          <w:p w14:paraId="524C5BEA"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66F0FBA" w14:textId="77777777" w:rsidR="00A400FF" w:rsidRPr="00FF03AA" w:rsidRDefault="00A400FF" w:rsidP="0020372B">
            <w:pPr>
              <w:keepNext/>
              <w:spacing w:before="0" w:after="0" w:line="276" w:lineRule="auto"/>
              <w:jc w:val="left"/>
              <w:rPr>
                <w:rFonts w:eastAsia="Calibri" w:cs="Calibri"/>
                <w:b/>
                <w:sz w:val="20"/>
                <w:szCs w:val="20"/>
              </w:rPr>
            </w:pPr>
            <w:r w:rsidRPr="00FF03AA">
              <w:rPr>
                <w:rFonts w:cs="Calibri"/>
                <w:sz w:val="20"/>
                <w:szCs w:val="20"/>
              </w:rPr>
              <w:t>EQUAL ACCESS</w:t>
            </w:r>
          </w:p>
        </w:tc>
        <w:tc>
          <w:tcPr>
            <w:tcW w:w="1359" w:type="pct"/>
            <w:vAlign w:val="center"/>
          </w:tcPr>
          <w:p w14:paraId="7DBB25B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-Banibangou</w:t>
            </w:r>
          </w:p>
          <w:p w14:paraId="0FA3B55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20CA0990" w14:textId="77777777" w:rsidTr="0020372B">
        <w:trPr>
          <w:trHeight w:val="20"/>
        </w:trPr>
        <w:tc>
          <w:tcPr>
            <w:tcW w:w="238" w:type="pct"/>
            <w:vAlign w:val="center"/>
          </w:tcPr>
          <w:p w14:paraId="668D1F7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5</w:t>
            </w:r>
          </w:p>
        </w:tc>
        <w:tc>
          <w:tcPr>
            <w:tcW w:w="1299" w:type="pct"/>
            <w:vMerge/>
            <w:vAlign w:val="center"/>
          </w:tcPr>
          <w:p w14:paraId="4EFD5978"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685E3BB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Agence d’Aide</w:t>
            </w:r>
            <w:r>
              <w:rPr>
                <w:rFonts w:eastAsia="Calibri" w:cs="Calibri"/>
                <w:sz w:val="20"/>
                <w:szCs w:val="20"/>
              </w:rPr>
              <w:t xml:space="preserve"> </w:t>
            </w:r>
            <w:r w:rsidRPr="00FF03AA">
              <w:rPr>
                <w:rFonts w:eastAsia="Calibri" w:cs="Calibri"/>
                <w:sz w:val="20"/>
                <w:szCs w:val="20"/>
              </w:rPr>
              <w:t>à la Coopération Technique et au Développement</w:t>
            </w:r>
            <w:r>
              <w:rPr>
                <w:rFonts w:eastAsia="Calibri" w:cs="Calibri"/>
                <w:sz w:val="20"/>
                <w:szCs w:val="20"/>
              </w:rPr>
              <w:t xml:space="preserve"> </w:t>
            </w:r>
            <w:r w:rsidRPr="00FF03AA">
              <w:rPr>
                <w:rFonts w:eastAsia="Calibri" w:cs="Calibri"/>
                <w:sz w:val="20"/>
                <w:szCs w:val="20"/>
              </w:rPr>
              <w:t>(ACTED)</w:t>
            </w:r>
          </w:p>
        </w:tc>
        <w:tc>
          <w:tcPr>
            <w:tcW w:w="1359" w:type="pct"/>
            <w:vAlign w:val="center"/>
          </w:tcPr>
          <w:p w14:paraId="0226B82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22725DC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884269D" w14:textId="77777777" w:rsidR="00A400FF" w:rsidRPr="00FF03AA" w:rsidRDefault="00A400FF" w:rsidP="0020372B">
            <w:pPr>
              <w:keepNext/>
              <w:spacing w:before="0" w:after="0" w:line="276" w:lineRule="auto"/>
              <w:jc w:val="left"/>
              <w:rPr>
                <w:rFonts w:eastAsia="Calibri" w:cs="Calibri"/>
                <w:sz w:val="20"/>
                <w:szCs w:val="20"/>
              </w:rPr>
            </w:pPr>
          </w:p>
        </w:tc>
      </w:tr>
      <w:tr w:rsidR="00A400FF" w:rsidRPr="00FF03AA" w14:paraId="2F02F053" w14:textId="77777777" w:rsidTr="0020372B">
        <w:trPr>
          <w:trHeight w:val="20"/>
        </w:trPr>
        <w:tc>
          <w:tcPr>
            <w:tcW w:w="238" w:type="pct"/>
            <w:vAlign w:val="center"/>
          </w:tcPr>
          <w:p w14:paraId="01DD997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6</w:t>
            </w:r>
          </w:p>
        </w:tc>
        <w:tc>
          <w:tcPr>
            <w:tcW w:w="1299" w:type="pct"/>
            <w:vMerge/>
            <w:vAlign w:val="center"/>
          </w:tcPr>
          <w:p w14:paraId="2D54BD3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6EB2100" w14:textId="77777777" w:rsidR="00A400FF" w:rsidRPr="00FF03AA" w:rsidRDefault="00A400FF" w:rsidP="0020372B">
            <w:pPr>
              <w:keepNext/>
              <w:spacing w:before="0" w:after="0" w:line="276" w:lineRule="auto"/>
              <w:jc w:val="left"/>
              <w:rPr>
                <w:rFonts w:eastAsia="Calibri" w:cs="Calibri"/>
                <w:sz w:val="20"/>
                <w:szCs w:val="20"/>
                <w:lang w:val="en-US"/>
              </w:rPr>
            </w:pPr>
            <w:r w:rsidRPr="00FF03AA">
              <w:rPr>
                <w:rFonts w:eastAsia="Calibri" w:cs="Calibri"/>
                <w:sz w:val="20"/>
                <w:szCs w:val="20"/>
                <w:lang w:val="en-US"/>
              </w:rPr>
              <w:t>Search For Common Ground (SFCG)</w:t>
            </w:r>
          </w:p>
        </w:tc>
        <w:tc>
          <w:tcPr>
            <w:tcW w:w="1359" w:type="pct"/>
            <w:vAlign w:val="center"/>
          </w:tcPr>
          <w:p w14:paraId="255DD4D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1BBA2B4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501ACBA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tc>
      </w:tr>
      <w:tr w:rsidR="00A400FF" w:rsidRPr="00FF03AA" w14:paraId="17CE52D3" w14:textId="77777777" w:rsidTr="0020372B">
        <w:trPr>
          <w:trHeight w:val="20"/>
        </w:trPr>
        <w:tc>
          <w:tcPr>
            <w:tcW w:w="238" w:type="pct"/>
            <w:vAlign w:val="center"/>
          </w:tcPr>
          <w:p w14:paraId="1ECA7E4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7</w:t>
            </w:r>
          </w:p>
        </w:tc>
        <w:tc>
          <w:tcPr>
            <w:tcW w:w="1299" w:type="pct"/>
            <w:vMerge/>
            <w:vAlign w:val="center"/>
          </w:tcPr>
          <w:p w14:paraId="595AAF9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70E6F1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Groupe Danois de Déminage (DRC-DDG)</w:t>
            </w:r>
          </w:p>
        </w:tc>
        <w:tc>
          <w:tcPr>
            <w:tcW w:w="1359" w:type="pct"/>
            <w:vAlign w:val="center"/>
          </w:tcPr>
          <w:p w14:paraId="4FC7E91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43470D1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2F522F6C" w14:textId="77777777" w:rsidTr="0020372B">
        <w:trPr>
          <w:trHeight w:val="20"/>
        </w:trPr>
        <w:tc>
          <w:tcPr>
            <w:tcW w:w="238" w:type="pct"/>
            <w:vAlign w:val="center"/>
          </w:tcPr>
          <w:p w14:paraId="614C1AD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8</w:t>
            </w:r>
          </w:p>
        </w:tc>
        <w:tc>
          <w:tcPr>
            <w:tcW w:w="1299" w:type="pct"/>
            <w:vMerge/>
            <w:vAlign w:val="center"/>
          </w:tcPr>
          <w:p w14:paraId="3FAF11DC"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A4CF7A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Mercy corps</w:t>
            </w:r>
          </w:p>
        </w:tc>
        <w:tc>
          <w:tcPr>
            <w:tcW w:w="1359" w:type="pct"/>
            <w:vAlign w:val="center"/>
          </w:tcPr>
          <w:p w14:paraId="35C53C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w:t>
            </w:r>
          </w:p>
          <w:p w14:paraId="6ABA3F5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-Ayorou</w:t>
            </w:r>
          </w:p>
          <w:p w14:paraId="061DCA2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-Banibangou</w:t>
            </w:r>
          </w:p>
          <w:p w14:paraId="3FE0D4D8"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sz w:val="20"/>
                <w:szCs w:val="20"/>
              </w:rPr>
              <w:t>-Gorouol</w:t>
            </w:r>
          </w:p>
        </w:tc>
      </w:tr>
      <w:tr w:rsidR="00A400FF" w:rsidRPr="00FF03AA" w14:paraId="670B441F" w14:textId="77777777" w:rsidTr="0020372B">
        <w:trPr>
          <w:trHeight w:val="20"/>
        </w:trPr>
        <w:tc>
          <w:tcPr>
            <w:tcW w:w="238" w:type="pct"/>
            <w:vAlign w:val="center"/>
          </w:tcPr>
          <w:p w14:paraId="7EF20A9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9</w:t>
            </w:r>
          </w:p>
        </w:tc>
        <w:tc>
          <w:tcPr>
            <w:tcW w:w="1299" w:type="pct"/>
            <w:vMerge/>
            <w:vAlign w:val="center"/>
          </w:tcPr>
          <w:p w14:paraId="268E14B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3BD3E5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Quartier de Lumière (QDL)</w:t>
            </w:r>
          </w:p>
        </w:tc>
        <w:tc>
          <w:tcPr>
            <w:tcW w:w="1359" w:type="pct"/>
            <w:vAlign w:val="center"/>
          </w:tcPr>
          <w:p w14:paraId="7E0D8098"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sz w:val="20"/>
                <w:szCs w:val="20"/>
              </w:rPr>
              <w:t>-Bankilaré</w:t>
            </w:r>
          </w:p>
        </w:tc>
      </w:tr>
      <w:tr w:rsidR="00A400FF" w:rsidRPr="00FF03AA" w14:paraId="17B5D28E" w14:textId="77777777" w:rsidTr="0020372B">
        <w:trPr>
          <w:trHeight w:val="20"/>
        </w:trPr>
        <w:tc>
          <w:tcPr>
            <w:tcW w:w="238" w:type="pct"/>
            <w:vAlign w:val="center"/>
          </w:tcPr>
          <w:p w14:paraId="364151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10</w:t>
            </w:r>
          </w:p>
        </w:tc>
        <w:tc>
          <w:tcPr>
            <w:tcW w:w="1299" w:type="pct"/>
            <w:vMerge/>
            <w:vAlign w:val="center"/>
          </w:tcPr>
          <w:p w14:paraId="02E7095B"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745EA1A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de Développement Economique et Sociale (ADES)</w:t>
            </w:r>
          </w:p>
        </w:tc>
        <w:tc>
          <w:tcPr>
            <w:tcW w:w="1359" w:type="pct"/>
            <w:vAlign w:val="center"/>
          </w:tcPr>
          <w:p w14:paraId="6D6D5DD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-Ayorou</w:t>
            </w:r>
          </w:p>
        </w:tc>
      </w:tr>
      <w:tr w:rsidR="00A400FF" w:rsidRPr="00FF03AA" w14:paraId="79E0F0E3" w14:textId="77777777" w:rsidTr="0020372B">
        <w:trPr>
          <w:trHeight w:val="20"/>
        </w:trPr>
        <w:tc>
          <w:tcPr>
            <w:tcW w:w="238" w:type="pct"/>
            <w:vAlign w:val="center"/>
          </w:tcPr>
          <w:p w14:paraId="355B562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11</w:t>
            </w:r>
          </w:p>
        </w:tc>
        <w:tc>
          <w:tcPr>
            <w:tcW w:w="1299" w:type="pct"/>
            <w:vMerge/>
            <w:vAlign w:val="center"/>
          </w:tcPr>
          <w:p w14:paraId="0C04AB00"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A20E582" w14:textId="77777777" w:rsidR="00A400FF" w:rsidRPr="00FF03AA" w:rsidRDefault="00A400FF" w:rsidP="0020372B">
            <w:pPr>
              <w:keepNext/>
              <w:spacing w:before="0" w:after="0" w:line="276" w:lineRule="auto"/>
              <w:jc w:val="left"/>
              <w:rPr>
                <w:rFonts w:eastAsia="Calibri" w:cs="Calibri"/>
                <w:sz w:val="20"/>
                <w:szCs w:val="20"/>
              </w:rPr>
            </w:pPr>
            <w:r w:rsidRPr="00FF03AA">
              <w:rPr>
                <w:rFonts w:cs="Calibri"/>
                <w:sz w:val="20"/>
                <w:szCs w:val="20"/>
              </w:rPr>
              <w:t>EIRENE</w:t>
            </w:r>
          </w:p>
        </w:tc>
        <w:tc>
          <w:tcPr>
            <w:tcW w:w="1359" w:type="pct"/>
            <w:vAlign w:val="center"/>
          </w:tcPr>
          <w:p w14:paraId="4B11832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4A1DC28A" w14:textId="77777777" w:rsidTr="0020372B">
        <w:trPr>
          <w:trHeight w:val="20"/>
        </w:trPr>
        <w:tc>
          <w:tcPr>
            <w:tcW w:w="238" w:type="pct"/>
            <w:vAlign w:val="center"/>
          </w:tcPr>
          <w:p w14:paraId="45863B7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12</w:t>
            </w:r>
          </w:p>
        </w:tc>
        <w:tc>
          <w:tcPr>
            <w:tcW w:w="1299" w:type="pct"/>
            <w:vMerge w:val="restart"/>
            <w:vAlign w:val="center"/>
          </w:tcPr>
          <w:p w14:paraId="49A4EA2D"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ONG Nationale</w:t>
            </w:r>
          </w:p>
        </w:tc>
        <w:tc>
          <w:tcPr>
            <w:tcW w:w="2104" w:type="pct"/>
            <w:vAlign w:val="center"/>
          </w:tcPr>
          <w:p w14:paraId="56B889E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ACM : Action Civilo-Militaire</w:t>
            </w:r>
          </w:p>
        </w:tc>
        <w:tc>
          <w:tcPr>
            <w:tcW w:w="1359" w:type="pct"/>
            <w:vAlign w:val="center"/>
          </w:tcPr>
          <w:p w14:paraId="0090312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36BB4A4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50DAFDB8" w14:textId="77777777" w:rsidTr="0020372B">
        <w:trPr>
          <w:trHeight w:val="20"/>
        </w:trPr>
        <w:tc>
          <w:tcPr>
            <w:tcW w:w="238" w:type="pct"/>
            <w:vAlign w:val="center"/>
          </w:tcPr>
          <w:p w14:paraId="72BCFC4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13</w:t>
            </w:r>
          </w:p>
        </w:tc>
        <w:tc>
          <w:tcPr>
            <w:tcW w:w="1299" w:type="pct"/>
            <w:vMerge/>
            <w:vAlign w:val="center"/>
          </w:tcPr>
          <w:p w14:paraId="572708F5"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F8F7ED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Le réseau d’Appui</w:t>
            </w:r>
            <w:r>
              <w:rPr>
                <w:rFonts w:eastAsia="Calibri" w:cs="Calibri"/>
                <w:sz w:val="20"/>
                <w:szCs w:val="20"/>
              </w:rPr>
              <w:t xml:space="preserve"> </w:t>
            </w:r>
            <w:r w:rsidRPr="00FF03AA">
              <w:rPr>
                <w:rFonts w:eastAsia="Calibri" w:cs="Calibri"/>
                <w:sz w:val="20"/>
                <w:szCs w:val="20"/>
              </w:rPr>
              <w:t>aux initiatives locales (RAIL)</w:t>
            </w:r>
          </w:p>
        </w:tc>
        <w:tc>
          <w:tcPr>
            <w:tcW w:w="1359" w:type="pct"/>
            <w:vAlign w:val="center"/>
          </w:tcPr>
          <w:p w14:paraId="0F01BD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1EE2F6D5" w14:textId="77777777" w:rsidTr="0020372B">
        <w:trPr>
          <w:trHeight w:val="20"/>
        </w:trPr>
        <w:tc>
          <w:tcPr>
            <w:tcW w:w="238" w:type="pct"/>
            <w:vAlign w:val="center"/>
          </w:tcPr>
          <w:p w14:paraId="7C44680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14</w:t>
            </w:r>
          </w:p>
        </w:tc>
        <w:tc>
          <w:tcPr>
            <w:tcW w:w="1299" w:type="pct"/>
            <w:vMerge/>
            <w:vAlign w:val="center"/>
          </w:tcPr>
          <w:p w14:paraId="67582C8F"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CB25D9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Appui au Développement Local (ADL)</w:t>
            </w:r>
          </w:p>
        </w:tc>
        <w:tc>
          <w:tcPr>
            <w:tcW w:w="1359" w:type="pct"/>
            <w:vAlign w:val="center"/>
          </w:tcPr>
          <w:p w14:paraId="21BC419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E2C32D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0A8244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1D85538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27EDDB16" w14:textId="77777777" w:rsidTr="0020372B">
        <w:trPr>
          <w:trHeight w:val="20"/>
        </w:trPr>
        <w:tc>
          <w:tcPr>
            <w:tcW w:w="238" w:type="pct"/>
            <w:vAlign w:val="center"/>
          </w:tcPr>
          <w:p w14:paraId="0423FC1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15</w:t>
            </w:r>
          </w:p>
        </w:tc>
        <w:tc>
          <w:tcPr>
            <w:tcW w:w="1299" w:type="pct"/>
            <w:vMerge/>
            <w:vAlign w:val="center"/>
          </w:tcPr>
          <w:p w14:paraId="738B7085"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4768A0EB" w14:textId="77777777" w:rsidR="00A400FF" w:rsidRPr="00FF03AA" w:rsidRDefault="00A400FF" w:rsidP="0020372B">
            <w:pPr>
              <w:keepNext/>
              <w:spacing w:before="0" w:after="0" w:line="276" w:lineRule="auto"/>
              <w:jc w:val="left"/>
              <w:rPr>
                <w:rFonts w:eastAsia="Calibri" w:cs="Calibri"/>
                <w:sz w:val="20"/>
                <w:szCs w:val="20"/>
              </w:rPr>
            </w:pPr>
          </w:p>
          <w:p w14:paraId="13F221E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SOS CIVISME</w:t>
            </w:r>
          </w:p>
        </w:tc>
        <w:tc>
          <w:tcPr>
            <w:tcW w:w="1359" w:type="pct"/>
            <w:vAlign w:val="center"/>
          </w:tcPr>
          <w:p w14:paraId="4B0C50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327FAC9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70C784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646F968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04D4CEBC" w14:textId="77777777" w:rsidTr="0020372B">
        <w:trPr>
          <w:trHeight w:val="20"/>
        </w:trPr>
        <w:tc>
          <w:tcPr>
            <w:tcW w:w="238" w:type="pct"/>
            <w:vAlign w:val="center"/>
          </w:tcPr>
          <w:p w14:paraId="6AFA970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16</w:t>
            </w:r>
          </w:p>
        </w:tc>
        <w:tc>
          <w:tcPr>
            <w:tcW w:w="1299" w:type="pct"/>
            <w:vMerge/>
            <w:vAlign w:val="center"/>
          </w:tcPr>
          <w:p w14:paraId="2A80148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EA028A2" w14:textId="77777777" w:rsidR="00A400FF" w:rsidRPr="00FF03AA" w:rsidRDefault="00A400FF" w:rsidP="0020372B">
            <w:pPr>
              <w:keepNext/>
              <w:spacing w:before="0" w:after="0" w:line="276" w:lineRule="auto"/>
              <w:jc w:val="left"/>
              <w:rPr>
                <w:rFonts w:eastAsia="Calibri" w:cs="Calibri"/>
                <w:sz w:val="20"/>
                <w:szCs w:val="20"/>
              </w:rPr>
            </w:pPr>
            <w:r w:rsidRPr="00FF03AA">
              <w:rPr>
                <w:rFonts w:cs="Calibri"/>
                <w:sz w:val="20"/>
                <w:szCs w:val="20"/>
              </w:rPr>
              <w:t>Lutte contre les Violences faites aux Femmes et aux Enfants (LUCOFVEM)</w:t>
            </w:r>
          </w:p>
        </w:tc>
        <w:tc>
          <w:tcPr>
            <w:tcW w:w="1359" w:type="pct"/>
            <w:vAlign w:val="center"/>
          </w:tcPr>
          <w:p w14:paraId="31437B0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1030A07C" w14:textId="77777777" w:rsidTr="0020372B">
        <w:trPr>
          <w:trHeight w:val="20"/>
        </w:trPr>
        <w:tc>
          <w:tcPr>
            <w:tcW w:w="238" w:type="pct"/>
            <w:vAlign w:val="center"/>
          </w:tcPr>
          <w:p w14:paraId="730BC56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17</w:t>
            </w:r>
          </w:p>
        </w:tc>
        <w:tc>
          <w:tcPr>
            <w:tcW w:w="1299" w:type="pct"/>
            <w:vMerge/>
            <w:vAlign w:val="center"/>
          </w:tcPr>
          <w:p w14:paraId="25A2039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36FE68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KARKARA</w:t>
            </w:r>
          </w:p>
        </w:tc>
        <w:tc>
          <w:tcPr>
            <w:tcW w:w="1359" w:type="pct"/>
            <w:vAlign w:val="center"/>
          </w:tcPr>
          <w:p w14:paraId="06ECD2B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65C9D5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A0D94F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2618603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-Goroual</w:t>
            </w:r>
          </w:p>
        </w:tc>
      </w:tr>
      <w:tr w:rsidR="00A400FF" w:rsidRPr="00FF03AA" w14:paraId="0931B17D" w14:textId="77777777" w:rsidTr="0020372B">
        <w:trPr>
          <w:trHeight w:val="20"/>
        </w:trPr>
        <w:tc>
          <w:tcPr>
            <w:tcW w:w="238" w:type="pct"/>
            <w:vAlign w:val="center"/>
          </w:tcPr>
          <w:p w14:paraId="348981D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18</w:t>
            </w:r>
          </w:p>
        </w:tc>
        <w:tc>
          <w:tcPr>
            <w:tcW w:w="1299" w:type="pct"/>
            <w:vMerge/>
            <w:vAlign w:val="center"/>
          </w:tcPr>
          <w:p w14:paraId="1A4742A4"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AD45B2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Femme Action et Développement (FAD)</w:t>
            </w:r>
          </w:p>
        </w:tc>
        <w:tc>
          <w:tcPr>
            <w:tcW w:w="1359" w:type="pct"/>
            <w:vAlign w:val="center"/>
          </w:tcPr>
          <w:p w14:paraId="7FB8DAC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71ACE8D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16C778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tc>
      </w:tr>
      <w:tr w:rsidR="00A400FF" w:rsidRPr="00FF03AA" w14:paraId="24C16104" w14:textId="77777777" w:rsidTr="0020372B">
        <w:trPr>
          <w:trHeight w:val="20"/>
        </w:trPr>
        <w:tc>
          <w:tcPr>
            <w:tcW w:w="238" w:type="pct"/>
            <w:vAlign w:val="center"/>
          </w:tcPr>
          <w:p w14:paraId="5272B42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19</w:t>
            </w:r>
          </w:p>
        </w:tc>
        <w:tc>
          <w:tcPr>
            <w:tcW w:w="1299" w:type="pct"/>
            <w:vMerge/>
            <w:vAlign w:val="center"/>
          </w:tcPr>
          <w:p w14:paraId="1576B27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5A90E5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MASINAT</w:t>
            </w:r>
          </w:p>
        </w:tc>
        <w:tc>
          <w:tcPr>
            <w:tcW w:w="1359" w:type="pct"/>
            <w:vAlign w:val="center"/>
          </w:tcPr>
          <w:p w14:paraId="4198FA2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2A47756C" w14:textId="77777777" w:rsidTr="0020372B">
        <w:trPr>
          <w:trHeight w:val="20"/>
        </w:trPr>
        <w:tc>
          <w:tcPr>
            <w:tcW w:w="238" w:type="pct"/>
            <w:vAlign w:val="center"/>
          </w:tcPr>
          <w:p w14:paraId="29B3AE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20</w:t>
            </w:r>
          </w:p>
        </w:tc>
        <w:tc>
          <w:tcPr>
            <w:tcW w:w="1299" w:type="pct"/>
            <w:vMerge/>
            <w:vAlign w:val="center"/>
          </w:tcPr>
          <w:p w14:paraId="6D458181"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1E8610F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Jeunesse Enfance Migration Développement (JMED)</w:t>
            </w:r>
          </w:p>
        </w:tc>
        <w:tc>
          <w:tcPr>
            <w:tcW w:w="1359" w:type="pct"/>
            <w:vAlign w:val="center"/>
          </w:tcPr>
          <w:p w14:paraId="1845011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7A88ED49" w14:textId="77777777" w:rsidTr="0020372B">
        <w:trPr>
          <w:trHeight w:val="20"/>
        </w:trPr>
        <w:tc>
          <w:tcPr>
            <w:tcW w:w="238" w:type="pct"/>
            <w:vAlign w:val="center"/>
          </w:tcPr>
          <w:p w14:paraId="12706E3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21</w:t>
            </w:r>
          </w:p>
        </w:tc>
        <w:tc>
          <w:tcPr>
            <w:tcW w:w="1299" w:type="pct"/>
            <w:vMerge/>
            <w:vAlign w:val="center"/>
          </w:tcPr>
          <w:p w14:paraId="7E407CAE"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AFC1D7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Cercle de Réflexion et d’Action pour un Développement Local Innovant (Cercle Dev)</w:t>
            </w:r>
          </w:p>
        </w:tc>
        <w:tc>
          <w:tcPr>
            <w:tcW w:w="1359" w:type="pct"/>
            <w:vAlign w:val="center"/>
          </w:tcPr>
          <w:p w14:paraId="05033A9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67EC97D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19755691" w14:textId="77777777" w:rsidTr="0020372B">
        <w:trPr>
          <w:trHeight w:val="20"/>
        </w:trPr>
        <w:tc>
          <w:tcPr>
            <w:tcW w:w="238" w:type="pct"/>
            <w:vAlign w:val="center"/>
          </w:tcPr>
          <w:p w14:paraId="72040AD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22</w:t>
            </w:r>
          </w:p>
        </w:tc>
        <w:tc>
          <w:tcPr>
            <w:tcW w:w="1299" w:type="pct"/>
            <w:vMerge/>
            <w:vAlign w:val="center"/>
          </w:tcPr>
          <w:p w14:paraId="2020EE17"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A5AB84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SOS Sahel</w:t>
            </w:r>
          </w:p>
        </w:tc>
        <w:tc>
          <w:tcPr>
            <w:tcW w:w="1359" w:type="pct"/>
            <w:vAlign w:val="center"/>
          </w:tcPr>
          <w:p w14:paraId="755D5AE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02782F89" w14:textId="77777777" w:rsidTr="0020372B">
        <w:trPr>
          <w:trHeight w:val="20"/>
        </w:trPr>
        <w:tc>
          <w:tcPr>
            <w:tcW w:w="238" w:type="pct"/>
            <w:vAlign w:val="center"/>
          </w:tcPr>
          <w:p w14:paraId="4586BBE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23</w:t>
            </w:r>
          </w:p>
        </w:tc>
        <w:tc>
          <w:tcPr>
            <w:tcW w:w="1299" w:type="pct"/>
            <w:vMerge w:val="restart"/>
            <w:vAlign w:val="center"/>
          </w:tcPr>
          <w:p w14:paraId="5CE2CAAE"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Réseau</w:t>
            </w:r>
          </w:p>
        </w:tc>
        <w:tc>
          <w:tcPr>
            <w:tcW w:w="2104" w:type="pct"/>
            <w:vAlign w:val="center"/>
          </w:tcPr>
          <w:p w14:paraId="03865F8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Réseau paix et sécurité pour les femmes de l’espace CEDEAO (REPSFECO-Niger)</w:t>
            </w:r>
          </w:p>
        </w:tc>
        <w:tc>
          <w:tcPr>
            <w:tcW w:w="1359" w:type="pct"/>
            <w:vAlign w:val="center"/>
          </w:tcPr>
          <w:p w14:paraId="550BDAF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2DB370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EDADB7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5D22287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3D72CB03" w14:textId="77777777" w:rsidTr="0020372B">
        <w:trPr>
          <w:trHeight w:val="20"/>
        </w:trPr>
        <w:tc>
          <w:tcPr>
            <w:tcW w:w="238" w:type="pct"/>
            <w:vAlign w:val="center"/>
          </w:tcPr>
          <w:p w14:paraId="57C4525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24</w:t>
            </w:r>
          </w:p>
        </w:tc>
        <w:tc>
          <w:tcPr>
            <w:tcW w:w="1299" w:type="pct"/>
            <w:vMerge/>
            <w:vAlign w:val="center"/>
          </w:tcPr>
          <w:p w14:paraId="2198B17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79DC565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Réseau Ouest Africain pour l’édification de la paix (WANEP)</w:t>
            </w:r>
          </w:p>
        </w:tc>
        <w:tc>
          <w:tcPr>
            <w:tcW w:w="1359" w:type="pct"/>
            <w:vAlign w:val="center"/>
          </w:tcPr>
          <w:p w14:paraId="14E8AE4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w:t>
            </w:r>
          </w:p>
        </w:tc>
      </w:tr>
      <w:tr w:rsidR="00A400FF" w:rsidRPr="00FF03AA" w14:paraId="617B2EAE" w14:textId="77777777" w:rsidTr="0020372B">
        <w:trPr>
          <w:trHeight w:val="20"/>
        </w:trPr>
        <w:tc>
          <w:tcPr>
            <w:tcW w:w="238" w:type="pct"/>
            <w:vAlign w:val="center"/>
          </w:tcPr>
          <w:p w14:paraId="77E2F72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25</w:t>
            </w:r>
          </w:p>
        </w:tc>
        <w:tc>
          <w:tcPr>
            <w:tcW w:w="1299" w:type="pct"/>
            <w:vMerge/>
            <w:vAlign w:val="center"/>
          </w:tcPr>
          <w:p w14:paraId="59313EF4"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1490D1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 de la Société Civile (OSC Natafatt)</w:t>
            </w:r>
          </w:p>
        </w:tc>
        <w:tc>
          <w:tcPr>
            <w:tcW w:w="1359" w:type="pct"/>
            <w:vAlign w:val="center"/>
          </w:tcPr>
          <w:p w14:paraId="7A887EF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w:t>
            </w:r>
          </w:p>
        </w:tc>
      </w:tr>
      <w:tr w:rsidR="00A400FF" w:rsidRPr="00FF03AA" w14:paraId="7FA6BC7D" w14:textId="77777777" w:rsidTr="0020372B">
        <w:trPr>
          <w:trHeight w:val="20"/>
        </w:trPr>
        <w:tc>
          <w:tcPr>
            <w:tcW w:w="238" w:type="pct"/>
            <w:vAlign w:val="center"/>
          </w:tcPr>
          <w:p w14:paraId="4DBAB38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26</w:t>
            </w:r>
          </w:p>
        </w:tc>
        <w:tc>
          <w:tcPr>
            <w:tcW w:w="1299" w:type="pct"/>
            <w:vAlign w:val="center"/>
          </w:tcPr>
          <w:p w14:paraId="0E865EF2"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Confédération</w:t>
            </w:r>
          </w:p>
        </w:tc>
        <w:tc>
          <w:tcPr>
            <w:tcW w:w="2104" w:type="pct"/>
            <w:vAlign w:val="center"/>
          </w:tcPr>
          <w:p w14:paraId="53F52B0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MORIBEN</w:t>
            </w:r>
          </w:p>
        </w:tc>
        <w:tc>
          <w:tcPr>
            <w:tcW w:w="1359" w:type="pct"/>
            <w:vAlign w:val="center"/>
          </w:tcPr>
          <w:p w14:paraId="7F807F7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tc>
      </w:tr>
      <w:tr w:rsidR="00A400FF" w:rsidRPr="00FF03AA" w14:paraId="0B1AD8EC" w14:textId="77777777" w:rsidTr="0020372B">
        <w:trPr>
          <w:trHeight w:val="20"/>
        </w:trPr>
        <w:tc>
          <w:tcPr>
            <w:tcW w:w="238" w:type="pct"/>
            <w:vAlign w:val="center"/>
          </w:tcPr>
          <w:p w14:paraId="3A99F38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27</w:t>
            </w:r>
          </w:p>
        </w:tc>
        <w:tc>
          <w:tcPr>
            <w:tcW w:w="1299" w:type="pct"/>
            <w:vMerge w:val="restart"/>
            <w:vAlign w:val="center"/>
          </w:tcPr>
          <w:p w14:paraId="3F208671"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Association</w:t>
            </w:r>
          </w:p>
        </w:tc>
        <w:tc>
          <w:tcPr>
            <w:tcW w:w="2104" w:type="pct"/>
            <w:vAlign w:val="center"/>
          </w:tcPr>
          <w:p w14:paraId="5DD2755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des Femmes du Niger (AFN)</w:t>
            </w:r>
          </w:p>
        </w:tc>
        <w:tc>
          <w:tcPr>
            <w:tcW w:w="1359" w:type="pct"/>
            <w:vAlign w:val="center"/>
          </w:tcPr>
          <w:p w14:paraId="6DEB7D3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7E2F8A2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00D519C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0A4B702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Gorouol</w:t>
            </w:r>
          </w:p>
        </w:tc>
      </w:tr>
      <w:tr w:rsidR="00A400FF" w:rsidRPr="00FF03AA" w14:paraId="6F818074" w14:textId="77777777" w:rsidTr="0020372B">
        <w:trPr>
          <w:trHeight w:val="20"/>
        </w:trPr>
        <w:tc>
          <w:tcPr>
            <w:tcW w:w="238" w:type="pct"/>
            <w:vAlign w:val="center"/>
          </w:tcPr>
          <w:p w14:paraId="200096A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28</w:t>
            </w:r>
          </w:p>
        </w:tc>
        <w:tc>
          <w:tcPr>
            <w:tcW w:w="1299" w:type="pct"/>
            <w:vMerge/>
            <w:vAlign w:val="center"/>
          </w:tcPr>
          <w:p w14:paraId="51A0A71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1B3665A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pour les Sans Abris au Niger (ASAWA)</w:t>
            </w:r>
          </w:p>
        </w:tc>
        <w:tc>
          <w:tcPr>
            <w:tcW w:w="1359" w:type="pct"/>
            <w:vAlign w:val="center"/>
          </w:tcPr>
          <w:p w14:paraId="10E6561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bl>
    <w:p w14:paraId="5629C2A6" w14:textId="77777777" w:rsidR="00A400FF" w:rsidRPr="00B14E1B" w:rsidRDefault="00A400FF" w:rsidP="00A400FF">
      <w:pPr>
        <w:keepNext/>
        <w:spacing w:before="0" w:after="160" w:line="240" w:lineRule="auto"/>
        <w:rPr>
          <w:i/>
          <w:iCs/>
          <w:sz w:val="20"/>
          <w:szCs w:val="20"/>
        </w:rPr>
      </w:pPr>
      <w:r w:rsidRPr="00B14E1B">
        <w:rPr>
          <w:i/>
          <w:iCs/>
          <w:sz w:val="20"/>
          <w:szCs w:val="20"/>
        </w:rPr>
        <w:t xml:space="preserve">Source : </w:t>
      </w:r>
      <w:r>
        <w:rPr>
          <w:i/>
          <w:iCs/>
          <w:sz w:val="20"/>
          <w:szCs w:val="20"/>
        </w:rPr>
        <w:t>E</w:t>
      </w:r>
      <w:r w:rsidRPr="00B14E1B">
        <w:rPr>
          <w:i/>
          <w:iCs/>
          <w:sz w:val="20"/>
          <w:szCs w:val="20"/>
        </w:rPr>
        <w:t xml:space="preserve">xtrait du Rapport </w:t>
      </w:r>
      <w:r w:rsidRPr="00ED1B37">
        <w:rPr>
          <w:i/>
          <w:iCs/>
          <w:sz w:val="20"/>
          <w:szCs w:val="20"/>
        </w:rPr>
        <w:t xml:space="preserve">d’étude </w:t>
      </w:r>
      <w:r>
        <w:rPr>
          <w:i/>
          <w:iCs/>
          <w:sz w:val="20"/>
          <w:szCs w:val="20"/>
        </w:rPr>
        <w:t>« E</w:t>
      </w:r>
      <w:r w:rsidRPr="00ED1B37">
        <w:rPr>
          <w:i/>
          <w:iCs/>
          <w:sz w:val="20"/>
          <w:szCs w:val="20"/>
        </w:rPr>
        <w:t xml:space="preserve">laboration d’un répertoire des organisations engagées sur les questions de femmes, paix et sécurité des communes de Ayorou, </w:t>
      </w:r>
      <w:r>
        <w:rPr>
          <w:i/>
          <w:iCs/>
          <w:sz w:val="20"/>
          <w:szCs w:val="20"/>
        </w:rPr>
        <w:t>B</w:t>
      </w:r>
      <w:r w:rsidRPr="00ED1B37">
        <w:rPr>
          <w:i/>
          <w:iCs/>
          <w:sz w:val="20"/>
          <w:szCs w:val="20"/>
        </w:rPr>
        <w:t>ankilar</w:t>
      </w:r>
      <w:r>
        <w:rPr>
          <w:i/>
          <w:iCs/>
          <w:sz w:val="20"/>
          <w:szCs w:val="20"/>
        </w:rPr>
        <w:t>é</w:t>
      </w:r>
      <w:r w:rsidRPr="00ED1B37">
        <w:rPr>
          <w:i/>
          <w:iCs/>
          <w:sz w:val="20"/>
          <w:szCs w:val="20"/>
        </w:rPr>
        <w:t>,</w:t>
      </w:r>
      <w:r>
        <w:rPr>
          <w:i/>
          <w:iCs/>
          <w:sz w:val="20"/>
          <w:szCs w:val="20"/>
        </w:rPr>
        <w:t xml:space="preserve"> B</w:t>
      </w:r>
      <w:r w:rsidRPr="00ED1B37">
        <w:rPr>
          <w:i/>
          <w:iCs/>
          <w:sz w:val="20"/>
          <w:szCs w:val="20"/>
        </w:rPr>
        <w:t xml:space="preserve">anibangou et </w:t>
      </w:r>
      <w:r>
        <w:rPr>
          <w:i/>
          <w:iCs/>
          <w:sz w:val="20"/>
          <w:szCs w:val="20"/>
        </w:rPr>
        <w:t>G</w:t>
      </w:r>
      <w:r w:rsidRPr="00ED1B37">
        <w:rPr>
          <w:i/>
          <w:iCs/>
          <w:sz w:val="20"/>
          <w:szCs w:val="20"/>
        </w:rPr>
        <w:t>orouol de la région de Tillabéry</w:t>
      </w:r>
      <w:r>
        <w:rPr>
          <w:i/>
          <w:iCs/>
          <w:sz w:val="20"/>
          <w:szCs w:val="20"/>
        </w:rPr>
        <w:t> », ADL , Septembre 2019</w:t>
      </w:r>
    </w:p>
    <w:p w14:paraId="1B1D3259" w14:textId="77777777" w:rsidR="00A400FF" w:rsidRDefault="00A400FF" w:rsidP="00A400FF">
      <w:pPr>
        <w:tabs>
          <w:tab w:val="left" w:pos="2763"/>
        </w:tabs>
        <w:spacing w:before="0" w:line="276" w:lineRule="auto"/>
        <w:jc w:val="left"/>
      </w:pPr>
    </w:p>
    <w:p w14:paraId="7DCCB58E" w14:textId="772560A2" w:rsidR="00A400FF" w:rsidRPr="00A467CC" w:rsidRDefault="00A400FF" w:rsidP="00A90C21">
      <w:pPr>
        <w:spacing w:before="0" w:after="0" w:line="240" w:lineRule="auto"/>
        <w:rPr>
          <w:rFonts w:eastAsia="Times New Roman" w:cs="Calibri"/>
          <w:b/>
          <w:bCs/>
          <w:color w:val="FFFFFF"/>
          <w:sz w:val="20"/>
          <w:szCs w:val="20"/>
        </w:rPr>
        <w:sectPr w:rsidR="00A400FF" w:rsidRPr="00A467CC" w:rsidSect="00952D95">
          <w:pgSz w:w="11906" w:h="16838"/>
          <w:pgMar w:top="1640" w:right="1417" w:bottom="1417" w:left="1417" w:header="708" w:footer="708" w:gutter="0"/>
          <w:pgNumType w:fmt="upperRoman"/>
          <w:cols w:space="708"/>
          <w:titlePg/>
          <w:docGrid w:linePitch="360"/>
        </w:sectPr>
      </w:pPr>
    </w:p>
    <w:p w14:paraId="1E58D768" w14:textId="4F2EC6FA" w:rsidR="00FA131D" w:rsidRDefault="00A400FF" w:rsidP="00A400FF">
      <w:pPr>
        <w:pStyle w:val="Titre2"/>
        <w:numPr>
          <w:ilvl w:val="0"/>
          <w:numId w:val="0"/>
        </w:numPr>
        <w:ind w:left="720" w:hanging="720"/>
      </w:pPr>
      <w:bookmarkStart w:id="1033" w:name="_Toc92262110"/>
      <w:bookmarkStart w:id="1034" w:name="_Toc95451893"/>
      <w:r>
        <w:t xml:space="preserve">Annexe 14 </w:t>
      </w:r>
      <w:r w:rsidR="00A90C21">
        <w:t xml:space="preserve">: </w:t>
      </w:r>
      <w:r w:rsidR="00A90C21" w:rsidRPr="00163198">
        <w:t>Situation finale du cadre de résultat du projet</w:t>
      </w:r>
      <w:bookmarkEnd w:id="1033"/>
      <w:bookmarkEnd w:id="1034"/>
    </w:p>
    <w:tbl>
      <w:tblPr>
        <w:tblW w:w="5301" w:type="pct"/>
        <w:tblInd w:w="-431" w:type="dxa"/>
        <w:tblLook w:val="04A0" w:firstRow="1" w:lastRow="0" w:firstColumn="1" w:lastColumn="0" w:noHBand="0" w:noVBand="1"/>
      </w:tblPr>
      <w:tblGrid>
        <w:gridCol w:w="2578"/>
        <w:gridCol w:w="3446"/>
        <w:gridCol w:w="1457"/>
        <w:gridCol w:w="3609"/>
        <w:gridCol w:w="2470"/>
        <w:gridCol w:w="1040"/>
      </w:tblGrid>
      <w:tr w:rsidR="00F01CB8" w:rsidRPr="00A90C21" w14:paraId="3886BF37" w14:textId="77777777" w:rsidTr="00A90C21">
        <w:trPr>
          <w:trHeight w:val="585"/>
          <w:tblHeader/>
        </w:trPr>
        <w:tc>
          <w:tcPr>
            <w:tcW w:w="883" w:type="pct"/>
            <w:tcBorders>
              <w:top w:val="single" w:sz="4" w:space="0" w:color="0070C0"/>
              <w:left w:val="single" w:sz="4" w:space="0" w:color="0070C0"/>
              <w:bottom w:val="single" w:sz="4" w:space="0" w:color="0070C0"/>
              <w:right w:val="single" w:sz="4" w:space="0" w:color="0070C0"/>
            </w:tcBorders>
            <w:shd w:val="clear" w:color="000000" w:fill="00B0F0"/>
            <w:vAlign w:val="center"/>
            <w:hideMark/>
          </w:tcPr>
          <w:p w14:paraId="430B8232"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 </w:t>
            </w:r>
          </w:p>
        </w:tc>
        <w:tc>
          <w:tcPr>
            <w:tcW w:w="1180" w:type="pct"/>
            <w:tcBorders>
              <w:top w:val="single" w:sz="4" w:space="0" w:color="0070C0"/>
              <w:left w:val="nil"/>
              <w:bottom w:val="single" w:sz="4" w:space="0" w:color="0070C0"/>
              <w:right w:val="single" w:sz="4" w:space="0" w:color="0070C0"/>
            </w:tcBorders>
            <w:shd w:val="clear" w:color="000000" w:fill="00B0F0"/>
            <w:vAlign w:val="center"/>
            <w:hideMark/>
          </w:tcPr>
          <w:p w14:paraId="2B8E875D"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Indicateurs</w:t>
            </w:r>
          </w:p>
        </w:tc>
        <w:tc>
          <w:tcPr>
            <w:tcW w:w="499" w:type="pct"/>
            <w:tcBorders>
              <w:top w:val="single" w:sz="4" w:space="0" w:color="0070C0"/>
              <w:left w:val="nil"/>
              <w:bottom w:val="single" w:sz="4" w:space="0" w:color="0070C0"/>
              <w:right w:val="single" w:sz="4" w:space="0" w:color="0070C0"/>
            </w:tcBorders>
            <w:shd w:val="clear" w:color="000000" w:fill="00B0F0"/>
            <w:vAlign w:val="center"/>
            <w:hideMark/>
          </w:tcPr>
          <w:p w14:paraId="15EBD467"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Situation de référence</w:t>
            </w:r>
          </w:p>
        </w:tc>
        <w:tc>
          <w:tcPr>
            <w:tcW w:w="1236" w:type="pct"/>
            <w:tcBorders>
              <w:top w:val="single" w:sz="4" w:space="0" w:color="0070C0"/>
              <w:left w:val="nil"/>
              <w:bottom w:val="single" w:sz="4" w:space="0" w:color="0070C0"/>
              <w:right w:val="single" w:sz="4" w:space="0" w:color="0070C0"/>
            </w:tcBorders>
            <w:shd w:val="clear" w:color="000000" w:fill="00B0F0"/>
            <w:vAlign w:val="center"/>
            <w:hideMark/>
          </w:tcPr>
          <w:p w14:paraId="13403030"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Cible de fin de projet</w:t>
            </w:r>
          </w:p>
        </w:tc>
        <w:tc>
          <w:tcPr>
            <w:tcW w:w="846" w:type="pct"/>
            <w:tcBorders>
              <w:top w:val="single" w:sz="4" w:space="0" w:color="0070C0"/>
              <w:left w:val="nil"/>
              <w:bottom w:val="single" w:sz="4" w:space="0" w:color="0070C0"/>
              <w:right w:val="single" w:sz="4" w:space="0" w:color="0070C0"/>
            </w:tcBorders>
            <w:shd w:val="clear" w:color="000000" w:fill="00B0F0"/>
            <w:vAlign w:val="center"/>
            <w:hideMark/>
          </w:tcPr>
          <w:p w14:paraId="208560D4"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Réalisation en fin de projet</w:t>
            </w:r>
          </w:p>
        </w:tc>
        <w:tc>
          <w:tcPr>
            <w:tcW w:w="357" w:type="pct"/>
            <w:tcBorders>
              <w:top w:val="single" w:sz="4" w:space="0" w:color="0070C0"/>
              <w:left w:val="nil"/>
              <w:bottom w:val="single" w:sz="4" w:space="0" w:color="0070C0"/>
              <w:right w:val="single" w:sz="4" w:space="0" w:color="0070C0"/>
            </w:tcBorders>
            <w:shd w:val="clear" w:color="000000" w:fill="00B0F0"/>
            <w:vAlign w:val="center"/>
            <w:hideMark/>
          </w:tcPr>
          <w:p w14:paraId="37E0721E"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NOTE</w:t>
            </w:r>
          </w:p>
        </w:tc>
      </w:tr>
      <w:tr w:rsidR="00F01CB8" w:rsidRPr="00A90C21" w14:paraId="6048749E"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2462846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1 : </w:t>
            </w:r>
            <w:r w:rsidRPr="00FA131D">
              <w:rPr>
                <w:rFonts w:eastAsia="Times New Roman" w:cs="Calibri"/>
                <w:color w:val="000000"/>
                <w:sz w:val="18"/>
                <w:szCs w:val="18"/>
              </w:rPr>
              <w:t>D’ici la fin du projet, les mécanismes et structures étatiques et non-étatiques de prévention et de gestion de conflits dans les zones du projet intégrant les femmes et les jeunes, préviennent et résolvent de manière efficiente les conflits au niveau local</w:t>
            </w:r>
          </w:p>
        </w:tc>
        <w:tc>
          <w:tcPr>
            <w:tcW w:w="1180" w:type="pct"/>
            <w:tcBorders>
              <w:top w:val="nil"/>
              <w:left w:val="nil"/>
              <w:bottom w:val="single" w:sz="4" w:space="0" w:color="0070C0"/>
              <w:right w:val="single" w:sz="4" w:space="0" w:color="0070C0"/>
            </w:tcBorders>
            <w:shd w:val="clear" w:color="000000" w:fill="CEF5FE"/>
            <w:vAlign w:val="center"/>
            <w:hideMark/>
          </w:tcPr>
          <w:p w14:paraId="727E8B6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 : </w:t>
            </w:r>
            <w:r w:rsidRPr="00FA131D">
              <w:rPr>
                <w:rFonts w:eastAsia="Times New Roman" w:cs="Calibri"/>
                <w:color w:val="000000"/>
                <w:sz w:val="18"/>
                <w:szCs w:val="18"/>
              </w:rPr>
              <w:t>Nombre de conflits non gérés en diminution au niveau communautaire</w:t>
            </w:r>
          </w:p>
        </w:tc>
        <w:tc>
          <w:tcPr>
            <w:tcW w:w="499" w:type="pct"/>
            <w:tcBorders>
              <w:top w:val="nil"/>
              <w:left w:val="nil"/>
              <w:bottom w:val="single" w:sz="4" w:space="0" w:color="0070C0"/>
              <w:right w:val="single" w:sz="4" w:space="0" w:color="0070C0"/>
            </w:tcBorders>
            <w:shd w:val="clear" w:color="000000" w:fill="CEF5FE"/>
            <w:vAlign w:val="center"/>
            <w:hideMark/>
          </w:tcPr>
          <w:p w14:paraId="7BB6F7C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6</w:t>
            </w:r>
          </w:p>
        </w:tc>
        <w:tc>
          <w:tcPr>
            <w:tcW w:w="1236" w:type="pct"/>
            <w:tcBorders>
              <w:top w:val="nil"/>
              <w:left w:val="nil"/>
              <w:bottom w:val="single" w:sz="4" w:space="0" w:color="0070C0"/>
              <w:right w:val="single" w:sz="4" w:space="0" w:color="0070C0"/>
            </w:tcBorders>
            <w:shd w:val="clear" w:color="000000" w:fill="CEF5FE"/>
            <w:vAlign w:val="center"/>
            <w:hideMark/>
          </w:tcPr>
          <w:p w14:paraId="354BCBB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50% de diminution par rapport à la situation de référence (et spécifier la valeur de l’indicateur selon les femmes et les jeunes)</w:t>
            </w:r>
          </w:p>
        </w:tc>
        <w:tc>
          <w:tcPr>
            <w:tcW w:w="846" w:type="pct"/>
            <w:tcBorders>
              <w:top w:val="nil"/>
              <w:left w:val="nil"/>
              <w:bottom w:val="single" w:sz="4" w:space="0" w:color="0070C0"/>
              <w:right w:val="single" w:sz="4" w:space="0" w:color="0070C0"/>
            </w:tcBorders>
            <w:shd w:val="clear" w:color="000000" w:fill="CEF5FE"/>
            <w:vAlign w:val="center"/>
            <w:hideMark/>
          </w:tcPr>
          <w:p w14:paraId="37D3A15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40% de diminution par rapport à la situation de référence selon les femmes et les jeunes</w:t>
            </w:r>
            <w:r w:rsidRPr="00FA131D">
              <w:rPr>
                <w:rFonts w:eastAsia="Times New Roman" w:cs="Calibri"/>
                <w:b/>
                <w:bCs/>
                <w:color w:val="000000"/>
                <w:sz w:val="18"/>
                <w:szCs w:val="18"/>
              </w:rPr>
              <w:t> </w:t>
            </w:r>
          </w:p>
        </w:tc>
        <w:tc>
          <w:tcPr>
            <w:tcW w:w="357" w:type="pct"/>
            <w:tcBorders>
              <w:top w:val="nil"/>
              <w:left w:val="nil"/>
              <w:bottom w:val="single" w:sz="4" w:space="0" w:color="0070C0"/>
              <w:right w:val="single" w:sz="4" w:space="0" w:color="0070C0"/>
            </w:tcBorders>
            <w:shd w:val="clear" w:color="000000" w:fill="FFC000"/>
            <w:vAlign w:val="center"/>
            <w:hideMark/>
          </w:tcPr>
          <w:p w14:paraId="4CE09F3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80%</w:t>
            </w:r>
          </w:p>
        </w:tc>
      </w:tr>
      <w:tr w:rsidR="00F01CB8" w:rsidRPr="00A90C21" w14:paraId="56EB9385"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56AEAC5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061732E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 : </w:t>
            </w:r>
            <w:r w:rsidRPr="00FA131D">
              <w:rPr>
                <w:rFonts w:eastAsia="Times New Roman" w:cs="Calibri"/>
                <w:color w:val="000000"/>
                <w:sz w:val="18"/>
                <w:szCs w:val="18"/>
              </w:rPr>
              <w:t>Niveau de satisfaction des communautés par rapport aux mécanismes de prévention et de gestion des conflits</w:t>
            </w:r>
          </w:p>
        </w:tc>
        <w:tc>
          <w:tcPr>
            <w:tcW w:w="499" w:type="pct"/>
            <w:tcBorders>
              <w:top w:val="nil"/>
              <w:left w:val="nil"/>
              <w:bottom w:val="single" w:sz="4" w:space="0" w:color="0070C0"/>
              <w:right w:val="single" w:sz="4" w:space="0" w:color="0070C0"/>
            </w:tcBorders>
            <w:shd w:val="clear" w:color="000000" w:fill="CEF5FE"/>
            <w:vAlign w:val="center"/>
            <w:hideMark/>
          </w:tcPr>
          <w:p w14:paraId="43083D21"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Peu satisfaites </w:t>
            </w:r>
          </w:p>
        </w:tc>
        <w:tc>
          <w:tcPr>
            <w:tcW w:w="1236" w:type="pct"/>
            <w:tcBorders>
              <w:top w:val="nil"/>
              <w:left w:val="nil"/>
              <w:bottom w:val="single" w:sz="4" w:space="0" w:color="0070C0"/>
              <w:right w:val="single" w:sz="4" w:space="0" w:color="0070C0"/>
            </w:tcBorders>
            <w:shd w:val="clear" w:color="000000" w:fill="CEF5FE"/>
            <w:vAlign w:val="center"/>
            <w:hideMark/>
          </w:tcPr>
          <w:p w14:paraId="2E1DEED6"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1 par rapport à la situation de référence (et spécifier la valeur de l’indicateur selon les femmes et les jeunes)</w:t>
            </w:r>
            <w:r w:rsidRPr="00FA131D">
              <w:rPr>
                <w:rFonts w:eastAsia="Times New Roman" w:cs="Calibri"/>
                <w:color w:val="000000"/>
                <w:sz w:val="18"/>
                <w:szCs w:val="18"/>
              </w:rPr>
              <w:br/>
              <w:t>Sur une échelle de 4 niveaux (1. Très satisfait, 2. Satisfait, 3. Insatisfait, 4. Très insatisfait)</w:t>
            </w:r>
          </w:p>
        </w:tc>
        <w:tc>
          <w:tcPr>
            <w:tcW w:w="846" w:type="pct"/>
            <w:tcBorders>
              <w:top w:val="nil"/>
              <w:left w:val="nil"/>
              <w:bottom w:val="single" w:sz="4" w:space="0" w:color="0070C0"/>
              <w:right w:val="single" w:sz="4" w:space="0" w:color="0070C0"/>
            </w:tcBorders>
            <w:shd w:val="clear" w:color="000000" w:fill="CEF5FE"/>
            <w:vAlign w:val="center"/>
            <w:hideMark/>
          </w:tcPr>
          <w:p w14:paraId="4D604508"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single" w:sz="4" w:space="0" w:color="0070C0"/>
              <w:right w:val="single" w:sz="4" w:space="0" w:color="0070C0"/>
            </w:tcBorders>
            <w:shd w:val="clear" w:color="000000" w:fill="92D050"/>
            <w:vAlign w:val="center"/>
            <w:hideMark/>
          </w:tcPr>
          <w:p w14:paraId="0145341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25441DFC" w14:textId="77777777" w:rsidTr="00A90C21">
        <w:trPr>
          <w:trHeight w:val="1890"/>
        </w:trPr>
        <w:tc>
          <w:tcPr>
            <w:tcW w:w="883" w:type="pct"/>
            <w:vMerge/>
            <w:tcBorders>
              <w:top w:val="nil"/>
              <w:left w:val="single" w:sz="4" w:space="0" w:color="0070C0"/>
              <w:bottom w:val="single" w:sz="4" w:space="0" w:color="0070C0"/>
              <w:right w:val="single" w:sz="4" w:space="0" w:color="0070C0"/>
            </w:tcBorders>
            <w:vAlign w:val="center"/>
            <w:hideMark/>
          </w:tcPr>
          <w:p w14:paraId="26872E4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2B06703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1.3 : </w:t>
            </w:r>
            <w:r w:rsidRPr="00FA131D">
              <w:rPr>
                <w:rFonts w:eastAsia="Times New Roman" w:cs="Calibri"/>
                <w:color w:val="000000"/>
                <w:sz w:val="18"/>
                <w:szCs w:val="18"/>
              </w:rPr>
              <w:t>Appréciation de la participation des femmes et des jeunes dans les mécanismes de prévention et de gestion des conflits</w:t>
            </w:r>
          </w:p>
        </w:tc>
        <w:tc>
          <w:tcPr>
            <w:tcW w:w="499" w:type="pct"/>
            <w:tcBorders>
              <w:top w:val="nil"/>
              <w:left w:val="nil"/>
              <w:bottom w:val="nil"/>
              <w:right w:val="single" w:sz="4" w:space="0" w:color="0070C0"/>
            </w:tcBorders>
            <w:shd w:val="clear" w:color="000000" w:fill="CEF5FE"/>
            <w:vAlign w:val="center"/>
            <w:hideMark/>
          </w:tcPr>
          <w:p w14:paraId="310BF0C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3221EE3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Sur une échelle de 4 niveaux (1. Ne participe pas, 2. Participe, 3. Participe et défend son point de vue, 4. Participe, défend et fait accepter son point de vue)</w:t>
            </w:r>
          </w:p>
        </w:tc>
        <w:tc>
          <w:tcPr>
            <w:tcW w:w="846" w:type="pct"/>
            <w:tcBorders>
              <w:top w:val="nil"/>
              <w:left w:val="nil"/>
              <w:bottom w:val="nil"/>
              <w:right w:val="single" w:sz="4" w:space="0" w:color="0070C0"/>
            </w:tcBorders>
            <w:shd w:val="clear" w:color="000000" w:fill="CEF5FE"/>
            <w:vAlign w:val="center"/>
            <w:hideMark/>
          </w:tcPr>
          <w:p w14:paraId="5ABCBCF3"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nil"/>
              <w:right w:val="single" w:sz="4" w:space="0" w:color="0070C0"/>
            </w:tcBorders>
            <w:shd w:val="clear" w:color="000000" w:fill="FFC000"/>
            <w:vAlign w:val="center"/>
            <w:hideMark/>
          </w:tcPr>
          <w:p w14:paraId="15A9919E"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1F847F2E"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413F203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1.1 : </w:t>
            </w:r>
            <w:r w:rsidRPr="00FA131D">
              <w:rPr>
                <w:rFonts w:eastAsia="Times New Roman" w:cs="Calibri"/>
                <w:color w:val="000000"/>
                <w:sz w:val="18"/>
                <w:szCs w:val="18"/>
              </w:rPr>
              <w:t>Deux diagnostics détaillés sur les mécanismes et structures étatiques et non-étatiques de prévention et de gestion de conflits sont disponibles sur leur fonctionnalité, efficacité, les degrés d’inclusion des femmes et des jeunes et les opportunités de collaboration entre les différents niveaux</w:t>
            </w:r>
          </w:p>
        </w:tc>
        <w:tc>
          <w:tcPr>
            <w:tcW w:w="1180" w:type="pct"/>
            <w:tcBorders>
              <w:top w:val="nil"/>
              <w:left w:val="nil"/>
              <w:bottom w:val="single" w:sz="4" w:space="0" w:color="0070C0"/>
              <w:right w:val="single" w:sz="4" w:space="0" w:color="0070C0"/>
            </w:tcBorders>
            <w:shd w:val="clear" w:color="auto" w:fill="auto"/>
            <w:vAlign w:val="center"/>
            <w:hideMark/>
          </w:tcPr>
          <w:p w14:paraId="2DC4C03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1.1.1 : </w:t>
            </w:r>
            <w:r w:rsidRPr="00FA131D">
              <w:rPr>
                <w:rFonts w:eastAsia="Times New Roman" w:cs="Calibri"/>
                <w:color w:val="000000"/>
                <w:sz w:val="18"/>
                <w:szCs w:val="18"/>
              </w:rPr>
              <w:t>Qualité des analyses situationnelles</w:t>
            </w:r>
          </w:p>
        </w:tc>
        <w:tc>
          <w:tcPr>
            <w:tcW w:w="499" w:type="pct"/>
            <w:tcBorders>
              <w:top w:val="single" w:sz="4" w:space="0" w:color="0070C0"/>
              <w:left w:val="nil"/>
              <w:bottom w:val="single" w:sz="4" w:space="0" w:color="0070C0"/>
              <w:right w:val="single" w:sz="4" w:space="0" w:color="0070C0"/>
            </w:tcBorders>
            <w:shd w:val="clear" w:color="auto" w:fill="auto"/>
            <w:vAlign w:val="center"/>
            <w:hideMark/>
          </w:tcPr>
          <w:p w14:paraId="700FDC9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2B8DA2E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1 bon diagnostic détaillé disponible et validé </w:t>
            </w:r>
          </w:p>
        </w:tc>
        <w:tc>
          <w:tcPr>
            <w:tcW w:w="846" w:type="pct"/>
            <w:tcBorders>
              <w:top w:val="single" w:sz="4" w:space="0" w:color="0070C0"/>
              <w:left w:val="nil"/>
              <w:bottom w:val="single" w:sz="4" w:space="0" w:color="0070C0"/>
              <w:right w:val="single" w:sz="4" w:space="0" w:color="0070C0"/>
            </w:tcBorders>
            <w:shd w:val="clear" w:color="auto" w:fill="auto"/>
            <w:vAlign w:val="center"/>
            <w:hideMark/>
          </w:tcPr>
          <w:p w14:paraId="73AF7E6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1 diagnostic détaillé a été réalisé et validé par toutes les parties prenantes</w:t>
            </w:r>
          </w:p>
        </w:tc>
        <w:tc>
          <w:tcPr>
            <w:tcW w:w="357" w:type="pct"/>
            <w:tcBorders>
              <w:top w:val="single" w:sz="4" w:space="0" w:color="0070C0"/>
              <w:left w:val="nil"/>
              <w:bottom w:val="single" w:sz="4" w:space="0" w:color="0070C0"/>
              <w:right w:val="single" w:sz="4" w:space="0" w:color="0070C0"/>
            </w:tcBorders>
            <w:shd w:val="clear" w:color="000000" w:fill="92D050"/>
            <w:vAlign w:val="center"/>
            <w:hideMark/>
          </w:tcPr>
          <w:p w14:paraId="2E918412"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BF1D598" w14:textId="77777777" w:rsidTr="00A90C21">
        <w:trPr>
          <w:trHeight w:val="810"/>
        </w:trPr>
        <w:tc>
          <w:tcPr>
            <w:tcW w:w="883" w:type="pct"/>
            <w:vMerge/>
            <w:tcBorders>
              <w:top w:val="nil"/>
              <w:left w:val="single" w:sz="4" w:space="0" w:color="0070C0"/>
              <w:bottom w:val="single" w:sz="4" w:space="0" w:color="0070C0"/>
              <w:right w:val="single" w:sz="4" w:space="0" w:color="0070C0"/>
            </w:tcBorders>
            <w:vAlign w:val="center"/>
            <w:hideMark/>
          </w:tcPr>
          <w:p w14:paraId="390FDCFB"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309D57C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1.1.2 : </w:t>
            </w:r>
            <w:r w:rsidRPr="00FA131D">
              <w:rPr>
                <w:rFonts w:eastAsia="Times New Roman" w:cs="Calibri"/>
                <w:color w:val="000000"/>
                <w:sz w:val="18"/>
                <w:szCs w:val="18"/>
              </w:rPr>
              <w:t>Degré de contribution des femmes et des jeunes aux diagnostics</w:t>
            </w:r>
          </w:p>
        </w:tc>
        <w:tc>
          <w:tcPr>
            <w:tcW w:w="499" w:type="pct"/>
            <w:tcBorders>
              <w:top w:val="nil"/>
              <w:left w:val="nil"/>
              <w:bottom w:val="single" w:sz="4" w:space="0" w:color="0070C0"/>
              <w:right w:val="single" w:sz="4" w:space="0" w:color="0070C0"/>
            </w:tcBorders>
            <w:shd w:val="clear" w:color="auto" w:fill="auto"/>
            <w:vAlign w:val="center"/>
            <w:hideMark/>
          </w:tcPr>
          <w:p w14:paraId="1F3D824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5BAAEF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au moins 30% de leurs contributions sont pris en compte dans les rapports des diagnostics</w:t>
            </w:r>
          </w:p>
        </w:tc>
        <w:tc>
          <w:tcPr>
            <w:tcW w:w="846" w:type="pct"/>
            <w:tcBorders>
              <w:top w:val="nil"/>
              <w:left w:val="nil"/>
              <w:bottom w:val="single" w:sz="4" w:space="0" w:color="0070C0"/>
              <w:right w:val="single" w:sz="4" w:space="0" w:color="0070C0"/>
            </w:tcBorders>
            <w:shd w:val="clear" w:color="auto" w:fill="auto"/>
            <w:vAlign w:val="center"/>
            <w:hideMark/>
          </w:tcPr>
          <w:p w14:paraId="35D7DC4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35 % de contribution des femmes et des jeunes dans le rapport diagnostic</w:t>
            </w:r>
          </w:p>
        </w:tc>
        <w:tc>
          <w:tcPr>
            <w:tcW w:w="357" w:type="pct"/>
            <w:tcBorders>
              <w:top w:val="nil"/>
              <w:left w:val="nil"/>
              <w:bottom w:val="single" w:sz="4" w:space="0" w:color="0070C0"/>
              <w:right w:val="single" w:sz="4" w:space="0" w:color="0070C0"/>
            </w:tcBorders>
            <w:shd w:val="clear" w:color="000000" w:fill="92D050"/>
            <w:vAlign w:val="center"/>
            <w:hideMark/>
          </w:tcPr>
          <w:p w14:paraId="352B5F3F"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73B06096" w14:textId="77777777" w:rsidTr="00A90C21">
        <w:trPr>
          <w:trHeight w:val="1605"/>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79BFCA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1.2 : </w:t>
            </w:r>
            <w:r w:rsidRPr="00FA131D">
              <w:rPr>
                <w:rFonts w:eastAsia="Times New Roman" w:cs="Calibri"/>
                <w:color w:val="000000"/>
                <w:sz w:val="18"/>
                <w:szCs w:val="18"/>
              </w:rPr>
              <w:t>Deux plans d’action sont élaborés et mis en œuvre pour renforcer les capacités des mécanismes et structures étatiques et non-étatiques de prévention et de gestion de conflits, et pour une meilleure intégration des femmes et des jeunes</w:t>
            </w:r>
          </w:p>
        </w:tc>
        <w:tc>
          <w:tcPr>
            <w:tcW w:w="1180" w:type="pct"/>
            <w:tcBorders>
              <w:top w:val="nil"/>
              <w:left w:val="nil"/>
              <w:bottom w:val="single" w:sz="4" w:space="0" w:color="0070C0"/>
              <w:right w:val="single" w:sz="4" w:space="0" w:color="0070C0"/>
            </w:tcBorders>
            <w:shd w:val="clear" w:color="auto" w:fill="auto"/>
            <w:vAlign w:val="center"/>
            <w:hideMark/>
          </w:tcPr>
          <w:p w14:paraId="6638D46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1.2.1 : </w:t>
            </w:r>
            <w:r w:rsidRPr="00FA131D">
              <w:rPr>
                <w:rFonts w:eastAsia="Times New Roman" w:cs="Calibri"/>
                <w:color w:val="000000"/>
                <w:sz w:val="18"/>
                <w:szCs w:val="18"/>
              </w:rPr>
              <w:t>Taux de mise en œuvre des plans d’action</w:t>
            </w:r>
            <w:r w:rsidRPr="00FA131D">
              <w:rPr>
                <w:rFonts w:eastAsia="Times New Roman" w:cs="Calibri"/>
                <w:color w:val="000000"/>
                <w:sz w:val="18"/>
                <w:szCs w:val="18"/>
              </w:rPr>
              <w:br/>
            </w:r>
            <w:r w:rsidRPr="00FA131D">
              <w:rPr>
                <w:rFonts w:eastAsia="Times New Roman" w:cs="Calibri"/>
                <w:b/>
                <w:bCs/>
                <w:color w:val="000000"/>
                <w:sz w:val="18"/>
                <w:szCs w:val="18"/>
              </w:rPr>
              <w:br/>
            </w:r>
            <w:r w:rsidRPr="00FA131D">
              <w:rPr>
                <w:rFonts w:eastAsia="Times New Roman" w:cs="Calibri"/>
                <w:color w:val="000000"/>
                <w:sz w:val="18"/>
                <w:szCs w:val="18"/>
              </w:rPr>
              <w:t>(Spécifier la valeur de l’indicateur pour les actions concernant les femmes et les jeunes)</w:t>
            </w:r>
          </w:p>
        </w:tc>
        <w:tc>
          <w:tcPr>
            <w:tcW w:w="499" w:type="pct"/>
            <w:tcBorders>
              <w:top w:val="nil"/>
              <w:left w:val="nil"/>
              <w:bottom w:val="single" w:sz="4" w:space="0" w:color="0070C0"/>
              <w:right w:val="single" w:sz="4" w:space="0" w:color="0070C0"/>
            </w:tcBorders>
            <w:shd w:val="clear" w:color="auto" w:fill="auto"/>
            <w:vAlign w:val="center"/>
            <w:hideMark/>
          </w:tcPr>
          <w:p w14:paraId="2D3A758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6BB6F4B"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846" w:type="pct"/>
            <w:tcBorders>
              <w:top w:val="nil"/>
              <w:left w:val="nil"/>
              <w:bottom w:val="single" w:sz="4" w:space="0" w:color="0070C0"/>
              <w:right w:val="single" w:sz="4" w:space="0" w:color="0070C0"/>
            </w:tcBorders>
            <w:shd w:val="clear" w:color="auto" w:fill="auto"/>
            <w:vAlign w:val="center"/>
            <w:hideMark/>
          </w:tcPr>
          <w:p w14:paraId="4FA97360"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75%</w:t>
            </w:r>
            <w:r w:rsidRPr="00FA131D">
              <w:rPr>
                <w:rFonts w:eastAsia="Times New Roman" w:cs="Calibri"/>
                <w:color w:val="000000"/>
                <w:sz w:val="18"/>
                <w:szCs w:val="18"/>
              </w:rPr>
              <w:br/>
              <w:t>(35% pour les actions concernant les femmes et les jeunes dont 40% concernant les femmes)</w:t>
            </w:r>
          </w:p>
        </w:tc>
        <w:tc>
          <w:tcPr>
            <w:tcW w:w="357" w:type="pct"/>
            <w:tcBorders>
              <w:top w:val="nil"/>
              <w:left w:val="nil"/>
              <w:bottom w:val="single" w:sz="4" w:space="0" w:color="0070C0"/>
              <w:right w:val="single" w:sz="4" w:space="0" w:color="0070C0"/>
            </w:tcBorders>
            <w:shd w:val="clear" w:color="000000" w:fill="92D050"/>
            <w:vAlign w:val="center"/>
            <w:hideMark/>
          </w:tcPr>
          <w:p w14:paraId="32BC0FA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0EBD3C5F"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5076572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66FB166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1.2.2 : </w:t>
            </w:r>
            <w:r w:rsidRPr="00FA131D">
              <w:rPr>
                <w:rFonts w:eastAsia="Times New Roman" w:cs="Calibri"/>
                <w:color w:val="000000"/>
                <w:sz w:val="18"/>
                <w:szCs w:val="18"/>
              </w:rPr>
              <w:t>Augmentation du nombre d’initiatives entreprises par les femmes et les jeunes avec les connaissances acquises en matière de prévention et gestion des conflits</w:t>
            </w:r>
          </w:p>
        </w:tc>
        <w:tc>
          <w:tcPr>
            <w:tcW w:w="499" w:type="pct"/>
            <w:tcBorders>
              <w:top w:val="nil"/>
              <w:left w:val="nil"/>
              <w:bottom w:val="single" w:sz="4" w:space="0" w:color="0070C0"/>
              <w:right w:val="single" w:sz="4" w:space="0" w:color="0070C0"/>
            </w:tcBorders>
            <w:shd w:val="clear" w:color="auto" w:fill="auto"/>
            <w:vAlign w:val="center"/>
            <w:hideMark/>
          </w:tcPr>
          <w:p w14:paraId="4997BBC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5D0B578C"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50% par rapport à la situation de référence</w:t>
            </w:r>
          </w:p>
        </w:tc>
        <w:tc>
          <w:tcPr>
            <w:tcW w:w="846" w:type="pct"/>
            <w:tcBorders>
              <w:top w:val="nil"/>
              <w:left w:val="nil"/>
              <w:bottom w:val="single" w:sz="4" w:space="0" w:color="0070C0"/>
              <w:right w:val="single" w:sz="4" w:space="0" w:color="0070C0"/>
            </w:tcBorders>
            <w:shd w:val="clear" w:color="auto" w:fill="auto"/>
            <w:vAlign w:val="center"/>
            <w:hideMark/>
          </w:tcPr>
          <w:p w14:paraId="172A6DA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23%</w:t>
            </w:r>
          </w:p>
        </w:tc>
        <w:tc>
          <w:tcPr>
            <w:tcW w:w="357" w:type="pct"/>
            <w:tcBorders>
              <w:top w:val="nil"/>
              <w:left w:val="nil"/>
              <w:bottom w:val="single" w:sz="4" w:space="0" w:color="0070C0"/>
              <w:right w:val="single" w:sz="4" w:space="0" w:color="0070C0"/>
            </w:tcBorders>
            <w:shd w:val="clear" w:color="000000" w:fill="FFC000"/>
            <w:vAlign w:val="center"/>
            <w:hideMark/>
          </w:tcPr>
          <w:p w14:paraId="51BE5B3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46%</w:t>
            </w:r>
          </w:p>
        </w:tc>
      </w:tr>
      <w:tr w:rsidR="00F01CB8" w:rsidRPr="00A90C21" w14:paraId="145C92C1" w14:textId="77777777" w:rsidTr="00A90C21">
        <w:trPr>
          <w:trHeight w:val="162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0CC1CCA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2 : </w:t>
            </w:r>
            <w:r w:rsidRPr="00FA131D">
              <w:rPr>
                <w:rFonts w:eastAsia="Times New Roman" w:cs="Calibri"/>
                <w:color w:val="000000"/>
                <w:sz w:val="18"/>
                <w:szCs w:val="18"/>
              </w:rPr>
              <w:t xml:space="preserve">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w:t>
            </w:r>
          </w:p>
        </w:tc>
        <w:tc>
          <w:tcPr>
            <w:tcW w:w="1180" w:type="pct"/>
            <w:tcBorders>
              <w:top w:val="nil"/>
              <w:left w:val="nil"/>
              <w:bottom w:val="single" w:sz="4" w:space="0" w:color="0070C0"/>
              <w:right w:val="single" w:sz="4" w:space="0" w:color="0070C0"/>
            </w:tcBorders>
            <w:shd w:val="clear" w:color="000000" w:fill="CEF5FE"/>
            <w:vAlign w:val="center"/>
            <w:hideMark/>
          </w:tcPr>
          <w:p w14:paraId="01D3CDE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 : </w:t>
            </w:r>
            <w:r w:rsidRPr="00FA131D">
              <w:rPr>
                <w:rFonts w:eastAsia="Times New Roman" w:cs="Calibri"/>
                <w:color w:val="000000"/>
                <w:sz w:val="18"/>
                <w:szCs w:val="18"/>
              </w:rPr>
              <w:t>Degré de confiance entre les communautés et les FDS / acteurs de la chaîne pénale</w:t>
            </w:r>
          </w:p>
        </w:tc>
        <w:tc>
          <w:tcPr>
            <w:tcW w:w="499" w:type="pct"/>
            <w:tcBorders>
              <w:top w:val="nil"/>
              <w:left w:val="nil"/>
              <w:bottom w:val="single" w:sz="4" w:space="0" w:color="0070C0"/>
              <w:right w:val="single" w:sz="4" w:space="0" w:color="0070C0"/>
            </w:tcBorders>
            <w:shd w:val="clear" w:color="000000" w:fill="CEF5FE"/>
            <w:vAlign w:val="center"/>
            <w:hideMark/>
          </w:tcPr>
          <w:p w14:paraId="358DC33F"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1A881C90"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+1 niveau par rapport à la situation de référence (et spécifier la valeur de l’indicateur selon les femmes et les jeunes)</w:t>
            </w:r>
            <w:r w:rsidRPr="00FA131D">
              <w:rPr>
                <w:rFonts w:eastAsia="Times New Roman" w:cs="Calibri"/>
                <w:color w:val="000000"/>
                <w:sz w:val="18"/>
                <w:szCs w:val="18"/>
              </w:rPr>
              <w:br/>
              <w:t>Sur une échelle de 4 niveaux (1. Très confiant, 2. Confiant, 3. Peu confiant, 4. Pas du tout confiant)</w:t>
            </w:r>
          </w:p>
        </w:tc>
        <w:tc>
          <w:tcPr>
            <w:tcW w:w="846" w:type="pct"/>
            <w:tcBorders>
              <w:top w:val="nil"/>
              <w:left w:val="nil"/>
              <w:bottom w:val="single" w:sz="4" w:space="0" w:color="0070C0"/>
              <w:right w:val="single" w:sz="4" w:space="0" w:color="0070C0"/>
            </w:tcBorders>
            <w:shd w:val="clear" w:color="000000" w:fill="CEF5FE"/>
            <w:vAlign w:val="center"/>
            <w:hideMark/>
          </w:tcPr>
          <w:p w14:paraId="72BC6E2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single" w:sz="4" w:space="0" w:color="0070C0"/>
              <w:right w:val="single" w:sz="4" w:space="0" w:color="0070C0"/>
            </w:tcBorders>
            <w:shd w:val="clear" w:color="000000" w:fill="92D050"/>
            <w:vAlign w:val="center"/>
            <w:hideMark/>
          </w:tcPr>
          <w:p w14:paraId="41DB47C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2DBB93A7"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3E76AF3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6A2C6DD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2.2 : </w:t>
            </w:r>
            <w:r w:rsidRPr="00FA131D">
              <w:rPr>
                <w:rFonts w:eastAsia="Times New Roman" w:cs="Calibri"/>
                <w:color w:val="000000"/>
                <w:sz w:val="18"/>
                <w:szCs w:val="18"/>
              </w:rPr>
              <w:t>Niveau de connaissance des droits et recours par les communautés locales</w:t>
            </w:r>
          </w:p>
        </w:tc>
        <w:tc>
          <w:tcPr>
            <w:tcW w:w="499" w:type="pct"/>
            <w:tcBorders>
              <w:top w:val="nil"/>
              <w:left w:val="nil"/>
              <w:bottom w:val="single" w:sz="4" w:space="0" w:color="0070C0"/>
              <w:right w:val="single" w:sz="4" w:space="0" w:color="0070C0"/>
            </w:tcBorders>
            <w:shd w:val="clear" w:color="000000" w:fill="CEF5FE"/>
            <w:vAlign w:val="center"/>
            <w:hideMark/>
          </w:tcPr>
          <w:p w14:paraId="457E353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Très faible (niveau 1)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15CD02C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 xml:space="preserve">Sur une échelle de 4 niveaux (1. Très bonne connaissance 2. Bonne connaissance ;3 Faible connaissance ;4 ne connais pas </w:t>
            </w:r>
          </w:p>
        </w:tc>
        <w:tc>
          <w:tcPr>
            <w:tcW w:w="846" w:type="pct"/>
            <w:tcBorders>
              <w:top w:val="nil"/>
              <w:left w:val="nil"/>
              <w:bottom w:val="single" w:sz="4" w:space="0" w:color="0070C0"/>
              <w:right w:val="single" w:sz="4" w:space="0" w:color="0070C0"/>
            </w:tcBorders>
            <w:shd w:val="clear" w:color="000000" w:fill="CEF5FE"/>
            <w:vAlign w:val="center"/>
            <w:hideMark/>
          </w:tcPr>
          <w:p w14:paraId="74EF9CA6"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Faible connaissance</w:t>
            </w:r>
          </w:p>
        </w:tc>
        <w:tc>
          <w:tcPr>
            <w:tcW w:w="357" w:type="pct"/>
            <w:tcBorders>
              <w:top w:val="nil"/>
              <w:left w:val="nil"/>
              <w:bottom w:val="single" w:sz="4" w:space="0" w:color="0070C0"/>
              <w:right w:val="single" w:sz="4" w:space="0" w:color="0070C0"/>
            </w:tcBorders>
            <w:shd w:val="clear" w:color="000000" w:fill="FFC000"/>
            <w:vAlign w:val="center"/>
            <w:hideMark/>
          </w:tcPr>
          <w:p w14:paraId="275973C8"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50%</w:t>
            </w:r>
          </w:p>
        </w:tc>
      </w:tr>
      <w:tr w:rsidR="00F01CB8" w:rsidRPr="00A90C21" w14:paraId="366B45E6"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101C38E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25BF911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 : </w:t>
            </w:r>
            <w:r w:rsidRPr="00FA131D">
              <w:rPr>
                <w:rFonts w:eastAsia="Times New Roman" w:cs="Calibri"/>
                <w:color w:val="000000"/>
                <w:sz w:val="18"/>
                <w:szCs w:val="18"/>
              </w:rPr>
              <w:t>Niveau d’appréciation de la collaboration entre les FDS et les acteurs de la chaîne pénale dans la zone du projet</w:t>
            </w:r>
          </w:p>
        </w:tc>
        <w:tc>
          <w:tcPr>
            <w:tcW w:w="499" w:type="pct"/>
            <w:tcBorders>
              <w:top w:val="nil"/>
              <w:left w:val="nil"/>
              <w:bottom w:val="single" w:sz="4" w:space="0" w:color="0070C0"/>
              <w:right w:val="single" w:sz="4" w:space="0" w:color="0070C0"/>
            </w:tcBorders>
            <w:shd w:val="clear" w:color="000000" w:fill="CEF5FE"/>
            <w:vAlign w:val="center"/>
            <w:hideMark/>
          </w:tcPr>
          <w:p w14:paraId="412F0344"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Faible (niveau 1) (diagnostic)</w:t>
            </w:r>
          </w:p>
        </w:tc>
        <w:tc>
          <w:tcPr>
            <w:tcW w:w="1236" w:type="pct"/>
            <w:tcBorders>
              <w:top w:val="nil"/>
              <w:left w:val="nil"/>
              <w:bottom w:val="single" w:sz="4" w:space="0" w:color="0070C0"/>
              <w:right w:val="single" w:sz="4" w:space="0" w:color="0070C0"/>
            </w:tcBorders>
            <w:shd w:val="clear" w:color="000000" w:fill="CEF5FE"/>
            <w:vAlign w:val="center"/>
            <w:hideMark/>
          </w:tcPr>
          <w:p w14:paraId="439D199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 xml:space="preserve">Sur une échelle de 4 niveaux (1. Très bonne collaboration 2. Bonne collaboration ;3 Faible collaboration ;4 Absence de collaboration </w:t>
            </w:r>
          </w:p>
        </w:tc>
        <w:tc>
          <w:tcPr>
            <w:tcW w:w="846" w:type="pct"/>
            <w:tcBorders>
              <w:top w:val="nil"/>
              <w:left w:val="nil"/>
              <w:bottom w:val="single" w:sz="4" w:space="0" w:color="0070C0"/>
              <w:right w:val="single" w:sz="4" w:space="0" w:color="0070C0"/>
            </w:tcBorders>
            <w:shd w:val="clear" w:color="000000" w:fill="CEF5FE"/>
            <w:vAlign w:val="center"/>
            <w:hideMark/>
          </w:tcPr>
          <w:p w14:paraId="7CEBF0E0" w14:textId="1602B53E" w:rsidR="00A90C21" w:rsidRPr="00FA131D" w:rsidRDefault="00216D2E" w:rsidP="00A90C21">
            <w:pPr>
              <w:widowControl w:val="0"/>
              <w:spacing w:before="0" w:after="0" w:line="240" w:lineRule="auto"/>
              <w:jc w:val="left"/>
              <w:rPr>
                <w:rFonts w:eastAsia="Times New Roman" w:cs="Calibri"/>
                <w:color w:val="000000"/>
                <w:sz w:val="18"/>
                <w:szCs w:val="18"/>
              </w:rPr>
            </w:pPr>
            <w:r>
              <w:rPr>
                <w:rFonts w:eastAsia="Times New Roman" w:cs="Calibri"/>
                <w:color w:val="000000"/>
                <w:sz w:val="18"/>
                <w:szCs w:val="18"/>
              </w:rPr>
              <w:t>Bonne</w:t>
            </w:r>
            <w:r w:rsidRPr="00FA131D">
              <w:rPr>
                <w:rFonts w:eastAsia="Times New Roman" w:cs="Calibri"/>
                <w:color w:val="000000"/>
                <w:sz w:val="18"/>
                <w:szCs w:val="18"/>
              </w:rPr>
              <w:t xml:space="preserve"> </w:t>
            </w:r>
            <w:r w:rsidR="00A90C21" w:rsidRPr="00FA131D">
              <w:rPr>
                <w:rFonts w:eastAsia="Times New Roman" w:cs="Calibri"/>
                <w:color w:val="000000"/>
                <w:sz w:val="18"/>
                <w:szCs w:val="18"/>
              </w:rPr>
              <w:t xml:space="preserve">collaboration </w:t>
            </w:r>
          </w:p>
        </w:tc>
        <w:tc>
          <w:tcPr>
            <w:tcW w:w="357" w:type="pct"/>
            <w:tcBorders>
              <w:top w:val="nil"/>
              <w:left w:val="nil"/>
              <w:bottom w:val="single" w:sz="4" w:space="0" w:color="0070C0"/>
              <w:right w:val="single" w:sz="4" w:space="0" w:color="0070C0"/>
            </w:tcBorders>
            <w:shd w:val="clear" w:color="000000" w:fill="FFC000"/>
            <w:vAlign w:val="center"/>
            <w:hideMark/>
          </w:tcPr>
          <w:p w14:paraId="0284A99B" w14:textId="3A175C49" w:rsidR="00A90C21" w:rsidRPr="00FA131D" w:rsidRDefault="00216D2E" w:rsidP="00A90C21">
            <w:pPr>
              <w:widowControl w:val="0"/>
              <w:spacing w:before="0" w:after="0" w:line="240" w:lineRule="auto"/>
              <w:jc w:val="center"/>
              <w:rPr>
                <w:rFonts w:eastAsia="Times New Roman" w:cs="Calibri"/>
                <w:b/>
                <w:bCs/>
                <w:color w:val="FFFFFF"/>
                <w:sz w:val="18"/>
                <w:szCs w:val="18"/>
              </w:rPr>
            </w:pPr>
            <w:r>
              <w:rPr>
                <w:rFonts w:eastAsia="Times New Roman" w:cs="Calibri"/>
                <w:b/>
                <w:bCs/>
                <w:color w:val="FFFFFF"/>
                <w:sz w:val="18"/>
                <w:szCs w:val="18"/>
              </w:rPr>
              <w:t>8</w:t>
            </w:r>
            <w:r w:rsidR="00A90C21" w:rsidRPr="00FA131D">
              <w:rPr>
                <w:rFonts w:eastAsia="Times New Roman" w:cs="Calibri"/>
                <w:b/>
                <w:bCs/>
                <w:color w:val="FFFFFF"/>
                <w:sz w:val="18"/>
                <w:szCs w:val="18"/>
              </w:rPr>
              <w:t>0%</w:t>
            </w:r>
          </w:p>
        </w:tc>
      </w:tr>
      <w:tr w:rsidR="00F01CB8" w:rsidRPr="00A90C21" w14:paraId="68E40C65" w14:textId="77777777" w:rsidTr="00A90C21">
        <w:trPr>
          <w:trHeight w:val="162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4C6550F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2.1 : </w:t>
            </w:r>
            <w:r w:rsidRPr="00FA131D">
              <w:rPr>
                <w:rFonts w:eastAsia="Times New Roman" w:cs="Calibri"/>
                <w:color w:val="000000"/>
                <w:sz w:val="18"/>
                <w:szCs w:val="18"/>
              </w:rPr>
              <w:t>Quatre plans d'action de renforcement des capacités techniques des FDS et acteurs de la chaine pénale sur la question d'intégration des droits humains (y compris les droits des femmes et le genre) sont élaborés et mis en œuvre</w:t>
            </w:r>
          </w:p>
        </w:tc>
        <w:tc>
          <w:tcPr>
            <w:tcW w:w="1180" w:type="pct"/>
            <w:tcBorders>
              <w:top w:val="nil"/>
              <w:left w:val="nil"/>
              <w:bottom w:val="single" w:sz="4" w:space="0" w:color="0070C0"/>
              <w:right w:val="single" w:sz="4" w:space="0" w:color="0070C0"/>
            </w:tcBorders>
            <w:shd w:val="clear" w:color="auto" w:fill="auto"/>
            <w:vAlign w:val="center"/>
            <w:hideMark/>
          </w:tcPr>
          <w:p w14:paraId="65DEE37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2.1.1 : </w:t>
            </w:r>
            <w:r w:rsidRPr="00FA131D">
              <w:rPr>
                <w:rFonts w:eastAsia="Times New Roman" w:cs="Calibri"/>
                <w:color w:val="000000"/>
                <w:sz w:val="18"/>
                <w:szCs w:val="18"/>
              </w:rPr>
              <w:t>Qualité des diagnostics</w:t>
            </w:r>
          </w:p>
        </w:tc>
        <w:tc>
          <w:tcPr>
            <w:tcW w:w="499" w:type="pct"/>
            <w:tcBorders>
              <w:top w:val="nil"/>
              <w:left w:val="nil"/>
              <w:bottom w:val="single" w:sz="4" w:space="0" w:color="0070C0"/>
              <w:right w:val="single" w:sz="4" w:space="0" w:color="0070C0"/>
            </w:tcBorders>
            <w:shd w:val="clear" w:color="auto" w:fill="auto"/>
            <w:vAlign w:val="center"/>
            <w:hideMark/>
          </w:tcPr>
          <w:p w14:paraId="32CA76F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C420CC4"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4 diagnostics détaillés disponibles et validés par les FDS et les acteurs de la chaine pénale (2 par pays)</w:t>
            </w:r>
          </w:p>
        </w:tc>
        <w:tc>
          <w:tcPr>
            <w:tcW w:w="846" w:type="pct"/>
            <w:tcBorders>
              <w:top w:val="nil"/>
              <w:left w:val="nil"/>
              <w:bottom w:val="single" w:sz="4" w:space="0" w:color="0070C0"/>
              <w:right w:val="single" w:sz="4" w:space="0" w:color="0070C0"/>
            </w:tcBorders>
            <w:shd w:val="clear" w:color="auto" w:fill="auto"/>
            <w:vAlign w:val="center"/>
            <w:hideMark/>
          </w:tcPr>
          <w:p w14:paraId="2CF06F6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diagnostics réalisés à Ansongo et Ménaka et 2 en cours de réalisation dans les communes de Bankilare, Goroual, Ayerou et Banibangou</w:t>
            </w:r>
          </w:p>
        </w:tc>
        <w:tc>
          <w:tcPr>
            <w:tcW w:w="357" w:type="pct"/>
            <w:tcBorders>
              <w:top w:val="nil"/>
              <w:left w:val="nil"/>
              <w:bottom w:val="single" w:sz="4" w:space="0" w:color="0070C0"/>
              <w:right w:val="single" w:sz="4" w:space="0" w:color="0070C0"/>
            </w:tcBorders>
            <w:shd w:val="clear" w:color="000000" w:fill="92D050"/>
            <w:vAlign w:val="center"/>
            <w:hideMark/>
          </w:tcPr>
          <w:p w14:paraId="1EEF9998"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49CBAC64"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0FBC770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4C2F167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2.1.2 : </w:t>
            </w:r>
            <w:r w:rsidRPr="00FA131D">
              <w:rPr>
                <w:rFonts w:eastAsia="Times New Roman" w:cs="Calibri"/>
                <w:color w:val="000000"/>
                <w:sz w:val="18"/>
                <w:szCs w:val="18"/>
              </w:rPr>
              <w:t>Qualité des diagnostics</w:t>
            </w:r>
          </w:p>
        </w:tc>
        <w:tc>
          <w:tcPr>
            <w:tcW w:w="499" w:type="pct"/>
            <w:tcBorders>
              <w:top w:val="nil"/>
              <w:left w:val="nil"/>
              <w:bottom w:val="single" w:sz="4" w:space="0" w:color="0070C0"/>
              <w:right w:val="single" w:sz="4" w:space="0" w:color="0070C0"/>
            </w:tcBorders>
            <w:shd w:val="clear" w:color="auto" w:fill="auto"/>
            <w:vAlign w:val="center"/>
            <w:hideMark/>
          </w:tcPr>
          <w:p w14:paraId="457CD12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6070B8C8"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Niveau de prise en compte des femmes dans les plans de renforcement des capacités des FDS</w:t>
            </w:r>
          </w:p>
        </w:tc>
        <w:tc>
          <w:tcPr>
            <w:tcW w:w="846" w:type="pct"/>
            <w:tcBorders>
              <w:top w:val="nil"/>
              <w:left w:val="nil"/>
              <w:bottom w:val="single" w:sz="4" w:space="0" w:color="0070C0"/>
              <w:right w:val="single" w:sz="4" w:space="0" w:color="0070C0"/>
            </w:tcBorders>
            <w:shd w:val="clear" w:color="auto" w:fill="auto"/>
            <w:vAlign w:val="center"/>
            <w:hideMark/>
          </w:tcPr>
          <w:p w14:paraId="5F6DB4E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Les rapports des diagnostics ont été restitués et validés incluant des recommandations sur la prise en compte des femmes dans les plans de Renforcement de Capacités</w:t>
            </w:r>
          </w:p>
        </w:tc>
        <w:tc>
          <w:tcPr>
            <w:tcW w:w="357" w:type="pct"/>
            <w:tcBorders>
              <w:top w:val="nil"/>
              <w:left w:val="nil"/>
              <w:bottom w:val="single" w:sz="4" w:space="0" w:color="0070C0"/>
              <w:right w:val="single" w:sz="4" w:space="0" w:color="0070C0"/>
            </w:tcBorders>
            <w:shd w:val="clear" w:color="000000" w:fill="92D050"/>
            <w:vAlign w:val="center"/>
            <w:hideMark/>
          </w:tcPr>
          <w:p w14:paraId="0EC229D6"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5F302C5" w14:textId="77777777" w:rsidTr="00A90C21">
        <w:trPr>
          <w:trHeight w:val="2430"/>
        </w:trPr>
        <w:tc>
          <w:tcPr>
            <w:tcW w:w="883" w:type="pct"/>
            <w:tcBorders>
              <w:top w:val="nil"/>
              <w:left w:val="single" w:sz="4" w:space="0" w:color="0070C0"/>
              <w:bottom w:val="single" w:sz="4" w:space="0" w:color="0070C0"/>
              <w:right w:val="single" w:sz="4" w:space="0" w:color="0070C0"/>
            </w:tcBorders>
            <w:shd w:val="clear" w:color="auto" w:fill="auto"/>
            <w:vAlign w:val="center"/>
            <w:hideMark/>
          </w:tcPr>
          <w:p w14:paraId="25A15444" w14:textId="77777777" w:rsidR="00A90C21" w:rsidRPr="00FA131D" w:rsidRDefault="00A90C21" w:rsidP="00A90C21">
            <w:pPr>
              <w:widowControl w:val="0"/>
              <w:spacing w:before="0" w:after="0" w:line="240" w:lineRule="auto"/>
              <w:rPr>
                <w:rFonts w:eastAsia="Times New Roman" w:cs="Calibri"/>
                <w:b/>
                <w:bCs/>
                <w:color w:val="000000"/>
                <w:sz w:val="18"/>
                <w:szCs w:val="18"/>
              </w:rPr>
            </w:pPr>
            <w:r w:rsidRPr="00FA131D">
              <w:rPr>
                <w:rFonts w:eastAsia="Times New Roman" w:cs="Calibri"/>
                <w:b/>
                <w:bCs/>
                <w:color w:val="000000"/>
                <w:sz w:val="18"/>
                <w:szCs w:val="18"/>
              </w:rPr>
              <w:t xml:space="preserve">Produit 2.2 : </w:t>
            </w:r>
            <w:r w:rsidRPr="00FA131D">
              <w:rPr>
                <w:rFonts w:eastAsia="Times New Roman" w:cs="Calibri"/>
                <w:color w:val="000000"/>
                <w:sz w:val="18"/>
                <w:szCs w:val="18"/>
              </w:rPr>
              <w:t>Deux plans d'action de renforcement de capacité des organisations de la société civile et des organisations de femmes sont élaborés et mis en œuvre sur les rôles mandats des FDS et des acteurs de la chaine pénale avec une approche basée sur les droits humains et le genre</w:t>
            </w:r>
          </w:p>
        </w:tc>
        <w:tc>
          <w:tcPr>
            <w:tcW w:w="1180" w:type="pct"/>
            <w:tcBorders>
              <w:top w:val="nil"/>
              <w:left w:val="nil"/>
              <w:bottom w:val="single" w:sz="4" w:space="0" w:color="0070C0"/>
              <w:right w:val="single" w:sz="4" w:space="0" w:color="0070C0"/>
            </w:tcBorders>
            <w:shd w:val="clear" w:color="auto" w:fill="auto"/>
            <w:vAlign w:val="center"/>
            <w:hideMark/>
          </w:tcPr>
          <w:p w14:paraId="392A89A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2.2.1 : </w:t>
            </w:r>
            <w:r w:rsidRPr="00FA131D">
              <w:rPr>
                <w:rFonts w:eastAsia="Times New Roman" w:cs="Calibri"/>
                <w:color w:val="000000"/>
                <w:sz w:val="18"/>
                <w:szCs w:val="18"/>
              </w:rPr>
              <w:t>Taux de mise en œuvre des plans d’action de renforcement de capacités des organisations de la société civile et des organisations de femmes</w:t>
            </w:r>
          </w:p>
        </w:tc>
        <w:tc>
          <w:tcPr>
            <w:tcW w:w="499" w:type="pct"/>
            <w:tcBorders>
              <w:top w:val="nil"/>
              <w:left w:val="nil"/>
              <w:bottom w:val="single" w:sz="4" w:space="0" w:color="0070C0"/>
              <w:right w:val="single" w:sz="4" w:space="0" w:color="0070C0"/>
            </w:tcBorders>
            <w:shd w:val="clear" w:color="auto" w:fill="auto"/>
            <w:vAlign w:val="center"/>
            <w:hideMark/>
          </w:tcPr>
          <w:p w14:paraId="2FF0649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44F341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846" w:type="pct"/>
            <w:tcBorders>
              <w:top w:val="nil"/>
              <w:left w:val="nil"/>
              <w:bottom w:val="single" w:sz="4" w:space="0" w:color="0070C0"/>
              <w:right w:val="single" w:sz="4" w:space="0" w:color="0070C0"/>
            </w:tcBorders>
            <w:shd w:val="clear" w:color="auto" w:fill="auto"/>
            <w:vAlign w:val="center"/>
            <w:hideMark/>
          </w:tcPr>
          <w:p w14:paraId="5D8F3F2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357" w:type="pct"/>
            <w:tcBorders>
              <w:top w:val="nil"/>
              <w:left w:val="nil"/>
              <w:bottom w:val="single" w:sz="4" w:space="0" w:color="0070C0"/>
              <w:right w:val="single" w:sz="4" w:space="0" w:color="0070C0"/>
            </w:tcBorders>
            <w:shd w:val="clear" w:color="000000" w:fill="92D050"/>
            <w:vAlign w:val="center"/>
            <w:hideMark/>
          </w:tcPr>
          <w:p w14:paraId="5B75EC3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11BE2E11"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6BE19C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2.3 : </w:t>
            </w:r>
            <w:r w:rsidRPr="00FA131D">
              <w:rPr>
                <w:rFonts w:eastAsia="Times New Roman" w:cs="Calibri"/>
                <w:color w:val="000000"/>
                <w:sz w:val="18"/>
                <w:szCs w:val="18"/>
              </w:rPr>
              <w:t>Deux mécanismes de redevabilité sont opérationnels (missions FDS et acteurs de la chaîne pénale y compris l’intégration du genre)</w:t>
            </w:r>
          </w:p>
        </w:tc>
        <w:tc>
          <w:tcPr>
            <w:tcW w:w="1180" w:type="pct"/>
            <w:tcBorders>
              <w:top w:val="nil"/>
              <w:left w:val="nil"/>
              <w:bottom w:val="single" w:sz="4" w:space="0" w:color="0070C0"/>
              <w:right w:val="single" w:sz="4" w:space="0" w:color="0070C0"/>
            </w:tcBorders>
            <w:shd w:val="clear" w:color="auto" w:fill="auto"/>
            <w:vAlign w:val="center"/>
            <w:hideMark/>
          </w:tcPr>
          <w:p w14:paraId="25EFDBC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2.3.1 : </w:t>
            </w:r>
            <w:r w:rsidRPr="00FA131D">
              <w:rPr>
                <w:rFonts w:eastAsia="Times New Roman" w:cs="Calibri"/>
                <w:color w:val="000000"/>
                <w:sz w:val="18"/>
                <w:szCs w:val="18"/>
              </w:rPr>
              <w:t>Nombre de SOPs et d’outils mis en place et qui intègrent les questions de genre</w:t>
            </w:r>
          </w:p>
        </w:tc>
        <w:tc>
          <w:tcPr>
            <w:tcW w:w="499" w:type="pct"/>
            <w:tcBorders>
              <w:top w:val="nil"/>
              <w:left w:val="nil"/>
              <w:bottom w:val="single" w:sz="4" w:space="0" w:color="0070C0"/>
              <w:right w:val="single" w:sz="4" w:space="0" w:color="0070C0"/>
            </w:tcBorders>
            <w:shd w:val="clear" w:color="auto" w:fill="auto"/>
            <w:vAlign w:val="center"/>
            <w:hideMark/>
          </w:tcPr>
          <w:p w14:paraId="7DD058F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CF28BA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6</w:t>
            </w:r>
          </w:p>
        </w:tc>
        <w:tc>
          <w:tcPr>
            <w:tcW w:w="846" w:type="pct"/>
            <w:tcBorders>
              <w:top w:val="nil"/>
              <w:left w:val="nil"/>
              <w:bottom w:val="single" w:sz="4" w:space="0" w:color="0070C0"/>
              <w:right w:val="single" w:sz="4" w:space="0" w:color="0070C0"/>
            </w:tcBorders>
            <w:shd w:val="clear" w:color="auto" w:fill="auto"/>
            <w:vAlign w:val="center"/>
            <w:hideMark/>
          </w:tcPr>
          <w:p w14:paraId="3FE4198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6</w:t>
            </w:r>
          </w:p>
        </w:tc>
        <w:tc>
          <w:tcPr>
            <w:tcW w:w="357" w:type="pct"/>
            <w:tcBorders>
              <w:top w:val="nil"/>
              <w:left w:val="nil"/>
              <w:bottom w:val="single" w:sz="4" w:space="0" w:color="0070C0"/>
              <w:right w:val="single" w:sz="4" w:space="0" w:color="0070C0"/>
            </w:tcBorders>
            <w:shd w:val="clear" w:color="000000" w:fill="92D050"/>
            <w:vAlign w:val="center"/>
            <w:hideMark/>
          </w:tcPr>
          <w:p w14:paraId="2CB408B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5395F4E" w14:textId="77777777" w:rsidTr="00A90C21">
        <w:trPr>
          <w:trHeight w:val="1080"/>
        </w:trPr>
        <w:tc>
          <w:tcPr>
            <w:tcW w:w="883" w:type="pct"/>
            <w:vMerge/>
            <w:tcBorders>
              <w:top w:val="nil"/>
              <w:left w:val="single" w:sz="4" w:space="0" w:color="0070C0"/>
              <w:bottom w:val="single" w:sz="4" w:space="0" w:color="0070C0"/>
              <w:right w:val="single" w:sz="4" w:space="0" w:color="0070C0"/>
            </w:tcBorders>
            <w:vAlign w:val="center"/>
            <w:hideMark/>
          </w:tcPr>
          <w:p w14:paraId="47FA0BC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5EA1D33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2.3.2 : </w:t>
            </w:r>
            <w:r w:rsidRPr="00FA131D">
              <w:rPr>
                <w:rFonts w:eastAsia="Times New Roman" w:cs="Calibri"/>
                <w:color w:val="000000"/>
                <w:sz w:val="18"/>
                <w:szCs w:val="18"/>
              </w:rPr>
              <w:t>Nombre des mesures ou actions prises par chaque mécanisme pour protéger les droits des femmes et promouvoir le genre</w:t>
            </w:r>
          </w:p>
        </w:tc>
        <w:tc>
          <w:tcPr>
            <w:tcW w:w="499" w:type="pct"/>
            <w:tcBorders>
              <w:top w:val="nil"/>
              <w:left w:val="nil"/>
              <w:bottom w:val="single" w:sz="4" w:space="0" w:color="0070C0"/>
              <w:right w:val="single" w:sz="4" w:space="0" w:color="0070C0"/>
            </w:tcBorders>
            <w:shd w:val="clear" w:color="auto" w:fill="auto"/>
            <w:vAlign w:val="center"/>
            <w:hideMark/>
          </w:tcPr>
          <w:p w14:paraId="012FBDBF"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F8EEBA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6</w:t>
            </w:r>
          </w:p>
        </w:tc>
        <w:tc>
          <w:tcPr>
            <w:tcW w:w="846" w:type="pct"/>
            <w:tcBorders>
              <w:top w:val="nil"/>
              <w:left w:val="nil"/>
              <w:bottom w:val="single" w:sz="4" w:space="0" w:color="0070C0"/>
              <w:right w:val="single" w:sz="4" w:space="0" w:color="0070C0"/>
            </w:tcBorders>
            <w:shd w:val="clear" w:color="auto" w:fill="auto"/>
            <w:vAlign w:val="center"/>
            <w:hideMark/>
          </w:tcPr>
          <w:p w14:paraId="48F43AE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12</w:t>
            </w:r>
          </w:p>
        </w:tc>
        <w:tc>
          <w:tcPr>
            <w:tcW w:w="357" w:type="pct"/>
            <w:tcBorders>
              <w:top w:val="nil"/>
              <w:left w:val="nil"/>
              <w:bottom w:val="single" w:sz="4" w:space="0" w:color="0070C0"/>
              <w:right w:val="single" w:sz="4" w:space="0" w:color="0070C0"/>
            </w:tcBorders>
            <w:shd w:val="clear" w:color="000000" w:fill="92D050"/>
            <w:vAlign w:val="center"/>
            <w:hideMark/>
          </w:tcPr>
          <w:p w14:paraId="5C842983"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7B7EC673" w14:textId="77777777" w:rsidTr="00A90C21">
        <w:trPr>
          <w:trHeight w:val="108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150A0F9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3 : </w:t>
            </w:r>
            <w:r w:rsidRPr="00FA131D">
              <w:rPr>
                <w:rFonts w:eastAsia="Times New Roman" w:cs="Calibri"/>
                <w:color w:val="000000"/>
                <w:sz w:val="18"/>
                <w:szCs w:val="18"/>
              </w:rPr>
              <w:t>Le partage d’expériences et de bonnes pratiques ainsi que le plaidoyer sur les thématiques du projet sont promus par une approche transfrontalière et sous régionale</w:t>
            </w:r>
          </w:p>
        </w:tc>
        <w:tc>
          <w:tcPr>
            <w:tcW w:w="1180" w:type="pct"/>
            <w:tcBorders>
              <w:top w:val="nil"/>
              <w:left w:val="nil"/>
              <w:bottom w:val="single" w:sz="4" w:space="0" w:color="0070C0"/>
              <w:right w:val="single" w:sz="4" w:space="0" w:color="0070C0"/>
            </w:tcBorders>
            <w:shd w:val="clear" w:color="000000" w:fill="CEF5FE"/>
            <w:vAlign w:val="center"/>
            <w:hideMark/>
          </w:tcPr>
          <w:p w14:paraId="3E0444E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 : </w:t>
            </w:r>
            <w:r w:rsidRPr="00FA131D">
              <w:rPr>
                <w:rFonts w:eastAsia="Times New Roman" w:cs="Calibri"/>
                <w:color w:val="000000"/>
                <w:sz w:val="18"/>
                <w:szCs w:val="18"/>
              </w:rPr>
              <w:t>Construction d’un agenda commun sur les thématiques transfrontalières par les réseaux de femmes</w:t>
            </w:r>
          </w:p>
        </w:tc>
        <w:tc>
          <w:tcPr>
            <w:tcW w:w="499" w:type="pct"/>
            <w:tcBorders>
              <w:top w:val="nil"/>
              <w:left w:val="nil"/>
              <w:bottom w:val="single" w:sz="4" w:space="0" w:color="0070C0"/>
              <w:right w:val="single" w:sz="4" w:space="0" w:color="0070C0"/>
            </w:tcBorders>
            <w:shd w:val="clear" w:color="000000" w:fill="CEF5FE"/>
            <w:vAlign w:val="center"/>
            <w:hideMark/>
          </w:tcPr>
          <w:p w14:paraId="44D35AB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000000" w:fill="CEF5FE"/>
            <w:vAlign w:val="center"/>
            <w:hideMark/>
          </w:tcPr>
          <w:p w14:paraId="7B4BABF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846" w:type="pct"/>
            <w:tcBorders>
              <w:top w:val="nil"/>
              <w:left w:val="nil"/>
              <w:bottom w:val="single" w:sz="4" w:space="0" w:color="0070C0"/>
              <w:right w:val="single" w:sz="4" w:space="0" w:color="0070C0"/>
            </w:tcBorders>
            <w:shd w:val="clear" w:color="000000" w:fill="CEF5FE"/>
            <w:vAlign w:val="center"/>
            <w:hideMark/>
          </w:tcPr>
          <w:p w14:paraId="2111173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357" w:type="pct"/>
            <w:tcBorders>
              <w:top w:val="nil"/>
              <w:left w:val="nil"/>
              <w:bottom w:val="single" w:sz="4" w:space="0" w:color="0070C0"/>
              <w:right w:val="single" w:sz="4" w:space="0" w:color="0070C0"/>
            </w:tcBorders>
            <w:shd w:val="clear" w:color="000000" w:fill="FFC000"/>
            <w:vAlign w:val="center"/>
            <w:hideMark/>
          </w:tcPr>
          <w:p w14:paraId="27B590BF"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7191D9EA" w14:textId="77777777" w:rsidTr="00A90C21">
        <w:trPr>
          <w:trHeight w:val="1890"/>
        </w:trPr>
        <w:tc>
          <w:tcPr>
            <w:tcW w:w="883" w:type="pct"/>
            <w:vMerge/>
            <w:tcBorders>
              <w:top w:val="nil"/>
              <w:left w:val="single" w:sz="4" w:space="0" w:color="0070C0"/>
              <w:bottom w:val="single" w:sz="4" w:space="0" w:color="0070C0"/>
              <w:right w:val="single" w:sz="4" w:space="0" w:color="0070C0"/>
            </w:tcBorders>
            <w:vAlign w:val="center"/>
            <w:hideMark/>
          </w:tcPr>
          <w:p w14:paraId="49902C8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3B090F8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 : </w:t>
            </w:r>
            <w:r w:rsidRPr="00FA131D">
              <w:rPr>
                <w:rFonts w:eastAsia="Times New Roman" w:cs="Calibri"/>
                <w:color w:val="000000"/>
                <w:sz w:val="18"/>
                <w:szCs w:val="18"/>
              </w:rPr>
              <w:t>Appréciation de la pertinence des bonnes pratiques documentées par rapport aux besoins d’apprentissage</w:t>
            </w:r>
          </w:p>
        </w:tc>
        <w:tc>
          <w:tcPr>
            <w:tcW w:w="499" w:type="pct"/>
            <w:tcBorders>
              <w:top w:val="nil"/>
              <w:left w:val="nil"/>
              <w:bottom w:val="single" w:sz="4" w:space="0" w:color="0070C0"/>
              <w:right w:val="single" w:sz="4" w:space="0" w:color="0070C0"/>
            </w:tcBorders>
            <w:shd w:val="clear" w:color="000000" w:fill="CEF5FE"/>
            <w:vAlign w:val="center"/>
            <w:hideMark/>
          </w:tcPr>
          <w:p w14:paraId="65A5C21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A déterminer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2314364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+ 2 par rapport à la situation de référence et spécifier la valeur de l’indicateur selon les femmes et les jeunes (selon le cas pour ces derniers)</w:t>
            </w:r>
            <w:r w:rsidRPr="00FA131D">
              <w:rPr>
                <w:rFonts w:eastAsia="Times New Roman" w:cs="Calibri"/>
                <w:color w:val="000000"/>
                <w:sz w:val="18"/>
                <w:szCs w:val="18"/>
              </w:rPr>
              <w:br/>
            </w:r>
            <w:r w:rsidRPr="00FA131D">
              <w:rPr>
                <w:rFonts w:eastAsia="Times New Roman" w:cs="Calibri"/>
                <w:color w:val="000000"/>
                <w:sz w:val="18"/>
                <w:szCs w:val="18"/>
              </w:rPr>
              <w:br/>
              <w:t>Sur une échelle de 4 niveaux (1. Très satisfait, 2. Satisfait, 3. Insatisfait, 4. Très insatisfait)</w:t>
            </w:r>
          </w:p>
        </w:tc>
        <w:tc>
          <w:tcPr>
            <w:tcW w:w="846" w:type="pct"/>
            <w:tcBorders>
              <w:top w:val="nil"/>
              <w:left w:val="nil"/>
              <w:bottom w:val="single" w:sz="4" w:space="0" w:color="0070C0"/>
              <w:right w:val="single" w:sz="4" w:space="0" w:color="0070C0"/>
            </w:tcBorders>
            <w:shd w:val="clear" w:color="000000" w:fill="CEF5FE"/>
            <w:vAlign w:val="center"/>
            <w:hideMark/>
          </w:tcPr>
          <w:p w14:paraId="59737C5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Satisfait </w:t>
            </w:r>
          </w:p>
        </w:tc>
        <w:tc>
          <w:tcPr>
            <w:tcW w:w="357" w:type="pct"/>
            <w:tcBorders>
              <w:top w:val="nil"/>
              <w:left w:val="nil"/>
              <w:bottom w:val="single" w:sz="4" w:space="0" w:color="0070C0"/>
              <w:right w:val="single" w:sz="4" w:space="0" w:color="0070C0"/>
            </w:tcBorders>
            <w:shd w:val="clear" w:color="000000" w:fill="92D050"/>
            <w:vAlign w:val="center"/>
            <w:hideMark/>
          </w:tcPr>
          <w:p w14:paraId="3E76E090"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4D077AEF" w14:textId="77777777" w:rsidTr="00A90C21">
        <w:trPr>
          <w:trHeight w:val="54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0361CB8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3.1 : </w:t>
            </w:r>
            <w:r w:rsidRPr="00FA131D">
              <w:rPr>
                <w:rFonts w:eastAsia="Times New Roman" w:cs="Calibri"/>
                <w:color w:val="000000"/>
                <w:sz w:val="18"/>
                <w:szCs w:val="18"/>
              </w:rPr>
              <w:t>Deux mécanismes de redevabilité sont opérationnels (missions FDS et acteurs de la chaîne pénale y compris l’intégration du genre)</w:t>
            </w:r>
          </w:p>
        </w:tc>
        <w:tc>
          <w:tcPr>
            <w:tcW w:w="1180" w:type="pct"/>
            <w:tcBorders>
              <w:top w:val="nil"/>
              <w:left w:val="nil"/>
              <w:bottom w:val="single" w:sz="4" w:space="0" w:color="0070C0"/>
              <w:right w:val="single" w:sz="4" w:space="0" w:color="0070C0"/>
            </w:tcBorders>
            <w:shd w:val="clear" w:color="auto" w:fill="auto"/>
            <w:vAlign w:val="center"/>
            <w:hideMark/>
          </w:tcPr>
          <w:p w14:paraId="59CA256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3.1.1 : </w:t>
            </w:r>
            <w:r w:rsidRPr="00FA131D">
              <w:rPr>
                <w:rFonts w:eastAsia="Times New Roman" w:cs="Calibri"/>
                <w:color w:val="000000"/>
                <w:sz w:val="18"/>
                <w:szCs w:val="18"/>
              </w:rPr>
              <w:t>Nombre de réseaux fonctionnels</w:t>
            </w:r>
          </w:p>
        </w:tc>
        <w:tc>
          <w:tcPr>
            <w:tcW w:w="499" w:type="pct"/>
            <w:tcBorders>
              <w:top w:val="nil"/>
              <w:left w:val="nil"/>
              <w:bottom w:val="single" w:sz="4" w:space="0" w:color="0070C0"/>
              <w:right w:val="single" w:sz="4" w:space="0" w:color="0070C0"/>
            </w:tcBorders>
            <w:shd w:val="clear" w:color="auto" w:fill="auto"/>
            <w:vAlign w:val="center"/>
            <w:hideMark/>
          </w:tcPr>
          <w:p w14:paraId="3B09CA1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0199CC5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(un dans chaque pays et un au niveau transfrontalier)</w:t>
            </w:r>
          </w:p>
        </w:tc>
        <w:tc>
          <w:tcPr>
            <w:tcW w:w="846" w:type="pct"/>
            <w:tcBorders>
              <w:top w:val="nil"/>
              <w:left w:val="nil"/>
              <w:bottom w:val="single" w:sz="4" w:space="0" w:color="0070C0"/>
              <w:right w:val="single" w:sz="4" w:space="0" w:color="0070C0"/>
            </w:tcBorders>
            <w:shd w:val="clear" w:color="auto" w:fill="auto"/>
            <w:vAlign w:val="center"/>
            <w:hideMark/>
          </w:tcPr>
          <w:p w14:paraId="0441CBA1"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(un dans chaque pays)</w:t>
            </w:r>
          </w:p>
        </w:tc>
        <w:tc>
          <w:tcPr>
            <w:tcW w:w="357" w:type="pct"/>
            <w:tcBorders>
              <w:top w:val="nil"/>
              <w:left w:val="nil"/>
              <w:bottom w:val="single" w:sz="4" w:space="0" w:color="0070C0"/>
              <w:right w:val="single" w:sz="4" w:space="0" w:color="0070C0"/>
            </w:tcBorders>
            <w:shd w:val="clear" w:color="000000" w:fill="FFC000"/>
            <w:vAlign w:val="center"/>
            <w:hideMark/>
          </w:tcPr>
          <w:p w14:paraId="6B2D89AC"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67%</w:t>
            </w:r>
          </w:p>
        </w:tc>
      </w:tr>
      <w:tr w:rsidR="00F01CB8" w:rsidRPr="00A90C21" w14:paraId="493FFBC5"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33040F8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3DD536D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3.1.2 : </w:t>
            </w:r>
            <w:r w:rsidRPr="00FA131D">
              <w:rPr>
                <w:rFonts w:eastAsia="Times New Roman" w:cs="Calibri"/>
                <w:color w:val="000000"/>
                <w:sz w:val="18"/>
                <w:szCs w:val="18"/>
              </w:rPr>
              <w:t>Nombre d’initiatives communes de plaidoyer initiées par les réseaux d’organisations de femmes aux niveaux transfrontalier et sous régional</w:t>
            </w:r>
          </w:p>
        </w:tc>
        <w:tc>
          <w:tcPr>
            <w:tcW w:w="499" w:type="pct"/>
            <w:tcBorders>
              <w:top w:val="nil"/>
              <w:left w:val="nil"/>
              <w:bottom w:val="single" w:sz="4" w:space="0" w:color="0070C0"/>
              <w:right w:val="single" w:sz="4" w:space="0" w:color="0070C0"/>
            </w:tcBorders>
            <w:shd w:val="clear" w:color="auto" w:fill="auto"/>
            <w:vAlign w:val="center"/>
            <w:hideMark/>
          </w:tcPr>
          <w:p w14:paraId="37A5ACC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69E2EE0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3</w:t>
            </w:r>
          </w:p>
        </w:tc>
        <w:tc>
          <w:tcPr>
            <w:tcW w:w="846" w:type="pct"/>
            <w:tcBorders>
              <w:top w:val="nil"/>
              <w:left w:val="nil"/>
              <w:bottom w:val="single" w:sz="4" w:space="0" w:color="0070C0"/>
              <w:right w:val="single" w:sz="4" w:space="0" w:color="0070C0"/>
            </w:tcBorders>
            <w:shd w:val="clear" w:color="auto" w:fill="auto"/>
            <w:vAlign w:val="center"/>
            <w:hideMark/>
          </w:tcPr>
          <w:p w14:paraId="41D1FC7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357" w:type="pct"/>
            <w:tcBorders>
              <w:top w:val="nil"/>
              <w:left w:val="nil"/>
              <w:bottom w:val="single" w:sz="4" w:space="0" w:color="0070C0"/>
              <w:right w:val="single" w:sz="4" w:space="0" w:color="0070C0"/>
            </w:tcBorders>
            <w:shd w:val="clear" w:color="000000" w:fill="FFC000"/>
            <w:vAlign w:val="center"/>
            <w:hideMark/>
          </w:tcPr>
          <w:p w14:paraId="2FCF92D0"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6FADA9E4" w14:textId="77777777" w:rsidTr="00A90C21">
        <w:trPr>
          <w:trHeight w:val="54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36AA95F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3.2 : </w:t>
            </w:r>
            <w:r w:rsidRPr="00FA131D">
              <w:rPr>
                <w:rFonts w:eastAsia="Times New Roman" w:cs="Calibri"/>
                <w:color w:val="000000"/>
                <w:sz w:val="18"/>
                <w:szCs w:val="18"/>
              </w:rPr>
              <w:t>De bonnes pratiques relatives à l’amélioration du climat de confiance entre les FDS, les acteurs de la chaîne pénale et les communautés sont documentées et partagées</w:t>
            </w:r>
          </w:p>
        </w:tc>
        <w:tc>
          <w:tcPr>
            <w:tcW w:w="1180" w:type="pct"/>
            <w:tcBorders>
              <w:top w:val="nil"/>
              <w:left w:val="nil"/>
              <w:bottom w:val="single" w:sz="4" w:space="0" w:color="0070C0"/>
              <w:right w:val="single" w:sz="4" w:space="0" w:color="0070C0"/>
            </w:tcBorders>
            <w:shd w:val="clear" w:color="auto" w:fill="auto"/>
            <w:vAlign w:val="center"/>
            <w:hideMark/>
          </w:tcPr>
          <w:p w14:paraId="4948506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3.2.1 : </w:t>
            </w:r>
            <w:r w:rsidRPr="00FA131D">
              <w:rPr>
                <w:rFonts w:eastAsia="Times New Roman" w:cs="Calibri"/>
                <w:color w:val="000000"/>
                <w:sz w:val="18"/>
                <w:szCs w:val="18"/>
              </w:rPr>
              <w:t>Nombre d’exercices de capitalisation conduits</w:t>
            </w:r>
          </w:p>
        </w:tc>
        <w:tc>
          <w:tcPr>
            <w:tcW w:w="499" w:type="pct"/>
            <w:tcBorders>
              <w:top w:val="nil"/>
              <w:left w:val="nil"/>
              <w:bottom w:val="single" w:sz="4" w:space="0" w:color="0070C0"/>
              <w:right w:val="single" w:sz="4" w:space="0" w:color="0070C0"/>
            </w:tcBorders>
            <w:shd w:val="clear" w:color="auto" w:fill="auto"/>
            <w:vAlign w:val="center"/>
            <w:hideMark/>
          </w:tcPr>
          <w:p w14:paraId="7640EB7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396E81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(1 exercice de capitalisation de bonnes pratiques par pays et 1 au niveau transfrontalier)</w:t>
            </w:r>
          </w:p>
        </w:tc>
        <w:tc>
          <w:tcPr>
            <w:tcW w:w="846" w:type="pct"/>
            <w:tcBorders>
              <w:top w:val="nil"/>
              <w:left w:val="nil"/>
              <w:bottom w:val="single" w:sz="4" w:space="0" w:color="0070C0"/>
              <w:right w:val="single" w:sz="4" w:space="0" w:color="0070C0"/>
            </w:tcBorders>
            <w:shd w:val="clear" w:color="auto" w:fill="auto"/>
            <w:vAlign w:val="center"/>
            <w:hideMark/>
          </w:tcPr>
          <w:p w14:paraId="3F5361F3"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(un exercice par pays)</w:t>
            </w:r>
          </w:p>
        </w:tc>
        <w:tc>
          <w:tcPr>
            <w:tcW w:w="357" w:type="pct"/>
            <w:tcBorders>
              <w:top w:val="nil"/>
              <w:left w:val="nil"/>
              <w:bottom w:val="single" w:sz="4" w:space="0" w:color="0070C0"/>
              <w:right w:val="single" w:sz="4" w:space="0" w:color="0070C0"/>
            </w:tcBorders>
            <w:shd w:val="clear" w:color="000000" w:fill="FFC000"/>
            <w:vAlign w:val="center"/>
            <w:hideMark/>
          </w:tcPr>
          <w:p w14:paraId="7CE170B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67%</w:t>
            </w:r>
          </w:p>
        </w:tc>
      </w:tr>
      <w:tr w:rsidR="00F01CB8" w:rsidRPr="00A90C21" w14:paraId="38319CF1" w14:textId="77777777" w:rsidTr="00A90C21">
        <w:trPr>
          <w:trHeight w:val="810"/>
        </w:trPr>
        <w:tc>
          <w:tcPr>
            <w:tcW w:w="883" w:type="pct"/>
            <w:vMerge/>
            <w:tcBorders>
              <w:top w:val="nil"/>
              <w:left w:val="single" w:sz="4" w:space="0" w:color="0070C0"/>
              <w:bottom w:val="single" w:sz="4" w:space="0" w:color="0070C0"/>
              <w:right w:val="single" w:sz="4" w:space="0" w:color="0070C0"/>
            </w:tcBorders>
            <w:vAlign w:val="center"/>
            <w:hideMark/>
          </w:tcPr>
          <w:p w14:paraId="745B7D7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74E874B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3.2.2 : </w:t>
            </w:r>
            <w:r w:rsidRPr="00FA131D">
              <w:rPr>
                <w:rFonts w:eastAsia="Times New Roman" w:cs="Calibri"/>
                <w:color w:val="000000"/>
                <w:sz w:val="18"/>
                <w:szCs w:val="18"/>
              </w:rPr>
              <w:t>Nombre de rapport de capitalisation diffusé</w:t>
            </w:r>
          </w:p>
        </w:tc>
        <w:tc>
          <w:tcPr>
            <w:tcW w:w="499" w:type="pct"/>
            <w:tcBorders>
              <w:top w:val="nil"/>
              <w:left w:val="nil"/>
              <w:bottom w:val="single" w:sz="4" w:space="0" w:color="0070C0"/>
              <w:right w:val="single" w:sz="4" w:space="0" w:color="0070C0"/>
            </w:tcBorders>
            <w:shd w:val="clear" w:color="auto" w:fill="auto"/>
            <w:vAlign w:val="center"/>
            <w:hideMark/>
          </w:tcPr>
          <w:p w14:paraId="14D2D63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7770E34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846" w:type="pct"/>
            <w:tcBorders>
              <w:top w:val="nil"/>
              <w:left w:val="nil"/>
              <w:bottom w:val="single" w:sz="4" w:space="0" w:color="0070C0"/>
              <w:right w:val="single" w:sz="4" w:space="0" w:color="0070C0"/>
            </w:tcBorders>
            <w:shd w:val="clear" w:color="auto" w:fill="auto"/>
            <w:vAlign w:val="center"/>
            <w:hideMark/>
          </w:tcPr>
          <w:p w14:paraId="40CD13A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357" w:type="pct"/>
            <w:tcBorders>
              <w:top w:val="nil"/>
              <w:left w:val="nil"/>
              <w:bottom w:val="single" w:sz="4" w:space="0" w:color="0070C0"/>
              <w:right w:val="single" w:sz="4" w:space="0" w:color="0070C0"/>
            </w:tcBorders>
            <w:shd w:val="clear" w:color="000000" w:fill="92D050"/>
            <w:vAlign w:val="center"/>
            <w:hideMark/>
          </w:tcPr>
          <w:p w14:paraId="1678ED3B"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bl>
    <w:p w14:paraId="4D874B7F" w14:textId="70DF5B7A" w:rsidR="00A90C21" w:rsidRPr="00BE789A" w:rsidRDefault="00A90C21" w:rsidP="00A90C21">
      <w:pPr>
        <w:keepNext/>
        <w:spacing w:before="0" w:line="276" w:lineRule="auto"/>
        <w:rPr>
          <w:i/>
          <w:sz w:val="20"/>
        </w:rPr>
      </w:pPr>
      <w:r w:rsidRPr="002D3E79">
        <w:rPr>
          <w:i/>
          <w:sz w:val="20"/>
        </w:rPr>
        <w:t xml:space="preserve">Source : </w:t>
      </w:r>
      <w:r>
        <w:rPr>
          <w:i/>
          <w:sz w:val="20"/>
        </w:rPr>
        <w:t>Auteur à partir de la situation fournie dans le Rapport final d’exécution</w:t>
      </w:r>
      <w:r w:rsidR="007068E8">
        <w:rPr>
          <w:i/>
          <w:sz w:val="20"/>
        </w:rPr>
        <w:t xml:space="preserve"> </w:t>
      </w:r>
    </w:p>
    <w:p w14:paraId="4CCFD3F6" w14:textId="77777777" w:rsidR="000D4E8B" w:rsidRDefault="000D4E8B" w:rsidP="00A400FF">
      <w:pPr>
        <w:pStyle w:val="Lgende"/>
      </w:pPr>
    </w:p>
    <w:sectPr w:rsidR="000D4E8B" w:rsidSect="00A400FF">
      <w:pgSz w:w="16838" w:h="11906" w:orient="landscape"/>
      <w:pgMar w:top="1417" w:right="1417" w:bottom="1417" w:left="1640" w:header="708" w:footer="708"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9AB6" w14:textId="77777777" w:rsidR="00BD0DF0" w:rsidRDefault="00BD0DF0" w:rsidP="007E10D6">
      <w:pPr>
        <w:spacing w:after="0" w:line="240" w:lineRule="auto"/>
      </w:pPr>
      <w:r>
        <w:separator/>
      </w:r>
    </w:p>
  </w:endnote>
  <w:endnote w:type="continuationSeparator" w:id="0">
    <w:p w14:paraId="4D9C044E" w14:textId="77777777" w:rsidR="00BD0DF0" w:rsidRDefault="00BD0DF0" w:rsidP="007E10D6">
      <w:pPr>
        <w:spacing w:after="0" w:line="240" w:lineRule="auto"/>
      </w:pPr>
      <w:r>
        <w:continuationSeparator/>
      </w:r>
    </w:p>
  </w:endnote>
  <w:endnote w:type="continuationNotice" w:id="1">
    <w:p w14:paraId="33A7991B" w14:textId="77777777" w:rsidR="00BD0DF0" w:rsidRDefault="00BD0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Regular">
    <w:altName w:val="Wingdings"/>
    <w:panose1 w:val="00000000000000000000"/>
    <w:charset w:val="00"/>
    <w:family w:val="roman"/>
    <w:notTrueType/>
    <w:pitch w:val="default"/>
  </w:font>
  <w:font w:name="Cambria-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ptima">
    <w:altName w:val="Century Gothic"/>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1" w:usb1="08070000" w:usb2="00000010" w:usb3="00000000" w:csb0="00020000" w:csb1="00000000"/>
  </w:font>
  <w:font w:name="CenturyGoth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258507"/>
      <w:docPartObj>
        <w:docPartGallery w:val="Page Numbers (Bottom of Page)"/>
        <w:docPartUnique/>
      </w:docPartObj>
    </w:sdtPr>
    <w:sdtEndPr/>
    <w:sdtContent>
      <w:p w14:paraId="12A4EA11" w14:textId="4E18F167" w:rsidR="006820EA" w:rsidRPr="00142CCB" w:rsidRDefault="00BD0DF0" w:rsidP="00142CCB">
        <w:pPr>
          <w:pStyle w:val="Pieddepage"/>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757A" w14:textId="7AFC5BCB" w:rsidR="006820EA" w:rsidRPr="00943B00" w:rsidRDefault="006820EA" w:rsidP="00943B00">
    <w:pPr>
      <w:jc w:val="right"/>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59593"/>
      <w:docPartObj>
        <w:docPartGallery w:val="Page Numbers (Bottom of Page)"/>
        <w:docPartUnique/>
      </w:docPartObj>
    </w:sdtPr>
    <w:sdtEndPr/>
    <w:sdtContent>
      <w:p w14:paraId="32466ECD" w14:textId="5CDB7D8E" w:rsidR="006820EA" w:rsidRPr="003F4CF2" w:rsidRDefault="006820EA" w:rsidP="003F4CF2">
        <w:pPr>
          <w:pStyle w:val="Pieddepage"/>
          <w:jc w:val="right"/>
        </w:pPr>
        <w:r>
          <w:fldChar w:fldCharType="begin"/>
        </w:r>
        <w:r>
          <w:instrText>PAGE   \* MERGEFORMAT</w:instrText>
        </w:r>
        <w:r>
          <w:fldChar w:fldCharType="separate"/>
        </w:r>
        <w:r w:rsidR="00DA5C95">
          <w:rPr>
            <w:noProof/>
          </w:rPr>
          <w:t>LI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454032"/>
      <w:docPartObj>
        <w:docPartGallery w:val="Page Numbers (Bottom of Page)"/>
        <w:docPartUnique/>
      </w:docPartObj>
    </w:sdtPr>
    <w:sdtEndPr/>
    <w:sdtContent>
      <w:p w14:paraId="0DAB724D" w14:textId="5AED8EAF" w:rsidR="006820EA" w:rsidRPr="00142CCB" w:rsidRDefault="006820EA" w:rsidP="003F4CF2">
        <w:pPr>
          <w:pStyle w:val="Pieddepage"/>
          <w:jc w:val="right"/>
        </w:pPr>
        <w:r>
          <w:fldChar w:fldCharType="begin"/>
        </w:r>
        <w:r>
          <w:instrText>PAGE   \* MERGEFORMAT</w:instrText>
        </w:r>
        <w:r>
          <w:fldChar w:fldCharType="separate"/>
        </w:r>
        <w:r w:rsidR="006C642C">
          <w:rPr>
            <w:noProof/>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7399" w14:textId="77777777" w:rsidR="00BD0DF0" w:rsidRDefault="00BD0DF0" w:rsidP="007E10D6">
      <w:pPr>
        <w:spacing w:after="0" w:line="240" w:lineRule="auto"/>
      </w:pPr>
      <w:r>
        <w:separator/>
      </w:r>
    </w:p>
  </w:footnote>
  <w:footnote w:type="continuationSeparator" w:id="0">
    <w:p w14:paraId="75D4E18E" w14:textId="77777777" w:rsidR="00BD0DF0" w:rsidRDefault="00BD0DF0" w:rsidP="007E10D6">
      <w:pPr>
        <w:spacing w:after="0" w:line="240" w:lineRule="auto"/>
      </w:pPr>
      <w:r>
        <w:continuationSeparator/>
      </w:r>
    </w:p>
  </w:footnote>
  <w:footnote w:type="continuationNotice" w:id="1">
    <w:p w14:paraId="19E09157" w14:textId="77777777" w:rsidR="00BD0DF0" w:rsidRDefault="00BD0DF0">
      <w:pPr>
        <w:spacing w:after="0" w:line="240" w:lineRule="auto"/>
      </w:pPr>
    </w:p>
  </w:footnote>
  <w:footnote w:id="2">
    <w:p w14:paraId="497BD7B4" w14:textId="77777777" w:rsidR="006820EA" w:rsidRDefault="006820EA" w:rsidP="0021681D">
      <w:pPr>
        <w:pStyle w:val="Notedebasdepage"/>
        <w:spacing w:before="0"/>
      </w:pPr>
      <w:r>
        <w:rPr>
          <w:rStyle w:val="Appelnotedebasdep"/>
        </w:rPr>
        <w:footnoteRef/>
      </w:r>
      <w:r>
        <w:t xml:space="preserve"> </w:t>
      </w:r>
      <w:r w:rsidRPr="00840081">
        <w:rPr>
          <w:sz w:val="16"/>
          <w:szCs w:val="16"/>
        </w:rPr>
        <w:t>3 niveaux de priorité sont considérés : Faible, Moyenne et Haute</w:t>
      </w:r>
    </w:p>
  </w:footnote>
  <w:footnote w:id="3">
    <w:p w14:paraId="59F47822" w14:textId="77777777" w:rsidR="006820EA" w:rsidRPr="00CD12D4" w:rsidRDefault="006820EA" w:rsidP="00057599">
      <w:pPr>
        <w:pStyle w:val="Notedebasdepage"/>
        <w:spacing w:before="0"/>
        <w:jc w:val="left"/>
        <w:rPr>
          <w:sz w:val="18"/>
          <w:szCs w:val="18"/>
        </w:rPr>
      </w:pPr>
      <w:r w:rsidRPr="00CD12D4">
        <w:rPr>
          <w:rStyle w:val="Appelnotedebasdep"/>
          <w:sz w:val="18"/>
          <w:szCs w:val="18"/>
        </w:rPr>
        <w:footnoteRef/>
      </w:r>
      <w:r w:rsidRPr="00CD12D4">
        <w:rPr>
          <w:sz w:val="18"/>
          <w:szCs w:val="18"/>
        </w:rPr>
        <w:t xml:space="preserve"> </w:t>
      </w:r>
      <w:r>
        <w:rPr>
          <w:sz w:val="18"/>
          <w:szCs w:val="18"/>
        </w:rPr>
        <w:t xml:space="preserve">UEMOA, 2020 : </w:t>
      </w:r>
      <w:r w:rsidRPr="004552D6">
        <w:rPr>
          <w:sz w:val="18"/>
          <w:szCs w:val="18"/>
        </w:rPr>
        <w:t>Note de communication des résultats</w:t>
      </w:r>
      <w:r>
        <w:rPr>
          <w:sz w:val="18"/>
          <w:szCs w:val="18"/>
        </w:rPr>
        <w:t xml:space="preserve"> de la première </w:t>
      </w:r>
      <w:r w:rsidRPr="004552D6">
        <w:rPr>
          <w:sz w:val="18"/>
          <w:szCs w:val="18"/>
        </w:rPr>
        <w:t xml:space="preserve">Enquête Harmonisée sur les Conditions de Vie des Ménages </w:t>
      </w:r>
      <w:r>
        <w:rPr>
          <w:sz w:val="18"/>
          <w:szCs w:val="18"/>
        </w:rPr>
        <w:t xml:space="preserve">(EHCVM-UEMOA, 2018-2019), Juillet 2020 </w:t>
      </w:r>
      <w:hyperlink r:id="rId1" w:history="1">
        <w:r w:rsidRPr="00FC4B0C">
          <w:rPr>
            <w:rStyle w:val="Lienhypertexte"/>
            <w:sz w:val="18"/>
            <w:szCs w:val="18"/>
          </w:rPr>
          <w:t>http://www.uemoa.int/sites/default/files/bibliotheque/projet_commucationresultats_ehcvm_juin2020_13072020_obs.pdf</w:t>
        </w:r>
      </w:hyperlink>
      <w:r>
        <w:rPr>
          <w:sz w:val="18"/>
          <w:szCs w:val="18"/>
        </w:rPr>
        <w:t xml:space="preserve"> </w:t>
      </w:r>
    </w:p>
  </w:footnote>
  <w:footnote w:id="4">
    <w:p w14:paraId="65A14909" w14:textId="0D805B66" w:rsidR="00230AD4" w:rsidRDefault="00230AD4" w:rsidP="00042B49">
      <w:pPr>
        <w:pStyle w:val="Notedebasdepage"/>
        <w:jc w:val="left"/>
      </w:pPr>
      <w:r>
        <w:rPr>
          <w:rStyle w:val="Appelnotedebasdep"/>
        </w:rPr>
        <w:footnoteRef/>
      </w:r>
      <w:r w:rsidRPr="00042B49">
        <w:rPr>
          <w:sz w:val="18"/>
          <w:szCs w:val="18"/>
        </w:rPr>
        <w:t>PNUD, 2020</w:t>
      </w:r>
      <w:r>
        <w:rPr>
          <w:sz w:val="18"/>
          <w:szCs w:val="18"/>
        </w:rPr>
        <w:t> : R</w:t>
      </w:r>
      <w:r w:rsidRPr="00042B49">
        <w:rPr>
          <w:sz w:val="18"/>
          <w:szCs w:val="18"/>
        </w:rPr>
        <w:t>apport sur le développement humain 2020 https://hdr.undp.org/sites/default/files/hdr_2020_overview_french_0.pdf</w:t>
      </w:r>
    </w:p>
  </w:footnote>
  <w:footnote w:id="5">
    <w:p w14:paraId="12B1A611" w14:textId="77777777" w:rsidR="006820EA" w:rsidRPr="00CD12D4" w:rsidRDefault="006820EA" w:rsidP="00057599">
      <w:pPr>
        <w:pStyle w:val="Notedebasdepage"/>
        <w:spacing w:before="0"/>
        <w:rPr>
          <w:sz w:val="18"/>
          <w:szCs w:val="18"/>
        </w:rPr>
      </w:pPr>
      <w:r w:rsidRPr="00CD12D4">
        <w:rPr>
          <w:rStyle w:val="Appelnotedebasdep"/>
          <w:sz w:val="18"/>
          <w:szCs w:val="18"/>
        </w:rPr>
        <w:footnoteRef/>
      </w:r>
      <w:r w:rsidRPr="00CD12D4">
        <w:rPr>
          <w:sz w:val="18"/>
          <w:szCs w:val="18"/>
        </w:rPr>
        <w:t xml:space="preserve"> Enquête nationale sur la vulnérabilité à l’insécurité alimentaire des ménages en milieu rural au Niger, Décembre 2017</w:t>
      </w:r>
    </w:p>
  </w:footnote>
  <w:footnote w:id="6">
    <w:p w14:paraId="443C9B5D" w14:textId="77777777" w:rsidR="006820EA" w:rsidRPr="00CD12D4" w:rsidRDefault="006820EA" w:rsidP="00057599">
      <w:pPr>
        <w:pStyle w:val="Notedebasdepage"/>
        <w:spacing w:before="0"/>
        <w:rPr>
          <w:sz w:val="18"/>
          <w:szCs w:val="18"/>
        </w:rPr>
      </w:pPr>
      <w:r w:rsidRPr="00CD12D4">
        <w:rPr>
          <w:rStyle w:val="Appelnotedebasdep"/>
          <w:sz w:val="18"/>
          <w:szCs w:val="18"/>
        </w:rPr>
        <w:footnoteRef/>
      </w:r>
      <w:r w:rsidRPr="00CD12D4">
        <w:rPr>
          <w:sz w:val="18"/>
          <w:szCs w:val="18"/>
        </w:rPr>
        <w:t xml:space="preserve"> Enquête nationale sur la sécurité alimentaire et nutritionnelle (ENSAN MALI), février 2017</w:t>
      </w:r>
    </w:p>
  </w:footnote>
  <w:footnote w:id="7">
    <w:p w14:paraId="642119AC" w14:textId="77777777" w:rsidR="006820EA" w:rsidRPr="00CD12D4" w:rsidRDefault="006820EA" w:rsidP="00057599">
      <w:pPr>
        <w:pStyle w:val="Notedebasdepage"/>
        <w:spacing w:before="0"/>
        <w:rPr>
          <w:sz w:val="18"/>
          <w:szCs w:val="18"/>
          <w:lang w:val="en-US"/>
        </w:rPr>
      </w:pPr>
      <w:r w:rsidRPr="00CD12D4">
        <w:rPr>
          <w:rStyle w:val="Appelnotedebasdep"/>
          <w:sz w:val="18"/>
          <w:szCs w:val="18"/>
        </w:rPr>
        <w:footnoteRef/>
      </w:r>
      <w:r w:rsidRPr="00CD12D4">
        <w:rPr>
          <w:sz w:val="18"/>
          <w:szCs w:val="18"/>
          <w:lang w:val="en-US"/>
        </w:rPr>
        <w:t xml:space="preserve"> Igarapé Institute: Climate change and security in West Africa, February 2021</w:t>
      </w:r>
    </w:p>
  </w:footnote>
  <w:footnote w:id="8">
    <w:p w14:paraId="64E2C1FC" w14:textId="77777777" w:rsidR="006820EA" w:rsidRPr="00E5322E" w:rsidRDefault="006820EA" w:rsidP="00057599">
      <w:pPr>
        <w:pStyle w:val="Notedebasdepage"/>
        <w:spacing w:before="0"/>
        <w:jc w:val="left"/>
        <w:rPr>
          <w:sz w:val="18"/>
          <w:szCs w:val="18"/>
        </w:rPr>
      </w:pPr>
      <w:r w:rsidRPr="00CD12D4">
        <w:rPr>
          <w:rStyle w:val="Appelnotedebasdep"/>
          <w:sz w:val="18"/>
          <w:szCs w:val="18"/>
        </w:rPr>
        <w:footnoteRef/>
      </w:r>
      <w:r w:rsidRPr="00E5322E">
        <w:rPr>
          <w:sz w:val="18"/>
          <w:szCs w:val="18"/>
        </w:rPr>
        <w:t xml:space="preserve">Voir : </w:t>
      </w:r>
      <w:hyperlink r:id="rId2" w:history="1">
        <w:r w:rsidRPr="00B37AC2">
          <w:rPr>
            <w:rStyle w:val="Lienhypertexte"/>
            <w:sz w:val="18"/>
            <w:szCs w:val="18"/>
          </w:rPr>
          <w:t>https://reliefweb.int/sites/reliefweb.int/files/resources/interconnexion_mali-niger_31_decembre_2018.pdf</w:t>
        </w:r>
      </w:hyperlink>
      <w:r>
        <w:rPr>
          <w:sz w:val="18"/>
          <w:szCs w:val="18"/>
        </w:rPr>
        <w:t xml:space="preserve"> et Document de Projet IRF 299-300- Prodoc</w:t>
      </w:r>
    </w:p>
  </w:footnote>
  <w:footnote w:id="9">
    <w:p w14:paraId="6A38CCF7" w14:textId="77777777" w:rsidR="006820EA" w:rsidRDefault="006820EA" w:rsidP="00057599">
      <w:pPr>
        <w:pStyle w:val="Notedebasdepage"/>
        <w:spacing w:before="0"/>
      </w:pPr>
      <w:r w:rsidRPr="003551E4">
        <w:rPr>
          <w:rStyle w:val="Appelnotedebasdep"/>
        </w:rPr>
        <w:footnoteRef/>
      </w:r>
      <w:r w:rsidRPr="007007C9">
        <w:rPr>
          <w:rStyle w:val="Appelnotedebasdep"/>
        </w:rPr>
        <w:t xml:space="preserve"> </w:t>
      </w:r>
      <w:r w:rsidRPr="007007C9">
        <w:rPr>
          <w:sz w:val="18"/>
          <w:szCs w:val="18"/>
        </w:rPr>
        <w:t>Voir Conseil de sécurité Nations Unies, 2013 : Rapport du Secrétaire général des Nations Unies sur la situation dans la région du Sahel</w:t>
      </w:r>
      <w:r>
        <w:rPr>
          <w:sz w:val="18"/>
          <w:szCs w:val="18"/>
        </w:rPr>
        <w:t>, p</w:t>
      </w:r>
      <w:r w:rsidRPr="0026338A">
        <w:rPr>
          <w:sz w:val="18"/>
          <w:szCs w:val="18"/>
        </w:rPr>
        <w:t>our plus de détails sur ces vulnérabilités</w:t>
      </w:r>
      <w:r>
        <w:rPr>
          <w:sz w:val="18"/>
          <w:szCs w:val="18"/>
        </w:rPr>
        <w:t>.</w:t>
      </w:r>
    </w:p>
  </w:footnote>
  <w:footnote w:id="10">
    <w:p w14:paraId="201C1991" w14:textId="77777777" w:rsidR="006820EA" w:rsidRPr="00E5322E" w:rsidRDefault="006820EA" w:rsidP="00057599">
      <w:pPr>
        <w:pStyle w:val="Notedebasdepage"/>
        <w:spacing w:before="0"/>
        <w:rPr>
          <w:sz w:val="18"/>
          <w:szCs w:val="18"/>
        </w:rPr>
      </w:pPr>
      <w:r w:rsidRPr="00E5322E">
        <w:rPr>
          <w:rStyle w:val="Appelnotedebasdep"/>
          <w:sz w:val="18"/>
          <w:szCs w:val="18"/>
        </w:rPr>
        <w:footnoteRef/>
      </w:r>
      <w:r w:rsidRPr="00E5322E">
        <w:rPr>
          <w:sz w:val="18"/>
          <w:szCs w:val="18"/>
        </w:rPr>
        <w:t xml:space="preserve"> PNUD, 2020 : </w:t>
      </w:r>
      <w:hyperlink r:id="rId3" w:history="1">
        <w:r w:rsidRPr="00E5322E">
          <w:rPr>
            <w:rStyle w:val="Lienhypertexte"/>
            <w:sz w:val="18"/>
            <w:szCs w:val="18"/>
          </w:rPr>
          <w:t>http://hdr.undp.org/sites/default/files/2020_statistical_annex_table_5.xlsx</w:t>
        </w:r>
      </w:hyperlink>
      <w:r w:rsidRPr="00E5322E">
        <w:rPr>
          <w:sz w:val="18"/>
          <w:szCs w:val="18"/>
        </w:rPr>
        <w:t xml:space="preserve"> </w:t>
      </w:r>
    </w:p>
  </w:footnote>
  <w:footnote w:id="11">
    <w:p w14:paraId="710D907C" w14:textId="77777777" w:rsidR="006820EA" w:rsidRPr="00E5322E" w:rsidRDefault="006820EA" w:rsidP="00057599">
      <w:pPr>
        <w:pStyle w:val="Notedebasdepage"/>
        <w:spacing w:before="0"/>
        <w:jc w:val="left"/>
        <w:rPr>
          <w:sz w:val="18"/>
          <w:szCs w:val="18"/>
        </w:rPr>
      </w:pPr>
      <w:r w:rsidRPr="00E5322E">
        <w:rPr>
          <w:rStyle w:val="Appelnotedebasdep"/>
          <w:sz w:val="18"/>
          <w:szCs w:val="18"/>
        </w:rPr>
        <w:footnoteRef/>
      </w:r>
      <w:r w:rsidRPr="00E5322E">
        <w:rPr>
          <w:sz w:val="18"/>
          <w:szCs w:val="18"/>
        </w:rPr>
        <w:t xml:space="preserve"> BAD, 2020 : Rapport méthodologique et statistique, https://www.afdb.org/fr/documents/indice-de-legalite-des-genres-en-afrique-2019-rapport-methodologique-et-statistique</w:t>
      </w:r>
    </w:p>
  </w:footnote>
  <w:footnote w:id="12">
    <w:p w14:paraId="306CE9D2" w14:textId="77777777" w:rsidR="006820EA" w:rsidRPr="00E5322E" w:rsidRDefault="006820EA" w:rsidP="00057599">
      <w:pPr>
        <w:pStyle w:val="Notedebasdepage"/>
        <w:spacing w:before="0"/>
        <w:jc w:val="left"/>
        <w:rPr>
          <w:sz w:val="18"/>
          <w:szCs w:val="18"/>
          <w:lang w:val="en-US"/>
        </w:rPr>
      </w:pPr>
      <w:r w:rsidRPr="00E5322E">
        <w:rPr>
          <w:rStyle w:val="Appelnotedebasdep"/>
          <w:sz w:val="18"/>
          <w:szCs w:val="18"/>
        </w:rPr>
        <w:footnoteRef/>
      </w:r>
      <w:r w:rsidRPr="00E5322E">
        <w:rPr>
          <w:sz w:val="18"/>
          <w:szCs w:val="18"/>
          <w:lang w:val="en-US"/>
        </w:rPr>
        <w:t>Union interparlementaire, 2019 :</w:t>
      </w:r>
      <w:r>
        <w:rPr>
          <w:sz w:val="18"/>
          <w:szCs w:val="18"/>
          <w:lang w:val="en-US"/>
        </w:rPr>
        <w:t xml:space="preserve"> </w:t>
      </w:r>
      <w:hyperlink r:id="rId4" w:history="1">
        <w:r w:rsidRPr="00E5322E">
          <w:rPr>
            <w:rStyle w:val="Lienhypertexte"/>
            <w:sz w:val="18"/>
            <w:szCs w:val="18"/>
            <w:lang w:val="en-US"/>
          </w:rPr>
          <w:t>https://data.ipu.org/fr/women</w:t>
        </w:r>
      </w:hyperlink>
      <w:r w:rsidRPr="00E5322E">
        <w:rPr>
          <w:sz w:val="18"/>
          <w:szCs w:val="18"/>
          <w:lang w:val="en-US"/>
        </w:rPr>
        <w:t xml:space="preserve"> ranking?month=1&amp;year=2019</w:t>
      </w:r>
    </w:p>
  </w:footnote>
  <w:footnote w:id="13">
    <w:p w14:paraId="5D52F208" w14:textId="77777777" w:rsidR="006820EA" w:rsidRDefault="006820EA" w:rsidP="00190ADB">
      <w:pPr>
        <w:pStyle w:val="Notedebasdepage"/>
        <w:spacing w:before="0"/>
        <w:jc w:val="left"/>
      </w:pPr>
      <w:r w:rsidRPr="007007C9">
        <w:rPr>
          <w:sz w:val="18"/>
          <w:szCs w:val="18"/>
        </w:rPr>
        <w:footnoteRef/>
      </w:r>
      <w:r w:rsidRPr="007007C9">
        <w:rPr>
          <w:sz w:val="18"/>
          <w:szCs w:val="18"/>
        </w:rPr>
        <w:t xml:space="preserve"> Cluster Protection (Danish Refugee Council, ANTD, UNHCR), Rapport d’analyse mensuelle des donnees du monitoring de protection, Tillabéri, Niger, août 2018</w:t>
      </w:r>
    </w:p>
  </w:footnote>
  <w:footnote w:id="14">
    <w:p w14:paraId="521C0774" w14:textId="77777777" w:rsidR="006820EA" w:rsidRDefault="006820EA" w:rsidP="00190ADB">
      <w:pPr>
        <w:pStyle w:val="Notedebasdepage"/>
        <w:spacing w:before="0"/>
      </w:pPr>
      <w:r w:rsidRPr="007007C9">
        <w:rPr>
          <w:rStyle w:val="Appelnotedebasdep"/>
          <w:sz w:val="18"/>
          <w:szCs w:val="18"/>
        </w:rPr>
        <w:footnoteRef/>
      </w:r>
      <w:r w:rsidRPr="007007C9">
        <w:rPr>
          <w:sz w:val="18"/>
          <w:szCs w:val="18"/>
        </w:rPr>
        <w:t xml:space="preserve"> </w:t>
      </w:r>
      <w:hyperlink r:id="rId5" w:history="1">
        <w:r w:rsidRPr="005741A2">
          <w:rPr>
            <w:rStyle w:val="Lienhypertexte"/>
            <w:sz w:val="18"/>
            <w:szCs w:val="18"/>
          </w:rPr>
          <w:t>https://minusma.unmissions.org/L%E2%80%99impact%20de%20la%20crise%20sur%20les%20Femmes%20Maliennes</w:t>
        </w:r>
      </w:hyperlink>
      <w:r>
        <w:rPr>
          <w:sz w:val="18"/>
          <w:szCs w:val="18"/>
        </w:rPr>
        <w:t xml:space="preserve"> </w:t>
      </w:r>
    </w:p>
  </w:footnote>
  <w:footnote w:id="15">
    <w:p w14:paraId="29965701" w14:textId="54CBB08F" w:rsidR="006820EA" w:rsidRPr="00190ADB" w:rsidRDefault="006820EA" w:rsidP="00190ADB">
      <w:pPr>
        <w:pStyle w:val="Notedebasdepage"/>
        <w:spacing w:before="0"/>
        <w:rPr>
          <w:lang w:val="en-US"/>
        </w:rPr>
      </w:pPr>
      <w:r>
        <w:rPr>
          <w:rStyle w:val="Appelnotedebasdep"/>
        </w:rPr>
        <w:footnoteRef/>
      </w:r>
      <w:r w:rsidRPr="00190ADB">
        <w:rPr>
          <w:lang w:val="en-US"/>
        </w:rPr>
        <w:t xml:space="preserve"> </w:t>
      </w:r>
      <w:r w:rsidRPr="005E0841">
        <w:rPr>
          <w:sz w:val="18"/>
          <w:szCs w:val="18"/>
          <w:lang w:val="en-US"/>
        </w:rPr>
        <w:t>Norrag, 2012, Education in Conflict Emergencies in Light of the post-2015 MDGs and EFA Agendas By Christopher Talbot, 20P</w:t>
      </w:r>
    </w:p>
  </w:footnote>
  <w:footnote w:id="16">
    <w:p w14:paraId="15E2060B" w14:textId="2B79BCFB" w:rsidR="006820EA" w:rsidRDefault="006820EA" w:rsidP="00190ADB">
      <w:pPr>
        <w:pStyle w:val="Notedebasdepage"/>
        <w:spacing w:before="0"/>
      </w:pPr>
      <w:r>
        <w:rPr>
          <w:rStyle w:val="Appelnotedebasdep"/>
        </w:rPr>
        <w:footnoteRef/>
      </w:r>
      <w:r>
        <w:t xml:space="preserve"> </w:t>
      </w:r>
      <w:r w:rsidRPr="00D15F0E">
        <w:rPr>
          <w:sz w:val="18"/>
          <w:szCs w:val="18"/>
        </w:rPr>
        <w:t>International Alert (2020) : DOGMATISME OU PRAGMATISME ? Extrémisme violent et genre au Sahel central</w:t>
      </w:r>
      <w:r>
        <w:rPr>
          <w:sz w:val="18"/>
          <w:szCs w:val="18"/>
        </w:rPr>
        <w:t>, URL :</w:t>
      </w:r>
      <w:r w:rsidRPr="00D15F0E">
        <w:rPr>
          <w:sz w:val="18"/>
          <w:szCs w:val="18"/>
        </w:rPr>
        <w:t xml:space="preserve"> </w:t>
      </w:r>
      <w:hyperlink r:id="rId6" w:history="1">
        <w:r w:rsidRPr="005E0841">
          <w:rPr>
            <w:sz w:val="18"/>
            <w:szCs w:val="18"/>
          </w:rPr>
          <w:t>https://www.international-alert.org/wp-content/uploads/2021/08/Sahel-Violent-Extremism-Gender-FR-2020.pdf</w:t>
        </w:r>
      </w:hyperlink>
      <w:r>
        <w:rPr>
          <w:sz w:val="18"/>
          <w:szCs w:val="18"/>
        </w:rPr>
        <w:t xml:space="preserve"> </w:t>
      </w:r>
    </w:p>
  </w:footnote>
  <w:footnote w:id="17">
    <w:p w14:paraId="1856D239" w14:textId="77777777" w:rsidR="006820EA" w:rsidRPr="00E5322E" w:rsidRDefault="006820EA" w:rsidP="00190ADB">
      <w:pPr>
        <w:pStyle w:val="Notedebasdepage"/>
        <w:spacing w:before="0"/>
        <w:rPr>
          <w:sz w:val="18"/>
          <w:szCs w:val="18"/>
        </w:rPr>
      </w:pPr>
      <w:r w:rsidRPr="00E5322E">
        <w:rPr>
          <w:rStyle w:val="Appelnotedebasdep"/>
          <w:sz w:val="18"/>
          <w:szCs w:val="18"/>
        </w:rPr>
        <w:footnoteRef/>
      </w:r>
      <w:r w:rsidRPr="00E5322E">
        <w:rPr>
          <w:sz w:val="18"/>
          <w:szCs w:val="18"/>
        </w:rPr>
        <w:t xml:space="preserve"> Voir : Document de projet (Prodoc) ; </w:t>
      </w:r>
    </w:p>
    <w:p w14:paraId="55CB8975" w14:textId="77777777" w:rsidR="006820EA" w:rsidRPr="00E5322E" w:rsidRDefault="006820EA" w:rsidP="00190ADB">
      <w:pPr>
        <w:pStyle w:val="Notedebasdepage"/>
        <w:spacing w:before="0"/>
        <w:rPr>
          <w:sz w:val="18"/>
          <w:szCs w:val="18"/>
          <w:lang w:val="en-US"/>
        </w:rPr>
      </w:pPr>
      <w:r w:rsidRPr="00E5322E">
        <w:rPr>
          <w:sz w:val="18"/>
          <w:szCs w:val="18"/>
          <w:lang w:val="en-US"/>
        </w:rPr>
        <w:t>Ursu, A. E., 2018 : Under the gun Resource con</w:t>
      </w:r>
      <w:r w:rsidRPr="00E5322E">
        <w:rPr>
          <w:sz w:val="18"/>
          <w:szCs w:val="18"/>
        </w:rPr>
        <w:t>ﬂ</w:t>
      </w:r>
      <w:r w:rsidRPr="00E5322E">
        <w:rPr>
          <w:sz w:val="18"/>
          <w:szCs w:val="18"/>
          <w:lang w:val="en-US"/>
        </w:rPr>
        <w:t>icts and embattled traditional authorities in Central Mali, CRU Report, Clingendael Netherlands Institute of International Relations</w:t>
      </w:r>
    </w:p>
    <w:p w14:paraId="7C65228B" w14:textId="77777777" w:rsidR="006820EA" w:rsidRPr="00E5322E" w:rsidRDefault="006820EA" w:rsidP="00057599">
      <w:pPr>
        <w:pStyle w:val="Notedebasdepage"/>
        <w:spacing w:before="0"/>
      </w:pPr>
      <w:r w:rsidRPr="00E5322E">
        <w:rPr>
          <w:sz w:val="18"/>
          <w:szCs w:val="18"/>
        </w:rPr>
        <w:t>Autorité du Liptako-Gourma (2019) : Analyse préliminaire des risques, des vulnérabilités et des actifs de résilience dans la région du Liptako-Gourma</w:t>
      </w:r>
    </w:p>
  </w:footnote>
  <w:footnote w:id="18">
    <w:p w14:paraId="44F31A40" w14:textId="16577D3D" w:rsidR="006820EA" w:rsidRPr="00D32BDA" w:rsidRDefault="006820EA">
      <w:pPr>
        <w:pStyle w:val="Notedebasdepage"/>
        <w:rPr>
          <w:rStyle w:val="Lienhypertexte"/>
          <w:sz w:val="18"/>
          <w:szCs w:val="18"/>
          <w:lang w:val="en-US"/>
        </w:rPr>
      </w:pPr>
      <w:r>
        <w:rPr>
          <w:rStyle w:val="Appelnotedebasdep"/>
        </w:rPr>
        <w:footnoteRef/>
      </w:r>
      <w:r w:rsidRPr="00D32BDA">
        <w:rPr>
          <w:lang w:val="en-US"/>
        </w:rPr>
        <w:t xml:space="preserve"> AFRICAJOM Center (2020</w:t>
      </w:r>
      <w:r>
        <w:rPr>
          <w:lang w:val="en-US"/>
        </w:rPr>
        <w:t xml:space="preserve">) : </w:t>
      </w:r>
      <w:r w:rsidRPr="00D32BDA">
        <w:rPr>
          <w:rStyle w:val="Lienhypertexte"/>
          <w:sz w:val="18"/>
          <w:szCs w:val="18"/>
          <w:lang w:val="en-US"/>
        </w:rPr>
        <w:t>http://library.fes.de/pdf-files/bueros/fes-pscc/17368.pdf</w:t>
      </w:r>
    </w:p>
  </w:footnote>
  <w:footnote w:id="19">
    <w:p w14:paraId="4EEB34EB" w14:textId="77777777" w:rsidR="006820EA" w:rsidRDefault="006820EA" w:rsidP="00057599">
      <w:pPr>
        <w:pStyle w:val="Notedebasdepage"/>
        <w:spacing w:before="0"/>
      </w:pPr>
      <w:r w:rsidRPr="00E5322E">
        <w:rPr>
          <w:rStyle w:val="Appelnotedebasdep"/>
          <w:sz w:val="18"/>
          <w:szCs w:val="18"/>
        </w:rPr>
        <w:footnoteRef/>
      </w:r>
      <w:r w:rsidRPr="00E5322E">
        <w:rPr>
          <w:sz w:val="18"/>
          <w:szCs w:val="18"/>
        </w:rPr>
        <w:t xml:space="preserve">CICR, </w:t>
      </w:r>
      <w:hyperlink r:id="rId7" w:history="1">
        <w:r w:rsidRPr="00E5322E">
          <w:rPr>
            <w:rStyle w:val="Lienhypertexte"/>
            <w:sz w:val="18"/>
            <w:szCs w:val="18"/>
          </w:rPr>
          <w:t>https://www.icrc.org/fr/document/mali-niger-changement-climatique-et-conflits-forment-un-cocktail-explosif-au-sahel-0</w:t>
        </w:r>
      </w:hyperlink>
      <w:r w:rsidRPr="00E5322E">
        <w:rPr>
          <w:sz w:val="18"/>
          <w:szCs w:val="18"/>
        </w:rPr>
        <w:t xml:space="preserve"> </w:t>
      </w:r>
    </w:p>
  </w:footnote>
  <w:footnote w:id="20">
    <w:p w14:paraId="0B7B0B57" w14:textId="77777777" w:rsidR="006820EA" w:rsidRPr="000D2261" w:rsidRDefault="006820EA" w:rsidP="0013503D">
      <w:pPr>
        <w:spacing w:before="0" w:after="0" w:line="240" w:lineRule="auto"/>
        <w:rPr>
          <w:sz w:val="18"/>
          <w:szCs w:val="18"/>
        </w:rPr>
      </w:pPr>
      <w:r w:rsidRPr="000D2261">
        <w:rPr>
          <w:sz w:val="18"/>
          <w:szCs w:val="18"/>
        </w:rPr>
        <w:footnoteRef/>
      </w:r>
      <w:r w:rsidRPr="000D2261">
        <w:rPr>
          <w:sz w:val="18"/>
          <w:szCs w:val="18"/>
        </w:rPr>
        <w:t xml:space="preserve"> </w:t>
      </w:r>
      <w:r w:rsidRPr="00A04F99">
        <w:rPr>
          <w:sz w:val="18"/>
          <w:szCs w:val="18"/>
        </w:rPr>
        <w:t>La commune d’Ayerou a été intégrée dans la zone d’intervention à la suite de l’atelier de planification en raison de la particularité qu’elle partage avec les 7 autres communes.</w:t>
      </w:r>
    </w:p>
  </w:footnote>
  <w:footnote w:id="21">
    <w:p w14:paraId="23C5ADD3" w14:textId="77777777" w:rsidR="006820EA" w:rsidRPr="00EA71FB" w:rsidRDefault="006820EA" w:rsidP="00C72EF7">
      <w:pPr>
        <w:pStyle w:val="Notedebasdepage"/>
        <w:spacing w:before="0"/>
        <w:rPr>
          <w:sz w:val="18"/>
          <w:szCs w:val="18"/>
        </w:rPr>
      </w:pPr>
      <w:r w:rsidRPr="00EA71FB">
        <w:rPr>
          <w:rStyle w:val="Appelnotedebasdep"/>
          <w:sz w:val="18"/>
          <w:szCs w:val="18"/>
        </w:rPr>
        <w:footnoteRef/>
      </w:r>
      <w:r w:rsidRPr="00EA71FB">
        <w:rPr>
          <w:sz w:val="18"/>
          <w:szCs w:val="18"/>
        </w:rPr>
        <w:t xml:space="preserve"> Il s’agit des dénominations telles spécifiées dans la composition du gouvernement de mai 2019 (pour le cas du Mali)</w:t>
      </w:r>
    </w:p>
  </w:footnote>
  <w:footnote w:id="22">
    <w:p w14:paraId="71AA37B7" w14:textId="77777777" w:rsidR="006820EA" w:rsidRPr="005E0841" w:rsidRDefault="006820EA" w:rsidP="00C72EF7">
      <w:pPr>
        <w:pStyle w:val="Notedebasdepage"/>
        <w:rPr>
          <w:sz w:val="18"/>
          <w:szCs w:val="18"/>
        </w:rPr>
      </w:pPr>
      <w:r w:rsidRPr="005E0841">
        <w:rPr>
          <w:rStyle w:val="Appelnotedebasdep"/>
          <w:sz w:val="18"/>
          <w:szCs w:val="18"/>
        </w:rPr>
        <w:footnoteRef/>
      </w:r>
      <w:r w:rsidRPr="005E0841">
        <w:rPr>
          <w:sz w:val="18"/>
          <w:szCs w:val="18"/>
        </w:rPr>
        <w:t xml:space="preserve"> </w:t>
      </w:r>
      <w:r w:rsidRPr="00DB4F22">
        <w:rPr>
          <w:sz w:val="18"/>
          <w:szCs w:val="18"/>
        </w:rPr>
        <w:t>Le document de projet ne donne pas de précision sur la tranche d’âge utilisée pour cibler les jeunes. Dans le cadre de l’évaluation, l’équipe projet demande de considérer la tranche d’âge 18-35 ans.</w:t>
      </w:r>
    </w:p>
  </w:footnote>
  <w:footnote w:id="23">
    <w:p w14:paraId="36BC6E64" w14:textId="77777777" w:rsidR="006820EA" w:rsidRPr="000F6C9D" w:rsidRDefault="006820EA" w:rsidP="009362D7">
      <w:pPr>
        <w:pStyle w:val="Notedebasdepage"/>
        <w:spacing w:before="0"/>
        <w:rPr>
          <w:i/>
          <w:iCs/>
          <w:sz w:val="16"/>
          <w:szCs w:val="16"/>
        </w:rPr>
      </w:pPr>
      <w:r w:rsidRPr="00205045">
        <w:rPr>
          <w:rStyle w:val="Appelnotedebasdep"/>
          <w:sz w:val="16"/>
          <w:szCs w:val="16"/>
        </w:rPr>
        <w:footnoteRef/>
      </w:r>
      <w:r w:rsidRPr="00A77CFB">
        <w:rPr>
          <w:sz w:val="16"/>
          <w:szCs w:val="16"/>
          <w:lang w:val="en-US"/>
        </w:rPr>
        <w:t xml:space="preserve"> Voir Chen, H. T. (2012). </w:t>
      </w:r>
      <w:r>
        <w:rPr>
          <w:sz w:val="16"/>
          <w:szCs w:val="16"/>
          <w:lang w:val="en-US"/>
        </w:rPr>
        <w:t>“</w:t>
      </w:r>
      <w:r w:rsidRPr="00C058DD">
        <w:rPr>
          <w:sz w:val="16"/>
          <w:szCs w:val="16"/>
          <w:lang w:val="en-US"/>
        </w:rPr>
        <w:t>Theory-driven evaluation: Conceptual framework, application and advancement</w:t>
      </w:r>
      <w:r>
        <w:rPr>
          <w:sz w:val="16"/>
          <w:szCs w:val="16"/>
          <w:lang w:val="en-US"/>
        </w:rPr>
        <w:t xml:space="preserve">”. </w:t>
      </w:r>
      <w:r w:rsidRPr="000F6C9D">
        <w:rPr>
          <w:i/>
          <w:iCs/>
          <w:sz w:val="16"/>
          <w:szCs w:val="16"/>
        </w:rPr>
        <w:t>Evaluation von Programmen und Projekten für eine demokratische Kultur, DOI 10.1007/978-3-531-19009-9_2</w:t>
      </w:r>
    </w:p>
    <w:p w14:paraId="75E3C0B3" w14:textId="77777777" w:rsidR="006820EA" w:rsidRPr="0025253C" w:rsidRDefault="006820EA" w:rsidP="009362D7">
      <w:pPr>
        <w:pStyle w:val="Notedebasdepage"/>
        <w:spacing w:before="0"/>
      </w:pPr>
      <w:r w:rsidRPr="00C058DD">
        <w:rPr>
          <w:sz w:val="16"/>
          <w:szCs w:val="16"/>
        </w:rPr>
        <w:t xml:space="preserve">Howard White (2009) : “L’évaluation d’impact basée sur la théorie : principes et pratique. </w:t>
      </w:r>
      <w:r w:rsidRPr="0025253C">
        <w:rPr>
          <w:sz w:val="16"/>
          <w:szCs w:val="16"/>
        </w:rPr>
        <w:t>International initiative for impact evaluation (3ie) - WORKING PAPER 3</w:t>
      </w:r>
    </w:p>
  </w:footnote>
  <w:footnote w:id="24">
    <w:p w14:paraId="4DF5F615" w14:textId="5FAB0D6C" w:rsidR="006820EA" w:rsidRPr="005E0841" w:rsidRDefault="006820EA" w:rsidP="005E0841">
      <w:pPr>
        <w:pStyle w:val="Notedebasdepage"/>
        <w:spacing w:before="0"/>
        <w:rPr>
          <w:sz w:val="18"/>
          <w:szCs w:val="18"/>
        </w:rPr>
      </w:pPr>
      <w:r w:rsidRPr="005E0841">
        <w:rPr>
          <w:rStyle w:val="Appelnotedebasdep"/>
          <w:sz w:val="18"/>
          <w:szCs w:val="18"/>
        </w:rPr>
        <w:footnoteRef/>
      </w:r>
      <w:r w:rsidRPr="005E0841">
        <w:rPr>
          <w:sz w:val="18"/>
          <w:szCs w:val="18"/>
        </w:rPr>
        <w:t xml:space="preserve"> </w:t>
      </w:r>
      <w:r>
        <w:rPr>
          <w:sz w:val="18"/>
          <w:szCs w:val="18"/>
        </w:rPr>
        <w:t>CV</w:t>
      </w:r>
      <w:r w:rsidRPr="005E0841">
        <w:rPr>
          <w:sz w:val="18"/>
          <w:szCs w:val="18"/>
        </w:rPr>
        <w:t xml:space="preserve"> des enquêteurs et enquêteurs en annexe 6</w:t>
      </w:r>
    </w:p>
  </w:footnote>
  <w:footnote w:id="25">
    <w:p w14:paraId="7949C92E" w14:textId="7C4D0C81" w:rsidR="009912BF" w:rsidRDefault="009912BF">
      <w:pPr>
        <w:pStyle w:val="Notedebasdepage"/>
      </w:pPr>
      <w:r>
        <w:rPr>
          <w:rStyle w:val="Appelnotedebasdep"/>
        </w:rPr>
        <w:footnoteRef/>
      </w:r>
      <w:r>
        <w:t xml:space="preserve"> </w:t>
      </w:r>
      <w:r w:rsidR="007A180D" w:rsidRPr="00042B49">
        <w:rPr>
          <w:sz w:val="16"/>
          <w:szCs w:val="16"/>
        </w:rPr>
        <w:t xml:space="preserve">A quelques </w:t>
      </w:r>
      <w:r w:rsidRPr="00042B49">
        <w:rPr>
          <w:sz w:val="16"/>
          <w:szCs w:val="16"/>
        </w:rPr>
        <w:t>entrevues individuelles</w:t>
      </w:r>
      <w:r w:rsidR="007A180D" w:rsidRPr="00042B49">
        <w:rPr>
          <w:sz w:val="16"/>
          <w:szCs w:val="16"/>
        </w:rPr>
        <w:t xml:space="preserve"> notamment avec ONU Femmes et certains acteurs étatiques, des collaborateurs de services impliqués dans le projet ont rejoint </w:t>
      </w:r>
      <w:r w:rsidR="00042B49" w:rsidRPr="007A180D">
        <w:rPr>
          <w:sz w:val="16"/>
          <w:szCs w:val="16"/>
        </w:rPr>
        <w:t>l’interview</w:t>
      </w:r>
      <w:r w:rsidR="00042B49">
        <w:rPr>
          <w:sz w:val="16"/>
          <w:szCs w:val="16"/>
        </w:rPr>
        <w:t>er</w:t>
      </w:r>
      <w:r w:rsidR="007A180D" w:rsidRPr="00042B49">
        <w:rPr>
          <w:sz w:val="16"/>
          <w:szCs w:val="16"/>
        </w:rPr>
        <w:t xml:space="preserve"> principal pour répondre aux questions de l’équipe d’évaluation.</w:t>
      </w:r>
      <w:r w:rsidR="007A180D">
        <w:rPr>
          <w:sz w:val="16"/>
          <w:szCs w:val="16"/>
        </w:rPr>
        <w:t xml:space="preserve"> Cela explique pourquoi 78 personnes rencontrées en 71 entrevues individuelles.</w:t>
      </w:r>
      <w:r w:rsidR="007A180D" w:rsidRPr="00042B49">
        <w:rPr>
          <w:sz w:val="16"/>
          <w:szCs w:val="16"/>
        </w:rPr>
        <w:t xml:space="preserve"> </w:t>
      </w:r>
    </w:p>
  </w:footnote>
  <w:footnote w:id="26">
    <w:p w14:paraId="08466E5C" w14:textId="018D81E9" w:rsidR="006820EA" w:rsidRPr="00BE0834" w:rsidRDefault="006820EA" w:rsidP="001A3116">
      <w:pPr>
        <w:pStyle w:val="Notedebasdepage"/>
        <w:rPr>
          <w:sz w:val="18"/>
          <w:szCs w:val="18"/>
        </w:rPr>
      </w:pPr>
      <w:r>
        <w:rPr>
          <w:rStyle w:val="Appelnotedebasdep"/>
        </w:rPr>
        <w:footnoteRef/>
      </w:r>
      <w:r w:rsidRPr="00042B49">
        <w:t xml:space="preserve"> </w:t>
      </w:r>
      <w:hyperlink r:id="rId8" w:tgtFrame="_blank" w:history="1">
        <w:r w:rsidRPr="00042B49">
          <w:rPr>
            <w:sz w:val="18"/>
            <w:szCs w:val="18"/>
          </w:rPr>
          <w:t>Marshall </w:t>
        </w:r>
        <w:r w:rsidRPr="00042B49">
          <w:rPr>
            <w:i/>
            <w:iCs/>
            <w:sz w:val="18"/>
            <w:szCs w:val="18"/>
          </w:rPr>
          <w:t>et al.</w:t>
        </w:r>
        <w:r w:rsidRPr="00042B49">
          <w:rPr>
            <w:sz w:val="18"/>
            <w:szCs w:val="18"/>
          </w:rPr>
          <w:t> </w:t>
        </w:r>
        <w:r w:rsidRPr="0080746A">
          <w:rPr>
            <w:sz w:val="18"/>
            <w:szCs w:val="18"/>
            <w:lang w:val="en-US"/>
          </w:rPr>
          <w:t>(2013)</w:t>
        </w:r>
      </w:hyperlink>
      <w:r w:rsidRPr="0080746A">
        <w:rPr>
          <w:sz w:val="18"/>
          <w:szCs w:val="18"/>
          <w:lang w:val="en-US"/>
        </w:rPr>
        <w:t> :</w:t>
      </w:r>
      <w:r>
        <w:rPr>
          <w:sz w:val="18"/>
          <w:szCs w:val="18"/>
          <w:lang w:val="en-US"/>
        </w:rPr>
        <w:t xml:space="preserve"> </w:t>
      </w:r>
      <w:r w:rsidRPr="0080746A">
        <w:rPr>
          <w:sz w:val="18"/>
          <w:szCs w:val="18"/>
          <w:lang w:val="en-US"/>
        </w:rPr>
        <w:t>Does Sample Size Matter in Qualitative Research?</w:t>
      </w:r>
      <w:r>
        <w:rPr>
          <w:sz w:val="18"/>
          <w:szCs w:val="18"/>
          <w:lang w:val="en-US"/>
        </w:rPr>
        <w:t xml:space="preserve"> </w:t>
      </w:r>
      <w:r w:rsidRPr="0080746A">
        <w:rPr>
          <w:sz w:val="18"/>
          <w:szCs w:val="18"/>
          <w:lang w:val="en-US"/>
        </w:rPr>
        <w:t>A Review of Qualitative Interviews in is Research</w:t>
      </w:r>
      <w:r>
        <w:rPr>
          <w:sz w:val="18"/>
          <w:szCs w:val="18"/>
          <w:lang w:val="en-US"/>
        </w:rPr>
        <w:t xml:space="preserve">? </w:t>
      </w:r>
      <w:r w:rsidRPr="00BE0834">
        <w:rPr>
          <w:sz w:val="18"/>
          <w:szCs w:val="18"/>
        </w:rPr>
        <w:t>DOI: https://doi.org/10.1080/08874417.2013.11645667</w:t>
      </w:r>
    </w:p>
  </w:footnote>
  <w:footnote w:id="27">
    <w:p w14:paraId="59FE1EF8" w14:textId="39B28494" w:rsidR="006820EA" w:rsidRPr="00353F00" w:rsidRDefault="006820EA">
      <w:pPr>
        <w:pStyle w:val="Notedebasdepage"/>
        <w:rPr>
          <w:sz w:val="18"/>
          <w:szCs w:val="18"/>
        </w:rPr>
      </w:pPr>
      <w:r w:rsidRPr="00353F00">
        <w:rPr>
          <w:rStyle w:val="Appelnotedebasdep"/>
          <w:sz w:val="18"/>
          <w:szCs w:val="18"/>
        </w:rPr>
        <w:footnoteRef/>
      </w:r>
      <w:r w:rsidRPr="00353F00">
        <w:rPr>
          <w:sz w:val="18"/>
          <w:szCs w:val="18"/>
        </w:rPr>
        <w:t xml:space="preserve"> </w:t>
      </w:r>
      <w:r>
        <w:rPr>
          <w:sz w:val="18"/>
          <w:szCs w:val="18"/>
        </w:rPr>
        <w:t>L’avis de l’évaluateur était que la base de sondage de l’enquête quantitative soit constituée des communautés de façon générale au regard de la nature des indicateurs d’effets et d’impact à mesurer.</w:t>
      </w:r>
    </w:p>
  </w:footnote>
  <w:footnote w:id="28">
    <w:p w14:paraId="484E251D" w14:textId="3901494F" w:rsidR="006820EA" w:rsidRPr="001C5597" w:rsidRDefault="006820EA" w:rsidP="001C5597">
      <w:pPr>
        <w:spacing w:before="0" w:after="0"/>
        <w:rPr>
          <w:sz w:val="18"/>
          <w:szCs w:val="18"/>
          <w:lang w:val="en-US"/>
        </w:rPr>
      </w:pPr>
      <w:r w:rsidRPr="001C5597">
        <w:rPr>
          <w:sz w:val="18"/>
          <w:szCs w:val="18"/>
        </w:rPr>
        <w:footnoteRef/>
      </w:r>
      <w:r>
        <w:rPr>
          <w:sz w:val="18"/>
          <w:szCs w:val="18"/>
          <w:lang w:val="en-US"/>
        </w:rPr>
        <w:t xml:space="preserve"> </w:t>
      </w:r>
      <w:r w:rsidRPr="001C5597">
        <w:rPr>
          <w:sz w:val="18"/>
          <w:szCs w:val="18"/>
          <w:lang w:val="en-US"/>
        </w:rPr>
        <w:t>Cochran, W. G. (1977</w:t>
      </w:r>
      <w:r w:rsidRPr="001C5597">
        <w:rPr>
          <w:i/>
          <w:sz w:val="18"/>
          <w:szCs w:val="18"/>
          <w:lang w:val="en-US"/>
        </w:rPr>
        <w:t>). Sampling techniques</w:t>
      </w:r>
      <w:r w:rsidRPr="001C5597">
        <w:rPr>
          <w:sz w:val="18"/>
          <w:szCs w:val="18"/>
          <w:lang w:val="en-US"/>
        </w:rPr>
        <w:t>. New York, NY: John Wiley &amp; Sons</w:t>
      </w:r>
    </w:p>
  </w:footnote>
  <w:footnote w:id="29">
    <w:p w14:paraId="29FAE217" w14:textId="16CECB2E" w:rsidR="006820EA" w:rsidRPr="001C5597" w:rsidRDefault="006820EA" w:rsidP="001C5597">
      <w:pPr>
        <w:pStyle w:val="Notedebasdepage"/>
        <w:spacing w:before="0"/>
        <w:rPr>
          <w:sz w:val="18"/>
          <w:szCs w:val="18"/>
        </w:rPr>
      </w:pPr>
      <w:r w:rsidRPr="001C5597">
        <w:rPr>
          <w:rStyle w:val="Appelnotedebasdep"/>
          <w:sz w:val="18"/>
          <w:szCs w:val="18"/>
        </w:rPr>
        <w:footnoteRef/>
      </w:r>
      <w:r w:rsidRPr="001C5597">
        <w:rPr>
          <w:sz w:val="18"/>
          <w:szCs w:val="18"/>
        </w:rPr>
        <w:t xml:space="preserve"> Des échanges avec l’équipe projet, les bénéficiaires (filles ou garçons) du projet sont des personnes dont l’âge est compris entre 18 et 35 ans et les femmes </w:t>
      </w:r>
      <w:r>
        <w:rPr>
          <w:sz w:val="18"/>
          <w:szCs w:val="18"/>
        </w:rPr>
        <w:t xml:space="preserve">bénéficiaires </w:t>
      </w:r>
      <w:r w:rsidRPr="001C5597">
        <w:rPr>
          <w:sz w:val="18"/>
          <w:szCs w:val="18"/>
        </w:rPr>
        <w:t>ont plus de 35 ans.</w:t>
      </w:r>
    </w:p>
  </w:footnote>
  <w:footnote w:id="30">
    <w:p w14:paraId="4D661AA7" w14:textId="77777777" w:rsidR="006820EA" w:rsidRPr="00E5322E" w:rsidRDefault="006820EA" w:rsidP="001A065A">
      <w:pPr>
        <w:pStyle w:val="Notedebasdepage"/>
        <w:spacing w:before="0"/>
        <w:rPr>
          <w:sz w:val="18"/>
          <w:szCs w:val="18"/>
        </w:rPr>
      </w:pPr>
      <w:r w:rsidRPr="00E5322E">
        <w:rPr>
          <w:rStyle w:val="Appelnotedebasdep"/>
          <w:sz w:val="18"/>
          <w:szCs w:val="18"/>
        </w:rPr>
        <w:footnoteRef/>
      </w:r>
      <w:r w:rsidRPr="00E5322E">
        <w:rPr>
          <w:sz w:val="18"/>
          <w:szCs w:val="18"/>
        </w:rPr>
        <w:t xml:space="preserve"> Voir : Document de projet (Prodoc) ; </w:t>
      </w:r>
    </w:p>
    <w:p w14:paraId="611960E4" w14:textId="77777777" w:rsidR="006820EA" w:rsidRPr="00E5322E" w:rsidRDefault="006820EA" w:rsidP="001A065A">
      <w:pPr>
        <w:pStyle w:val="Notedebasdepage"/>
        <w:spacing w:before="0"/>
        <w:rPr>
          <w:sz w:val="18"/>
          <w:szCs w:val="18"/>
          <w:lang w:val="en-US"/>
        </w:rPr>
      </w:pPr>
      <w:r w:rsidRPr="00E5322E">
        <w:rPr>
          <w:sz w:val="18"/>
          <w:szCs w:val="18"/>
          <w:lang w:val="en-US"/>
        </w:rPr>
        <w:t>Ursu, A. E., 2018 : Under the gun Resource con</w:t>
      </w:r>
      <w:r w:rsidRPr="00E5322E">
        <w:rPr>
          <w:sz w:val="18"/>
          <w:szCs w:val="18"/>
        </w:rPr>
        <w:t>ﬂ</w:t>
      </w:r>
      <w:r w:rsidRPr="00E5322E">
        <w:rPr>
          <w:sz w:val="18"/>
          <w:szCs w:val="18"/>
          <w:lang w:val="en-US"/>
        </w:rPr>
        <w:t>icts and embattled traditional authorities in Central Mali, CRU Report, Clingendael Netherlands Institute of International Relations</w:t>
      </w:r>
    </w:p>
    <w:p w14:paraId="25A6FE12" w14:textId="77777777" w:rsidR="006820EA" w:rsidRPr="00E5322E" w:rsidRDefault="006820EA" w:rsidP="001A065A">
      <w:pPr>
        <w:pStyle w:val="Notedebasdepage"/>
        <w:spacing w:before="0"/>
      </w:pPr>
      <w:r w:rsidRPr="00E5322E">
        <w:rPr>
          <w:sz w:val="18"/>
          <w:szCs w:val="18"/>
        </w:rPr>
        <w:t>Autorité du Liptako-Gourma (2019) : Analyse préliminaire des risques, des vulnérabilités et des actifs de résilience dans la région du Liptako-Gourma</w:t>
      </w:r>
    </w:p>
  </w:footnote>
  <w:footnote w:id="31">
    <w:p w14:paraId="73831F54" w14:textId="24812E80" w:rsidR="006820EA" w:rsidRDefault="006820EA" w:rsidP="00E61834">
      <w:pPr>
        <w:pStyle w:val="Notedebasdepage"/>
        <w:spacing w:before="0"/>
        <w:jc w:val="left"/>
      </w:pPr>
      <w:r>
        <w:rPr>
          <w:rStyle w:val="Appelnotedebasdep"/>
        </w:rPr>
        <w:footnoteRef/>
      </w:r>
      <w:r>
        <w:t xml:space="preserve"> </w:t>
      </w:r>
      <w:r w:rsidRPr="00D47E8F">
        <w:rPr>
          <w:sz w:val="16"/>
          <w:szCs w:val="16"/>
        </w:rPr>
        <w:t xml:space="preserve">OIT, 2021. Analyse de la paix et des conflits : Orientations pour la programmation par l’OIT dans des contextes de fragilité et de conflit. </w:t>
      </w:r>
      <w:hyperlink r:id="rId9" w:history="1">
        <w:r w:rsidRPr="00D47E8F">
          <w:rPr>
            <w:rStyle w:val="Lienhypertexte"/>
            <w:sz w:val="16"/>
            <w:szCs w:val="16"/>
          </w:rPr>
          <w:t>https://www.ilo.org/wcmsp5/groups/public/---ed_emp/documents/publication/wcms_778889.pdf</w:t>
        </w:r>
      </w:hyperlink>
      <w:r w:rsidRPr="00D47E8F">
        <w:rPr>
          <w:sz w:val="16"/>
          <w:szCs w:val="16"/>
        </w:rPr>
        <w:t xml:space="preserve"> </w:t>
      </w:r>
    </w:p>
  </w:footnote>
  <w:footnote w:id="32">
    <w:p w14:paraId="52ECB87B" w14:textId="099D59DE" w:rsidR="006820EA" w:rsidRDefault="006820EA">
      <w:pPr>
        <w:pStyle w:val="Notedebasdepage"/>
      </w:pPr>
      <w:r>
        <w:rPr>
          <w:rStyle w:val="Appelnotedebasdep"/>
        </w:rPr>
        <w:footnoteRef/>
      </w:r>
      <w:r>
        <w:t xml:space="preserve"> </w:t>
      </w:r>
      <w:r w:rsidRPr="00A9263F">
        <w:rPr>
          <w:sz w:val="16"/>
          <w:szCs w:val="16"/>
        </w:rPr>
        <w:t>Cf. Compte rendu de la réunion du comité technique tenue le 09 juillet 2019 à GAO</w:t>
      </w:r>
    </w:p>
  </w:footnote>
  <w:footnote w:id="33">
    <w:p w14:paraId="6D4BB832" w14:textId="33430D72" w:rsidR="00603957" w:rsidRPr="00603957" w:rsidRDefault="00D20E19" w:rsidP="00603957">
      <w:pPr>
        <w:pStyle w:val="Notedebasdepage"/>
        <w:spacing w:before="0"/>
        <w:rPr>
          <w:sz w:val="16"/>
          <w:szCs w:val="16"/>
        </w:rPr>
      </w:pPr>
      <w:r>
        <w:rPr>
          <w:rStyle w:val="Appelnotedebasdep"/>
        </w:rPr>
        <w:footnoteRef/>
      </w:r>
      <w:r>
        <w:t xml:space="preserve"> </w:t>
      </w:r>
      <w:r w:rsidRPr="00603957">
        <w:rPr>
          <w:sz w:val="16"/>
          <w:szCs w:val="16"/>
        </w:rPr>
        <w:t>Se référer aux travaux de l’économie des organisations basé</w:t>
      </w:r>
      <w:r w:rsidR="004D36EA">
        <w:rPr>
          <w:sz w:val="16"/>
          <w:szCs w:val="16"/>
        </w:rPr>
        <w:t>e</w:t>
      </w:r>
      <w:r w:rsidRPr="00603957">
        <w:rPr>
          <w:sz w:val="16"/>
          <w:szCs w:val="16"/>
        </w:rPr>
        <w:t xml:space="preserve"> sur la théorie des coûts de transaction de</w:t>
      </w:r>
      <w:r w:rsidR="00603957" w:rsidRPr="00603957">
        <w:rPr>
          <w:sz w:val="16"/>
          <w:szCs w:val="16"/>
        </w:rPr>
        <w:t xml:space="preserve"> : </w:t>
      </w:r>
    </w:p>
    <w:p w14:paraId="5A36881F" w14:textId="7D2C8E72" w:rsidR="00603957" w:rsidRPr="00603957" w:rsidRDefault="00D20E19" w:rsidP="00603957">
      <w:pPr>
        <w:pStyle w:val="Notedebasdepage"/>
        <w:spacing w:before="0"/>
        <w:rPr>
          <w:sz w:val="16"/>
          <w:szCs w:val="16"/>
          <w:lang w:val="en-US"/>
        </w:rPr>
      </w:pPr>
      <w:r w:rsidRPr="00603957">
        <w:rPr>
          <w:sz w:val="16"/>
          <w:szCs w:val="16"/>
          <w:lang w:val="en-US"/>
        </w:rPr>
        <w:t>Williamson</w:t>
      </w:r>
      <w:r w:rsidR="00603957" w:rsidRPr="00603957">
        <w:rPr>
          <w:sz w:val="16"/>
          <w:szCs w:val="16"/>
          <w:lang w:val="en-US"/>
        </w:rPr>
        <w:t>, O.</w:t>
      </w:r>
      <w:r w:rsidRPr="00603957">
        <w:rPr>
          <w:sz w:val="16"/>
          <w:szCs w:val="16"/>
          <w:lang w:val="en-US"/>
        </w:rPr>
        <w:t xml:space="preserve"> (1981)</w:t>
      </w:r>
      <w:r w:rsidR="00603957" w:rsidRPr="00603957">
        <w:rPr>
          <w:sz w:val="16"/>
          <w:szCs w:val="16"/>
          <w:lang w:val="en-US"/>
        </w:rPr>
        <w:t xml:space="preserve"> : The Economics of Organization: The Transaction Cost Approach, </w:t>
      </w:r>
      <w:hyperlink r:id="rId10" w:history="1">
        <w:r w:rsidR="00603957" w:rsidRPr="00603957">
          <w:rPr>
            <w:rStyle w:val="Lienhypertexte"/>
            <w:sz w:val="16"/>
            <w:szCs w:val="16"/>
            <w:lang w:val="en-US"/>
          </w:rPr>
          <w:t>http://www.jstor.org/stable/2778934</w:t>
        </w:r>
      </w:hyperlink>
      <w:r w:rsidR="00603957" w:rsidRPr="00603957">
        <w:rPr>
          <w:sz w:val="16"/>
          <w:szCs w:val="16"/>
          <w:lang w:val="en-US"/>
        </w:rPr>
        <w:t xml:space="preserve"> </w:t>
      </w:r>
    </w:p>
    <w:p w14:paraId="703EC84F" w14:textId="2FF1CF7A" w:rsidR="00603957" w:rsidRPr="00603957" w:rsidRDefault="00603957" w:rsidP="004D36EA">
      <w:pPr>
        <w:pStyle w:val="Notedebasdepage"/>
        <w:spacing w:before="0"/>
        <w:rPr>
          <w:sz w:val="16"/>
          <w:szCs w:val="16"/>
        </w:rPr>
      </w:pPr>
      <w:r w:rsidRPr="00603957">
        <w:rPr>
          <w:sz w:val="16"/>
          <w:szCs w:val="16"/>
        </w:rPr>
        <w:t xml:space="preserve">Déprés et al. (2005) : </w:t>
      </w:r>
      <w:r w:rsidR="004D36EA" w:rsidRPr="004D36EA">
        <w:rPr>
          <w:sz w:val="16"/>
          <w:szCs w:val="16"/>
        </w:rPr>
        <w:t>Fourniture non publique de biens publics : diversité des arrangements</w:t>
      </w:r>
      <w:r w:rsidR="004D36EA">
        <w:rPr>
          <w:sz w:val="16"/>
          <w:szCs w:val="16"/>
        </w:rPr>
        <w:t xml:space="preserve">, </w:t>
      </w:r>
      <w:r w:rsidR="004D36EA" w:rsidRPr="004D36EA">
        <w:rPr>
          <w:sz w:val="16"/>
          <w:szCs w:val="16"/>
        </w:rPr>
        <w:t>https://www2.dijon.inrae.fr/cesaer/wp-content/uploads/2012/11/WP2005_4.pdf</w:t>
      </w:r>
      <w:r w:rsidR="004D36EA">
        <w:rPr>
          <w:sz w:val="16"/>
          <w:szCs w:val="16"/>
        </w:rPr>
        <w:t xml:space="preserve"> </w:t>
      </w:r>
    </w:p>
    <w:p w14:paraId="1684802A" w14:textId="7ED8ABAA" w:rsidR="00D20E19" w:rsidRDefault="00603957" w:rsidP="004D36EA">
      <w:pPr>
        <w:pStyle w:val="Notedebasdepage"/>
        <w:spacing w:before="0"/>
        <w:jc w:val="left"/>
      </w:pPr>
      <w:r w:rsidRPr="00603957">
        <w:rPr>
          <w:sz w:val="16"/>
          <w:szCs w:val="16"/>
        </w:rPr>
        <w:t>Galiègue (2012</w:t>
      </w:r>
      <w:r w:rsidR="004D36EA">
        <w:rPr>
          <w:sz w:val="16"/>
          <w:szCs w:val="16"/>
        </w:rPr>
        <w:t xml:space="preserve"> : </w:t>
      </w:r>
      <w:r w:rsidR="004D36EA" w:rsidRPr="004D36EA">
        <w:rPr>
          <w:sz w:val="16"/>
          <w:szCs w:val="16"/>
        </w:rPr>
        <w:t>L’approche de la firme</w:t>
      </w:r>
      <w:r w:rsidR="004D36EA">
        <w:rPr>
          <w:sz w:val="16"/>
          <w:szCs w:val="16"/>
        </w:rPr>
        <w:t xml:space="preserve"> </w:t>
      </w:r>
      <w:r w:rsidR="004D36EA" w:rsidRPr="004D36EA">
        <w:rPr>
          <w:sz w:val="16"/>
          <w:szCs w:val="16"/>
        </w:rPr>
        <w:t>par les coûts de transaction</w:t>
      </w:r>
      <w:r w:rsidR="004D36EA">
        <w:rPr>
          <w:sz w:val="16"/>
          <w:szCs w:val="16"/>
        </w:rPr>
        <w:t xml:space="preserve"> </w:t>
      </w:r>
      <w:r w:rsidR="004D36EA" w:rsidRPr="004D36EA">
        <w:rPr>
          <w:sz w:val="16"/>
          <w:szCs w:val="16"/>
        </w:rPr>
        <w:t>file:///C:/Users/AMD%20International/Downloads/IDEE_170_0016.pdf</w:t>
      </w:r>
      <w:r w:rsidR="004D36EA">
        <w:rPr>
          <w:sz w:val="16"/>
          <w:szCs w:val="16"/>
        </w:rPr>
        <w:t xml:space="preserve"> </w:t>
      </w:r>
    </w:p>
  </w:footnote>
  <w:footnote w:id="34">
    <w:p w14:paraId="27CA5DC9" w14:textId="77777777" w:rsidR="006820EA" w:rsidRDefault="006820EA" w:rsidP="007934BE">
      <w:pPr>
        <w:pStyle w:val="Notedebasdepage"/>
      </w:pPr>
      <w:r>
        <w:rPr>
          <w:rStyle w:val="Appelnotedebasdep"/>
        </w:rPr>
        <w:footnoteRef/>
      </w:r>
      <w:r>
        <w:t xml:space="preserve"> </w:t>
      </w:r>
      <w:r w:rsidRPr="00743210">
        <w:rPr>
          <w:sz w:val="18"/>
          <w:szCs w:val="18"/>
        </w:rPr>
        <w:t xml:space="preserve">Les données pour les autres ONG ont été demandé mais sont restées sans suite. </w:t>
      </w:r>
    </w:p>
  </w:footnote>
  <w:footnote w:id="35">
    <w:p w14:paraId="08D3C38B" w14:textId="462956E7" w:rsidR="006820EA" w:rsidRDefault="006820EA">
      <w:pPr>
        <w:pStyle w:val="Notedebasdepage"/>
      </w:pPr>
      <w:r>
        <w:rPr>
          <w:rStyle w:val="Appelnotedebasdep"/>
        </w:rPr>
        <w:footnoteRef/>
      </w:r>
      <w:r>
        <w:t xml:space="preserve"> Données enquête quantitative</w:t>
      </w:r>
    </w:p>
  </w:footnote>
  <w:footnote w:id="36">
    <w:p w14:paraId="2D2DBE78" w14:textId="613B0E8D" w:rsidR="006820EA" w:rsidRDefault="006820EA">
      <w:pPr>
        <w:pStyle w:val="Notedebasdepage"/>
      </w:pPr>
      <w:r>
        <w:rPr>
          <w:rStyle w:val="Appelnotedebasdep"/>
        </w:rPr>
        <w:footnoteRef/>
      </w:r>
      <w:r>
        <w:t xml:space="preserve"> CAR.D, 2020 : </w:t>
      </w:r>
      <w:r w:rsidRPr="000646A3">
        <w:rPr>
          <w:sz w:val="18"/>
          <w:szCs w:val="18"/>
        </w:rPr>
        <w:t>Etude de documentation et de partage des actions, expériences et aspirations des femmes dans la zone transfrontalière en matière de consolidation de la paix sur base du projet</w:t>
      </w:r>
      <w:r>
        <w:rPr>
          <w:sz w:val="18"/>
          <w:szCs w:val="18"/>
        </w:rPr>
        <w:t>, Tessit et Ouatagouna</w:t>
      </w:r>
    </w:p>
  </w:footnote>
  <w:footnote w:id="37">
    <w:p w14:paraId="381D46F8" w14:textId="2545B1E9" w:rsidR="006820EA" w:rsidRDefault="006820EA" w:rsidP="00F54931">
      <w:pPr>
        <w:pStyle w:val="Notedebasdepage"/>
        <w:spacing w:before="0"/>
      </w:pPr>
      <w:r>
        <w:rPr>
          <w:rStyle w:val="Appelnotedebasdep"/>
        </w:rPr>
        <w:footnoteRef/>
      </w:r>
      <w:r>
        <w:t xml:space="preserve"> </w:t>
      </w:r>
      <w:r w:rsidRPr="00F54931">
        <w:rPr>
          <w:sz w:val="18"/>
          <w:szCs w:val="18"/>
        </w:rPr>
        <w:t xml:space="preserve">Les représentants des 3 Gouverneurs (Gao, Ménaka et Tillabéry) et 2 représentants des Ministères en charge de la sécurité et de la défense des 2 pays ont été pris en compte dans la composition du comité d’orientation stratégique. </w:t>
      </w:r>
    </w:p>
  </w:footnote>
  <w:footnote w:id="38">
    <w:p w14:paraId="016E77EA" w14:textId="701C3DE4" w:rsidR="006820EA" w:rsidRDefault="006820EA" w:rsidP="00F54931">
      <w:pPr>
        <w:pStyle w:val="Notedebasdepage"/>
        <w:spacing w:before="0"/>
      </w:pPr>
      <w:r>
        <w:rPr>
          <w:rStyle w:val="Appelnotedebasdep"/>
        </w:rPr>
        <w:footnoteRef/>
      </w:r>
      <w:r>
        <w:t xml:space="preserve"> </w:t>
      </w:r>
      <w:r w:rsidRPr="00F54931">
        <w:rPr>
          <w:sz w:val="18"/>
          <w:szCs w:val="18"/>
        </w:rPr>
        <w:t>A travers les deux ateliers de concertation entre les autorités locale</w:t>
      </w:r>
      <w:r>
        <w:rPr>
          <w:sz w:val="18"/>
          <w:szCs w:val="18"/>
        </w:rPr>
        <w:t>s</w:t>
      </w:r>
      <w:r w:rsidRPr="00F54931">
        <w:rPr>
          <w:sz w:val="18"/>
          <w:szCs w:val="18"/>
        </w:rPr>
        <w:t xml:space="preserve"> organisés par le projet, il a été possible de réunir 24 élus locaux, 3 sous-préfets et 37 chefs traditionnels pour discuter des priorités des plans d’action de renforcement des structures étatiques et non-étatiques de prévention et de gestion de conflits.</w:t>
      </w:r>
    </w:p>
  </w:footnote>
  <w:footnote w:id="39">
    <w:p w14:paraId="6DD9238B" w14:textId="77777777" w:rsidR="006820EA" w:rsidRDefault="006820EA" w:rsidP="0040112D">
      <w:pPr>
        <w:pStyle w:val="Notedebasdepage"/>
        <w:spacing w:before="0"/>
      </w:pPr>
      <w:r>
        <w:rPr>
          <w:rStyle w:val="Appelnotedebasdep"/>
        </w:rPr>
        <w:footnoteRef/>
      </w:r>
      <w:r>
        <w:t xml:space="preserve"> </w:t>
      </w:r>
      <w:r w:rsidRPr="00812EB7">
        <w:rPr>
          <w:sz w:val="18"/>
          <w:szCs w:val="18"/>
        </w:rPr>
        <w:t>En considérant le personnel mobilisé par les ONG partenaires comme membres de l’équipe de gestion du projet</w:t>
      </w:r>
      <w:r>
        <w:rPr>
          <w:sz w:val="18"/>
          <w:szCs w:val="18"/>
        </w:rPr>
        <w:t xml:space="preserve">. </w:t>
      </w:r>
    </w:p>
  </w:footnote>
  <w:footnote w:id="40">
    <w:p w14:paraId="62BB4E3A" w14:textId="1D6E5D76" w:rsidR="006820EA" w:rsidRDefault="006820EA" w:rsidP="00D90057">
      <w:pPr>
        <w:pStyle w:val="Notedebasdepage"/>
        <w:spacing w:before="0"/>
      </w:pPr>
      <w:r>
        <w:rPr>
          <w:rStyle w:val="Appelnotedebasdep"/>
        </w:rPr>
        <w:footnoteRef/>
      </w:r>
      <w:r>
        <w:t xml:space="preserve"> </w:t>
      </w:r>
      <w:r w:rsidRPr="00D90057">
        <w:rPr>
          <w:sz w:val="18"/>
          <w:szCs w:val="18"/>
        </w:rPr>
        <w:t xml:space="preserve">Tiré du Rapport narratif trimestriel des activités du Projet transfrontalier </w:t>
      </w:r>
      <w:r>
        <w:rPr>
          <w:sz w:val="18"/>
          <w:szCs w:val="18"/>
        </w:rPr>
        <w:t xml:space="preserve">de l’ONG </w:t>
      </w:r>
      <w:r w:rsidRPr="00D90057">
        <w:rPr>
          <w:sz w:val="18"/>
          <w:szCs w:val="18"/>
        </w:rPr>
        <w:t>CAR.D/ Décembre 2019 à Février 2020</w:t>
      </w:r>
    </w:p>
  </w:footnote>
  <w:footnote w:id="41">
    <w:p w14:paraId="69517B0E" w14:textId="38FD3FD5" w:rsidR="006820EA" w:rsidRDefault="006820EA" w:rsidP="00D90057">
      <w:pPr>
        <w:pStyle w:val="Notedebasdepage"/>
        <w:spacing w:before="0"/>
      </w:pPr>
      <w:r>
        <w:rPr>
          <w:rStyle w:val="Appelnotedebasdep"/>
        </w:rPr>
        <w:footnoteRef/>
      </w:r>
      <w:r>
        <w:t xml:space="preserve"> </w:t>
      </w:r>
      <w:r w:rsidRPr="00F87E99">
        <w:rPr>
          <w:sz w:val="18"/>
          <w:szCs w:val="18"/>
        </w:rPr>
        <w:t xml:space="preserve">Loi n° 2015-052/ du 18 décembre 2015 au Mali et Loi n° 2019 -69 du 24 décembre 2019 au Niger </w:t>
      </w:r>
    </w:p>
  </w:footnote>
  <w:footnote w:id="42">
    <w:p w14:paraId="64C1F6A0" w14:textId="192ED411" w:rsidR="006820EA" w:rsidRPr="005E0841" w:rsidRDefault="006820EA">
      <w:pPr>
        <w:pStyle w:val="Notedebasdepage"/>
        <w:rPr>
          <w:sz w:val="18"/>
          <w:szCs w:val="18"/>
        </w:rPr>
      </w:pPr>
      <w:r w:rsidRPr="005E0841">
        <w:rPr>
          <w:rStyle w:val="Appelnotedebasdep"/>
          <w:sz w:val="18"/>
          <w:szCs w:val="18"/>
        </w:rPr>
        <w:footnoteRef/>
      </w:r>
      <w:r w:rsidRPr="005E0841">
        <w:rPr>
          <w:sz w:val="18"/>
          <w:szCs w:val="18"/>
        </w:rPr>
        <w:t xml:space="preserve"> Le niveau de priorité est fixé suivant l’importance de la recommandation.</w:t>
      </w:r>
    </w:p>
  </w:footnote>
  <w:footnote w:id="43">
    <w:p w14:paraId="29F4B1A9" w14:textId="77777777" w:rsidR="006820EA" w:rsidRDefault="006820EA" w:rsidP="00C816C9">
      <w:pPr>
        <w:pStyle w:val="Notedebasdepage"/>
      </w:pPr>
      <w:r>
        <w:rPr>
          <w:rStyle w:val="Appelnotedebasdep"/>
        </w:rPr>
        <w:footnoteRef/>
      </w:r>
      <w:r>
        <w:t xml:space="preserve"> D</w:t>
      </w:r>
      <w:r w:rsidRPr="00C62F7E">
        <w:rPr>
          <w:rFonts w:ascii="Tahoma" w:hAnsi="Tahoma"/>
          <w:color w:val="000000" w:themeColor="text1"/>
        </w:rPr>
        <w:t>ocument de procédures de décaissement c’est-à-dire un document qui explique les procédures de demande et de décaissement des ressources du PBF. S’il n’existe pas, ces informations</w:t>
      </w:r>
      <w:r w:rsidRPr="00B65C1B">
        <w:rPr>
          <w:rFonts w:ascii="Tahoma" w:hAnsi="Tahoma"/>
          <w:color w:val="000000"/>
        </w:rPr>
        <w:t xml:space="preserve"> seront collectées</w:t>
      </w:r>
      <w:r w:rsidRPr="00C62F7E">
        <w:rPr>
          <w:rFonts w:ascii="Tahoma" w:hAnsi="Tahoma"/>
          <w:color w:val="000000" w:themeColor="text1"/>
        </w:rPr>
        <w:t xml:space="preserve"> à travers les entretiens individuels</w:t>
      </w:r>
    </w:p>
  </w:footnote>
  <w:footnote w:id="44">
    <w:p w14:paraId="757B1136" w14:textId="77777777" w:rsidR="006820EA" w:rsidRDefault="006820EA" w:rsidP="00B05C86">
      <w:pPr>
        <w:pStyle w:val="Notedebasdepage"/>
      </w:pPr>
      <w:r>
        <w:rPr>
          <w:rStyle w:val="Appelnotedebasdep"/>
        </w:rPr>
        <w:footnoteRef/>
      </w:r>
      <w:r>
        <w:t xml:space="preserve"> Il s’agit d’une description de l’approche à faire</w:t>
      </w:r>
    </w:p>
  </w:footnote>
  <w:footnote w:id="45">
    <w:p w14:paraId="0D504E57" w14:textId="77777777" w:rsidR="006820EA" w:rsidRDefault="006820EA" w:rsidP="00B05C86">
      <w:pPr>
        <w:pStyle w:val="Notedebasdepage"/>
      </w:pPr>
      <w:r>
        <w:rPr>
          <w:rStyle w:val="Appelnotedebasdep"/>
        </w:rPr>
        <w:footnoteRef/>
      </w:r>
      <w:r>
        <w:t xml:space="preserve"> Il s’agit d’une description des approches et méthodes adoptées par le projet</w:t>
      </w:r>
    </w:p>
  </w:footnote>
  <w:footnote w:id="46">
    <w:p w14:paraId="76AB0472" w14:textId="77777777" w:rsidR="006820EA" w:rsidRPr="000D1694" w:rsidRDefault="006820EA" w:rsidP="00337E79">
      <w:pPr>
        <w:pStyle w:val="Notedebasdepage"/>
        <w:rPr>
          <w:sz w:val="18"/>
          <w:szCs w:val="18"/>
        </w:rPr>
      </w:pPr>
      <w:r w:rsidRPr="000D1694">
        <w:rPr>
          <w:rStyle w:val="Appelnotedebasdep"/>
          <w:sz w:val="18"/>
          <w:szCs w:val="18"/>
        </w:rPr>
        <w:footnoteRef/>
      </w:r>
      <w:r w:rsidRPr="000D1694">
        <w:rPr>
          <w:sz w:val="18"/>
          <w:szCs w:val="18"/>
        </w:rPr>
        <w:t xml:space="preserve"> Il s’agit de la situation des indicateurs dans le document du projet.</w:t>
      </w:r>
    </w:p>
  </w:footnote>
  <w:footnote w:id="47">
    <w:p w14:paraId="649F57B3" w14:textId="77777777" w:rsidR="006820EA" w:rsidRDefault="006820EA" w:rsidP="00A769F5">
      <w:pPr>
        <w:pStyle w:val="Notedebasdepage"/>
      </w:pPr>
      <w:r>
        <w:rPr>
          <w:rStyle w:val="Appelnotedebasdep"/>
        </w:rPr>
        <w:footnoteRef/>
      </w:r>
      <w:r>
        <w:t xml:space="preserve"> Il s’agit d’une description de l’approche à faire</w:t>
      </w:r>
    </w:p>
  </w:footnote>
  <w:footnote w:id="48">
    <w:p w14:paraId="3A25187E" w14:textId="15CC44F5" w:rsidR="006820EA" w:rsidRPr="00784771" w:rsidRDefault="006820EA">
      <w:pPr>
        <w:pStyle w:val="Notedebasdepage"/>
        <w:rPr>
          <w:sz w:val="16"/>
          <w:szCs w:val="16"/>
        </w:rPr>
      </w:pPr>
      <w:r w:rsidRPr="00784771">
        <w:rPr>
          <w:rStyle w:val="Appelnotedebasdep"/>
          <w:sz w:val="16"/>
          <w:szCs w:val="16"/>
        </w:rPr>
        <w:footnoteRef/>
      </w:r>
      <w:r w:rsidRPr="00784771">
        <w:rPr>
          <w:sz w:val="16"/>
          <w:szCs w:val="16"/>
        </w:rPr>
        <w:t xml:space="preserve"> Sur la base de l’analyse des acteurs par exemple : étatiques = préfets, sous</w:t>
      </w:r>
      <w:r w:rsidRPr="00784771">
        <w:rPr>
          <w:rFonts w:ascii="Cambria Math" w:hAnsi="Cambria Math" w:cs="Cambria Math"/>
          <w:sz w:val="16"/>
          <w:szCs w:val="16"/>
        </w:rPr>
        <w:t>‐</w:t>
      </w:r>
      <w:r w:rsidRPr="00784771">
        <w:rPr>
          <w:sz w:val="16"/>
          <w:szCs w:val="16"/>
        </w:rPr>
        <w:t>pr</w:t>
      </w:r>
      <w:r w:rsidRPr="00784771">
        <w:rPr>
          <w:rFonts w:cs="Century Gothic"/>
          <w:sz w:val="16"/>
          <w:szCs w:val="16"/>
        </w:rPr>
        <w:t>é</w:t>
      </w:r>
      <w:r w:rsidRPr="00784771">
        <w:rPr>
          <w:sz w:val="16"/>
          <w:szCs w:val="16"/>
        </w:rPr>
        <w:t xml:space="preserve">fets, chefs de cantons, </w:t>
      </w:r>
      <w:r w:rsidRPr="00784771">
        <w:rPr>
          <w:rFonts w:cs="Century Gothic"/>
          <w:sz w:val="16"/>
          <w:szCs w:val="16"/>
        </w:rPr>
        <w:t>é</w:t>
      </w:r>
      <w:r w:rsidRPr="00784771">
        <w:rPr>
          <w:sz w:val="16"/>
          <w:szCs w:val="16"/>
        </w:rPr>
        <w:t>lus locaux, maires, gouverneurs, conseils r</w:t>
      </w:r>
      <w:r w:rsidRPr="00784771">
        <w:rPr>
          <w:rFonts w:cs="Century Gothic"/>
          <w:sz w:val="16"/>
          <w:szCs w:val="16"/>
        </w:rPr>
        <w:t>é</w:t>
      </w:r>
      <w:r w:rsidRPr="00784771">
        <w:rPr>
          <w:sz w:val="16"/>
          <w:szCs w:val="16"/>
        </w:rPr>
        <w:t>gionaux, tribunaux, ; non</w:t>
      </w:r>
      <w:r w:rsidRPr="00784771">
        <w:rPr>
          <w:rFonts w:ascii="Cambria Math" w:hAnsi="Cambria Math" w:cs="Cambria Math"/>
          <w:sz w:val="16"/>
          <w:szCs w:val="16"/>
        </w:rPr>
        <w:t>‐</w:t>
      </w:r>
      <w:r w:rsidRPr="00784771">
        <w:rPr>
          <w:rFonts w:cs="Century Gothic"/>
          <w:sz w:val="16"/>
          <w:szCs w:val="16"/>
        </w:rPr>
        <w:t>é</w:t>
      </w:r>
      <w:r w:rsidRPr="00784771">
        <w:rPr>
          <w:sz w:val="16"/>
          <w:szCs w:val="16"/>
        </w:rPr>
        <w:t>tatiques = chefs traditionnels, chefs religieux, leaders communautaires, comités locaux de paix et moniteurs d’alerte précoce, plateforme multi acteurs appuyées par ONU Femmes.</w:t>
      </w:r>
    </w:p>
  </w:footnote>
  <w:footnote w:id="49">
    <w:p w14:paraId="3B6FAB8C" w14:textId="77777777" w:rsidR="006820EA" w:rsidRDefault="006820EA" w:rsidP="00702BC3">
      <w:pPr>
        <w:pStyle w:val="Notedebasdepage"/>
      </w:pPr>
      <w:r>
        <w:rPr>
          <w:rStyle w:val="Appelnotedebasdep"/>
        </w:rPr>
        <w:footnoteRef/>
      </w:r>
      <w:r>
        <w:t xml:space="preserve"> </w:t>
      </w:r>
      <w:r w:rsidRPr="00BD56D0">
        <w:rPr>
          <w:sz w:val="16"/>
          <w:szCs w:val="16"/>
        </w:rPr>
        <w:t xml:space="preserve">Le symbole # désigne l’effectif dans ce tableau et tous autres tableaux de résultats </w:t>
      </w:r>
    </w:p>
  </w:footnote>
  <w:footnote w:id="50">
    <w:p w14:paraId="4614E0D1" w14:textId="495FFDF6" w:rsidR="006820EA" w:rsidRDefault="006820EA" w:rsidP="00702BC3">
      <w:pPr>
        <w:pStyle w:val="Notedebasdepage"/>
        <w:spacing w:before="0"/>
      </w:pPr>
      <w:r>
        <w:rPr>
          <w:rStyle w:val="Appelnotedebasdep"/>
        </w:rPr>
        <w:footnoteRef/>
      </w:r>
      <w:r>
        <w:t xml:space="preserve"> </w:t>
      </w:r>
      <w:r w:rsidRPr="00BD56D0">
        <w:rPr>
          <w:sz w:val="16"/>
          <w:szCs w:val="16"/>
        </w:rPr>
        <w:t>Le symbole % désigne la proportion (part relative)</w:t>
      </w:r>
      <w:r>
        <w:t xml:space="preserve"> </w:t>
      </w:r>
      <w:r w:rsidRPr="00BD56D0">
        <w:rPr>
          <w:sz w:val="16"/>
          <w:szCs w:val="16"/>
        </w:rPr>
        <w:t>dans ce tableau et tous autres tableaux de résultats</w:t>
      </w:r>
      <w:r>
        <w:rPr>
          <w:sz w:val="16"/>
          <w:szCs w:val="16"/>
        </w:rPr>
        <w:t xml:space="preserve">. Etant donnée la nature de l’enquête (sondage) et par souci de simplicité pour le lecteur, les proportions seront présentées en nombre entier, les décimales étant arrondies à l’entier le proche.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616B" w14:textId="77777777" w:rsidR="007277D8" w:rsidRPr="00CC2F40" w:rsidRDefault="007277D8" w:rsidP="007277D8">
    <w:pPr>
      <w:pBdr>
        <w:bottom w:val="single" w:sz="4" w:space="1" w:color="auto"/>
      </w:pBdr>
      <w:spacing w:after="60" w:line="240" w:lineRule="auto"/>
      <w:jc w:val="right"/>
      <w:rPr>
        <w:rFonts w:cs="Times New Roman"/>
        <w:i/>
        <w:sz w:val="18"/>
        <w:szCs w:val="20"/>
      </w:rPr>
    </w:pPr>
    <w:r>
      <w:rPr>
        <w:rFonts w:cs="Times New Roman"/>
        <w:i/>
        <w:sz w:val="18"/>
        <w:szCs w:val="20"/>
      </w:rPr>
      <w:t>P</w:t>
    </w:r>
    <w:r w:rsidRPr="00CC2F40">
      <w:rPr>
        <w:rFonts w:cs="Times New Roman"/>
        <w:i/>
        <w:sz w:val="18"/>
        <w:szCs w:val="20"/>
      </w:rPr>
      <w:t>rojet « Appui aux initiatives transfrontalières de dialogue communautaire avec les acteurs du secteur de la sécurité et de la justice pour la consolidation de la paix au Mali et au Niger »</w:t>
    </w:r>
  </w:p>
  <w:p w14:paraId="1AFB070B" w14:textId="387A0D0E" w:rsidR="006820EA" w:rsidRPr="003D0A3C" w:rsidRDefault="007277D8" w:rsidP="007277D8">
    <w:pPr>
      <w:spacing w:before="0"/>
      <w:jc w:val="right"/>
      <w:rPr>
        <w:rFonts w:cs="Times New Roman"/>
        <w:b/>
        <w:i/>
        <w:sz w:val="20"/>
      </w:rPr>
    </w:pPr>
    <w:r w:rsidRPr="00B01898">
      <w:rPr>
        <w:rFonts w:cs="Times New Roman"/>
        <w:b/>
        <w:i/>
        <w:sz w:val="20"/>
      </w:rPr>
      <w:t xml:space="preserve">Rapport </w:t>
    </w:r>
    <w:r>
      <w:rPr>
        <w:rFonts w:cs="Times New Roman"/>
        <w:b/>
        <w:i/>
        <w:sz w:val="20"/>
      </w:rPr>
      <w:t>final d’évaluation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0A95" w14:textId="77777777" w:rsidR="007277D8" w:rsidRPr="00CC2F40" w:rsidRDefault="007277D8" w:rsidP="007277D8">
    <w:pPr>
      <w:pBdr>
        <w:bottom w:val="single" w:sz="4" w:space="1" w:color="auto"/>
      </w:pBdr>
      <w:spacing w:after="60" w:line="240" w:lineRule="auto"/>
      <w:jc w:val="right"/>
      <w:rPr>
        <w:rFonts w:cs="Times New Roman"/>
        <w:i/>
        <w:sz w:val="18"/>
        <w:szCs w:val="20"/>
      </w:rPr>
    </w:pPr>
    <w:r>
      <w:rPr>
        <w:rFonts w:cs="Times New Roman"/>
        <w:i/>
        <w:sz w:val="18"/>
        <w:szCs w:val="20"/>
      </w:rPr>
      <w:t>P</w:t>
    </w:r>
    <w:r w:rsidRPr="00CC2F40">
      <w:rPr>
        <w:rFonts w:cs="Times New Roman"/>
        <w:i/>
        <w:sz w:val="18"/>
        <w:szCs w:val="20"/>
      </w:rPr>
      <w:t>rojet « Appui aux initiatives transfrontalières de dialogue communautaire avec les acteurs du secteur de la sécurité et de la justice pour la consolidation de la paix au Mali et au Niger »</w:t>
    </w:r>
  </w:p>
  <w:p w14:paraId="767F7A57" w14:textId="543954E2" w:rsidR="006820EA" w:rsidRPr="007277D8" w:rsidRDefault="007277D8" w:rsidP="007277D8">
    <w:pPr>
      <w:spacing w:before="0"/>
      <w:jc w:val="right"/>
      <w:rPr>
        <w:rFonts w:cs="Times New Roman"/>
        <w:b/>
        <w:i/>
        <w:sz w:val="20"/>
      </w:rPr>
    </w:pPr>
    <w:r w:rsidRPr="00B01898">
      <w:rPr>
        <w:rFonts w:cs="Times New Roman"/>
        <w:b/>
        <w:i/>
        <w:sz w:val="20"/>
      </w:rPr>
      <w:t xml:space="preserve">Rapport </w:t>
    </w:r>
    <w:r>
      <w:rPr>
        <w:rFonts w:cs="Times New Roman"/>
        <w:b/>
        <w:i/>
        <w:sz w:val="20"/>
      </w:rPr>
      <w:t>final d’évaluation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D0330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2BF4B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2F3AAF"/>
    <w:multiLevelType w:val="hybridMultilevel"/>
    <w:tmpl w:val="0D5CF29E"/>
    <w:lvl w:ilvl="0" w:tplc="F65A7AD2">
      <w:start w:val="1"/>
      <w:numFmt w:val="bullet"/>
      <w:lvlText w:val=""/>
      <w:lvlJc w:val="left"/>
      <w:pPr>
        <w:ind w:left="360" w:hanging="360"/>
      </w:pPr>
      <w:rPr>
        <w:rFonts w:ascii="Wingdings" w:hAnsi="Wingdings" w:hint="default"/>
        <w:color w:val="0070C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953939"/>
    <w:multiLevelType w:val="hybridMultilevel"/>
    <w:tmpl w:val="E7567D80"/>
    <w:lvl w:ilvl="0" w:tplc="F65A7AD2">
      <w:start w:val="1"/>
      <w:numFmt w:val="bullet"/>
      <w:lvlText w:val=""/>
      <w:lvlJc w:val="left"/>
      <w:pPr>
        <w:ind w:left="1080" w:hanging="360"/>
      </w:pPr>
      <w:rPr>
        <w:rFonts w:ascii="Wingdings" w:hAnsi="Wingdings" w:hint="default"/>
        <w:color w:val="0070C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B3B76"/>
    <w:multiLevelType w:val="hybridMultilevel"/>
    <w:tmpl w:val="AB044D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659D3"/>
    <w:multiLevelType w:val="hybridMultilevel"/>
    <w:tmpl w:val="D7DCCA9C"/>
    <w:lvl w:ilvl="0" w:tplc="040C0007">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FB0CD3"/>
    <w:multiLevelType w:val="hybridMultilevel"/>
    <w:tmpl w:val="65FC12A0"/>
    <w:lvl w:ilvl="0" w:tplc="576C51AA">
      <w:start w:val="1"/>
      <w:numFmt w:val="bullet"/>
      <w:lvlText w:val="-"/>
      <w:lvlJc w:val="left"/>
      <w:pPr>
        <w:ind w:left="1557" w:hanging="360"/>
      </w:pPr>
      <w:rPr>
        <w:rFonts w:ascii="Calibri" w:eastAsiaTheme="minorHAnsi" w:hAnsi="Calibri" w:cs="Calibri" w:hint="default"/>
      </w:rPr>
    </w:lvl>
    <w:lvl w:ilvl="1" w:tplc="040C0003" w:tentative="1">
      <w:start w:val="1"/>
      <w:numFmt w:val="bullet"/>
      <w:lvlText w:val="o"/>
      <w:lvlJc w:val="left"/>
      <w:pPr>
        <w:ind w:left="2277" w:hanging="360"/>
      </w:pPr>
      <w:rPr>
        <w:rFonts w:ascii="Courier New" w:hAnsi="Courier New" w:cs="Courier New" w:hint="default"/>
      </w:rPr>
    </w:lvl>
    <w:lvl w:ilvl="2" w:tplc="040C0005" w:tentative="1">
      <w:start w:val="1"/>
      <w:numFmt w:val="bullet"/>
      <w:lvlText w:val=""/>
      <w:lvlJc w:val="left"/>
      <w:pPr>
        <w:ind w:left="2997" w:hanging="360"/>
      </w:pPr>
      <w:rPr>
        <w:rFonts w:ascii="Wingdings" w:hAnsi="Wingdings" w:hint="default"/>
      </w:rPr>
    </w:lvl>
    <w:lvl w:ilvl="3" w:tplc="040C0001" w:tentative="1">
      <w:start w:val="1"/>
      <w:numFmt w:val="bullet"/>
      <w:lvlText w:val=""/>
      <w:lvlJc w:val="left"/>
      <w:pPr>
        <w:ind w:left="3717" w:hanging="360"/>
      </w:pPr>
      <w:rPr>
        <w:rFonts w:ascii="Symbol" w:hAnsi="Symbol" w:hint="default"/>
      </w:rPr>
    </w:lvl>
    <w:lvl w:ilvl="4" w:tplc="040C0003" w:tentative="1">
      <w:start w:val="1"/>
      <w:numFmt w:val="bullet"/>
      <w:lvlText w:val="o"/>
      <w:lvlJc w:val="left"/>
      <w:pPr>
        <w:ind w:left="4437" w:hanging="360"/>
      </w:pPr>
      <w:rPr>
        <w:rFonts w:ascii="Courier New" w:hAnsi="Courier New" w:cs="Courier New" w:hint="default"/>
      </w:rPr>
    </w:lvl>
    <w:lvl w:ilvl="5" w:tplc="040C0005" w:tentative="1">
      <w:start w:val="1"/>
      <w:numFmt w:val="bullet"/>
      <w:lvlText w:val=""/>
      <w:lvlJc w:val="left"/>
      <w:pPr>
        <w:ind w:left="5157" w:hanging="360"/>
      </w:pPr>
      <w:rPr>
        <w:rFonts w:ascii="Wingdings" w:hAnsi="Wingdings" w:hint="default"/>
      </w:rPr>
    </w:lvl>
    <w:lvl w:ilvl="6" w:tplc="040C0001" w:tentative="1">
      <w:start w:val="1"/>
      <w:numFmt w:val="bullet"/>
      <w:lvlText w:val=""/>
      <w:lvlJc w:val="left"/>
      <w:pPr>
        <w:ind w:left="5877" w:hanging="360"/>
      </w:pPr>
      <w:rPr>
        <w:rFonts w:ascii="Symbol" w:hAnsi="Symbol" w:hint="default"/>
      </w:rPr>
    </w:lvl>
    <w:lvl w:ilvl="7" w:tplc="040C0003" w:tentative="1">
      <w:start w:val="1"/>
      <w:numFmt w:val="bullet"/>
      <w:lvlText w:val="o"/>
      <w:lvlJc w:val="left"/>
      <w:pPr>
        <w:ind w:left="6597" w:hanging="360"/>
      </w:pPr>
      <w:rPr>
        <w:rFonts w:ascii="Courier New" w:hAnsi="Courier New" w:cs="Courier New" w:hint="default"/>
      </w:rPr>
    </w:lvl>
    <w:lvl w:ilvl="8" w:tplc="040C0005" w:tentative="1">
      <w:start w:val="1"/>
      <w:numFmt w:val="bullet"/>
      <w:lvlText w:val=""/>
      <w:lvlJc w:val="left"/>
      <w:pPr>
        <w:ind w:left="7317" w:hanging="360"/>
      </w:pPr>
      <w:rPr>
        <w:rFonts w:ascii="Wingdings" w:hAnsi="Wingdings" w:hint="default"/>
      </w:rPr>
    </w:lvl>
  </w:abstractNum>
  <w:abstractNum w:abstractNumId="7" w15:restartNumberingAfterBreak="0">
    <w:nsid w:val="06BD2597"/>
    <w:multiLevelType w:val="hybridMultilevel"/>
    <w:tmpl w:val="3748348A"/>
    <w:lvl w:ilvl="0" w:tplc="7C5E83B2">
      <w:start w:val="1"/>
      <w:numFmt w:val="lowerRoman"/>
      <w:lvlText w:val="%1)"/>
      <w:lvlJc w:val="left"/>
      <w:pPr>
        <w:ind w:left="1080" w:hanging="720"/>
      </w:pPr>
      <w:rPr>
        <w:rFonts w:hint="default"/>
        <w:b w:val="0"/>
        <w:bCs/>
      </w:rPr>
    </w:lvl>
    <w:lvl w:ilvl="1" w:tplc="A760B72E">
      <w:start w:val="1"/>
      <w:numFmt w:val="lowerRoman"/>
      <w:lvlText w:val="(%2)"/>
      <w:lvlJc w:val="left"/>
      <w:pPr>
        <w:ind w:left="1800" w:hanging="720"/>
      </w:pPr>
      <w:rPr>
        <w:rFonts w:hint="default"/>
      </w:rPr>
    </w:lvl>
    <w:lvl w:ilvl="2" w:tplc="E54897CC">
      <w:start w:val="1"/>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5F5091"/>
    <w:multiLevelType w:val="hybridMultilevel"/>
    <w:tmpl w:val="1F789862"/>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21B6E"/>
    <w:multiLevelType w:val="hybridMultilevel"/>
    <w:tmpl w:val="11809B1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08ED2B15"/>
    <w:multiLevelType w:val="hybridMultilevel"/>
    <w:tmpl w:val="EEEA25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4558F3"/>
    <w:multiLevelType w:val="hybridMultilevel"/>
    <w:tmpl w:val="372C0E98"/>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85B1C"/>
    <w:multiLevelType w:val="hybridMultilevel"/>
    <w:tmpl w:val="46F6AA22"/>
    <w:lvl w:ilvl="0" w:tplc="0646F6F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363826"/>
    <w:multiLevelType w:val="hybridMultilevel"/>
    <w:tmpl w:val="80BC518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 w15:restartNumberingAfterBreak="0">
    <w:nsid w:val="0C153E1F"/>
    <w:multiLevelType w:val="hybridMultilevel"/>
    <w:tmpl w:val="EFDA31B4"/>
    <w:lvl w:ilvl="0" w:tplc="1156774A">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34994"/>
    <w:multiLevelType w:val="multilevel"/>
    <w:tmpl w:val="A97A604E"/>
    <w:lvl w:ilvl="0">
      <w:start w:val="3"/>
      <w:numFmt w:val="decimal"/>
      <w:lvlText w:val="%1."/>
      <w:lvlJc w:val="left"/>
      <w:pPr>
        <w:ind w:left="360" w:hanging="36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CDA3AAE"/>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C87B14"/>
    <w:multiLevelType w:val="hybridMultilevel"/>
    <w:tmpl w:val="172A0C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48603BE"/>
    <w:multiLevelType w:val="hybridMultilevel"/>
    <w:tmpl w:val="ADD2F684"/>
    <w:lvl w:ilvl="0" w:tplc="0E88F98A">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4967725"/>
    <w:multiLevelType w:val="hybridMultilevel"/>
    <w:tmpl w:val="332EF4CA"/>
    <w:lvl w:ilvl="0" w:tplc="40847BA8">
      <w:start w:val="1"/>
      <w:numFmt w:val="bullet"/>
      <w:lvlText w:val=""/>
      <w:lvlJc w:val="left"/>
      <w:pPr>
        <w:ind w:left="720" w:hanging="360"/>
      </w:pPr>
      <w:rPr>
        <w:rFonts w:ascii="Wingdings" w:hAnsi="Wingdings" w:hint="default"/>
        <w:color w:val="0070C0"/>
        <w:sz w:val="20"/>
        <w:u w:color="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82700B"/>
    <w:multiLevelType w:val="hybridMultilevel"/>
    <w:tmpl w:val="089EE224"/>
    <w:lvl w:ilvl="0" w:tplc="1156774A">
      <w:start w:val="1"/>
      <w:numFmt w:val="bullet"/>
      <w:lvlText w:val=""/>
      <w:lvlJc w:val="left"/>
      <w:pPr>
        <w:ind w:left="859" w:hanging="360"/>
      </w:pPr>
      <w:rPr>
        <w:rFonts w:ascii="Symbol" w:hAnsi="Symbol" w:hint="default"/>
        <w:u w:color="000000" w:themeColor="text1"/>
      </w:rPr>
    </w:lvl>
    <w:lvl w:ilvl="1" w:tplc="04090003">
      <w:start w:val="1"/>
      <w:numFmt w:val="bullet"/>
      <w:lvlText w:val="o"/>
      <w:lvlJc w:val="left"/>
      <w:pPr>
        <w:ind w:left="1579" w:hanging="360"/>
      </w:pPr>
      <w:rPr>
        <w:rFonts w:ascii="Courier New" w:hAnsi="Courier New" w:cs="Courier New" w:hint="default"/>
      </w:rPr>
    </w:lvl>
    <w:lvl w:ilvl="2" w:tplc="04090005">
      <w:start w:val="1"/>
      <w:numFmt w:val="bullet"/>
      <w:lvlText w:val=""/>
      <w:lvlJc w:val="left"/>
      <w:pPr>
        <w:ind w:left="2299" w:hanging="360"/>
      </w:pPr>
      <w:rPr>
        <w:rFonts w:ascii="Wingdings" w:hAnsi="Wingdings" w:hint="default"/>
      </w:rPr>
    </w:lvl>
    <w:lvl w:ilvl="3" w:tplc="0409000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1" w15:restartNumberingAfterBreak="0">
    <w:nsid w:val="1A9751ED"/>
    <w:multiLevelType w:val="hybridMultilevel"/>
    <w:tmpl w:val="D188CE4C"/>
    <w:lvl w:ilvl="0" w:tplc="CEF8B828">
      <w:start w:val="1"/>
      <w:numFmt w:val="decimal"/>
      <w:lvlText w:val="%1."/>
      <w:lvlJc w:val="left"/>
      <w:pPr>
        <w:ind w:left="360" w:hanging="360"/>
      </w:pPr>
      <w:rPr>
        <w:rFonts w:ascii="Century Gothic" w:hAnsi="Century Gothic" w:hint="default"/>
        <w:b w:val="0"/>
        <w:strike w:val="0"/>
        <w:color w:val="000000" w:themeColor="text1"/>
        <w:sz w:val="20"/>
        <w:szCs w:val="32"/>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1B012963"/>
    <w:multiLevelType w:val="hybridMultilevel"/>
    <w:tmpl w:val="07B051FA"/>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0D0862"/>
    <w:multiLevelType w:val="multilevel"/>
    <w:tmpl w:val="759662F4"/>
    <w:lvl w:ilvl="0">
      <w:start w:val="1"/>
      <w:numFmt w:val="decimal"/>
      <w:lvlText w:val="%1."/>
      <w:lvlJc w:val="left"/>
      <w:pPr>
        <w:ind w:left="360" w:hanging="360"/>
      </w:pPr>
      <w:rPr>
        <w:rFonts w:hint="default"/>
        <w:b w:val="0"/>
        <w:bCs w:val="0"/>
        <w:sz w:val="22"/>
        <w:szCs w:val="22"/>
      </w:rPr>
    </w:lvl>
    <w:lvl w:ilvl="1">
      <w:start w:val="1"/>
      <w:numFmt w:val="none"/>
      <w:isLgl/>
      <w:lvlText w:val=""/>
      <w:lvlJc w:val="left"/>
      <w:pPr>
        <w:ind w:left="720" w:hanging="720"/>
      </w:pPr>
      <w:rPr>
        <w:rFonts w:hint="default"/>
        <w:color w:val="0070C0"/>
      </w:rPr>
    </w:lvl>
    <w:lvl w:ilvl="2">
      <w:start w:val="1"/>
      <w:numFmt w:val="none"/>
      <w:isLgl/>
      <w:lvlText w:val="1"/>
      <w:lvlJc w:val="left"/>
      <w:pPr>
        <w:ind w:left="720" w:hanging="720"/>
      </w:pPr>
      <w:rPr>
        <w:rFonts w:hint="default"/>
        <w:color w:val="0070C0"/>
      </w:rPr>
    </w:lvl>
    <w:lvl w:ilvl="3">
      <w:start w:val="1"/>
      <w:numFmt w:val="decimal"/>
      <w:isLgl/>
      <w:lvlText w:val="%1.%2.%3.%4."/>
      <w:lvlJc w:val="left"/>
      <w:pPr>
        <w:ind w:left="1080" w:hanging="108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440" w:hanging="144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800" w:hanging="180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24" w15:restartNumberingAfterBreak="0">
    <w:nsid w:val="1B2C2033"/>
    <w:multiLevelType w:val="hybridMultilevel"/>
    <w:tmpl w:val="24FC2CEE"/>
    <w:lvl w:ilvl="0" w:tplc="0534F39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B31303"/>
    <w:multiLevelType w:val="hybridMultilevel"/>
    <w:tmpl w:val="020CFE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297308B"/>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29E32D5"/>
    <w:multiLevelType w:val="hybridMultilevel"/>
    <w:tmpl w:val="AF32BC5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15:restartNumberingAfterBreak="0">
    <w:nsid w:val="233558A4"/>
    <w:multiLevelType w:val="hybridMultilevel"/>
    <w:tmpl w:val="9BD02A3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4A5120C"/>
    <w:multiLevelType w:val="hybridMultilevel"/>
    <w:tmpl w:val="1C5C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D42ADA"/>
    <w:multiLevelType w:val="hybridMultilevel"/>
    <w:tmpl w:val="FC7E2EE0"/>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29BC4C41"/>
    <w:multiLevelType w:val="hybridMultilevel"/>
    <w:tmpl w:val="14381FE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ECF7ED1"/>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20D67C4"/>
    <w:multiLevelType w:val="hybridMultilevel"/>
    <w:tmpl w:val="13D2C61C"/>
    <w:lvl w:ilvl="0" w:tplc="1156774A">
      <w:start w:val="1"/>
      <w:numFmt w:val="bullet"/>
      <w:lvlText w:val=""/>
      <w:lvlJc w:val="left"/>
      <w:pPr>
        <w:ind w:left="783" w:hanging="360"/>
      </w:pPr>
      <w:rPr>
        <w:rFonts w:ascii="Symbol" w:hAnsi="Symbol" w:hint="default"/>
        <w:u w:color="000000" w:themeColor="text1"/>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341B2F73"/>
    <w:multiLevelType w:val="hybridMultilevel"/>
    <w:tmpl w:val="2414554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5" w15:restartNumberingAfterBreak="0">
    <w:nsid w:val="34CB05A2"/>
    <w:multiLevelType w:val="hybridMultilevel"/>
    <w:tmpl w:val="A6188C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4E74BC0"/>
    <w:multiLevelType w:val="multilevel"/>
    <w:tmpl w:val="837A7A60"/>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8A72413"/>
    <w:multiLevelType w:val="hybridMultilevel"/>
    <w:tmpl w:val="8C0C0D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3E127D6C"/>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E9E7383"/>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CC48B4"/>
    <w:multiLevelType w:val="hybridMultilevel"/>
    <w:tmpl w:val="AA506F6C"/>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1" w15:restartNumberingAfterBreak="0">
    <w:nsid w:val="40CA33E2"/>
    <w:multiLevelType w:val="hybridMultilevel"/>
    <w:tmpl w:val="B46E6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4A7B9E"/>
    <w:multiLevelType w:val="hybridMultilevel"/>
    <w:tmpl w:val="B832F4C2"/>
    <w:lvl w:ilvl="0" w:tplc="0409000F">
      <w:start w:val="1"/>
      <w:numFmt w:val="decimal"/>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43CC4C5A">
      <w:start w:val="7"/>
      <w:numFmt w:val="bullet"/>
      <w:lvlText w:val="•"/>
      <w:lvlJc w:val="left"/>
      <w:pPr>
        <w:ind w:left="2870" w:hanging="570"/>
      </w:pPr>
      <w:rPr>
        <w:rFonts w:ascii="Century Gothic" w:eastAsia="Times New Roman" w:hAnsi="Century Gothic" w:cs="Times New Roman" w:hint="default"/>
      </w:r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3" w15:restartNumberingAfterBreak="0">
    <w:nsid w:val="428A6B95"/>
    <w:multiLevelType w:val="hybridMultilevel"/>
    <w:tmpl w:val="F312C2D2"/>
    <w:lvl w:ilvl="0" w:tplc="A38EF356">
      <w:start w:val="1"/>
      <w:numFmt w:val="bullet"/>
      <w:lvlText w:val=""/>
      <w:lvlJc w:val="left"/>
      <w:pPr>
        <w:ind w:left="720" w:hanging="360"/>
      </w:pPr>
      <w:rPr>
        <w:rFonts w:ascii="Symbol" w:hAnsi="Symbol" w:hint="default"/>
      </w:rPr>
    </w:lvl>
    <w:lvl w:ilvl="1" w:tplc="CAC47114">
      <w:start w:val="1"/>
      <w:numFmt w:val="bullet"/>
      <w:lvlText w:val="o"/>
      <w:lvlJc w:val="left"/>
      <w:pPr>
        <w:ind w:left="1440" w:hanging="360"/>
      </w:pPr>
      <w:rPr>
        <w:rFonts w:ascii="Courier New" w:hAnsi="Courier New" w:hint="default"/>
      </w:rPr>
    </w:lvl>
    <w:lvl w:ilvl="2" w:tplc="71961A8A">
      <w:start w:val="1"/>
      <w:numFmt w:val="bullet"/>
      <w:lvlText w:val=""/>
      <w:lvlJc w:val="left"/>
      <w:pPr>
        <w:ind w:left="2160" w:hanging="360"/>
      </w:pPr>
      <w:rPr>
        <w:rFonts w:ascii="Wingdings" w:hAnsi="Wingdings" w:hint="default"/>
      </w:rPr>
    </w:lvl>
    <w:lvl w:ilvl="3" w:tplc="A1828E78">
      <w:start w:val="1"/>
      <w:numFmt w:val="bullet"/>
      <w:lvlText w:val=""/>
      <w:lvlJc w:val="left"/>
      <w:pPr>
        <w:ind w:left="2880" w:hanging="360"/>
      </w:pPr>
      <w:rPr>
        <w:rFonts w:ascii="Symbol" w:hAnsi="Symbol" w:hint="default"/>
      </w:rPr>
    </w:lvl>
    <w:lvl w:ilvl="4" w:tplc="F68045E6">
      <w:start w:val="1"/>
      <w:numFmt w:val="bullet"/>
      <w:lvlText w:val="o"/>
      <w:lvlJc w:val="left"/>
      <w:pPr>
        <w:ind w:left="3600" w:hanging="360"/>
      </w:pPr>
      <w:rPr>
        <w:rFonts w:ascii="Courier New" w:hAnsi="Courier New" w:hint="default"/>
      </w:rPr>
    </w:lvl>
    <w:lvl w:ilvl="5" w:tplc="12C203FA">
      <w:start w:val="1"/>
      <w:numFmt w:val="bullet"/>
      <w:lvlText w:val=""/>
      <w:lvlJc w:val="left"/>
      <w:pPr>
        <w:ind w:left="4320" w:hanging="360"/>
      </w:pPr>
      <w:rPr>
        <w:rFonts w:ascii="Wingdings" w:hAnsi="Wingdings" w:hint="default"/>
      </w:rPr>
    </w:lvl>
    <w:lvl w:ilvl="6" w:tplc="F6B4E3F4">
      <w:start w:val="1"/>
      <w:numFmt w:val="bullet"/>
      <w:lvlText w:val=""/>
      <w:lvlJc w:val="left"/>
      <w:pPr>
        <w:ind w:left="5040" w:hanging="360"/>
      </w:pPr>
      <w:rPr>
        <w:rFonts w:ascii="Symbol" w:hAnsi="Symbol" w:hint="default"/>
      </w:rPr>
    </w:lvl>
    <w:lvl w:ilvl="7" w:tplc="867CE0D2">
      <w:start w:val="1"/>
      <w:numFmt w:val="bullet"/>
      <w:lvlText w:val="o"/>
      <w:lvlJc w:val="left"/>
      <w:pPr>
        <w:ind w:left="5760" w:hanging="360"/>
      </w:pPr>
      <w:rPr>
        <w:rFonts w:ascii="Courier New" w:hAnsi="Courier New" w:hint="default"/>
      </w:rPr>
    </w:lvl>
    <w:lvl w:ilvl="8" w:tplc="5E10041A">
      <w:start w:val="1"/>
      <w:numFmt w:val="bullet"/>
      <w:lvlText w:val=""/>
      <w:lvlJc w:val="left"/>
      <w:pPr>
        <w:ind w:left="6480" w:hanging="360"/>
      </w:pPr>
      <w:rPr>
        <w:rFonts w:ascii="Wingdings" w:hAnsi="Wingdings" w:hint="default"/>
      </w:rPr>
    </w:lvl>
  </w:abstractNum>
  <w:abstractNum w:abstractNumId="44" w15:restartNumberingAfterBreak="0">
    <w:nsid w:val="438E6ADB"/>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5190CCD"/>
    <w:multiLevelType w:val="hybridMultilevel"/>
    <w:tmpl w:val="B2BEA5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6881737"/>
    <w:multiLevelType w:val="hybridMultilevel"/>
    <w:tmpl w:val="14381FE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7E608A6"/>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7E67BA9"/>
    <w:multiLevelType w:val="hybridMultilevel"/>
    <w:tmpl w:val="DB8ABA96"/>
    <w:lvl w:ilvl="0" w:tplc="7E227500">
      <w:start w:val="1"/>
      <w:numFmt w:val="decimal"/>
      <w:lvlText w:val="%1."/>
      <w:lvlJc w:val="left"/>
      <w:pPr>
        <w:ind w:left="360" w:hanging="360"/>
      </w:pPr>
      <w:rPr>
        <w:rFonts w:ascii="Century Gothic" w:hAnsi="Century Gothic" w:hint="default"/>
        <w:b w:val="0"/>
      </w:rPr>
    </w:lvl>
    <w:lvl w:ilvl="1" w:tplc="7C5E83B2">
      <w:start w:val="1"/>
      <w:numFmt w:val="lowerRoman"/>
      <w:lvlText w:val="%2)"/>
      <w:lvlJc w:val="left"/>
      <w:pPr>
        <w:ind w:left="1080" w:hanging="360"/>
      </w:pPr>
      <w:rPr>
        <w:rFonts w:hint="default"/>
        <w:b w:val="0"/>
        <w:bCs/>
      </w:rPr>
    </w:lvl>
    <w:lvl w:ilvl="2" w:tplc="D54AF0CA">
      <w:start w:val="1"/>
      <w:numFmt w:val="lowerRoman"/>
      <w:lvlText w:val="%3."/>
      <w:lvlJc w:val="right"/>
      <w:pPr>
        <w:ind w:left="1800" w:hanging="180"/>
      </w:pPr>
      <w:rPr>
        <w:b/>
        <w:bC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8291F16"/>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84F3237"/>
    <w:multiLevelType w:val="hybridMultilevel"/>
    <w:tmpl w:val="6316C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7B465E"/>
    <w:multiLevelType w:val="hybridMultilevel"/>
    <w:tmpl w:val="E5429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882810"/>
    <w:multiLevelType w:val="hybridMultilevel"/>
    <w:tmpl w:val="69F68E18"/>
    <w:lvl w:ilvl="0" w:tplc="04090007">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B558A6"/>
    <w:multiLevelType w:val="hybridMultilevel"/>
    <w:tmpl w:val="5E4050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A84F46"/>
    <w:multiLevelType w:val="multilevel"/>
    <w:tmpl w:val="0B6A56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5C195A"/>
    <w:multiLevelType w:val="hybridMultilevel"/>
    <w:tmpl w:val="DE726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741BDC"/>
    <w:multiLevelType w:val="hybridMultilevel"/>
    <w:tmpl w:val="0D2A52B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E490AEC"/>
    <w:multiLevelType w:val="hybridMultilevel"/>
    <w:tmpl w:val="619C1F64"/>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8" w15:restartNumberingAfterBreak="0">
    <w:nsid w:val="52C17126"/>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2DD2A96"/>
    <w:multiLevelType w:val="hybridMultilevel"/>
    <w:tmpl w:val="08701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3B62E7C"/>
    <w:multiLevelType w:val="hybridMultilevel"/>
    <w:tmpl w:val="0010CE6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1" w15:restartNumberingAfterBreak="0">
    <w:nsid w:val="559A32C0"/>
    <w:multiLevelType w:val="hybridMultilevel"/>
    <w:tmpl w:val="82D21966"/>
    <w:lvl w:ilvl="0" w:tplc="754428FE">
      <w:numFmt w:val="bullet"/>
      <w:lvlText w:val="-"/>
      <w:lvlJc w:val="left"/>
      <w:pPr>
        <w:ind w:left="500" w:hanging="360"/>
      </w:pPr>
      <w:rPr>
        <w:rFonts w:ascii="Times New Roman" w:eastAsia="Times New Roman" w:hAnsi="Times New Roman" w:cs="Times New Roman" w:hint="default"/>
        <w:w w:val="99"/>
        <w:sz w:val="22"/>
        <w:szCs w:val="22"/>
      </w:rPr>
    </w:lvl>
    <w:lvl w:ilvl="1" w:tplc="2A7AD5DA">
      <w:numFmt w:val="bullet"/>
      <w:lvlText w:val="•"/>
      <w:lvlJc w:val="left"/>
      <w:pPr>
        <w:ind w:left="1543" w:hanging="360"/>
      </w:pPr>
      <w:rPr>
        <w:rFonts w:hint="default"/>
      </w:rPr>
    </w:lvl>
    <w:lvl w:ilvl="2" w:tplc="9236A71C">
      <w:numFmt w:val="bullet"/>
      <w:lvlText w:val="•"/>
      <w:lvlJc w:val="left"/>
      <w:pPr>
        <w:ind w:left="2583" w:hanging="360"/>
      </w:pPr>
      <w:rPr>
        <w:rFonts w:hint="default"/>
      </w:rPr>
    </w:lvl>
    <w:lvl w:ilvl="3" w:tplc="7C74EBC2">
      <w:numFmt w:val="bullet"/>
      <w:lvlText w:val="•"/>
      <w:lvlJc w:val="left"/>
      <w:pPr>
        <w:ind w:left="3623" w:hanging="360"/>
      </w:pPr>
      <w:rPr>
        <w:rFonts w:hint="default"/>
      </w:rPr>
    </w:lvl>
    <w:lvl w:ilvl="4" w:tplc="31FAB290">
      <w:numFmt w:val="bullet"/>
      <w:lvlText w:val="•"/>
      <w:lvlJc w:val="left"/>
      <w:pPr>
        <w:ind w:left="4663" w:hanging="360"/>
      </w:pPr>
      <w:rPr>
        <w:rFonts w:hint="default"/>
      </w:rPr>
    </w:lvl>
    <w:lvl w:ilvl="5" w:tplc="BDD889E4">
      <w:numFmt w:val="bullet"/>
      <w:lvlText w:val="•"/>
      <w:lvlJc w:val="left"/>
      <w:pPr>
        <w:ind w:left="5703" w:hanging="360"/>
      </w:pPr>
      <w:rPr>
        <w:rFonts w:hint="default"/>
      </w:rPr>
    </w:lvl>
    <w:lvl w:ilvl="6" w:tplc="90A22A1A">
      <w:numFmt w:val="bullet"/>
      <w:lvlText w:val="•"/>
      <w:lvlJc w:val="left"/>
      <w:pPr>
        <w:ind w:left="6743" w:hanging="360"/>
      </w:pPr>
      <w:rPr>
        <w:rFonts w:hint="default"/>
      </w:rPr>
    </w:lvl>
    <w:lvl w:ilvl="7" w:tplc="96F4A6E0">
      <w:numFmt w:val="bullet"/>
      <w:lvlText w:val="•"/>
      <w:lvlJc w:val="left"/>
      <w:pPr>
        <w:ind w:left="7783" w:hanging="360"/>
      </w:pPr>
      <w:rPr>
        <w:rFonts w:hint="default"/>
      </w:rPr>
    </w:lvl>
    <w:lvl w:ilvl="8" w:tplc="8228A3A0">
      <w:numFmt w:val="bullet"/>
      <w:lvlText w:val="•"/>
      <w:lvlJc w:val="left"/>
      <w:pPr>
        <w:ind w:left="8823" w:hanging="360"/>
      </w:pPr>
      <w:rPr>
        <w:rFonts w:hint="default"/>
      </w:rPr>
    </w:lvl>
  </w:abstractNum>
  <w:abstractNum w:abstractNumId="62" w15:restartNumberingAfterBreak="0">
    <w:nsid w:val="57BC2138"/>
    <w:multiLevelType w:val="hybridMultilevel"/>
    <w:tmpl w:val="4358E692"/>
    <w:lvl w:ilvl="0" w:tplc="96E2EE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362AEB"/>
    <w:multiLevelType w:val="multilevel"/>
    <w:tmpl w:val="9DAC38C4"/>
    <w:lvl w:ilvl="0">
      <w:start w:val="1"/>
      <w:numFmt w:val="lowerRoman"/>
      <w:lvlText w:val="%1."/>
      <w:lvlJc w:val="right"/>
      <w:pPr>
        <w:ind w:left="360" w:hanging="360"/>
      </w:pPr>
      <w:rPr>
        <w:rFonts w:hint="default"/>
        <w:b w:val="0"/>
        <w:bCs/>
        <w:i w:val="0"/>
        <w:iCs/>
        <w:sz w:val="20"/>
        <w:szCs w:val="18"/>
      </w:rPr>
    </w:lvl>
    <w:lvl w:ilvl="1">
      <w:start w:val="1"/>
      <w:numFmt w:val="none"/>
      <w:lvlText w:val=""/>
      <w:lvlJc w:val="left"/>
      <w:pPr>
        <w:ind w:left="720" w:hanging="720"/>
      </w:pPr>
      <w:rPr>
        <w:rFonts w:hint="default"/>
      </w:rPr>
    </w:lvl>
    <w:lvl w:ilvl="2">
      <w:start w:val="1"/>
      <w:numFmt w:val="none"/>
      <w:lvlText w:val=""/>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99F7647"/>
    <w:multiLevelType w:val="hybridMultilevel"/>
    <w:tmpl w:val="BF06D4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B0804D5"/>
    <w:multiLevelType w:val="hybridMultilevel"/>
    <w:tmpl w:val="2F1EE23E"/>
    <w:lvl w:ilvl="0" w:tplc="1156774A">
      <w:start w:val="1"/>
      <w:numFmt w:val="bullet"/>
      <w:lvlText w:val=""/>
      <w:lvlJc w:val="left"/>
      <w:pPr>
        <w:ind w:left="1020" w:hanging="360"/>
      </w:pPr>
      <w:rPr>
        <w:rFonts w:ascii="Symbol" w:hAnsi="Symbol" w:hint="default"/>
        <w:u w:color="000000" w:themeColor="text1"/>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15:restartNumberingAfterBreak="0">
    <w:nsid w:val="5C1B333A"/>
    <w:multiLevelType w:val="multilevel"/>
    <w:tmpl w:val="4C54B67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3C151E"/>
    <w:multiLevelType w:val="hybridMultilevel"/>
    <w:tmpl w:val="F6EA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5E6049E6"/>
    <w:multiLevelType w:val="hybridMultilevel"/>
    <w:tmpl w:val="831E9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EBE6BE2"/>
    <w:multiLevelType w:val="multilevel"/>
    <w:tmpl w:val="39DC3794"/>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01F4F3C"/>
    <w:multiLevelType w:val="hybridMultilevel"/>
    <w:tmpl w:val="000E7DF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1" w15:restartNumberingAfterBreak="0">
    <w:nsid w:val="60A848DD"/>
    <w:multiLevelType w:val="hybridMultilevel"/>
    <w:tmpl w:val="43849074"/>
    <w:lvl w:ilvl="0" w:tplc="1A883300">
      <w:start w:val="1"/>
      <w:numFmt w:val="decimal"/>
      <w:lvlText w:val="I.%1."/>
      <w:lvlJc w:val="left"/>
      <w:pPr>
        <w:ind w:left="720" w:hanging="720"/>
      </w:pPr>
      <w:rPr>
        <w:rFonts w:hint="default"/>
        <w:b/>
      </w:rPr>
    </w:lvl>
    <w:lvl w:ilvl="1" w:tplc="D0804B00">
      <w:start w:val="1"/>
      <w:numFmt w:val="lowerLetter"/>
      <w:lvlText w:val="%2."/>
      <w:lvlJc w:val="left"/>
      <w:pPr>
        <w:ind w:left="1440" w:hanging="360"/>
      </w:pPr>
    </w:lvl>
    <w:lvl w:ilvl="2" w:tplc="1EAE4DAE">
      <w:start w:val="1"/>
      <w:numFmt w:val="upperRoman"/>
      <w:lvlText w:val="%3."/>
      <w:lvlJc w:val="left"/>
      <w:pPr>
        <w:ind w:left="2700" w:hanging="720"/>
      </w:pPr>
      <w:rPr>
        <w:rFonts w:hint="default"/>
        <w:i w:val="0"/>
        <w:color w:val="0070C0"/>
      </w:rPr>
    </w:lvl>
    <w:lvl w:ilvl="3" w:tplc="94A4C3D4">
      <w:start w:val="5"/>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0CB03F1"/>
    <w:multiLevelType w:val="hybridMultilevel"/>
    <w:tmpl w:val="D7B0361E"/>
    <w:lvl w:ilvl="0" w:tplc="960833CE">
      <w:start w:val="1"/>
      <w:numFmt w:val="decimal"/>
      <w:lvlText w:val="%1."/>
      <w:lvlJc w:val="left"/>
      <w:pPr>
        <w:ind w:left="720" w:hanging="360"/>
      </w:pPr>
      <w:rPr>
        <w:rFonts w:hint="default"/>
        <w:color w:val="00B0F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610077DC"/>
    <w:multiLevelType w:val="hybridMultilevel"/>
    <w:tmpl w:val="090A1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14B540F"/>
    <w:multiLevelType w:val="hybridMultilevel"/>
    <w:tmpl w:val="07F48A20"/>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B3604"/>
    <w:multiLevelType w:val="hybridMultilevel"/>
    <w:tmpl w:val="ED2653F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633B2028"/>
    <w:multiLevelType w:val="hybridMultilevel"/>
    <w:tmpl w:val="D22C9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175E27"/>
    <w:multiLevelType w:val="hybridMultilevel"/>
    <w:tmpl w:val="23283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68F491E"/>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772423D"/>
    <w:multiLevelType w:val="hybridMultilevel"/>
    <w:tmpl w:val="A69E84AA"/>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0" w15:restartNumberingAfterBreak="0">
    <w:nsid w:val="677A7D8A"/>
    <w:multiLevelType w:val="hybridMultilevel"/>
    <w:tmpl w:val="D3BC53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15:restartNumberingAfterBreak="0">
    <w:nsid w:val="69A5204E"/>
    <w:multiLevelType w:val="hybridMultilevel"/>
    <w:tmpl w:val="F1CA6D98"/>
    <w:lvl w:ilvl="0" w:tplc="754428FE">
      <w:numFmt w:val="bullet"/>
      <w:lvlText w:val="-"/>
      <w:lvlJc w:val="left"/>
      <w:pPr>
        <w:ind w:left="859" w:hanging="360"/>
      </w:pPr>
      <w:rPr>
        <w:rFonts w:ascii="Times New Roman" w:eastAsia="Times New Roman" w:hAnsi="Times New Roman" w:cs="Times New Roman" w:hint="default"/>
        <w:w w:val="99"/>
        <w:sz w:val="22"/>
        <w:szCs w:val="22"/>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82" w15:restartNumberingAfterBreak="0">
    <w:nsid w:val="6B451126"/>
    <w:multiLevelType w:val="hybridMultilevel"/>
    <w:tmpl w:val="DFAC8E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6BCD765A"/>
    <w:multiLevelType w:val="hybridMultilevel"/>
    <w:tmpl w:val="727090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2F0DE8"/>
    <w:multiLevelType w:val="hybridMultilevel"/>
    <w:tmpl w:val="76007B80"/>
    <w:lvl w:ilvl="0" w:tplc="53265C68">
      <w:start w:val="1"/>
      <w:numFmt w:val="upperRoman"/>
      <w:lvlText w:val="%1."/>
      <w:lvlJc w:val="left"/>
      <w:pPr>
        <w:ind w:left="424" w:hanging="285"/>
        <w:jc w:val="right"/>
      </w:pPr>
      <w:rPr>
        <w:rFonts w:ascii="Calibri" w:eastAsia="Calibri" w:hAnsi="Calibri" w:cs="Calibri" w:hint="default"/>
        <w:b/>
        <w:bCs/>
        <w:w w:val="99"/>
        <w:sz w:val="22"/>
        <w:szCs w:val="22"/>
      </w:rPr>
    </w:lvl>
    <w:lvl w:ilvl="1" w:tplc="8E12C5A2">
      <w:numFmt w:val="bullet"/>
      <w:lvlText w:val="•"/>
      <w:lvlJc w:val="left"/>
      <w:pPr>
        <w:ind w:left="1342" w:hanging="285"/>
      </w:pPr>
      <w:rPr>
        <w:rFonts w:hint="default"/>
      </w:rPr>
    </w:lvl>
    <w:lvl w:ilvl="2" w:tplc="613A4A28">
      <w:numFmt w:val="bullet"/>
      <w:lvlText w:val="•"/>
      <w:lvlJc w:val="left"/>
      <w:pPr>
        <w:ind w:left="2264" w:hanging="285"/>
      </w:pPr>
      <w:rPr>
        <w:rFonts w:hint="default"/>
      </w:rPr>
    </w:lvl>
    <w:lvl w:ilvl="3" w:tplc="33582AA6">
      <w:numFmt w:val="bullet"/>
      <w:lvlText w:val="•"/>
      <w:lvlJc w:val="left"/>
      <w:pPr>
        <w:ind w:left="3186" w:hanging="285"/>
      </w:pPr>
      <w:rPr>
        <w:rFonts w:hint="default"/>
      </w:rPr>
    </w:lvl>
    <w:lvl w:ilvl="4" w:tplc="A0E285B2">
      <w:numFmt w:val="bullet"/>
      <w:lvlText w:val="•"/>
      <w:lvlJc w:val="left"/>
      <w:pPr>
        <w:ind w:left="4108" w:hanging="285"/>
      </w:pPr>
      <w:rPr>
        <w:rFonts w:hint="default"/>
      </w:rPr>
    </w:lvl>
    <w:lvl w:ilvl="5" w:tplc="9170E71E">
      <w:numFmt w:val="bullet"/>
      <w:lvlText w:val="•"/>
      <w:lvlJc w:val="left"/>
      <w:pPr>
        <w:ind w:left="5030" w:hanging="285"/>
      </w:pPr>
      <w:rPr>
        <w:rFonts w:hint="default"/>
      </w:rPr>
    </w:lvl>
    <w:lvl w:ilvl="6" w:tplc="2D7C7846">
      <w:numFmt w:val="bullet"/>
      <w:lvlText w:val="•"/>
      <w:lvlJc w:val="left"/>
      <w:pPr>
        <w:ind w:left="5952" w:hanging="285"/>
      </w:pPr>
      <w:rPr>
        <w:rFonts w:hint="default"/>
      </w:rPr>
    </w:lvl>
    <w:lvl w:ilvl="7" w:tplc="9410A9D6">
      <w:numFmt w:val="bullet"/>
      <w:lvlText w:val="•"/>
      <w:lvlJc w:val="left"/>
      <w:pPr>
        <w:ind w:left="6874" w:hanging="285"/>
      </w:pPr>
      <w:rPr>
        <w:rFonts w:hint="default"/>
      </w:rPr>
    </w:lvl>
    <w:lvl w:ilvl="8" w:tplc="F484327E">
      <w:numFmt w:val="bullet"/>
      <w:lvlText w:val="•"/>
      <w:lvlJc w:val="left"/>
      <w:pPr>
        <w:ind w:left="7796" w:hanging="285"/>
      </w:pPr>
      <w:rPr>
        <w:rFonts w:hint="default"/>
      </w:rPr>
    </w:lvl>
  </w:abstractNum>
  <w:abstractNum w:abstractNumId="85" w15:restartNumberingAfterBreak="0">
    <w:nsid w:val="6CA71207"/>
    <w:multiLevelType w:val="hybridMultilevel"/>
    <w:tmpl w:val="795A0C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6D9370F7"/>
    <w:multiLevelType w:val="hybridMultilevel"/>
    <w:tmpl w:val="F7D2B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DC74256"/>
    <w:multiLevelType w:val="hybridMultilevel"/>
    <w:tmpl w:val="1D1AE00C"/>
    <w:lvl w:ilvl="0" w:tplc="754428FE">
      <w:numFmt w:val="bullet"/>
      <w:lvlText w:val="-"/>
      <w:lvlJc w:val="left"/>
      <w:pPr>
        <w:ind w:left="720" w:hanging="360"/>
      </w:pPr>
      <w:rPr>
        <w:rFonts w:ascii="Times New Roman" w:eastAsia="Times New Roman" w:hAnsi="Times New Roman" w:cs="Times New Roman"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3167E0"/>
    <w:multiLevelType w:val="hybridMultilevel"/>
    <w:tmpl w:val="B0A2CB64"/>
    <w:lvl w:ilvl="0" w:tplc="04090007">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704730C2"/>
    <w:multiLevelType w:val="hybridMultilevel"/>
    <w:tmpl w:val="5874D3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710F1BA5"/>
    <w:multiLevelType w:val="hybridMultilevel"/>
    <w:tmpl w:val="78061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2881E3F"/>
    <w:multiLevelType w:val="hybridMultilevel"/>
    <w:tmpl w:val="096848CE"/>
    <w:lvl w:ilvl="0" w:tplc="F65A7AD2">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3124AA0"/>
    <w:multiLevelType w:val="hybridMultilevel"/>
    <w:tmpl w:val="3CB8EDB2"/>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694DE0"/>
    <w:multiLevelType w:val="hybridMultilevel"/>
    <w:tmpl w:val="931AD504"/>
    <w:lvl w:ilvl="0" w:tplc="1156774A">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BB22F0"/>
    <w:multiLevelType w:val="hybridMultilevel"/>
    <w:tmpl w:val="F98C2DF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5" w15:restartNumberingAfterBreak="0">
    <w:nsid w:val="74233A4F"/>
    <w:multiLevelType w:val="hybridMultilevel"/>
    <w:tmpl w:val="73E468FE"/>
    <w:lvl w:ilvl="0" w:tplc="040C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1113BA"/>
    <w:multiLevelType w:val="hybridMultilevel"/>
    <w:tmpl w:val="BFC43AC6"/>
    <w:lvl w:ilvl="0" w:tplc="E0EA0D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78D3C5C"/>
    <w:multiLevelType w:val="hybridMultilevel"/>
    <w:tmpl w:val="D02E2FC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81A5C5A"/>
    <w:multiLevelType w:val="hybridMultilevel"/>
    <w:tmpl w:val="6B6695E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9" w15:restartNumberingAfterBreak="0">
    <w:nsid w:val="78954E7A"/>
    <w:multiLevelType w:val="hybridMultilevel"/>
    <w:tmpl w:val="C016871C"/>
    <w:lvl w:ilvl="0" w:tplc="948E7CE4">
      <w:start w:val="1"/>
      <w:numFmt w:val="lowerRoman"/>
      <w:lvlText w:val="%1)"/>
      <w:lvlJc w:val="left"/>
      <w:pPr>
        <w:ind w:left="1145"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93528EF"/>
    <w:multiLevelType w:val="hybridMultilevel"/>
    <w:tmpl w:val="63BCA0B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F1174BF"/>
    <w:multiLevelType w:val="hybridMultilevel"/>
    <w:tmpl w:val="350C8B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53680960">
    <w:abstractNumId w:val="86"/>
  </w:num>
  <w:num w:numId="2" w16cid:durableId="81877698">
    <w:abstractNumId w:val="7"/>
  </w:num>
  <w:num w:numId="3" w16cid:durableId="858932399">
    <w:abstractNumId w:val="55"/>
  </w:num>
  <w:num w:numId="4" w16cid:durableId="2041318295">
    <w:abstractNumId w:val="99"/>
  </w:num>
  <w:num w:numId="5" w16cid:durableId="1014721154">
    <w:abstractNumId w:val="90"/>
  </w:num>
  <w:num w:numId="6" w16cid:durableId="1365792229">
    <w:abstractNumId w:val="19"/>
  </w:num>
  <w:num w:numId="7" w16cid:durableId="1387143880">
    <w:abstractNumId w:val="6"/>
  </w:num>
  <w:num w:numId="8" w16cid:durableId="2139881726">
    <w:abstractNumId w:val="92"/>
  </w:num>
  <w:num w:numId="9" w16cid:durableId="679312186">
    <w:abstractNumId w:val="24"/>
  </w:num>
  <w:num w:numId="10" w16cid:durableId="1187523170">
    <w:abstractNumId w:val="33"/>
  </w:num>
  <w:num w:numId="11" w16cid:durableId="1843081463">
    <w:abstractNumId w:val="65"/>
  </w:num>
  <w:num w:numId="12" w16cid:durableId="138574243">
    <w:abstractNumId w:val="0"/>
  </w:num>
  <w:num w:numId="13" w16cid:durableId="1246722206">
    <w:abstractNumId w:val="32"/>
  </w:num>
  <w:num w:numId="14" w16cid:durableId="1230384911">
    <w:abstractNumId w:val="58"/>
  </w:num>
  <w:num w:numId="15" w16cid:durableId="2103452579">
    <w:abstractNumId w:val="18"/>
  </w:num>
  <w:num w:numId="16" w16cid:durableId="236862008">
    <w:abstractNumId w:val="39"/>
  </w:num>
  <w:num w:numId="17" w16cid:durableId="668748860">
    <w:abstractNumId w:val="49"/>
  </w:num>
  <w:num w:numId="18" w16cid:durableId="1790852983">
    <w:abstractNumId w:val="95"/>
  </w:num>
  <w:num w:numId="19" w16cid:durableId="1647011023">
    <w:abstractNumId w:val="44"/>
  </w:num>
  <w:num w:numId="20" w16cid:durableId="1283196449">
    <w:abstractNumId w:val="62"/>
  </w:num>
  <w:num w:numId="21" w16cid:durableId="1104153877">
    <w:abstractNumId w:val="31"/>
  </w:num>
  <w:num w:numId="22" w16cid:durableId="322124500">
    <w:abstractNumId w:val="37"/>
  </w:num>
  <w:num w:numId="23" w16cid:durableId="1422987675">
    <w:abstractNumId w:val="23"/>
  </w:num>
  <w:num w:numId="24" w16cid:durableId="240680427">
    <w:abstractNumId w:val="30"/>
  </w:num>
  <w:num w:numId="25" w16cid:durableId="681200781">
    <w:abstractNumId w:val="78"/>
  </w:num>
  <w:num w:numId="26" w16cid:durableId="285738379">
    <w:abstractNumId w:val="84"/>
  </w:num>
  <w:num w:numId="27" w16cid:durableId="1906523972">
    <w:abstractNumId w:val="61"/>
  </w:num>
  <w:num w:numId="28" w16cid:durableId="733352424">
    <w:abstractNumId w:val="42"/>
  </w:num>
  <w:num w:numId="29" w16cid:durableId="363822551">
    <w:abstractNumId w:val="81"/>
  </w:num>
  <w:num w:numId="30" w16cid:durableId="1021011140">
    <w:abstractNumId w:val="87"/>
  </w:num>
  <w:num w:numId="31" w16cid:durableId="1412850760">
    <w:abstractNumId w:val="20"/>
  </w:num>
  <w:num w:numId="32" w16cid:durableId="194076660">
    <w:abstractNumId w:val="26"/>
  </w:num>
  <w:num w:numId="33" w16cid:durableId="109057568">
    <w:abstractNumId w:val="16"/>
  </w:num>
  <w:num w:numId="34" w16cid:durableId="853691245">
    <w:abstractNumId w:val="77"/>
  </w:num>
  <w:num w:numId="35" w16cid:durableId="1543783640">
    <w:abstractNumId w:val="68"/>
  </w:num>
  <w:num w:numId="36" w16cid:durableId="771049475">
    <w:abstractNumId w:val="80"/>
  </w:num>
  <w:num w:numId="37" w16cid:durableId="183639919">
    <w:abstractNumId w:val="52"/>
  </w:num>
  <w:num w:numId="38" w16cid:durableId="7415549">
    <w:abstractNumId w:val="1"/>
  </w:num>
  <w:num w:numId="39" w16cid:durableId="407962748">
    <w:abstractNumId w:val="5"/>
  </w:num>
  <w:num w:numId="40" w16cid:durableId="1927154253">
    <w:abstractNumId w:val="10"/>
  </w:num>
  <w:num w:numId="41" w16cid:durableId="1031564481">
    <w:abstractNumId w:val="56"/>
  </w:num>
  <w:num w:numId="42" w16cid:durableId="1204249577">
    <w:abstractNumId w:val="93"/>
  </w:num>
  <w:num w:numId="43" w16cid:durableId="952706743">
    <w:abstractNumId w:val="14"/>
  </w:num>
  <w:num w:numId="44" w16cid:durableId="152057850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7630026">
    <w:abstractNumId w:val="13"/>
  </w:num>
  <w:num w:numId="46" w16cid:durableId="105660532">
    <w:abstractNumId w:val="98"/>
  </w:num>
  <w:num w:numId="47" w16cid:durableId="414670147">
    <w:abstractNumId w:val="9"/>
  </w:num>
  <w:num w:numId="48" w16cid:durableId="1518813286">
    <w:abstractNumId w:val="75"/>
  </w:num>
  <w:num w:numId="49" w16cid:durableId="1782991338">
    <w:abstractNumId w:val="60"/>
  </w:num>
  <w:num w:numId="50" w16cid:durableId="1786341845">
    <w:abstractNumId w:val="94"/>
  </w:num>
  <w:num w:numId="51" w16cid:durableId="815032065">
    <w:abstractNumId w:val="34"/>
  </w:num>
  <w:num w:numId="52" w16cid:durableId="996999476">
    <w:abstractNumId w:val="57"/>
  </w:num>
  <w:num w:numId="53" w16cid:durableId="740177528">
    <w:abstractNumId w:val="27"/>
  </w:num>
  <w:num w:numId="54" w16cid:durableId="1514804805">
    <w:abstractNumId w:val="70"/>
  </w:num>
  <w:num w:numId="55" w16cid:durableId="1584683132">
    <w:abstractNumId w:val="85"/>
  </w:num>
  <w:num w:numId="56" w16cid:durableId="161090901">
    <w:abstractNumId w:val="25"/>
  </w:num>
  <w:num w:numId="57" w16cid:durableId="2045013773">
    <w:abstractNumId w:val="89"/>
  </w:num>
  <w:num w:numId="58" w16cid:durableId="976493309">
    <w:abstractNumId w:val="67"/>
  </w:num>
  <w:num w:numId="59" w16cid:durableId="1308313824">
    <w:abstractNumId w:val="101"/>
  </w:num>
  <w:num w:numId="60" w16cid:durableId="642807257">
    <w:abstractNumId w:val="40"/>
  </w:num>
  <w:num w:numId="61" w16cid:durableId="1428036835">
    <w:abstractNumId w:val="41"/>
  </w:num>
  <w:num w:numId="62" w16cid:durableId="1230074488">
    <w:abstractNumId w:val="4"/>
  </w:num>
  <w:num w:numId="63" w16cid:durableId="29494314">
    <w:abstractNumId w:val="59"/>
  </w:num>
  <w:num w:numId="64" w16cid:durableId="282663589">
    <w:abstractNumId w:val="88"/>
  </w:num>
  <w:num w:numId="65" w16cid:durableId="1865557083">
    <w:abstractNumId w:val="91"/>
  </w:num>
  <w:num w:numId="66" w16cid:durableId="299845048">
    <w:abstractNumId w:val="79"/>
  </w:num>
  <w:num w:numId="67" w16cid:durableId="1657762114">
    <w:abstractNumId w:val="28"/>
  </w:num>
  <w:num w:numId="68" w16cid:durableId="1490632004">
    <w:abstractNumId w:val="73"/>
  </w:num>
  <w:num w:numId="69" w16cid:durableId="852691447">
    <w:abstractNumId w:val="97"/>
  </w:num>
  <w:num w:numId="70" w16cid:durableId="1298294206">
    <w:abstractNumId w:val="35"/>
  </w:num>
  <w:num w:numId="71" w16cid:durableId="187715665">
    <w:abstractNumId w:val="71"/>
  </w:num>
  <w:num w:numId="72" w16cid:durableId="568685587">
    <w:abstractNumId w:val="47"/>
  </w:num>
  <w:num w:numId="73" w16cid:durableId="1545557924">
    <w:abstractNumId w:val="38"/>
  </w:num>
  <w:num w:numId="74" w16cid:durableId="337077341">
    <w:abstractNumId w:val="100"/>
  </w:num>
  <w:num w:numId="75" w16cid:durableId="1896812166">
    <w:abstractNumId w:val="46"/>
  </w:num>
  <w:num w:numId="76" w16cid:durableId="188378876">
    <w:abstractNumId w:val="63"/>
  </w:num>
  <w:num w:numId="77" w16cid:durableId="1761951710">
    <w:abstractNumId w:val="36"/>
  </w:num>
  <w:num w:numId="78" w16cid:durableId="885214778">
    <w:abstractNumId w:val="69"/>
  </w:num>
  <w:num w:numId="79" w16cid:durableId="168448757">
    <w:abstractNumId w:val="66"/>
  </w:num>
  <w:num w:numId="80" w16cid:durableId="2038387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53995173">
    <w:abstractNumId w:val="54"/>
  </w:num>
  <w:num w:numId="82" w16cid:durableId="271474248">
    <w:abstractNumId w:val="15"/>
  </w:num>
  <w:num w:numId="83" w16cid:durableId="137042485">
    <w:abstractNumId w:val="51"/>
  </w:num>
  <w:num w:numId="84" w16cid:durableId="1917785288">
    <w:abstractNumId w:val="21"/>
  </w:num>
  <w:num w:numId="85" w16cid:durableId="6099845">
    <w:abstractNumId w:val="2"/>
  </w:num>
  <w:num w:numId="86" w16cid:durableId="1071000784">
    <w:abstractNumId w:val="64"/>
  </w:num>
  <w:num w:numId="87" w16cid:durableId="1868174725">
    <w:abstractNumId w:val="22"/>
  </w:num>
  <w:num w:numId="88" w16cid:durableId="972447391">
    <w:abstractNumId w:val="53"/>
  </w:num>
  <w:num w:numId="89" w16cid:durableId="722489345">
    <w:abstractNumId w:val="17"/>
  </w:num>
  <w:num w:numId="90" w16cid:durableId="1031761169">
    <w:abstractNumId w:val="3"/>
  </w:num>
  <w:num w:numId="91" w16cid:durableId="1978684273">
    <w:abstractNumId w:val="96"/>
  </w:num>
  <w:num w:numId="92" w16cid:durableId="1528714461">
    <w:abstractNumId w:val="50"/>
  </w:num>
  <w:num w:numId="93" w16cid:durableId="370686321">
    <w:abstractNumId w:val="76"/>
  </w:num>
  <w:num w:numId="94" w16cid:durableId="805660341">
    <w:abstractNumId w:val="23"/>
  </w:num>
  <w:num w:numId="95" w16cid:durableId="1208107819">
    <w:abstractNumId w:val="23"/>
  </w:num>
  <w:num w:numId="96" w16cid:durableId="28530505">
    <w:abstractNumId w:val="83"/>
  </w:num>
  <w:num w:numId="97" w16cid:durableId="460920402">
    <w:abstractNumId w:val="23"/>
  </w:num>
  <w:num w:numId="98" w16cid:durableId="1809978994">
    <w:abstractNumId w:val="74"/>
  </w:num>
  <w:num w:numId="99" w16cid:durableId="1261141025">
    <w:abstractNumId w:val="54"/>
  </w:num>
  <w:num w:numId="100" w16cid:durableId="1137837488">
    <w:abstractNumId w:val="54"/>
  </w:num>
  <w:num w:numId="101" w16cid:durableId="1847281455">
    <w:abstractNumId w:val="54"/>
  </w:num>
  <w:num w:numId="102" w16cid:durableId="2009792614">
    <w:abstractNumId w:val="54"/>
  </w:num>
  <w:num w:numId="103" w16cid:durableId="983587173">
    <w:abstractNumId w:val="54"/>
  </w:num>
  <w:num w:numId="104" w16cid:durableId="848254211">
    <w:abstractNumId w:val="54"/>
  </w:num>
  <w:num w:numId="105" w16cid:durableId="1339313567">
    <w:abstractNumId w:val="54"/>
  </w:num>
  <w:num w:numId="106" w16cid:durableId="1618023487">
    <w:abstractNumId w:val="54"/>
  </w:num>
  <w:num w:numId="107" w16cid:durableId="1570076345">
    <w:abstractNumId w:val="54"/>
  </w:num>
  <w:num w:numId="108" w16cid:durableId="2035888021">
    <w:abstractNumId w:val="54"/>
  </w:num>
  <w:num w:numId="109" w16cid:durableId="9719703">
    <w:abstractNumId w:val="54"/>
  </w:num>
  <w:num w:numId="110" w16cid:durableId="1909146324">
    <w:abstractNumId w:val="54"/>
  </w:num>
  <w:num w:numId="111" w16cid:durableId="1183864276">
    <w:abstractNumId w:val="8"/>
  </w:num>
  <w:num w:numId="112" w16cid:durableId="637496166">
    <w:abstractNumId w:val="43"/>
  </w:num>
  <w:num w:numId="113" w16cid:durableId="1505776412">
    <w:abstractNumId w:val="48"/>
  </w:num>
  <w:num w:numId="114" w16cid:durableId="1361471949">
    <w:abstractNumId w:val="11"/>
  </w:num>
  <w:num w:numId="115" w16cid:durableId="1795706205">
    <w:abstractNumId w:val="54"/>
  </w:num>
  <w:num w:numId="116" w16cid:durableId="1911186183">
    <w:abstractNumId w:val="54"/>
  </w:num>
  <w:num w:numId="117" w16cid:durableId="1854953640">
    <w:abstractNumId w:val="54"/>
  </w:num>
  <w:num w:numId="118" w16cid:durableId="1111707686">
    <w:abstractNumId w:val="54"/>
  </w:num>
  <w:num w:numId="119" w16cid:durableId="1057974792">
    <w:abstractNumId w:val="54"/>
  </w:num>
  <w:num w:numId="120" w16cid:durableId="565801102">
    <w:abstractNumId w:val="54"/>
  </w:num>
  <w:num w:numId="121" w16cid:durableId="2008899090">
    <w:abstractNumId w:val="29"/>
  </w:num>
  <w:num w:numId="122" w16cid:durableId="611477162">
    <w:abstractNumId w:val="54"/>
  </w:num>
  <w:num w:numId="123" w16cid:durableId="1539128822">
    <w:abstractNumId w:val="45"/>
  </w:num>
  <w:num w:numId="124" w16cid:durableId="1843427911">
    <w:abstractNumId w:val="15"/>
  </w:num>
  <w:num w:numId="125" w16cid:durableId="476067503">
    <w:abstractNumId w:val="12"/>
  </w:num>
  <w:num w:numId="126" w16cid:durableId="1688216954">
    <w:abstractNumId w:val="7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B9"/>
    <w:rsid w:val="00000061"/>
    <w:rsid w:val="00001252"/>
    <w:rsid w:val="00001DB1"/>
    <w:rsid w:val="00002DDB"/>
    <w:rsid w:val="000036F0"/>
    <w:rsid w:val="00003781"/>
    <w:rsid w:val="00003946"/>
    <w:rsid w:val="00004389"/>
    <w:rsid w:val="00005E31"/>
    <w:rsid w:val="00005FD3"/>
    <w:rsid w:val="000060DB"/>
    <w:rsid w:val="000065BF"/>
    <w:rsid w:val="00006994"/>
    <w:rsid w:val="000071F3"/>
    <w:rsid w:val="00007B82"/>
    <w:rsid w:val="00010699"/>
    <w:rsid w:val="00011F94"/>
    <w:rsid w:val="0001237E"/>
    <w:rsid w:val="000138A7"/>
    <w:rsid w:val="000139C4"/>
    <w:rsid w:val="00013A0F"/>
    <w:rsid w:val="000143E5"/>
    <w:rsid w:val="00014F14"/>
    <w:rsid w:val="0001571E"/>
    <w:rsid w:val="00015F6C"/>
    <w:rsid w:val="0001620B"/>
    <w:rsid w:val="00016558"/>
    <w:rsid w:val="0001658D"/>
    <w:rsid w:val="00016B60"/>
    <w:rsid w:val="00017021"/>
    <w:rsid w:val="000174A9"/>
    <w:rsid w:val="0001770F"/>
    <w:rsid w:val="0002009A"/>
    <w:rsid w:val="00021AFA"/>
    <w:rsid w:val="00021CA4"/>
    <w:rsid w:val="000220D0"/>
    <w:rsid w:val="000236C9"/>
    <w:rsid w:val="0002380E"/>
    <w:rsid w:val="0002439A"/>
    <w:rsid w:val="0002477C"/>
    <w:rsid w:val="000249F3"/>
    <w:rsid w:val="00024F2E"/>
    <w:rsid w:val="00025288"/>
    <w:rsid w:val="00025610"/>
    <w:rsid w:val="00025E09"/>
    <w:rsid w:val="0002625B"/>
    <w:rsid w:val="00026E73"/>
    <w:rsid w:val="00027306"/>
    <w:rsid w:val="00027312"/>
    <w:rsid w:val="00027372"/>
    <w:rsid w:val="000314FC"/>
    <w:rsid w:val="00031E34"/>
    <w:rsid w:val="00032788"/>
    <w:rsid w:val="000329BB"/>
    <w:rsid w:val="00032B41"/>
    <w:rsid w:val="0003385D"/>
    <w:rsid w:val="00034538"/>
    <w:rsid w:val="0003492B"/>
    <w:rsid w:val="00035160"/>
    <w:rsid w:val="00035426"/>
    <w:rsid w:val="0003559C"/>
    <w:rsid w:val="00035612"/>
    <w:rsid w:val="000358E6"/>
    <w:rsid w:val="000363D4"/>
    <w:rsid w:val="000367EE"/>
    <w:rsid w:val="00036847"/>
    <w:rsid w:val="000368D6"/>
    <w:rsid w:val="00036E1A"/>
    <w:rsid w:val="00036F03"/>
    <w:rsid w:val="00037479"/>
    <w:rsid w:val="00037D9E"/>
    <w:rsid w:val="00037FD5"/>
    <w:rsid w:val="00040014"/>
    <w:rsid w:val="00040560"/>
    <w:rsid w:val="00040805"/>
    <w:rsid w:val="00040D13"/>
    <w:rsid w:val="00040FAC"/>
    <w:rsid w:val="0004140A"/>
    <w:rsid w:val="00041B94"/>
    <w:rsid w:val="00041D64"/>
    <w:rsid w:val="00042024"/>
    <w:rsid w:val="000422AB"/>
    <w:rsid w:val="00042B49"/>
    <w:rsid w:val="00043093"/>
    <w:rsid w:val="00043C1E"/>
    <w:rsid w:val="00043F1E"/>
    <w:rsid w:val="00043F26"/>
    <w:rsid w:val="00043FCD"/>
    <w:rsid w:val="00043FDC"/>
    <w:rsid w:val="00044048"/>
    <w:rsid w:val="00044470"/>
    <w:rsid w:val="00044A7D"/>
    <w:rsid w:val="000450DB"/>
    <w:rsid w:val="00045D23"/>
    <w:rsid w:val="00046385"/>
    <w:rsid w:val="00046512"/>
    <w:rsid w:val="000466ED"/>
    <w:rsid w:val="00046A16"/>
    <w:rsid w:val="00046D9E"/>
    <w:rsid w:val="000471E3"/>
    <w:rsid w:val="000476AB"/>
    <w:rsid w:val="000508BC"/>
    <w:rsid w:val="00050ECB"/>
    <w:rsid w:val="00050EEC"/>
    <w:rsid w:val="00050F55"/>
    <w:rsid w:val="000517CD"/>
    <w:rsid w:val="00051A50"/>
    <w:rsid w:val="00051C97"/>
    <w:rsid w:val="00051D8C"/>
    <w:rsid w:val="00051DC7"/>
    <w:rsid w:val="00051DC8"/>
    <w:rsid w:val="00051EBD"/>
    <w:rsid w:val="0005236F"/>
    <w:rsid w:val="00052799"/>
    <w:rsid w:val="000532D3"/>
    <w:rsid w:val="00053A30"/>
    <w:rsid w:val="00054311"/>
    <w:rsid w:val="000544EC"/>
    <w:rsid w:val="000546E7"/>
    <w:rsid w:val="00054EB3"/>
    <w:rsid w:val="000551AE"/>
    <w:rsid w:val="0005584C"/>
    <w:rsid w:val="0005589F"/>
    <w:rsid w:val="00055AA2"/>
    <w:rsid w:val="00056722"/>
    <w:rsid w:val="00057133"/>
    <w:rsid w:val="000573AF"/>
    <w:rsid w:val="000573E4"/>
    <w:rsid w:val="00057599"/>
    <w:rsid w:val="00057E31"/>
    <w:rsid w:val="00060F39"/>
    <w:rsid w:val="00061040"/>
    <w:rsid w:val="00062985"/>
    <w:rsid w:val="00063010"/>
    <w:rsid w:val="00063199"/>
    <w:rsid w:val="000633C8"/>
    <w:rsid w:val="00063711"/>
    <w:rsid w:val="00063CCF"/>
    <w:rsid w:val="0006416F"/>
    <w:rsid w:val="000646A3"/>
    <w:rsid w:val="00064F6C"/>
    <w:rsid w:val="00065010"/>
    <w:rsid w:val="00065FA7"/>
    <w:rsid w:val="0006601D"/>
    <w:rsid w:val="0006632C"/>
    <w:rsid w:val="000667EC"/>
    <w:rsid w:val="0007077F"/>
    <w:rsid w:val="00070E8B"/>
    <w:rsid w:val="0007107C"/>
    <w:rsid w:val="00071825"/>
    <w:rsid w:val="00071867"/>
    <w:rsid w:val="00071AE0"/>
    <w:rsid w:val="00072B57"/>
    <w:rsid w:val="0007434A"/>
    <w:rsid w:val="000744DF"/>
    <w:rsid w:val="0007478C"/>
    <w:rsid w:val="0007549D"/>
    <w:rsid w:val="000759FC"/>
    <w:rsid w:val="00076618"/>
    <w:rsid w:val="000774EF"/>
    <w:rsid w:val="00077AA7"/>
    <w:rsid w:val="00077EEE"/>
    <w:rsid w:val="000808B1"/>
    <w:rsid w:val="00080C78"/>
    <w:rsid w:val="00081475"/>
    <w:rsid w:val="00081550"/>
    <w:rsid w:val="00081F0B"/>
    <w:rsid w:val="00081FBF"/>
    <w:rsid w:val="000828F5"/>
    <w:rsid w:val="00082F76"/>
    <w:rsid w:val="00082FA7"/>
    <w:rsid w:val="00083134"/>
    <w:rsid w:val="00084C5A"/>
    <w:rsid w:val="00084EBB"/>
    <w:rsid w:val="00084FD5"/>
    <w:rsid w:val="0008535D"/>
    <w:rsid w:val="00085B52"/>
    <w:rsid w:val="00085EAF"/>
    <w:rsid w:val="000861CB"/>
    <w:rsid w:val="00090523"/>
    <w:rsid w:val="000905D5"/>
    <w:rsid w:val="00090E35"/>
    <w:rsid w:val="0009117F"/>
    <w:rsid w:val="00091AC8"/>
    <w:rsid w:val="00091FC9"/>
    <w:rsid w:val="00092443"/>
    <w:rsid w:val="00092493"/>
    <w:rsid w:val="0009271B"/>
    <w:rsid w:val="000934DD"/>
    <w:rsid w:val="00093772"/>
    <w:rsid w:val="00093805"/>
    <w:rsid w:val="00094269"/>
    <w:rsid w:val="0009483C"/>
    <w:rsid w:val="000956A9"/>
    <w:rsid w:val="00095B52"/>
    <w:rsid w:val="00095CA4"/>
    <w:rsid w:val="00095D82"/>
    <w:rsid w:val="000966BB"/>
    <w:rsid w:val="00096B25"/>
    <w:rsid w:val="000977AF"/>
    <w:rsid w:val="00097A83"/>
    <w:rsid w:val="00097E17"/>
    <w:rsid w:val="000A0B5A"/>
    <w:rsid w:val="000A1637"/>
    <w:rsid w:val="000A22D5"/>
    <w:rsid w:val="000A260A"/>
    <w:rsid w:val="000A33A9"/>
    <w:rsid w:val="000A36FA"/>
    <w:rsid w:val="000A377A"/>
    <w:rsid w:val="000A3923"/>
    <w:rsid w:val="000A3BC1"/>
    <w:rsid w:val="000A3E9C"/>
    <w:rsid w:val="000A44E6"/>
    <w:rsid w:val="000A46AA"/>
    <w:rsid w:val="000A4B24"/>
    <w:rsid w:val="000A56EA"/>
    <w:rsid w:val="000A6211"/>
    <w:rsid w:val="000A6255"/>
    <w:rsid w:val="000A63F5"/>
    <w:rsid w:val="000A652C"/>
    <w:rsid w:val="000A6A50"/>
    <w:rsid w:val="000A6C72"/>
    <w:rsid w:val="000A6DCF"/>
    <w:rsid w:val="000A7DBD"/>
    <w:rsid w:val="000B07CC"/>
    <w:rsid w:val="000B0B3B"/>
    <w:rsid w:val="000B30BC"/>
    <w:rsid w:val="000B31C3"/>
    <w:rsid w:val="000B3A12"/>
    <w:rsid w:val="000B4324"/>
    <w:rsid w:val="000B557E"/>
    <w:rsid w:val="000B61A7"/>
    <w:rsid w:val="000B72A3"/>
    <w:rsid w:val="000B7793"/>
    <w:rsid w:val="000B7929"/>
    <w:rsid w:val="000B7AF2"/>
    <w:rsid w:val="000B7EDE"/>
    <w:rsid w:val="000B7F8F"/>
    <w:rsid w:val="000C0A55"/>
    <w:rsid w:val="000C213B"/>
    <w:rsid w:val="000C2375"/>
    <w:rsid w:val="000C305D"/>
    <w:rsid w:val="000C50E3"/>
    <w:rsid w:val="000C53D6"/>
    <w:rsid w:val="000C558D"/>
    <w:rsid w:val="000C55AA"/>
    <w:rsid w:val="000C58B4"/>
    <w:rsid w:val="000C5A24"/>
    <w:rsid w:val="000C5B9B"/>
    <w:rsid w:val="000C640D"/>
    <w:rsid w:val="000C6E87"/>
    <w:rsid w:val="000C7226"/>
    <w:rsid w:val="000C7624"/>
    <w:rsid w:val="000C76A5"/>
    <w:rsid w:val="000D0201"/>
    <w:rsid w:val="000D1694"/>
    <w:rsid w:val="000D1D98"/>
    <w:rsid w:val="000D1EF4"/>
    <w:rsid w:val="000D20F1"/>
    <w:rsid w:val="000D2261"/>
    <w:rsid w:val="000D2AD8"/>
    <w:rsid w:val="000D30FA"/>
    <w:rsid w:val="000D31D5"/>
    <w:rsid w:val="000D4710"/>
    <w:rsid w:val="000D4802"/>
    <w:rsid w:val="000D4DE9"/>
    <w:rsid w:val="000D4E8B"/>
    <w:rsid w:val="000D5214"/>
    <w:rsid w:val="000D5F34"/>
    <w:rsid w:val="000D690A"/>
    <w:rsid w:val="000D730B"/>
    <w:rsid w:val="000D742B"/>
    <w:rsid w:val="000D74AE"/>
    <w:rsid w:val="000E01B8"/>
    <w:rsid w:val="000E0E42"/>
    <w:rsid w:val="000E18C5"/>
    <w:rsid w:val="000E1B7D"/>
    <w:rsid w:val="000E1E13"/>
    <w:rsid w:val="000E259F"/>
    <w:rsid w:val="000E3415"/>
    <w:rsid w:val="000E3658"/>
    <w:rsid w:val="000E3D3A"/>
    <w:rsid w:val="000E40F1"/>
    <w:rsid w:val="000E41BC"/>
    <w:rsid w:val="000E42A7"/>
    <w:rsid w:val="000E5A3F"/>
    <w:rsid w:val="000E6194"/>
    <w:rsid w:val="000E6A87"/>
    <w:rsid w:val="000E71CB"/>
    <w:rsid w:val="000E742A"/>
    <w:rsid w:val="000E7677"/>
    <w:rsid w:val="000F04EE"/>
    <w:rsid w:val="000F04F1"/>
    <w:rsid w:val="000F0DFC"/>
    <w:rsid w:val="000F0F51"/>
    <w:rsid w:val="000F0F57"/>
    <w:rsid w:val="000F15FD"/>
    <w:rsid w:val="000F1BEE"/>
    <w:rsid w:val="000F2F0B"/>
    <w:rsid w:val="000F34E6"/>
    <w:rsid w:val="000F365A"/>
    <w:rsid w:val="000F3D08"/>
    <w:rsid w:val="000F3D9E"/>
    <w:rsid w:val="000F3EBF"/>
    <w:rsid w:val="000F3F10"/>
    <w:rsid w:val="000F4596"/>
    <w:rsid w:val="000F45C7"/>
    <w:rsid w:val="000F51A8"/>
    <w:rsid w:val="000F5398"/>
    <w:rsid w:val="000F5E9E"/>
    <w:rsid w:val="000F6451"/>
    <w:rsid w:val="000F69B7"/>
    <w:rsid w:val="000F75A5"/>
    <w:rsid w:val="000F789E"/>
    <w:rsid w:val="000F7A2E"/>
    <w:rsid w:val="000F7B07"/>
    <w:rsid w:val="00100010"/>
    <w:rsid w:val="0010094E"/>
    <w:rsid w:val="00101D51"/>
    <w:rsid w:val="00102459"/>
    <w:rsid w:val="001025EA"/>
    <w:rsid w:val="001028A8"/>
    <w:rsid w:val="0010328A"/>
    <w:rsid w:val="00106375"/>
    <w:rsid w:val="0010695A"/>
    <w:rsid w:val="00106B89"/>
    <w:rsid w:val="00106D03"/>
    <w:rsid w:val="00106D75"/>
    <w:rsid w:val="0010743C"/>
    <w:rsid w:val="001101D9"/>
    <w:rsid w:val="00110494"/>
    <w:rsid w:val="0011062A"/>
    <w:rsid w:val="001111DA"/>
    <w:rsid w:val="00111E7B"/>
    <w:rsid w:val="0011253F"/>
    <w:rsid w:val="0011273D"/>
    <w:rsid w:val="0011288C"/>
    <w:rsid w:val="0011291A"/>
    <w:rsid w:val="00113299"/>
    <w:rsid w:val="001152D2"/>
    <w:rsid w:val="001152F0"/>
    <w:rsid w:val="00115797"/>
    <w:rsid w:val="0011732A"/>
    <w:rsid w:val="001173F3"/>
    <w:rsid w:val="0011754C"/>
    <w:rsid w:val="00117B1A"/>
    <w:rsid w:val="0012058F"/>
    <w:rsid w:val="001207E6"/>
    <w:rsid w:val="00121058"/>
    <w:rsid w:val="001211D9"/>
    <w:rsid w:val="001220C3"/>
    <w:rsid w:val="001220F5"/>
    <w:rsid w:val="00122B3F"/>
    <w:rsid w:val="00122DF9"/>
    <w:rsid w:val="00122EED"/>
    <w:rsid w:val="001231AE"/>
    <w:rsid w:val="001234D2"/>
    <w:rsid w:val="00124278"/>
    <w:rsid w:val="00124A86"/>
    <w:rsid w:val="001250E2"/>
    <w:rsid w:val="0012526B"/>
    <w:rsid w:val="00125D20"/>
    <w:rsid w:val="00125DB8"/>
    <w:rsid w:val="00125FE3"/>
    <w:rsid w:val="00126168"/>
    <w:rsid w:val="00127234"/>
    <w:rsid w:val="001274F8"/>
    <w:rsid w:val="0013001A"/>
    <w:rsid w:val="00130770"/>
    <w:rsid w:val="001309E3"/>
    <w:rsid w:val="001311BE"/>
    <w:rsid w:val="00132E20"/>
    <w:rsid w:val="0013376F"/>
    <w:rsid w:val="00133A66"/>
    <w:rsid w:val="00133EEB"/>
    <w:rsid w:val="0013497C"/>
    <w:rsid w:val="00134EC5"/>
    <w:rsid w:val="0013503D"/>
    <w:rsid w:val="00135DED"/>
    <w:rsid w:val="001364BA"/>
    <w:rsid w:val="001374BE"/>
    <w:rsid w:val="00137A5E"/>
    <w:rsid w:val="00137DF8"/>
    <w:rsid w:val="00140306"/>
    <w:rsid w:val="00140ADD"/>
    <w:rsid w:val="001417DA"/>
    <w:rsid w:val="001428F0"/>
    <w:rsid w:val="00142CCB"/>
    <w:rsid w:val="00143260"/>
    <w:rsid w:val="0014387B"/>
    <w:rsid w:val="00143DC6"/>
    <w:rsid w:val="0014414F"/>
    <w:rsid w:val="00144ED5"/>
    <w:rsid w:val="001452B1"/>
    <w:rsid w:val="00145B77"/>
    <w:rsid w:val="0014604F"/>
    <w:rsid w:val="00146260"/>
    <w:rsid w:val="001463D0"/>
    <w:rsid w:val="001464C8"/>
    <w:rsid w:val="001473F6"/>
    <w:rsid w:val="00147AB1"/>
    <w:rsid w:val="001504F5"/>
    <w:rsid w:val="00151391"/>
    <w:rsid w:val="00151983"/>
    <w:rsid w:val="00151B30"/>
    <w:rsid w:val="001520BE"/>
    <w:rsid w:val="00152E5F"/>
    <w:rsid w:val="00153147"/>
    <w:rsid w:val="001538BF"/>
    <w:rsid w:val="00155C1F"/>
    <w:rsid w:val="001563E9"/>
    <w:rsid w:val="00156595"/>
    <w:rsid w:val="00156C8B"/>
    <w:rsid w:val="00156D7B"/>
    <w:rsid w:val="00156F4B"/>
    <w:rsid w:val="00157FA1"/>
    <w:rsid w:val="00160F87"/>
    <w:rsid w:val="00161D81"/>
    <w:rsid w:val="00161E51"/>
    <w:rsid w:val="001635A7"/>
    <w:rsid w:val="00163A84"/>
    <w:rsid w:val="00163DDB"/>
    <w:rsid w:val="001654FE"/>
    <w:rsid w:val="00167100"/>
    <w:rsid w:val="001673F9"/>
    <w:rsid w:val="00167444"/>
    <w:rsid w:val="00167D7C"/>
    <w:rsid w:val="00167E39"/>
    <w:rsid w:val="00171A3E"/>
    <w:rsid w:val="001730A3"/>
    <w:rsid w:val="001733F4"/>
    <w:rsid w:val="001739CD"/>
    <w:rsid w:val="00175F76"/>
    <w:rsid w:val="001769FE"/>
    <w:rsid w:val="00176AFF"/>
    <w:rsid w:val="00176B3E"/>
    <w:rsid w:val="00177D16"/>
    <w:rsid w:val="00177F58"/>
    <w:rsid w:val="00180220"/>
    <w:rsid w:val="001806F3"/>
    <w:rsid w:val="0018095E"/>
    <w:rsid w:val="0018135A"/>
    <w:rsid w:val="00181A1A"/>
    <w:rsid w:val="00181DEF"/>
    <w:rsid w:val="00182090"/>
    <w:rsid w:val="00182488"/>
    <w:rsid w:val="001829A5"/>
    <w:rsid w:val="001829C4"/>
    <w:rsid w:val="00182A4B"/>
    <w:rsid w:val="00182C0A"/>
    <w:rsid w:val="00183E93"/>
    <w:rsid w:val="00184029"/>
    <w:rsid w:val="0018540F"/>
    <w:rsid w:val="00185422"/>
    <w:rsid w:val="001854AE"/>
    <w:rsid w:val="0018574C"/>
    <w:rsid w:val="00185C53"/>
    <w:rsid w:val="0018618D"/>
    <w:rsid w:val="001862FE"/>
    <w:rsid w:val="0018651F"/>
    <w:rsid w:val="00186DE1"/>
    <w:rsid w:val="00187373"/>
    <w:rsid w:val="00187423"/>
    <w:rsid w:val="001875EA"/>
    <w:rsid w:val="001876E3"/>
    <w:rsid w:val="0019035E"/>
    <w:rsid w:val="00190662"/>
    <w:rsid w:val="0019076C"/>
    <w:rsid w:val="001907D7"/>
    <w:rsid w:val="0019086F"/>
    <w:rsid w:val="00190ADB"/>
    <w:rsid w:val="00190F50"/>
    <w:rsid w:val="0019104A"/>
    <w:rsid w:val="00191A2C"/>
    <w:rsid w:val="00191FD2"/>
    <w:rsid w:val="001921CA"/>
    <w:rsid w:val="001928E4"/>
    <w:rsid w:val="00193CFF"/>
    <w:rsid w:val="001941CF"/>
    <w:rsid w:val="001942EA"/>
    <w:rsid w:val="00194681"/>
    <w:rsid w:val="00194B81"/>
    <w:rsid w:val="0019558F"/>
    <w:rsid w:val="00195BAC"/>
    <w:rsid w:val="00196934"/>
    <w:rsid w:val="001972AE"/>
    <w:rsid w:val="0019741C"/>
    <w:rsid w:val="0019789C"/>
    <w:rsid w:val="00197DB2"/>
    <w:rsid w:val="00197DD3"/>
    <w:rsid w:val="001A0418"/>
    <w:rsid w:val="001A065A"/>
    <w:rsid w:val="001A0BD1"/>
    <w:rsid w:val="001A0BF4"/>
    <w:rsid w:val="001A1724"/>
    <w:rsid w:val="001A1B44"/>
    <w:rsid w:val="001A1B85"/>
    <w:rsid w:val="001A1E12"/>
    <w:rsid w:val="001A1FC7"/>
    <w:rsid w:val="001A29E7"/>
    <w:rsid w:val="001A2A98"/>
    <w:rsid w:val="001A3116"/>
    <w:rsid w:val="001A393F"/>
    <w:rsid w:val="001A4BB0"/>
    <w:rsid w:val="001A5F7D"/>
    <w:rsid w:val="001A6916"/>
    <w:rsid w:val="001A6EF2"/>
    <w:rsid w:val="001A7D91"/>
    <w:rsid w:val="001B15DA"/>
    <w:rsid w:val="001B1EAD"/>
    <w:rsid w:val="001B1F53"/>
    <w:rsid w:val="001B21EF"/>
    <w:rsid w:val="001B222F"/>
    <w:rsid w:val="001B2A38"/>
    <w:rsid w:val="001B33A7"/>
    <w:rsid w:val="001B3548"/>
    <w:rsid w:val="001B37F1"/>
    <w:rsid w:val="001B3D51"/>
    <w:rsid w:val="001B54B3"/>
    <w:rsid w:val="001B57F9"/>
    <w:rsid w:val="001B5D3D"/>
    <w:rsid w:val="001B60DD"/>
    <w:rsid w:val="001B65CE"/>
    <w:rsid w:val="001B66BF"/>
    <w:rsid w:val="001B73E1"/>
    <w:rsid w:val="001B7549"/>
    <w:rsid w:val="001B78C5"/>
    <w:rsid w:val="001B7FF2"/>
    <w:rsid w:val="001C02DE"/>
    <w:rsid w:val="001C0411"/>
    <w:rsid w:val="001C185A"/>
    <w:rsid w:val="001C1943"/>
    <w:rsid w:val="001C22FF"/>
    <w:rsid w:val="001C2511"/>
    <w:rsid w:val="001C2C3A"/>
    <w:rsid w:val="001C2D9C"/>
    <w:rsid w:val="001C2E19"/>
    <w:rsid w:val="001C3365"/>
    <w:rsid w:val="001C450A"/>
    <w:rsid w:val="001C4DEF"/>
    <w:rsid w:val="001C4EE6"/>
    <w:rsid w:val="001C5597"/>
    <w:rsid w:val="001C5897"/>
    <w:rsid w:val="001C598A"/>
    <w:rsid w:val="001C5FD2"/>
    <w:rsid w:val="001C642A"/>
    <w:rsid w:val="001C66F4"/>
    <w:rsid w:val="001C6AB1"/>
    <w:rsid w:val="001C6B38"/>
    <w:rsid w:val="001C74F3"/>
    <w:rsid w:val="001C7967"/>
    <w:rsid w:val="001D0665"/>
    <w:rsid w:val="001D14C5"/>
    <w:rsid w:val="001D16E5"/>
    <w:rsid w:val="001D1CB9"/>
    <w:rsid w:val="001D23D7"/>
    <w:rsid w:val="001D250C"/>
    <w:rsid w:val="001D2ADA"/>
    <w:rsid w:val="001D2F57"/>
    <w:rsid w:val="001D3232"/>
    <w:rsid w:val="001D3309"/>
    <w:rsid w:val="001D3706"/>
    <w:rsid w:val="001D38B9"/>
    <w:rsid w:val="001D4F98"/>
    <w:rsid w:val="001D559F"/>
    <w:rsid w:val="001D585D"/>
    <w:rsid w:val="001D58C3"/>
    <w:rsid w:val="001D5E7D"/>
    <w:rsid w:val="001D6F9E"/>
    <w:rsid w:val="001D6FD7"/>
    <w:rsid w:val="001D7226"/>
    <w:rsid w:val="001D7512"/>
    <w:rsid w:val="001E09E2"/>
    <w:rsid w:val="001E0AE1"/>
    <w:rsid w:val="001E102C"/>
    <w:rsid w:val="001E1349"/>
    <w:rsid w:val="001E1384"/>
    <w:rsid w:val="001E1852"/>
    <w:rsid w:val="001E2057"/>
    <w:rsid w:val="001E2A2F"/>
    <w:rsid w:val="001E2AE2"/>
    <w:rsid w:val="001E2FED"/>
    <w:rsid w:val="001E3262"/>
    <w:rsid w:val="001E3364"/>
    <w:rsid w:val="001E348A"/>
    <w:rsid w:val="001E34FE"/>
    <w:rsid w:val="001E56EA"/>
    <w:rsid w:val="001E6E07"/>
    <w:rsid w:val="001E6FA8"/>
    <w:rsid w:val="001E768B"/>
    <w:rsid w:val="001E7C4F"/>
    <w:rsid w:val="001F0F0C"/>
    <w:rsid w:val="001F197B"/>
    <w:rsid w:val="001F1B85"/>
    <w:rsid w:val="001F2309"/>
    <w:rsid w:val="001F2700"/>
    <w:rsid w:val="001F327E"/>
    <w:rsid w:val="001F3370"/>
    <w:rsid w:val="001F3977"/>
    <w:rsid w:val="001F4059"/>
    <w:rsid w:val="001F40F5"/>
    <w:rsid w:val="001F45A0"/>
    <w:rsid w:val="001F47F5"/>
    <w:rsid w:val="001F4E7E"/>
    <w:rsid w:val="001F5637"/>
    <w:rsid w:val="001F58A7"/>
    <w:rsid w:val="001F595B"/>
    <w:rsid w:val="001F5967"/>
    <w:rsid w:val="001F5C04"/>
    <w:rsid w:val="001F5CBC"/>
    <w:rsid w:val="001F5F83"/>
    <w:rsid w:val="001F606A"/>
    <w:rsid w:val="001F63E9"/>
    <w:rsid w:val="001F70BA"/>
    <w:rsid w:val="001F70E9"/>
    <w:rsid w:val="001F7584"/>
    <w:rsid w:val="001F7EFF"/>
    <w:rsid w:val="00200CD3"/>
    <w:rsid w:val="00201114"/>
    <w:rsid w:val="00201176"/>
    <w:rsid w:val="00201DF7"/>
    <w:rsid w:val="00202233"/>
    <w:rsid w:val="00202666"/>
    <w:rsid w:val="00202937"/>
    <w:rsid w:val="00202EE0"/>
    <w:rsid w:val="0020372B"/>
    <w:rsid w:val="00203ECE"/>
    <w:rsid w:val="002045E7"/>
    <w:rsid w:val="00204D5F"/>
    <w:rsid w:val="0020569F"/>
    <w:rsid w:val="00205FED"/>
    <w:rsid w:val="00206CF3"/>
    <w:rsid w:val="00210330"/>
    <w:rsid w:val="002103C3"/>
    <w:rsid w:val="00211583"/>
    <w:rsid w:val="00212033"/>
    <w:rsid w:val="002121B8"/>
    <w:rsid w:val="002121DC"/>
    <w:rsid w:val="00212696"/>
    <w:rsid w:val="0021269E"/>
    <w:rsid w:val="00212BAD"/>
    <w:rsid w:val="00212BC7"/>
    <w:rsid w:val="00213CBA"/>
    <w:rsid w:val="002141F2"/>
    <w:rsid w:val="002152F2"/>
    <w:rsid w:val="00215713"/>
    <w:rsid w:val="00215EE4"/>
    <w:rsid w:val="00216087"/>
    <w:rsid w:val="002167A1"/>
    <w:rsid w:val="0021681D"/>
    <w:rsid w:val="00216D2E"/>
    <w:rsid w:val="00217241"/>
    <w:rsid w:val="0021725C"/>
    <w:rsid w:val="002174DC"/>
    <w:rsid w:val="00217761"/>
    <w:rsid w:val="00217DE2"/>
    <w:rsid w:val="002205AF"/>
    <w:rsid w:val="00220652"/>
    <w:rsid w:val="002209B7"/>
    <w:rsid w:val="00220A4A"/>
    <w:rsid w:val="00221625"/>
    <w:rsid w:val="002219DD"/>
    <w:rsid w:val="00221C6B"/>
    <w:rsid w:val="002222AA"/>
    <w:rsid w:val="002228B4"/>
    <w:rsid w:val="00223100"/>
    <w:rsid w:val="0022379E"/>
    <w:rsid w:val="00223A5A"/>
    <w:rsid w:val="00224B92"/>
    <w:rsid w:val="00224E58"/>
    <w:rsid w:val="0022553A"/>
    <w:rsid w:val="00225BCB"/>
    <w:rsid w:val="00226243"/>
    <w:rsid w:val="002265E7"/>
    <w:rsid w:val="00226F75"/>
    <w:rsid w:val="00227234"/>
    <w:rsid w:val="002278E6"/>
    <w:rsid w:val="00227F4F"/>
    <w:rsid w:val="00230152"/>
    <w:rsid w:val="0023055A"/>
    <w:rsid w:val="00230861"/>
    <w:rsid w:val="00230AD4"/>
    <w:rsid w:val="00231278"/>
    <w:rsid w:val="00231955"/>
    <w:rsid w:val="00231A6B"/>
    <w:rsid w:val="00232B75"/>
    <w:rsid w:val="002337D3"/>
    <w:rsid w:val="00235F96"/>
    <w:rsid w:val="0023675C"/>
    <w:rsid w:val="0023767F"/>
    <w:rsid w:val="00237D92"/>
    <w:rsid w:val="00240312"/>
    <w:rsid w:val="0024080A"/>
    <w:rsid w:val="00241070"/>
    <w:rsid w:val="00241080"/>
    <w:rsid w:val="00241619"/>
    <w:rsid w:val="0024178E"/>
    <w:rsid w:val="0024208E"/>
    <w:rsid w:val="00242224"/>
    <w:rsid w:val="002424FC"/>
    <w:rsid w:val="0024252D"/>
    <w:rsid w:val="0024289D"/>
    <w:rsid w:val="00243D95"/>
    <w:rsid w:val="0024459A"/>
    <w:rsid w:val="0024479B"/>
    <w:rsid w:val="00245802"/>
    <w:rsid w:val="0024630B"/>
    <w:rsid w:val="00246464"/>
    <w:rsid w:val="00246E57"/>
    <w:rsid w:val="00247181"/>
    <w:rsid w:val="0024798F"/>
    <w:rsid w:val="00247BF2"/>
    <w:rsid w:val="00247E73"/>
    <w:rsid w:val="00251979"/>
    <w:rsid w:val="00251B5A"/>
    <w:rsid w:val="002520CE"/>
    <w:rsid w:val="002522EB"/>
    <w:rsid w:val="0025232F"/>
    <w:rsid w:val="0025264F"/>
    <w:rsid w:val="0025271E"/>
    <w:rsid w:val="00253077"/>
    <w:rsid w:val="002532FB"/>
    <w:rsid w:val="00253664"/>
    <w:rsid w:val="00255741"/>
    <w:rsid w:val="00255AAF"/>
    <w:rsid w:val="00255AB9"/>
    <w:rsid w:val="00255DC0"/>
    <w:rsid w:val="00255DDD"/>
    <w:rsid w:val="00256567"/>
    <w:rsid w:val="00257BA4"/>
    <w:rsid w:val="0026008D"/>
    <w:rsid w:val="0026136E"/>
    <w:rsid w:val="00262207"/>
    <w:rsid w:val="0026249C"/>
    <w:rsid w:val="00262834"/>
    <w:rsid w:val="002632D0"/>
    <w:rsid w:val="00263441"/>
    <w:rsid w:val="0026360B"/>
    <w:rsid w:val="00263D75"/>
    <w:rsid w:val="00263F7D"/>
    <w:rsid w:val="002645BA"/>
    <w:rsid w:val="00264B66"/>
    <w:rsid w:val="00264FBB"/>
    <w:rsid w:val="00265638"/>
    <w:rsid w:val="002659C1"/>
    <w:rsid w:val="00265D0A"/>
    <w:rsid w:val="00265E76"/>
    <w:rsid w:val="00266252"/>
    <w:rsid w:val="002666FB"/>
    <w:rsid w:val="00266B46"/>
    <w:rsid w:val="00266D7A"/>
    <w:rsid w:val="002677F2"/>
    <w:rsid w:val="002700CB"/>
    <w:rsid w:val="00270535"/>
    <w:rsid w:val="0027108A"/>
    <w:rsid w:val="00271241"/>
    <w:rsid w:val="00271BB9"/>
    <w:rsid w:val="00272656"/>
    <w:rsid w:val="00272BBB"/>
    <w:rsid w:val="00272D4C"/>
    <w:rsid w:val="00272FAC"/>
    <w:rsid w:val="00273650"/>
    <w:rsid w:val="00273C35"/>
    <w:rsid w:val="00273E37"/>
    <w:rsid w:val="002743CC"/>
    <w:rsid w:val="002744C1"/>
    <w:rsid w:val="002746F0"/>
    <w:rsid w:val="00274AA5"/>
    <w:rsid w:val="002769DB"/>
    <w:rsid w:val="0027704B"/>
    <w:rsid w:val="00277DE9"/>
    <w:rsid w:val="00280662"/>
    <w:rsid w:val="0028096A"/>
    <w:rsid w:val="00280F92"/>
    <w:rsid w:val="0028149C"/>
    <w:rsid w:val="002814BA"/>
    <w:rsid w:val="00281EA1"/>
    <w:rsid w:val="002827C5"/>
    <w:rsid w:val="00282C9D"/>
    <w:rsid w:val="00283889"/>
    <w:rsid w:val="00283E1B"/>
    <w:rsid w:val="002843C4"/>
    <w:rsid w:val="002849A6"/>
    <w:rsid w:val="00284CB1"/>
    <w:rsid w:val="00285121"/>
    <w:rsid w:val="002853AE"/>
    <w:rsid w:val="002855F2"/>
    <w:rsid w:val="0028692E"/>
    <w:rsid w:val="00287275"/>
    <w:rsid w:val="002877BF"/>
    <w:rsid w:val="00287842"/>
    <w:rsid w:val="00290C18"/>
    <w:rsid w:val="00292BEA"/>
    <w:rsid w:val="0029349C"/>
    <w:rsid w:val="0029377E"/>
    <w:rsid w:val="0029389B"/>
    <w:rsid w:val="002938E0"/>
    <w:rsid w:val="0029435E"/>
    <w:rsid w:val="00294A65"/>
    <w:rsid w:val="00294B72"/>
    <w:rsid w:val="00294CCF"/>
    <w:rsid w:val="0029544A"/>
    <w:rsid w:val="00295A2A"/>
    <w:rsid w:val="00295D13"/>
    <w:rsid w:val="00296530"/>
    <w:rsid w:val="0029678A"/>
    <w:rsid w:val="00296F89"/>
    <w:rsid w:val="00297A4E"/>
    <w:rsid w:val="002A03B4"/>
    <w:rsid w:val="002A0BFE"/>
    <w:rsid w:val="002A0E8B"/>
    <w:rsid w:val="002A2801"/>
    <w:rsid w:val="002A297B"/>
    <w:rsid w:val="002A2D5C"/>
    <w:rsid w:val="002A34BF"/>
    <w:rsid w:val="002A477B"/>
    <w:rsid w:val="002A487C"/>
    <w:rsid w:val="002A48BD"/>
    <w:rsid w:val="002A4993"/>
    <w:rsid w:val="002A5410"/>
    <w:rsid w:val="002A5B4E"/>
    <w:rsid w:val="002A6165"/>
    <w:rsid w:val="002A66DC"/>
    <w:rsid w:val="002A6E53"/>
    <w:rsid w:val="002B036E"/>
    <w:rsid w:val="002B0DA8"/>
    <w:rsid w:val="002B11F8"/>
    <w:rsid w:val="002B191E"/>
    <w:rsid w:val="002B2592"/>
    <w:rsid w:val="002B25A0"/>
    <w:rsid w:val="002B2E54"/>
    <w:rsid w:val="002B3101"/>
    <w:rsid w:val="002B31C7"/>
    <w:rsid w:val="002B32B6"/>
    <w:rsid w:val="002B32DA"/>
    <w:rsid w:val="002B4005"/>
    <w:rsid w:val="002B405C"/>
    <w:rsid w:val="002B47A1"/>
    <w:rsid w:val="002B47ED"/>
    <w:rsid w:val="002B4EE8"/>
    <w:rsid w:val="002B574E"/>
    <w:rsid w:val="002B5F35"/>
    <w:rsid w:val="002B632D"/>
    <w:rsid w:val="002B6A33"/>
    <w:rsid w:val="002B6D4C"/>
    <w:rsid w:val="002B73BE"/>
    <w:rsid w:val="002B75A9"/>
    <w:rsid w:val="002B7D9F"/>
    <w:rsid w:val="002C0A87"/>
    <w:rsid w:val="002C11BE"/>
    <w:rsid w:val="002C1270"/>
    <w:rsid w:val="002C1A2F"/>
    <w:rsid w:val="002C2037"/>
    <w:rsid w:val="002C21A1"/>
    <w:rsid w:val="002C242D"/>
    <w:rsid w:val="002C2B32"/>
    <w:rsid w:val="002C3AB3"/>
    <w:rsid w:val="002C482A"/>
    <w:rsid w:val="002C4F75"/>
    <w:rsid w:val="002C5140"/>
    <w:rsid w:val="002C524B"/>
    <w:rsid w:val="002C528A"/>
    <w:rsid w:val="002C52A9"/>
    <w:rsid w:val="002C5706"/>
    <w:rsid w:val="002C575F"/>
    <w:rsid w:val="002C601B"/>
    <w:rsid w:val="002C6269"/>
    <w:rsid w:val="002C62C4"/>
    <w:rsid w:val="002C63F4"/>
    <w:rsid w:val="002C65D3"/>
    <w:rsid w:val="002C6737"/>
    <w:rsid w:val="002C6816"/>
    <w:rsid w:val="002C709E"/>
    <w:rsid w:val="002C7BBA"/>
    <w:rsid w:val="002D1F84"/>
    <w:rsid w:val="002D36CC"/>
    <w:rsid w:val="002D3E79"/>
    <w:rsid w:val="002D43BA"/>
    <w:rsid w:val="002D49D5"/>
    <w:rsid w:val="002D52A7"/>
    <w:rsid w:val="002D58E2"/>
    <w:rsid w:val="002D5A93"/>
    <w:rsid w:val="002D5FC8"/>
    <w:rsid w:val="002D6045"/>
    <w:rsid w:val="002D693E"/>
    <w:rsid w:val="002D718E"/>
    <w:rsid w:val="002D78EC"/>
    <w:rsid w:val="002D7C24"/>
    <w:rsid w:val="002D7C87"/>
    <w:rsid w:val="002E056B"/>
    <w:rsid w:val="002E10FF"/>
    <w:rsid w:val="002E17E6"/>
    <w:rsid w:val="002E1812"/>
    <w:rsid w:val="002E1AC8"/>
    <w:rsid w:val="002E1BEA"/>
    <w:rsid w:val="002E258C"/>
    <w:rsid w:val="002E4452"/>
    <w:rsid w:val="002E5BE3"/>
    <w:rsid w:val="002E6124"/>
    <w:rsid w:val="002E6BCB"/>
    <w:rsid w:val="002E6D8C"/>
    <w:rsid w:val="002F07C1"/>
    <w:rsid w:val="002F1249"/>
    <w:rsid w:val="002F1D4C"/>
    <w:rsid w:val="002F2515"/>
    <w:rsid w:val="002F259C"/>
    <w:rsid w:val="002F2C3C"/>
    <w:rsid w:val="002F2F7B"/>
    <w:rsid w:val="002F2FC6"/>
    <w:rsid w:val="002F3C78"/>
    <w:rsid w:val="002F45D4"/>
    <w:rsid w:val="002F4A1E"/>
    <w:rsid w:val="002F4B3A"/>
    <w:rsid w:val="002F5C6F"/>
    <w:rsid w:val="002F5D12"/>
    <w:rsid w:val="002F6C81"/>
    <w:rsid w:val="002F6D23"/>
    <w:rsid w:val="002F74FA"/>
    <w:rsid w:val="002F7F13"/>
    <w:rsid w:val="00300E39"/>
    <w:rsid w:val="003011BC"/>
    <w:rsid w:val="003020AF"/>
    <w:rsid w:val="00303B92"/>
    <w:rsid w:val="0030449C"/>
    <w:rsid w:val="00304D28"/>
    <w:rsid w:val="0030546E"/>
    <w:rsid w:val="0030560B"/>
    <w:rsid w:val="003059BE"/>
    <w:rsid w:val="00305D73"/>
    <w:rsid w:val="0030787B"/>
    <w:rsid w:val="00307E9D"/>
    <w:rsid w:val="003107B9"/>
    <w:rsid w:val="00310CAC"/>
    <w:rsid w:val="003111D5"/>
    <w:rsid w:val="0031186E"/>
    <w:rsid w:val="00311F40"/>
    <w:rsid w:val="0031243C"/>
    <w:rsid w:val="003130AE"/>
    <w:rsid w:val="003135D1"/>
    <w:rsid w:val="00315035"/>
    <w:rsid w:val="003156FA"/>
    <w:rsid w:val="00315C15"/>
    <w:rsid w:val="003167F3"/>
    <w:rsid w:val="003170F3"/>
    <w:rsid w:val="003177A0"/>
    <w:rsid w:val="00320404"/>
    <w:rsid w:val="0032125D"/>
    <w:rsid w:val="0032187D"/>
    <w:rsid w:val="00321EA4"/>
    <w:rsid w:val="0032215B"/>
    <w:rsid w:val="0032234B"/>
    <w:rsid w:val="00323132"/>
    <w:rsid w:val="00324EBA"/>
    <w:rsid w:val="0032503B"/>
    <w:rsid w:val="003253C2"/>
    <w:rsid w:val="00325ADA"/>
    <w:rsid w:val="00325D2F"/>
    <w:rsid w:val="00326171"/>
    <w:rsid w:val="0032664D"/>
    <w:rsid w:val="00326845"/>
    <w:rsid w:val="003275DE"/>
    <w:rsid w:val="003301C0"/>
    <w:rsid w:val="00330319"/>
    <w:rsid w:val="00332592"/>
    <w:rsid w:val="00332C4D"/>
    <w:rsid w:val="003343A6"/>
    <w:rsid w:val="003348D2"/>
    <w:rsid w:val="00334B7B"/>
    <w:rsid w:val="0033605C"/>
    <w:rsid w:val="00336A4B"/>
    <w:rsid w:val="00336A62"/>
    <w:rsid w:val="00336A7A"/>
    <w:rsid w:val="00337827"/>
    <w:rsid w:val="00337E79"/>
    <w:rsid w:val="00340A39"/>
    <w:rsid w:val="00340CC4"/>
    <w:rsid w:val="00340D73"/>
    <w:rsid w:val="00340DD5"/>
    <w:rsid w:val="0034123F"/>
    <w:rsid w:val="0034132E"/>
    <w:rsid w:val="00341476"/>
    <w:rsid w:val="00342AB0"/>
    <w:rsid w:val="00343AEA"/>
    <w:rsid w:val="00344559"/>
    <w:rsid w:val="00344769"/>
    <w:rsid w:val="00344E43"/>
    <w:rsid w:val="00345024"/>
    <w:rsid w:val="00345679"/>
    <w:rsid w:val="00345C17"/>
    <w:rsid w:val="00346563"/>
    <w:rsid w:val="00346787"/>
    <w:rsid w:val="003467EC"/>
    <w:rsid w:val="00350240"/>
    <w:rsid w:val="003516D0"/>
    <w:rsid w:val="00351C48"/>
    <w:rsid w:val="0035341A"/>
    <w:rsid w:val="00353F00"/>
    <w:rsid w:val="00354E62"/>
    <w:rsid w:val="003551E4"/>
    <w:rsid w:val="00355FD4"/>
    <w:rsid w:val="003569C4"/>
    <w:rsid w:val="0035751D"/>
    <w:rsid w:val="00357533"/>
    <w:rsid w:val="00357C26"/>
    <w:rsid w:val="00357DA4"/>
    <w:rsid w:val="00360446"/>
    <w:rsid w:val="00360F1B"/>
    <w:rsid w:val="00361503"/>
    <w:rsid w:val="003617EE"/>
    <w:rsid w:val="00361903"/>
    <w:rsid w:val="00361952"/>
    <w:rsid w:val="00361C49"/>
    <w:rsid w:val="003623D5"/>
    <w:rsid w:val="00362C71"/>
    <w:rsid w:val="00364016"/>
    <w:rsid w:val="0036414A"/>
    <w:rsid w:val="00364562"/>
    <w:rsid w:val="00366197"/>
    <w:rsid w:val="00366661"/>
    <w:rsid w:val="00366C08"/>
    <w:rsid w:val="0036701C"/>
    <w:rsid w:val="00370112"/>
    <w:rsid w:val="003704A3"/>
    <w:rsid w:val="00370554"/>
    <w:rsid w:val="003710F9"/>
    <w:rsid w:val="003715CF"/>
    <w:rsid w:val="00371954"/>
    <w:rsid w:val="00371EB2"/>
    <w:rsid w:val="00371F2D"/>
    <w:rsid w:val="00372259"/>
    <w:rsid w:val="00372B7D"/>
    <w:rsid w:val="00372C42"/>
    <w:rsid w:val="00372D31"/>
    <w:rsid w:val="00373406"/>
    <w:rsid w:val="003736D6"/>
    <w:rsid w:val="00374619"/>
    <w:rsid w:val="0037552B"/>
    <w:rsid w:val="00375D94"/>
    <w:rsid w:val="0037613B"/>
    <w:rsid w:val="00376995"/>
    <w:rsid w:val="00377377"/>
    <w:rsid w:val="00377C65"/>
    <w:rsid w:val="00380130"/>
    <w:rsid w:val="00380482"/>
    <w:rsid w:val="00380822"/>
    <w:rsid w:val="00380A1D"/>
    <w:rsid w:val="00380C1C"/>
    <w:rsid w:val="00380DCA"/>
    <w:rsid w:val="003815E6"/>
    <w:rsid w:val="00381B1C"/>
    <w:rsid w:val="00382123"/>
    <w:rsid w:val="00382222"/>
    <w:rsid w:val="00382CF2"/>
    <w:rsid w:val="0038318A"/>
    <w:rsid w:val="00383B84"/>
    <w:rsid w:val="00384589"/>
    <w:rsid w:val="00384A42"/>
    <w:rsid w:val="00386119"/>
    <w:rsid w:val="003861DF"/>
    <w:rsid w:val="0038653D"/>
    <w:rsid w:val="00386F76"/>
    <w:rsid w:val="00387141"/>
    <w:rsid w:val="0038737A"/>
    <w:rsid w:val="003874E2"/>
    <w:rsid w:val="00391700"/>
    <w:rsid w:val="00391826"/>
    <w:rsid w:val="00391AD3"/>
    <w:rsid w:val="00391CB5"/>
    <w:rsid w:val="00392186"/>
    <w:rsid w:val="00392345"/>
    <w:rsid w:val="00393228"/>
    <w:rsid w:val="00393A09"/>
    <w:rsid w:val="00393CA6"/>
    <w:rsid w:val="0039477A"/>
    <w:rsid w:val="00394B37"/>
    <w:rsid w:val="00394BE3"/>
    <w:rsid w:val="00394EC5"/>
    <w:rsid w:val="003952A2"/>
    <w:rsid w:val="00395A1B"/>
    <w:rsid w:val="00395F10"/>
    <w:rsid w:val="003971B9"/>
    <w:rsid w:val="003A030E"/>
    <w:rsid w:val="003A0BA3"/>
    <w:rsid w:val="003A0D9E"/>
    <w:rsid w:val="003A0F1D"/>
    <w:rsid w:val="003A1945"/>
    <w:rsid w:val="003A1F24"/>
    <w:rsid w:val="003A2094"/>
    <w:rsid w:val="003A225F"/>
    <w:rsid w:val="003A25CA"/>
    <w:rsid w:val="003A2648"/>
    <w:rsid w:val="003A2765"/>
    <w:rsid w:val="003A2BF4"/>
    <w:rsid w:val="003A2D48"/>
    <w:rsid w:val="003A2F54"/>
    <w:rsid w:val="003A316C"/>
    <w:rsid w:val="003A3323"/>
    <w:rsid w:val="003A4128"/>
    <w:rsid w:val="003A45B1"/>
    <w:rsid w:val="003A45F9"/>
    <w:rsid w:val="003A5111"/>
    <w:rsid w:val="003A5802"/>
    <w:rsid w:val="003A6BB7"/>
    <w:rsid w:val="003A6BDE"/>
    <w:rsid w:val="003A6FD0"/>
    <w:rsid w:val="003A717B"/>
    <w:rsid w:val="003A7567"/>
    <w:rsid w:val="003B002F"/>
    <w:rsid w:val="003B13AD"/>
    <w:rsid w:val="003B1997"/>
    <w:rsid w:val="003B2400"/>
    <w:rsid w:val="003B2701"/>
    <w:rsid w:val="003B27FE"/>
    <w:rsid w:val="003B3550"/>
    <w:rsid w:val="003B3A1E"/>
    <w:rsid w:val="003B5454"/>
    <w:rsid w:val="003B5BE0"/>
    <w:rsid w:val="003B6343"/>
    <w:rsid w:val="003B65F3"/>
    <w:rsid w:val="003B6F31"/>
    <w:rsid w:val="003C0187"/>
    <w:rsid w:val="003C0BD4"/>
    <w:rsid w:val="003C0C58"/>
    <w:rsid w:val="003C0C69"/>
    <w:rsid w:val="003C0D0B"/>
    <w:rsid w:val="003C0F7E"/>
    <w:rsid w:val="003C11D4"/>
    <w:rsid w:val="003C1B55"/>
    <w:rsid w:val="003C242D"/>
    <w:rsid w:val="003C2BA5"/>
    <w:rsid w:val="003C31CC"/>
    <w:rsid w:val="003C324A"/>
    <w:rsid w:val="003C335A"/>
    <w:rsid w:val="003C3D4B"/>
    <w:rsid w:val="003C3E28"/>
    <w:rsid w:val="003C41DE"/>
    <w:rsid w:val="003C4325"/>
    <w:rsid w:val="003C4D58"/>
    <w:rsid w:val="003C640B"/>
    <w:rsid w:val="003C7818"/>
    <w:rsid w:val="003C793F"/>
    <w:rsid w:val="003C7FC4"/>
    <w:rsid w:val="003D01DC"/>
    <w:rsid w:val="003D0A3C"/>
    <w:rsid w:val="003D11C5"/>
    <w:rsid w:val="003D1786"/>
    <w:rsid w:val="003D2D43"/>
    <w:rsid w:val="003D2DD7"/>
    <w:rsid w:val="003D3C96"/>
    <w:rsid w:val="003D3CB0"/>
    <w:rsid w:val="003D43CB"/>
    <w:rsid w:val="003D500E"/>
    <w:rsid w:val="003D5455"/>
    <w:rsid w:val="003D652E"/>
    <w:rsid w:val="003D6605"/>
    <w:rsid w:val="003D75E1"/>
    <w:rsid w:val="003D78D4"/>
    <w:rsid w:val="003E0467"/>
    <w:rsid w:val="003E04EE"/>
    <w:rsid w:val="003E0E9A"/>
    <w:rsid w:val="003E0F0F"/>
    <w:rsid w:val="003E10AE"/>
    <w:rsid w:val="003E121F"/>
    <w:rsid w:val="003E1399"/>
    <w:rsid w:val="003E150A"/>
    <w:rsid w:val="003E1ABE"/>
    <w:rsid w:val="003E2464"/>
    <w:rsid w:val="003E289B"/>
    <w:rsid w:val="003E29D9"/>
    <w:rsid w:val="003E2C4F"/>
    <w:rsid w:val="003E339F"/>
    <w:rsid w:val="003E375F"/>
    <w:rsid w:val="003E47D1"/>
    <w:rsid w:val="003E4C82"/>
    <w:rsid w:val="003E4E40"/>
    <w:rsid w:val="003E5423"/>
    <w:rsid w:val="003E743A"/>
    <w:rsid w:val="003E745B"/>
    <w:rsid w:val="003E7980"/>
    <w:rsid w:val="003F0635"/>
    <w:rsid w:val="003F0924"/>
    <w:rsid w:val="003F0AFB"/>
    <w:rsid w:val="003F2A24"/>
    <w:rsid w:val="003F3754"/>
    <w:rsid w:val="003F39C9"/>
    <w:rsid w:val="003F45E1"/>
    <w:rsid w:val="003F45FE"/>
    <w:rsid w:val="003F469B"/>
    <w:rsid w:val="003F4858"/>
    <w:rsid w:val="003F4A55"/>
    <w:rsid w:val="003F4CF2"/>
    <w:rsid w:val="003F58D7"/>
    <w:rsid w:val="003F7348"/>
    <w:rsid w:val="003F7BF6"/>
    <w:rsid w:val="004002A7"/>
    <w:rsid w:val="00400318"/>
    <w:rsid w:val="0040112D"/>
    <w:rsid w:val="004013E5"/>
    <w:rsid w:val="00402EDE"/>
    <w:rsid w:val="00403B8C"/>
    <w:rsid w:val="00404D11"/>
    <w:rsid w:val="00404E7F"/>
    <w:rsid w:val="00404E9A"/>
    <w:rsid w:val="00404F30"/>
    <w:rsid w:val="00404F84"/>
    <w:rsid w:val="004051BE"/>
    <w:rsid w:val="00405297"/>
    <w:rsid w:val="004057F5"/>
    <w:rsid w:val="00405AC0"/>
    <w:rsid w:val="00405ACB"/>
    <w:rsid w:val="00405CA6"/>
    <w:rsid w:val="00405DE9"/>
    <w:rsid w:val="004063BD"/>
    <w:rsid w:val="00407379"/>
    <w:rsid w:val="00407B34"/>
    <w:rsid w:val="00407F8F"/>
    <w:rsid w:val="0041003A"/>
    <w:rsid w:val="004102A4"/>
    <w:rsid w:val="00410878"/>
    <w:rsid w:val="00410B48"/>
    <w:rsid w:val="00410D0B"/>
    <w:rsid w:val="004115D4"/>
    <w:rsid w:val="00412437"/>
    <w:rsid w:val="004125F3"/>
    <w:rsid w:val="00412DCF"/>
    <w:rsid w:val="00412DE3"/>
    <w:rsid w:val="00413803"/>
    <w:rsid w:val="00413DB1"/>
    <w:rsid w:val="00414063"/>
    <w:rsid w:val="00414557"/>
    <w:rsid w:val="004148CF"/>
    <w:rsid w:val="00414B79"/>
    <w:rsid w:val="00414FFC"/>
    <w:rsid w:val="00415CAC"/>
    <w:rsid w:val="0041615E"/>
    <w:rsid w:val="004165CA"/>
    <w:rsid w:val="00416959"/>
    <w:rsid w:val="00417060"/>
    <w:rsid w:val="0041767C"/>
    <w:rsid w:val="00417A56"/>
    <w:rsid w:val="00417A78"/>
    <w:rsid w:val="00417AC6"/>
    <w:rsid w:val="00417F33"/>
    <w:rsid w:val="0042087B"/>
    <w:rsid w:val="0042097E"/>
    <w:rsid w:val="00420DB3"/>
    <w:rsid w:val="00421968"/>
    <w:rsid w:val="00423E8F"/>
    <w:rsid w:val="0042510C"/>
    <w:rsid w:val="0042521B"/>
    <w:rsid w:val="00425BD4"/>
    <w:rsid w:val="00425D0A"/>
    <w:rsid w:val="00425E2D"/>
    <w:rsid w:val="004260D0"/>
    <w:rsid w:val="00427597"/>
    <w:rsid w:val="004277E9"/>
    <w:rsid w:val="00430BD5"/>
    <w:rsid w:val="00431EFF"/>
    <w:rsid w:val="00432190"/>
    <w:rsid w:val="0043239F"/>
    <w:rsid w:val="00432BF1"/>
    <w:rsid w:val="004350A6"/>
    <w:rsid w:val="004350B9"/>
    <w:rsid w:val="00435941"/>
    <w:rsid w:val="004361E0"/>
    <w:rsid w:val="00436313"/>
    <w:rsid w:val="00436ED0"/>
    <w:rsid w:val="0043768C"/>
    <w:rsid w:val="0044035C"/>
    <w:rsid w:val="00440632"/>
    <w:rsid w:val="00440B2D"/>
    <w:rsid w:val="00440F5E"/>
    <w:rsid w:val="004416E0"/>
    <w:rsid w:val="004418AB"/>
    <w:rsid w:val="00441C43"/>
    <w:rsid w:val="00442DF4"/>
    <w:rsid w:val="00443366"/>
    <w:rsid w:val="00443CB2"/>
    <w:rsid w:val="004442DB"/>
    <w:rsid w:val="00444700"/>
    <w:rsid w:val="00444869"/>
    <w:rsid w:val="00444A97"/>
    <w:rsid w:val="00444AF7"/>
    <w:rsid w:val="00444F87"/>
    <w:rsid w:val="00445D2E"/>
    <w:rsid w:val="00445E25"/>
    <w:rsid w:val="004469BD"/>
    <w:rsid w:val="00446F80"/>
    <w:rsid w:val="004472A5"/>
    <w:rsid w:val="00447CDA"/>
    <w:rsid w:val="00450713"/>
    <w:rsid w:val="00450DF1"/>
    <w:rsid w:val="00450F09"/>
    <w:rsid w:val="004510A9"/>
    <w:rsid w:val="004512D9"/>
    <w:rsid w:val="00451991"/>
    <w:rsid w:val="00451FB4"/>
    <w:rsid w:val="004521FA"/>
    <w:rsid w:val="00452626"/>
    <w:rsid w:val="00452861"/>
    <w:rsid w:val="00452B60"/>
    <w:rsid w:val="004530AE"/>
    <w:rsid w:val="00453136"/>
    <w:rsid w:val="00454000"/>
    <w:rsid w:val="004547D9"/>
    <w:rsid w:val="00454B5C"/>
    <w:rsid w:val="00454E1C"/>
    <w:rsid w:val="004552D6"/>
    <w:rsid w:val="00455ED5"/>
    <w:rsid w:val="00457372"/>
    <w:rsid w:val="00457C1E"/>
    <w:rsid w:val="00460223"/>
    <w:rsid w:val="00460395"/>
    <w:rsid w:val="004608F2"/>
    <w:rsid w:val="00460D2E"/>
    <w:rsid w:val="004622EF"/>
    <w:rsid w:val="00462FF5"/>
    <w:rsid w:val="004631D8"/>
    <w:rsid w:val="00463283"/>
    <w:rsid w:val="004632A0"/>
    <w:rsid w:val="00463B66"/>
    <w:rsid w:val="00464497"/>
    <w:rsid w:val="0046450E"/>
    <w:rsid w:val="00464887"/>
    <w:rsid w:val="00464EFB"/>
    <w:rsid w:val="00465447"/>
    <w:rsid w:val="0046573A"/>
    <w:rsid w:val="00465795"/>
    <w:rsid w:val="00465B04"/>
    <w:rsid w:val="004662D7"/>
    <w:rsid w:val="004665D5"/>
    <w:rsid w:val="00466A71"/>
    <w:rsid w:val="00466C53"/>
    <w:rsid w:val="00466D39"/>
    <w:rsid w:val="00466FCE"/>
    <w:rsid w:val="0046716F"/>
    <w:rsid w:val="00467836"/>
    <w:rsid w:val="00467A81"/>
    <w:rsid w:val="0047086D"/>
    <w:rsid w:val="00470C17"/>
    <w:rsid w:val="00472962"/>
    <w:rsid w:val="00473447"/>
    <w:rsid w:val="004737F7"/>
    <w:rsid w:val="00473D16"/>
    <w:rsid w:val="00476139"/>
    <w:rsid w:val="004769E9"/>
    <w:rsid w:val="00476EB8"/>
    <w:rsid w:val="004800C7"/>
    <w:rsid w:val="00480936"/>
    <w:rsid w:val="004816BB"/>
    <w:rsid w:val="004818EC"/>
    <w:rsid w:val="00481C6F"/>
    <w:rsid w:val="00481CB2"/>
    <w:rsid w:val="00481CBA"/>
    <w:rsid w:val="00481EA1"/>
    <w:rsid w:val="00482070"/>
    <w:rsid w:val="00483503"/>
    <w:rsid w:val="0048388B"/>
    <w:rsid w:val="004838DA"/>
    <w:rsid w:val="00483B53"/>
    <w:rsid w:val="00483DB3"/>
    <w:rsid w:val="004849CC"/>
    <w:rsid w:val="00484DE4"/>
    <w:rsid w:val="00485B1C"/>
    <w:rsid w:val="00485CCD"/>
    <w:rsid w:val="00486C01"/>
    <w:rsid w:val="00486C35"/>
    <w:rsid w:val="00487A4F"/>
    <w:rsid w:val="00487E67"/>
    <w:rsid w:val="0049067B"/>
    <w:rsid w:val="004911E7"/>
    <w:rsid w:val="00493163"/>
    <w:rsid w:val="004933D9"/>
    <w:rsid w:val="0049389F"/>
    <w:rsid w:val="00494A71"/>
    <w:rsid w:val="00495482"/>
    <w:rsid w:val="0049580F"/>
    <w:rsid w:val="00495B71"/>
    <w:rsid w:val="004978EF"/>
    <w:rsid w:val="00497CD3"/>
    <w:rsid w:val="00497F51"/>
    <w:rsid w:val="00497F7E"/>
    <w:rsid w:val="004A0922"/>
    <w:rsid w:val="004A0B1C"/>
    <w:rsid w:val="004A0DA3"/>
    <w:rsid w:val="004A115F"/>
    <w:rsid w:val="004A12C8"/>
    <w:rsid w:val="004A26B3"/>
    <w:rsid w:val="004A2733"/>
    <w:rsid w:val="004A278A"/>
    <w:rsid w:val="004A27CC"/>
    <w:rsid w:val="004A48C0"/>
    <w:rsid w:val="004A492E"/>
    <w:rsid w:val="004A4E13"/>
    <w:rsid w:val="004A53AB"/>
    <w:rsid w:val="004A5805"/>
    <w:rsid w:val="004A5A74"/>
    <w:rsid w:val="004A6200"/>
    <w:rsid w:val="004A6552"/>
    <w:rsid w:val="004A661B"/>
    <w:rsid w:val="004A6A0C"/>
    <w:rsid w:val="004A6B07"/>
    <w:rsid w:val="004A6CC8"/>
    <w:rsid w:val="004A7145"/>
    <w:rsid w:val="004A7147"/>
    <w:rsid w:val="004A7517"/>
    <w:rsid w:val="004A75FF"/>
    <w:rsid w:val="004A7C1A"/>
    <w:rsid w:val="004A7CDD"/>
    <w:rsid w:val="004B1174"/>
    <w:rsid w:val="004B15B5"/>
    <w:rsid w:val="004B19AF"/>
    <w:rsid w:val="004B19F6"/>
    <w:rsid w:val="004B2053"/>
    <w:rsid w:val="004B223F"/>
    <w:rsid w:val="004B28BF"/>
    <w:rsid w:val="004B29F4"/>
    <w:rsid w:val="004B2C3C"/>
    <w:rsid w:val="004B358D"/>
    <w:rsid w:val="004B392C"/>
    <w:rsid w:val="004B44F2"/>
    <w:rsid w:val="004B4FCA"/>
    <w:rsid w:val="004B53DB"/>
    <w:rsid w:val="004B594F"/>
    <w:rsid w:val="004B6026"/>
    <w:rsid w:val="004B65B7"/>
    <w:rsid w:val="004C0862"/>
    <w:rsid w:val="004C0F82"/>
    <w:rsid w:val="004C1CA9"/>
    <w:rsid w:val="004C3A06"/>
    <w:rsid w:val="004C3F3C"/>
    <w:rsid w:val="004C43C9"/>
    <w:rsid w:val="004C43F8"/>
    <w:rsid w:val="004C44BF"/>
    <w:rsid w:val="004C494D"/>
    <w:rsid w:val="004C4DC9"/>
    <w:rsid w:val="004C554A"/>
    <w:rsid w:val="004C562C"/>
    <w:rsid w:val="004C56BD"/>
    <w:rsid w:val="004C59BC"/>
    <w:rsid w:val="004C6761"/>
    <w:rsid w:val="004D0247"/>
    <w:rsid w:val="004D2C32"/>
    <w:rsid w:val="004D3125"/>
    <w:rsid w:val="004D31DC"/>
    <w:rsid w:val="004D36EA"/>
    <w:rsid w:val="004D36F8"/>
    <w:rsid w:val="004D3924"/>
    <w:rsid w:val="004D43DF"/>
    <w:rsid w:val="004D52F8"/>
    <w:rsid w:val="004D5ACE"/>
    <w:rsid w:val="004D5F31"/>
    <w:rsid w:val="004D64AE"/>
    <w:rsid w:val="004D67A3"/>
    <w:rsid w:val="004D6A8F"/>
    <w:rsid w:val="004D6CE9"/>
    <w:rsid w:val="004D6D83"/>
    <w:rsid w:val="004D7014"/>
    <w:rsid w:val="004D71E0"/>
    <w:rsid w:val="004D7355"/>
    <w:rsid w:val="004D780A"/>
    <w:rsid w:val="004E145A"/>
    <w:rsid w:val="004E1893"/>
    <w:rsid w:val="004E1B0C"/>
    <w:rsid w:val="004E1D12"/>
    <w:rsid w:val="004E264C"/>
    <w:rsid w:val="004E28CE"/>
    <w:rsid w:val="004E31FC"/>
    <w:rsid w:val="004E3473"/>
    <w:rsid w:val="004E46BF"/>
    <w:rsid w:val="004E4A18"/>
    <w:rsid w:val="004E4BA5"/>
    <w:rsid w:val="004E4D44"/>
    <w:rsid w:val="004E4EB0"/>
    <w:rsid w:val="004E4F07"/>
    <w:rsid w:val="004E4F6F"/>
    <w:rsid w:val="004E4FA9"/>
    <w:rsid w:val="004E5AB0"/>
    <w:rsid w:val="004E5ADD"/>
    <w:rsid w:val="004E5FC2"/>
    <w:rsid w:val="004E6289"/>
    <w:rsid w:val="004E6620"/>
    <w:rsid w:val="004E72C5"/>
    <w:rsid w:val="004E7DA3"/>
    <w:rsid w:val="004F0F71"/>
    <w:rsid w:val="004F1171"/>
    <w:rsid w:val="004F210D"/>
    <w:rsid w:val="004F2386"/>
    <w:rsid w:val="004F2DB7"/>
    <w:rsid w:val="004F3E85"/>
    <w:rsid w:val="004F40D3"/>
    <w:rsid w:val="004F43A6"/>
    <w:rsid w:val="004F48EB"/>
    <w:rsid w:val="004F4C48"/>
    <w:rsid w:val="004F4E63"/>
    <w:rsid w:val="004F5CD1"/>
    <w:rsid w:val="004F6139"/>
    <w:rsid w:val="004F63AB"/>
    <w:rsid w:val="004F6736"/>
    <w:rsid w:val="004F6DCE"/>
    <w:rsid w:val="004F6F09"/>
    <w:rsid w:val="004F785D"/>
    <w:rsid w:val="004F7932"/>
    <w:rsid w:val="004F7AE7"/>
    <w:rsid w:val="005009F6"/>
    <w:rsid w:val="00500AF4"/>
    <w:rsid w:val="00501DF5"/>
    <w:rsid w:val="005020C0"/>
    <w:rsid w:val="005030FC"/>
    <w:rsid w:val="00503B7B"/>
    <w:rsid w:val="00503C64"/>
    <w:rsid w:val="00504337"/>
    <w:rsid w:val="005043EC"/>
    <w:rsid w:val="005051B6"/>
    <w:rsid w:val="00505510"/>
    <w:rsid w:val="0050632D"/>
    <w:rsid w:val="00507279"/>
    <w:rsid w:val="005072A9"/>
    <w:rsid w:val="00507D19"/>
    <w:rsid w:val="00510087"/>
    <w:rsid w:val="00510124"/>
    <w:rsid w:val="00510223"/>
    <w:rsid w:val="00510709"/>
    <w:rsid w:val="005125B0"/>
    <w:rsid w:val="005128BC"/>
    <w:rsid w:val="00512A3B"/>
    <w:rsid w:val="00513089"/>
    <w:rsid w:val="005139CD"/>
    <w:rsid w:val="00513B6F"/>
    <w:rsid w:val="005141F0"/>
    <w:rsid w:val="00514BDD"/>
    <w:rsid w:val="005154A3"/>
    <w:rsid w:val="00515922"/>
    <w:rsid w:val="00516ACF"/>
    <w:rsid w:val="00516D8F"/>
    <w:rsid w:val="0051711A"/>
    <w:rsid w:val="005214DB"/>
    <w:rsid w:val="0052256E"/>
    <w:rsid w:val="00522779"/>
    <w:rsid w:val="005227EC"/>
    <w:rsid w:val="0052358E"/>
    <w:rsid w:val="005235D5"/>
    <w:rsid w:val="00524105"/>
    <w:rsid w:val="005243C5"/>
    <w:rsid w:val="00524561"/>
    <w:rsid w:val="005246E3"/>
    <w:rsid w:val="00524D7C"/>
    <w:rsid w:val="00524E4D"/>
    <w:rsid w:val="0052538B"/>
    <w:rsid w:val="0052598F"/>
    <w:rsid w:val="00526830"/>
    <w:rsid w:val="0053060C"/>
    <w:rsid w:val="00531A85"/>
    <w:rsid w:val="00531B8B"/>
    <w:rsid w:val="00531C99"/>
    <w:rsid w:val="00532054"/>
    <w:rsid w:val="00532FF3"/>
    <w:rsid w:val="005335E2"/>
    <w:rsid w:val="005339E4"/>
    <w:rsid w:val="00533C93"/>
    <w:rsid w:val="00534174"/>
    <w:rsid w:val="00534246"/>
    <w:rsid w:val="005347CC"/>
    <w:rsid w:val="0053504F"/>
    <w:rsid w:val="00535442"/>
    <w:rsid w:val="005354AD"/>
    <w:rsid w:val="005358B3"/>
    <w:rsid w:val="00535962"/>
    <w:rsid w:val="00535E67"/>
    <w:rsid w:val="00536F1D"/>
    <w:rsid w:val="005373E1"/>
    <w:rsid w:val="005379B2"/>
    <w:rsid w:val="0054000B"/>
    <w:rsid w:val="00540085"/>
    <w:rsid w:val="0054032E"/>
    <w:rsid w:val="005403C5"/>
    <w:rsid w:val="00540A81"/>
    <w:rsid w:val="005411A4"/>
    <w:rsid w:val="005417C5"/>
    <w:rsid w:val="00541C17"/>
    <w:rsid w:val="00541D0A"/>
    <w:rsid w:val="0054262A"/>
    <w:rsid w:val="00542AF5"/>
    <w:rsid w:val="00542B4F"/>
    <w:rsid w:val="00543B84"/>
    <w:rsid w:val="0054444A"/>
    <w:rsid w:val="005446B2"/>
    <w:rsid w:val="00544A72"/>
    <w:rsid w:val="00544B57"/>
    <w:rsid w:val="005457DD"/>
    <w:rsid w:val="0054663D"/>
    <w:rsid w:val="00547079"/>
    <w:rsid w:val="00547277"/>
    <w:rsid w:val="00547596"/>
    <w:rsid w:val="00547B64"/>
    <w:rsid w:val="00547BCA"/>
    <w:rsid w:val="00547D8B"/>
    <w:rsid w:val="00547EA1"/>
    <w:rsid w:val="00547FF2"/>
    <w:rsid w:val="005505D7"/>
    <w:rsid w:val="005511CB"/>
    <w:rsid w:val="0055148B"/>
    <w:rsid w:val="0055343A"/>
    <w:rsid w:val="005537DE"/>
    <w:rsid w:val="00554441"/>
    <w:rsid w:val="00554907"/>
    <w:rsid w:val="00555190"/>
    <w:rsid w:val="00555B0D"/>
    <w:rsid w:val="00555F0C"/>
    <w:rsid w:val="005562B5"/>
    <w:rsid w:val="00556C42"/>
    <w:rsid w:val="00556E34"/>
    <w:rsid w:val="00556EEB"/>
    <w:rsid w:val="005574BA"/>
    <w:rsid w:val="00560267"/>
    <w:rsid w:val="005603DB"/>
    <w:rsid w:val="00560699"/>
    <w:rsid w:val="005608EA"/>
    <w:rsid w:val="005613F5"/>
    <w:rsid w:val="005616DD"/>
    <w:rsid w:val="00561F80"/>
    <w:rsid w:val="005621E2"/>
    <w:rsid w:val="00562FD1"/>
    <w:rsid w:val="005631A3"/>
    <w:rsid w:val="00563216"/>
    <w:rsid w:val="005633F9"/>
    <w:rsid w:val="0056365C"/>
    <w:rsid w:val="00563B2B"/>
    <w:rsid w:val="005644E6"/>
    <w:rsid w:val="005647FA"/>
    <w:rsid w:val="005648B4"/>
    <w:rsid w:val="005653E6"/>
    <w:rsid w:val="0056571B"/>
    <w:rsid w:val="0056611E"/>
    <w:rsid w:val="005666B2"/>
    <w:rsid w:val="00566BF9"/>
    <w:rsid w:val="00566EC9"/>
    <w:rsid w:val="00571470"/>
    <w:rsid w:val="00571542"/>
    <w:rsid w:val="00571CFD"/>
    <w:rsid w:val="00571DB0"/>
    <w:rsid w:val="00572E58"/>
    <w:rsid w:val="0057329A"/>
    <w:rsid w:val="0057360E"/>
    <w:rsid w:val="0057368E"/>
    <w:rsid w:val="005738C6"/>
    <w:rsid w:val="005749FE"/>
    <w:rsid w:val="00574BF0"/>
    <w:rsid w:val="00574D46"/>
    <w:rsid w:val="005750E3"/>
    <w:rsid w:val="00575430"/>
    <w:rsid w:val="00575DFD"/>
    <w:rsid w:val="005761B7"/>
    <w:rsid w:val="00577227"/>
    <w:rsid w:val="005774BA"/>
    <w:rsid w:val="00577CE1"/>
    <w:rsid w:val="00580314"/>
    <w:rsid w:val="00580843"/>
    <w:rsid w:val="00580990"/>
    <w:rsid w:val="00580D50"/>
    <w:rsid w:val="00580E72"/>
    <w:rsid w:val="005814D6"/>
    <w:rsid w:val="00582026"/>
    <w:rsid w:val="005829FA"/>
    <w:rsid w:val="00582F8E"/>
    <w:rsid w:val="0058311E"/>
    <w:rsid w:val="00583796"/>
    <w:rsid w:val="005838E2"/>
    <w:rsid w:val="00583CFC"/>
    <w:rsid w:val="00584080"/>
    <w:rsid w:val="005851D8"/>
    <w:rsid w:val="00585320"/>
    <w:rsid w:val="005861CE"/>
    <w:rsid w:val="00587F08"/>
    <w:rsid w:val="00590A78"/>
    <w:rsid w:val="00590D52"/>
    <w:rsid w:val="005915E4"/>
    <w:rsid w:val="00591D6F"/>
    <w:rsid w:val="005927B0"/>
    <w:rsid w:val="00592DF8"/>
    <w:rsid w:val="00593A7D"/>
    <w:rsid w:val="00593E9F"/>
    <w:rsid w:val="005969A1"/>
    <w:rsid w:val="00597B5C"/>
    <w:rsid w:val="005A0C4E"/>
    <w:rsid w:val="005A140B"/>
    <w:rsid w:val="005A2134"/>
    <w:rsid w:val="005A2E11"/>
    <w:rsid w:val="005A3011"/>
    <w:rsid w:val="005A3405"/>
    <w:rsid w:val="005A357B"/>
    <w:rsid w:val="005A3A26"/>
    <w:rsid w:val="005A46DB"/>
    <w:rsid w:val="005A483A"/>
    <w:rsid w:val="005A506B"/>
    <w:rsid w:val="005A50DF"/>
    <w:rsid w:val="005A52DE"/>
    <w:rsid w:val="005A52FA"/>
    <w:rsid w:val="005A65AD"/>
    <w:rsid w:val="005A763F"/>
    <w:rsid w:val="005B0DBD"/>
    <w:rsid w:val="005B11E9"/>
    <w:rsid w:val="005B12C6"/>
    <w:rsid w:val="005B1997"/>
    <w:rsid w:val="005B4585"/>
    <w:rsid w:val="005B4847"/>
    <w:rsid w:val="005B5178"/>
    <w:rsid w:val="005B5585"/>
    <w:rsid w:val="005B576B"/>
    <w:rsid w:val="005B5D18"/>
    <w:rsid w:val="005B5F80"/>
    <w:rsid w:val="005B6744"/>
    <w:rsid w:val="005B6D0A"/>
    <w:rsid w:val="005B70F2"/>
    <w:rsid w:val="005C01B4"/>
    <w:rsid w:val="005C133B"/>
    <w:rsid w:val="005C25AF"/>
    <w:rsid w:val="005C27D4"/>
    <w:rsid w:val="005C3AEE"/>
    <w:rsid w:val="005C494A"/>
    <w:rsid w:val="005C4A10"/>
    <w:rsid w:val="005C4C5B"/>
    <w:rsid w:val="005C4C96"/>
    <w:rsid w:val="005C4CB6"/>
    <w:rsid w:val="005C4D00"/>
    <w:rsid w:val="005C5409"/>
    <w:rsid w:val="005C5B43"/>
    <w:rsid w:val="005C6D3C"/>
    <w:rsid w:val="005C6FF5"/>
    <w:rsid w:val="005C7433"/>
    <w:rsid w:val="005D05B5"/>
    <w:rsid w:val="005D072F"/>
    <w:rsid w:val="005D1264"/>
    <w:rsid w:val="005D1AC5"/>
    <w:rsid w:val="005D1F24"/>
    <w:rsid w:val="005D201C"/>
    <w:rsid w:val="005D217F"/>
    <w:rsid w:val="005D2985"/>
    <w:rsid w:val="005D2AC2"/>
    <w:rsid w:val="005D2C17"/>
    <w:rsid w:val="005D365E"/>
    <w:rsid w:val="005D3DD9"/>
    <w:rsid w:val="005D48B9"/>
    <w:rsid w:val="005D49BA"/>
    <w:rsid w:val="005D4D2C"/>
    <w:rsid w:val="005D5C02"/>
    <w:rsid w:val="005D5FB1"/>
    <w:rsid w:val="005D6573"/>
    <w:rsid w:val="005D69EA"/>
    <w:rsid w:val="005D77BD"/>
    <w:rsid w:val="005D78A9"/>
    <w:rsid w:val="005E00EB"/>
    <w:rsid w:val="005E0841"/>
    <w:rsid w:val="005E127E"/>
    <w:rsid w:val="005E1979"/>
    <w:rsid w:val="005E25B6"/>
    <w:rsid w:val="005E27F6"/>
    <w:rsid w:val="005E2954"/>
    <w:rsid w:val="005E328E"/>
    <w:rsid w:val="005E3987"/>
    <w:rsid w:val="005E4580"/>
    <w:rsid w:val="005E4DE8"/>
    <w:rsid w:val="005E5220"/>
    <w:rsid w:val="005E5262"/>
    <w:rsid w:val="005E5BA9"/>
    <w:rsid w:val="005E5E62"/>
    <w:rsid w:val="005E613D"/>
    <w:rsid w:val="005E6B10"/>
    <w:rsid w:val="005E6E80"/>
    <w:rsid w:val="005E7C2D"/>
    <w:rsid w:val="005E7F58"/>
    <w:rsid w:val="005F08B8"/>
    <w:rsid w:val="005F18BA"/>
    <w:rsid w:val="005F2285"/>
    <w:rsid w:val="005F2AB4"/>
    <w:rsid w:val="005F39F0"/>
    <w:rsid w:val="005F4014"/>
    <w:rsid w:val="005F429B"/>
    <w:rsid w:val="005F44DA"/>
    <w:rsid w:val="005F53B5"/>
    <w:rsid w:val="005F5778"/>
    <w:rsid w:val="005F5DAD"/>
    <w:rsid w:val="005F5E0F"/>
    <w:rsid w:val="005F627D"/>
    <w:rsid w:val="005F6A72"/>
    <w:rsid w:val="005F70BF"/>
    <w:rsid w:val="005F753B"/>
    <w:rsid w:val="0060114C"/>
    <w:rsid w:val="0060123A"/>
    <w:rsid w:val="0060128F"/>
    <w:rsid w:val="00601EC1"/>
    <w:rsid w:val="006024ED"/>
    <w:rsid w:val="0060305E"/>
    <w:rsid w:val="00603957"/>
    <w:rsid w:val="0060436C"/>
    <w:rsid w:val="006043FA"/>
    <w:rsid w:val="00604576"/>
    <w:rsid w:val="00605E1C"/>
    <w:rsid w:val="006060F4"/>
    <w:rsid w:val="00606445"/>
    <w:rsid w:val="006066D0"/>
    <w:rsid w:val="006070CB"/>
    <w:rsid w:val="00607181"/>
    <w:rsid w:val="006074E1"/>
    <w:rsid w:val="00610468"/>
    <w:rsid w:val="00610FE5"/>
    <w:rsid w:val="006117D5"/>
    <w:rsid w:val="0061265F"/>
    <w:rsid w:val="006129B9"/>
    <w:rsid w:val="00612E40"/>
    <w:rsid w:val="0061359F"/>
    <w:rsid w:val="006135B5"/>
    <w:rsid w:val="00613FD9"/>
    <w:rsid w:val="00616531"/>
    <w:rsid w:val="0061677B"/>
    <w:rsid w:val="00616911"/>
    <w:rsid w:val="00616C9D"/>
    <w:rsid w:val="00617503"/>
    <w:rsid w:val="0061776F"/>
    <w:rsid w:val="006213AA"/>
    <w:rsid w:val="0062156D"/>
    <w:rsid w:val="006219B6"/>
    <w:rsid w:val="00621EA5"/>
    <w:rsid w:val="00621FE2"/>
    <w:rsid w:val="00622CEA"/>
    <w:rsid w:val="00623CD7"/>
    <w:rsid w:val="00624C09"/>
    <w:rsid w:val="00624F3F"/>
    <w:rsid w:val="00626175"/>
    <w:rsid w:val="00627258"/>
    <w:rsid w:val="00627605"/>
    <w:rsid w:val="006305B6"/>
    <w:rsid w:val="00630636"/>
    <w:rsid w:val="006309CC"/>
    <w:rsid w:val="00630EC5"/>
    <w:rsid w:val="00631551"/>
    <w:rsid w:val="00632155"/>
    <w:rsid w:val="006338E9"/>
    <w:rsid w:val="00633F67"/>
    <w:rsid w:val="00633FDF"/>
    <w:rsid w:val="006345A1"/>
    <w:rsid w:val="006358F1"/>
    <w:rsid w:val="00635FFD"/>
    <w:rsid w:val="00636DD1"/>
    <w:rsid w:val="006408D4"/>
    <w:rsid w:val="0064090B"/>
    <w:rsid w:val="00640F90"/>
    <w:rsid w:val="006410D9"/>
    <w:rsid w:val="00641F3F"/>
    <w:rsid w:val="0064284C"/>
    <w:rsid w:val="00642E3E"/>
    <w:rsid w:val="00642EB5"/>
    <w:rsid w:val="0064311D"/>
    <w:rsid w:val="00643743"/>
    <w:rsid w:val="00643F01"/>
    <w:rsid w:val="0064407F"/>
    <w:rsid w:val="006440BD"/>
    <w:rsid w:val="006443AD"/>
    <w:rsid w:val="0064570C"/>
    <w:rsid w:val="00646D22"/>
    <w:rsid w:val="00646E1B"/>
    <w:rsid w:val="006472AE"/>
    <w:rsid w:val="006475DB"/>
    <w:rsid w:val="00647D81"/>
    <w:rsid w:val="00650159"/>
    <w:rsid w:val="0065130C"/>
    <w:rsid w:val="006513F7"/>
    <w:rsid w:val="00651ABE"/>
    <w:rsid w:val="00651BC5"/>
    <w:rsid w:val="006520BC"/>
    <w:rsid w:val="006523C3"/>
    <w:rsid w:val="006528BC"/>
    <w:rsid w:val="00653140"/>
    <w:rsid w:val="00653EB1"/>
    <w:rsid w:val="00654CCE"/>
    <w:rsid w:val="00655105"/>
    <w:rsid w:val="0065542E"/>
    <w:rsid w:val="00655848"/>
    <w:rsid w:val="006563D3"/>
    <w:rsid w:val="0065667F"/>
    <w:rsid w:val="00656956"/>
    <w:rsid w:val="00656CFA"/>
    <w:rsid w:val="00656D52"/>
    <w:rsid w:val="00657352"/>
    <w:rsid w:val="006575B9"/>
    <w:rsid w:val="0065764A"/>
    <w:rsid w:val="0066013C"/>
    <w:rsid w:val="00660538"/>
    <w:rsid w:val="006605A2"/>
    <w:rsid w:val="00660C43"/>
    <w:rsid w:val="00661159"/>
    <w:rsid w:val="00661A14"/>
    <w:rsid w:val="00661BA8"/>
    <w:rsid w:val="00661C37"/>
    <w:rsid w:val="006620E2"/>
    <w:rsid w:val="00664166"/>
    <w:rsid w:val="006644CC"/>
    <w:rsid w:val="00664629"/>
    <w:rsid w:val="00665176"/>
    <w:rsid w:val="00665744"/>
    <w:rsid w:val="00665AD4"/>
    <w:rsid w:val="00665D79"/>
    <w:rsid w:val="006667FA"/>
    <w:rsid w:val="00666A74"/>
    <w:rsid w:val="00671582"/>
    <w:rsid w:val="006715C9"/>
    <w:rsid w:val="0067244D"/>
    <w:rsid w:val="006724FE"/>
    <w:rsid w:val="00673890"/>
    <w:rsid w:val="0067417D"/>
    <w:rsid w:val="006741E6"/>
    <w:rsid w:val="006745F9"/>
    <w:rsid w:val="00674B39"/>
    <w:rsid w:val="006751D0"/>
    <w:rsid w:val="00675641"/>
    <w:rsid w:val="00675886"/>
    <w:rsid w:val="00676937"/>
    <w:rsid w:val="00677A9E"/>
    <w:rsid w:val="0068045D"/>
    <w:rsid w:val="00680589"/>
    <w:rsid w:val="006811E9"/>
    <w:rsid w:val="00681227"/>
    <w:rsid w:val="00681CFF"/>
    <w:rsid w:val="006820EA"/>
    <w:rsid w:val="006821B6"/>
    <w:rsid w:val="006824F8"/>
    <w:rsid w:val="0068271E"/>
    <w:rsid w:val="00682D40"/>
    <w:rsid w:val="006836EF"/>
    <w:rsid w:val="00683927"/>
    <w:rsid w:val="00684177"/>
    <w:rsid w:val="006848CA"/>
    <w:rsid w:val="00684A75"/>
    <w:rsid w:val="00684ACB"/>
    <w:rsid w:val="00684CCC"/>
    <w:rsid w:val="0068552A"/>
    <w:rsid w:val="00685954"/>
    <w:rsid w:val="0068596D"/>
    <w:rsid w:val="00686AB5"/>
    <w:rsid w:val="00686EDB"/>
    <w:rsid w:val="006875E3"/>
    <w:rsid w:val="006902E7"/>
    <w:rsid w:val="00690C12"/>
    <w:rsid w:val="00690EC7"/>
    <w:rsid w:val="00691211"/>
    <w:rsid w:val="00691711"/>
    <w:rsid w:val="006918E2"/>
    <w:rsid w:val="00691BAC"/>
    <w:rsid w:val="006927F8"/>
    <w:rsid w:val="006929C5"/>
    <w:rsid w:val="006929C9"/>
    <w:rsid w:val="00692A25"/>
    <w:rsid w:val="006930D0"/>
    <w:rsid w:val="006939A1"/>
    <w:rsid w:val="00694086"/>
    <w:rsid w:val="0069572D"/>
    <w:rsid w:val="00695867"/>
    <w:rsid w:val="006959B5"/>
    <w:rsid w:val="006961AD"/>
    <w:rsid w:val="00696598"/>
    <w:rsid w:val="00696827"/>
    <w:rsid w:val="00696CC5"/>
    <w:rsid w:val="00697922"/>
    <w:rsid w:val="006A080F"/>
    <w:rsid w:val="006A11CA"/>
    <w:rsid w:val="006A1344"/>
    <w:rsid w:val="006A140B"/>
    <w:rsid w:val="006A1E90"/>
    <w:rsid w:val="006A1FA6"/>
    <w:rsid w:val="006A2613"/>
    <w:rsid w:val="006A2658"/>
    <w:rsid w:val="006A2D38"/>
    <w:rsid w:val="006A3B08"/>
    <w:rsid w:val="006A3C9C"/>
    <w:rsid w:val="006A455D"/>
    <w:rsid w:val="006A4CE8"/>
    <w:rsid w:val="006A56AA"/>
    <w:rsid w:val="006A5845"/>
    <w:rsid w:val="006A5CBB"/>
    <w:rsid w:val="006A5F56"/>
    <w:rsid w:val="006A5F8F"/>
    <w:rsid w:val="006A6A5B"/>
    <w:rsid w:val="006A7FB3"/>
    <w:rsid w:val="006B0684"/>
    <w:rsid w:val="006B10C2"/>
    <w:rsid w:val="006B116B"/>
    <w:rsid w:val="006B186F"/>
    <w:rsid w:val="006B220B"/>
    <w:rsid w:val="006B246D"/>
    <w:rsid w:val="006B2947"/>
    <w:rsid w:val="006B31A3"/>
    <w:rsid w:val="006B3321"/>
    <w:rsid w:val="006B53B9"/>
    <w:rsid w:val="006B5AB8"/>
    <w:rsid w:val="006B5BE6"/>
    <w:rsid w:val="006B7C75"/>
    <w:rsid w:val="006C0BF4"/>
    <w:rsid w:val="006C1081"/>
    <w:rsid w:val="006C1277"/>
    <w:rsid w:val="006C12DA"/>
    <w:rsid w:val="006C1CDA"/>
    <w:rsid w:val="006C1E11"/>
    <w:rsid w:val="006C26AF"/>
    <w:rsid w:val="006C2B93"/>
    <w:rsid w:val="006C2F96"/>
    <w:rsid w:val="006C2F9F"/>
    <w:rsid w:val="006C3DE0"/>
    <w:rsid w:val="006C41DF"/>
    <w:rsid w:val="006C42FC"/>
    <w:rsid w:val="006C43AC"/>
    <w:rsid w:val="006C4546"/>
    <w:rsid w:val="006C6131"/>
    <w:rsid w:val="006C642C"/>
    <w:rsid w:val="006C70A5"/>
    <w:rsid w:val="006C7757"/>
    <w:rsid w:val="006C791A"/>
    <w:rsid w:val="006C7CE3"/>
    <w:rsid w:val="006C7DCB"/>
    <w:rsid w:val="006D030E"/>
    <w:rsid w:val="006D0E11"/>
    <w:rsid w:val="006D1C52"/>
    <w:rsid w:val="006D1D38"/>
    <w:rsid w:val="006D1EA2"/>
    <w:rsid w:val="006D21BE"/>
    <w:rsid w:val="006D2227"/>
    <w:rsid w:val="006D26CF"/>
    <w:rsid w:val="006D2E85"/>
    <w:rsid w:val="006D48B9"/>
    <w:rsid w:val="006D4A68"/>
    <w:rsid w:val="006D4DC7"/>
    <w:rsid w:val="006D4EDC"/>
    <w:rsid w:val="006D5336"/>
    <w:rsid w:val="006D5BA7"/>
    <w:rsid w:val="006D5FA6"/>
    <w:rsid w:val="006D6A2A"/>
    <w:rsid w:val="006D6BC2"/>
    <w:rsid w:val="006D7626"/>
    <w:rsid w:val="006D7981"/>
    <w:rsid w:val="006D7B28"/>
    <w:rsid w:val="006E00C2"/>
    <w:rsid w:val="006E0364"/>
    <w:rsid w:val="006E10F3"/>
    <w:rsid w:val="006E11E0"/>
    <w:rsid w:val="006E1B84"/>
    <w:rsid w:val="006E2EDB"/>
    <w:rsid w:val="006E308C"/>
    <w:rsid w:val="006E39FE"/>
    <w:rsid w:val="006E3BB5"/>
    <w:rsid w:val="006E4386"/>
    <w:rsid w:val="006E51AA"/>
    <w:rsid w:val="006E5C8B"/>
    <w:rsid w:val="006E5D5B"/>
    <w:rsid w:val="006E5F72"/>
    <w:rsid w:val="006E6B9D"/>
    <w:rsid w:val="006E717C"/>
    <w:rsid w:val="006E78BC"/>
    <w:rsid w:val="006E7CD5"/>
    <w:rsid w:val="006F0EB3"/>
    <w:rsid w:val="006F12B1"/>
    <w:rsid w:val="006F1B7A"/>
    <w:rsid w:val="006F1D8C"/>
    <w:rsid w:val="006F219A"/>
    <w:rsid w:val="006F27FF"/>
    <w:rsid w:val="006F31DF"/>
    <w:rsid w:val="006F3F27"/>
    <w:rsid w:val="006F4177"/>
    <w:rsid w:val="006F49B6"/>
    <w:rsid w:val="006F5235"/>
    <w:rsid w:val="006F54DE"/>
    <w:rsid w:val="006F5556"/>
    <w:rsid w:val="006F5DBE"/>
    <w:rsid w:val="00700022"/>
    <w:rsid w:val="0070037C"/>
    <w:rsid w:val="007004E9"/>
    <w:rsid w:val="007005A4"/>
    <w:rsid w:val="0070068C"/>
    <w:rsid w:val="007007C9"/>
    <w:rsid w:val="007009B9"/>
    <w:rsid w:val="00701003"/>
    <w:rsid w:val="00701314"/>
    <w:rsid w:val="00701EED"/>
    <w:rsid w:val="00702437"/>
    <w:rsid w:val="00702BC3"/>
    <w:rsid w:val="00702C9D"/>
    <w:rsid w:val="00702EBD"/>
    <w:rsid w:val="00702FFF"/>
    <w:rsid w:val="00703447"/>
    <w:rsid w:val="0070509E"/>
    <w:rsid w:val="007051B8"/>
    <w:rsid w:val="00705605"/>
    <w:rsid w:val="00706679"/>
    <w:rsid w:val="00706872"/>
    <w:rsid w:val="007068E8"/>
    <w:rsid w:val="00706EB6"/>
    <w:rsid w:val="0070735B"/>
    <w:rsid w:val="0070737C"/>
    <w:rsid w:val="00707B21"/>
    <w:rsid w:val="00707F62"/>
    <w:rsid w:val="0071026C"/>
    <w:rsid w:val="00710A53"/>
    <w:rsid w:val="00711328"/>
    <w:rsid w:val="0071146E"/>
    <w:rsid w:val="00711929"/>
    <w:rsid w:val="007119B7"/>
    <w:rsid w:val="0071250F"/>
    <w:rsid w:val="007126E3"/>
    <w:rsid w:val="00713780"/>
    <w:rsid w:val="00713951"/>
    <w:rsid w:val="0071396C"/>
    <w:rsid w:val="00714713"/>
    <w:rsid w:val="007147CB"/>
    <w:rsid w:val="00714A57"/>
    <w:rsid w:val="00714B90"/>
    <w:rsid w:val="00715C6D"/>
    <w:rsid w:val="0071601C"/>
    <w:rsid w:val="007161C6"/>
    <w:rsid w:val="007162CF"/>
    <w:rsid w:val="00716D33"/>
    <w:rsid w:val="007170CA"/>
    <w:rsid w:val="00717CA3"/>
    <w:rsid w:val="00720986"/>
    <w:rsid w:val="00721811"/>
    <w:rsid w:val="007219A2"/>
    <w:rsid w:val="0072261C"/>
    <w:rsid w:val="00722843"/>
    <w:rsid w:val="00722ECF"/>
    <w:rsid w:val="00722EF5"/>
    <w:rsid w:val="00722F60"/>
    <w:rsid w:val="00722FDC"/>
    <w:rsid w:val="007232B5"/>
    <w:rsid w:val="00724E60"/>
    <w:rsid w:val="00724F97"/>
    <w:rsid w:val="00725382"/>
    <w:rsid w:val="007253FC"/>
    <w:rsid w:val="00725478"/>
    <w:rsid w:val="00725609"/>
    <w:rsid w:val="00725D86"/>
    <w:rsid w:val="00726BE8"/>
    <w:rsid w:val="00726F0A"/>
    <w:rsid w:val="007277D8"/>
    <w:rsid w:val="00730779"/>
    <w:rsid w:val="00730A62"/>
    <w:rsid w:val="00730EF3"/>
    <w:rsid w:val="00731522"/>
    <w:rsid w:val="00731B4B"/>
    <w:rsid w:val="007321C1"/>
    <w:rsid w:val="00732740"/>
    <w:rsid w:val="0073291C"/>
    <w:rsid w:val="007329FD"/>
    <w:rsid w:val="00733483"/>
    <w:rsid w:val="007336CC"/>
    <w:rsid w:val="0073451F"/>
    <w:rsid w:val="00734B3C"/>
    <w:rsid w:val="00734D6A"/>
    <w:rsid w:val="00735017"/>
    <w:rsid w:val="00735989"/>
    <w:rsid w:val="00736C26"/>
    <w:rsid w:val="00736E93"/>
    <w:rsid w:val="007370B9"/>
    <w:rsid w:val="00737649"/>
    <w:rsid w:val="00737683"/>
    <w:rsid w:val="00737C47"/>
    <w:rsid w:val="00737C9F"/>
    <w:rsid w:val="00740445"/>
    <w:rsid w:val="0074044A"/>
    <w:rsid w:val="00741AE3"/>
    <w:rsid w:val="00741EAB"/>
    <w:rsid w:val="007422F1"/>
    <w:rsid w:val="00742871"/>
    <w:rsid w:val="00742D9F"/>
    <w:rsid w:val="00742E40"/>
    <w:rsid w:val="00743210"/>
    <w:rsid w:val="007445D8"/>
    <w:rsid w:val="00744924"/>
    <w:rsid w:val="00745057"/>
    <w:rsid w:val="00745330"/>
    <w:rsid w:val="007454A3"/>
    <w:rsid w:val="00745D5B"/>
    <w:rsid w:val="0074607C"/>
    <w:rsid w:val="007462FE"/>
    <w:rsid w:val="00746379"/>
    <w:rsid w:val="00746402"/>
    <w:rsid w:val="00746EE2"/>
    <w:rsid w:val="0074787C"/>
    <w:rsid w:val="00747F14"/>
    <w:rsid w:val="00747F5F"/>
    <w:rsid w:val="00750001"/>
    <w:rsid w:val="00750842"/>
    <w:rsid w:val="007508CA"/>
    <w:rsid w:val="00751119"/>
    <w:rsid w:val="00751777"/>
    <w:rsid w:val="00751B32"/>
    <w:rsid w:val="00751D3F"/>
    <w:rsid w:val="00751EF2"/>
    <w:rsid w:val="007524BF"/>
    <w:rsid w:val="00752BC4"/>
    <w:rsid w:val="00752DBD"/>
    <w:rsid w:val="007537DE"/>
    <w:rsid w:val="007538B3"/>
    <w:rsid w:val="00754149"/>
    <w:rsid w:val="00754C9E"/>
    <w:rsid w:val="00754F1D"/>
    <w:rsid w:val="00754F90"/>
    <w:rsid w:val="007557D4"/>
    <w:rsid w:val="00755ACF"/>
    <w:rsid w:val="00756048"/>
    <w:rsid w:val="007568F3"/>
    <w:rsid w:val="0075705E"/>
    <w:rsid w:val="0075709D"/>
    <w:rsid w:val="0075759B"/>
    <w:rsid w:val="007609F2"/>
    <w:rsid w:val="00760C32"/>
    <w:rsid w:val="0076102D"/>
    <w:rsid w:val="00761355"/>
    <w:rsid w:val="0076135A"/>
    <w:rsid w:val="00761695"/>
    <w:rsid w:val="007619F4"/>
    <w:rsid w:val="00761B43"/>
    <w:rsid w:val="00761CBA"/>
    <w:rsid w:val="00762961"/>
    <w:rsid w:val="007630A2"/>
    <w:rsid w:val="007639D7"/>
    <w:rsid w:val="00764755"/>
    <w:rsid w:val="007649CD"/>
    <w:rsid w:val="00764A05"/>
    <w:rsid w:val="00764D61"/>
    <w:rsid w:val="00765116"/>
    <w:rsid w:val="00765810"/>
    <w:rsid w:val="007658DB"/>
    <w:rsid w:val="007663AB"/>
    <w:rsid w:val="00767A72"/>
    <w:rsid w:val="0077076F"/>
    <w:rsid w:val="0077096E"/>
    <w:rsid w:val="00770B83"/>
    <w:rsid w:val="00770B92"/>
    <w:rsid w:val="00771247"/>
    <w:rsid w:val="00771539"/>
    <w:rsid w:val="007715D2"/>
    <w:rsid w:val="00771644"/>
    <w:rsid w:val="00771E11"/>
    <w:rsid w:val="007725BF"/>
    <w:rsid w:val="00772B35"/>
    <w:rsid w:val="00772E6E"/>
    <w:rsid w:val="007735E9"/>
    <w:rsid w:val="00773BAE"/>
    <w:rsid w:val="0077431F"/>
    <w:rsid w:val="007744E5"/>
    <w:rsid w:val="0077467D"/>
    <w:rsid w:val="0077530B"/>
    <w:rsid w:val="007760A2"/>
    <w:rsid w:val="0077622B"/>
    <w:rsid w:val="0077630C"/>
    <w:rsid w:val="007763ED"/>
    <w:rsid w:val="00776609"/>
    <w:rsid w:val="00776A5A"/>
    <w:rsid w:val="00777532"/>
    <w:rsid w:val="0077798B"/>
    <w:rsid w:val="007816AE"/>
    <w:rsid w:val="007818A0"/>
    <w:rsid w:val="0078212A"/>
    <w:rsid w:val="007825EB"/>
    <w:rsid w:val="007827A0"/>
    <w:rsid w:val="00783045"/>
    <w:rsid w:val="00784771"/>
    <w:rsid w:val="0078562E"/>
    <w:rsid w:val="0078565B"/>
    <w:rsid w:val="00786796"/>
    <w:rsid w:val="007868BC"/>
    <w:rsid w:val="00786D37"/>
    <w:rsid w:val="0078781F"/>
    <w:rsid w:val="00787DA4"/>
    <w:rsid w:val="00787F21"/>
    <w:rsid w:val="0079008D"/>
    <w:rsid w:val="0079069E"/>
    <w:rsid w:val="00790736"/>
    <w:rsid w:val="00790A0C"/>
    <w:rsid w:val="00790D37"/>
    <w:rsid w:val="007912BF"/>
    <w:rsid w:val="0079132E"/>
    <w:rsid w:val="007919E8"/>
    <w:rsid w:val="00791A68"/>
    <w:rsid w:val="00791F6B"/>
    <w:rsid w:val="007925E7"/>
    <w:rsid w:val="00792C34"/>
    <w:rsid w:val="00793225"/>
    <w:rsid w:val="007934BE"/>
    <w:rsid w:val="007934D7"/>
    <w:rsid w:val="00793EC5"/>
    <w:rsid w:val="00793F33"/>
    <w:rsid w:val="00794419"/>
    <w:rsid w:val="00794676"/>
    <w:rsid w:val="00794691"/>
    <w:rsid w:val="00795510"/>
    <w:rsid w:val="00795A75"/>
    <w:rsid w:val="00795CCF"/>
    <w:rsid w:val="00795EC0"/>
    <w:rsid w:val="00796189"/>
    <w:rsid w:val="00796A07"/>
    <w:rsid w:val="007970C8"/>
    <w:rsid w:val="00797444"/>
    <w:rsid w:val="00797B4C"/>
    <w:rsid w:val="007A0D40"/>
    <w:rsid w:val="007A1047"/>
    <w:rsid w:val="007A1425"/>
    <w:rsid w:val="007A17AB"/>
    <w:rsid w:val="007A180D"/>
    <w:rsid w:val="007A1A6B"/>
    <w:rsid w:val="007A29BD"/>
    <w:rsid w:val="007A33F9"/>
    <w:rsid w:val="007A413E"/>
    <w:rsid w:val="007A48C7"/>
    <w:rsid w:val="007A576D"/>
    <w:rsid w:val="007A58EB"/>
    <w:rsid w:val="007A5A53"/>
    <w:rsid w:val="007A5EE1"/>
    <w:rsid w:val="007A6136"/>
    <w:rsid w:val="007A641A"/>
    <w:rsid w:val="007A6A37"/>
    <w:rsid w:val="007A6E00"/>
    <w:rsid w:val="007A6E93"/>
    <w:rsid w:val="007A7544"/>
    <w:rsid w:val="007A780F"/>
    <w:rsid w:val="007A7BC6"/>
    <w:rsid w:val="007A7E5B"/>
    <w:rsid w:val="007B13EA"/>
    <w:rsid w:val="007B190E"/>
    <w:rsid w:val="007B2392"/>
    <w:rsid w:val="007B25FE"/>
    <w:rsid w:val="007B2BC7"/>
    <w:rsid w:val="007B2ED8"/>
    <w:rsid w:val="007B364A"/>
    <w:rsid w:val="007B37BA"/>
    <w:rsid w:val="007B3CB8"/>
    <w:rsid w:val="007B4236"/>
    <w:rsid w:val="007B44AF"/>
    <w:rsid w:val="007B5733"/>
    <w:rsid w:val="007B64FD"/>
    <w:rsid w:val="007B668A"/>
    <w:rsid w:val="007B66B1"/>
    <w:rsid w:val="007B71BE"/>
    <w:rsid w:val="007B76C1"/>
    <w:rsid w:val="007B77E6"/>
    <w:rsid w:val="007B7BC4"/>
    <w:rsid w:val="007C02AC"/>
    <w:rsid w:val="007C0769"/>
    <w:rsid w:val="007C0A9D"/>
    <w:rsid w:val="007C2BEA"/>
    <w:rsid w:val="007C2EF4"/>
    <w:rsid w:val="007C31EF"/>
    <w:rsid w:val="007C39C5"/>
    <w:rsid w:val="007C3FA0"/>
    <w:rsid w:val="007C4776"/>
    <w:rsid w:val="007C4DAE"/>
    <w:rsid w:val="007C4DC5"/>
    <w:rsid w:val="007C5492"/>
    <w:rsid w:val="007C5BB2"/>
    <w:rsid w:val="007C6FA1"/>
    <w:rsid w:val="007C735A"/>
    <w:rsid w:val="007D02A6"/>
    <w:rsid w:val="007D03A4"/>
    <w:rsid w:val="007D0779"/>
    <w:rsid w:val="007D0B98"/>
    <w:rsid w:val="007D18C6"/>
    <w:rsid w:val="007D22D4"/>
    <w:rsid w:val="007D5943"/>
    <w:rsid w:val="007D62B3"/>
    <w:rsid w:val="007E049B"/>
    <w:rsid w:val="007E0E49"/>
    <w:rsid w:val="007E10D6"/>
    <w:rsid w:val="007E134E"/>
    <w:rsid w:val="007E136C"/>
    <w:rsid w:val="007E1788"/>
    <w:rsid w:val="007E2345"/>
    <w:rsid w:val="007E2A3A"/>
    <w:rsid w:val="007E30D6"/>
    <w:rsid w:val="007E3B75"/>
    <w:rsid w:val="007E3D2C"/>
    <w:rsid w:val="007E3F98"/>
    <w:rsid w:val="007E4257"/>
    <w:rsid w:val="007E4514"/>
    <w:rsid w:val="007E4984"/>
    <w:rsid w:val="007E4DF2"/>
    <w:rsid w:val="007E54BE"/>
    <w:rsid w:val="007E5827"/>
    <w:rsid w:val="007E5E05"/>
    <w:rsid w:val="007E69D7"/>
    <w:rsid w:val="007E6ED4"/>
    <w:rsid w:val="007F100E"/>
    <w:rsid w:val="007F14C0"/>
    <w:rsid w:val="007F1B16"/>
    <w:rsid w:val="007F207B"/>
    <w:rsid w:val="007F2392"/>
    <w:rsid w:val="007F32C3"/>
    <w:rsid w:val="007F3742"/>
    <w:rsid w:val="007F3A1D"/>
    <w:rsid w:val="007F3AD6"/>
    <w:rsid w:val="007F3F35"/>
    <w:rsid w:val="007F6088"/>
    <w:rsid w:val="007F6953"/>
    <w:rsid w:val="007F6988"/>
    <w:rsid w:val="007F7245"/>
    <w:rsid w:val="007F738A"/>
    <w:rsid w:val="007F769C"/>
    <w:rsid w:val="007F78F9"/>
    <w:rsid w:val="007F7972"/>
    <w:rsid w:val="00801400"/>
    <w:rsid w:val="00801DE2"/>
    <w:rsid w:val="008022B2"/>
    <w:rsid w:val="00802493"/>
    <w:rsid w:val="00802C53"/>
    <w:rsid w:val="00803393"/>
    <w:rsid w:val="00803A16"/>
    <w:rsid w:val="00803A87"/>
    <w:rsid w:val="00803E05"/>
    <w:rsid w:val="008041AE"/>
    <w:rsid w:val="008044B4"/>
    <w:rsid w:val="008049BF"/>
    <w:rsid w:val="00804DEA"/>
    <w:rsid w:val="00804F60"/>
    <w:rsid w:val="00805326"/>
    <w:rsid w:val="008054FD"/>
    <w:rsid w:val="00806112"/>
    <w:rsid w:val="00806518"/>
    <w:rsid w:val="0080671D"/>
    <w:rsid w:val="00806F7D"/>
    <w:rsid w:val="008071FB"/>
    <w:rsid w:val="0080746A"/>
    <w:rsid w:val="00807815"/>
    <w:rsid w:val="00807896"/>
    <w:rsid w:val="008100D0"/>
    <w:rsid w:val="00810F0D"/>
    <w:rsid w:val="00811410"/>
    <w:rsid w:val="00811E66"/>
    <w:rsid w:val="00812687"/>
    <w:rsid w:val="0081272E"/>
    <w:rsid w:val="00812EB7"/>
    <w:rsid w:val="0081339A"/>
    <w:rsid w:val="00813E0B"/>
    <w:rsid w:val="0081417A"/>
    <w:rsid w:val="00814347"/>
    <w:rsid w:val="00814C56"/>
    <w:rsid w:val="00814FF1"/>
    <w:rsid w:val="0081530E"/>
    <w:rsid w:val="0081603F"/>
    <w:rsid w:val="00817308"/>
    <w:rsid w:val="00817BC8"/>
    <w:rsid w:val="00817FAA"/>
    <w:rsid w:val="008208B6"/>
    <w:rsid w:val="00820BBD"/>
    <w:rsid w:val="00820C69"/>
    <w:rsid w:val="00821441"/>
    <w:rsid w:val="0082167F"/>
    <w:rsid w:val="00821A72"/>
    <w:rsid w:val="0082213E"/>
    <w:rsid w:val="00822FEF"/>
    <w:rsid w:val="00823993"/>
    <w:rsid w:val="0082402E"/>
    <w:rsid w:val="00824F28"/>
    <w:rsid w:val="0082559F"/>
    <w:rsid w:val="008257A5"/>
    <w:rsid w:val="00825900"/>
    <w:rsid w:val="00825E80"/>
    <w:rsid w:val="00826530"/>
    <w:rsid w:val="008277BC"/>
    <w:rsid w:val="00827B78"/>
    <w:rsid w:val="008301F0"/>
    <w:rsid w:val="00831CB1"/>
    <w:rsid w:val="00832075"/>
    <w:rsid w:val="008329D5"/>
    <w:rsid w:val="00833ADD"/>
    <w:rsid w:val="00833DC9"/>
    <w:rsid w:val="008359E4"/>
    <w:rsid w:val="00836F0B"/>
    <w:rsid w:val="00837503"/>
    <w:rsid w:val="00837796"/>
    <w:rsid w:val="00837C01"/>
    <w:rsid w:val="00837F6F"/>
    <w:rsid w:val="00840081"/>
    <w:rsid w:val="008403F1"/>
    <w:rsid w:val="00840699"/>
    <w:rsid w:val="008419DA"/>
    <w:rsid w:val="00841B2F"/>
    <w:rsid w:val="00841D9B"/>
    <w:rsid w:val="00842170"/>
    <w:rsid w:val="0084239F"/>
    <w:rsid w:val="00843239"/>
    <w:rsid w:val="008448B0"/>
    <w:rsid w:val="00844CCE"/>
    <w:rsid w:val="008456B7"/>
    <w:rsid w:val="00845763"/>
    <w:rsid w:val="008479F0"/>
    <w:rsid w:val="00847BA2"/>
    <w:rsid w:val="00847C1D"/>
    <w:rsid w:val="00847C52"/>
    <w:rsid w:val="00850670"/>
    <w:rsid w:val="00850DD6"/>
    <w:rsid w:val="008512DA"/>
    <w:rsid w:val="008519AF"/>
    <w:rsid w:val="00851B22"/>
    <w:rsid w:val="00851ECF"/>
    <w:rsid w:val="00853851"/>
    <w:rsid w:val="00854502"/>
    <w:rsid w:val="00854E5A"/>
    <w:rsid w:val="00854EFF"/>
    <w:rsid w:val="00855461"/>
    <w:rsid w:val="00856BF2"/>
    <w:rsid w:val="0085710A"/>
    <w:rsid w:val="0085789F"/>
    <w:rsid w:val="00857CC8"/>
    <w:rsid w:val="00857FE3"/>
    <w:rsid w:val="008606C2"/>
    <w:rsid w:val="00860B7A"/>
    <w:rsid w:val="00860D2C"/>
    <w:rsid w:val="008610E8"/>
    <w:rsid w:val="008618D6"/>
    <w:rsid w:val="00861BB8"/>
    <w:rsid w:val="00861C7D"/>
    <w:rsid w:val="00861F84"/>
    <w:rsid w:val="00862440"/>
    <w:rsid w:val="00863017"/>
    <w:rsid w:val="00864062"/>
    <w:rsid w:val="00864C10"/>
    <w:rsid w:val="00865332"/>
    <w:rsid w:val="00865B79"/>
    <w:rsid w:val="00866558"/>
    <w:rsid w:val="00866CC9"/>
    <w:rsid w:val="00867041"/>
    <w:rsid w:val="0086764B"/>
    <w:rsid w:val="0087102A"/>
    <w:rsid w:val="0087163D"/>
    <w:rsid w:val="008716E4"/>
    <w:rsid w:val="00871D69"/>
    <w:rsid w:val="00871F3B"/>
    <w:rsid w:val="00872527"/>
    <w:rsid w:val="00873858"/>
    <w:rsid w:val="00873DF1"/>
    <w:rsid w:val="008744F3"/>
    <w:rsid w:val="00874BD3"/>
    <w:rsid w:val="00874CA9"/>
    <w:rsid w:val="00874D53"/>
    <w:rsid w:val="00875AC0"/>
    <w:rsid w:val="0087603A"/>
    <w:rsid w:val="00876174"/>
    <w:rsid w:val="008772DB"/>
    <w:rsid w:val="00877BDF"/>
    <w:rsid w:val="00877D20"/>
    <w:rsid w:val="008800CF"/>
    <w:rsid w:val="008808DD"/>
    <w:rsid w:val="00880900"/>
    <w:rsid w:val="0088136B"/>
    <w:rsid w:val="008813DC"/>
    <w:rsid w:val="00881AEF"/>
    <w:rsid w:val="00882520"/>
    <w:rsid w:val="00882AFB"/>
    <w:rsid w:val="008832D8"/>
    <w:rsid w:val="00883364"/>
    <w:rsid w:val="00883CB4"/>
    <w:rsid w:val="00883FA3"/>
    <w:rsid w:val="0088475A"/>
    <w:rsid w:val="00884CFA"/>
    <w:rsid w:val="008853F6"/>
    <w:rsid w:val="0088559E"/>
    <w:rsid w:val="00885885"/>
    <w:rsid w:val="00886174"/>
    <w:rsid w:val="00886BB7"/>
    <w:rsid w:val="00886D1F"/>
    <w:rsid w:val="00890212"/>
    <w:rsid w:val="0089060A"/>
    <w:rsid w:val="00890C59"/>
    <w:rsid w:val="00892C50"/>
    <w:rsid w:val="00892FF5"/>
    <w:rsid w:val="00895196"/>
    <w:rsid w:val="008953CD"/>
    <w:rsid w:val="00895AF7"/>
    <w:rsid w:val="008969F6"/>
    <w:rsid w:val="008972F7"/>
    <w:rsid w:val="008973F7"/>
    <w:rsid w:val="008A078D"/>
    <w:rsid w:val="008A0B75"/>
    <w:rsid w:val="008A14BB"/>
    <w:rsid w:val="008A33C8"/>
    <w:rsid w:val="008A350F"/>
    <w:rsid w:val="008A3CC8"/>
    <w:rsid w:val="008A457C"/>
    <w:rsid w:val="008A4FC8"/>
    <w:rsid w:val="008A5697"/>
    <w:rsid w:val="008A5E4B"/>
    <w:rsid w:val="008A63F4"/>
    <w:rsid w:val="008A6947"/>
    <w:rsid w:val="008A6EE5"/>
    <w:rsid w:val="008A6F12"/>
    <w:rsid w:val="008A76A3"/>
    <w:rsid w:val="008B0D30"/>
    <w:rsid w:val="008B0FFD"/>
    <w:rsid w:val="008B255D"/>
    <w:rsid w:val="008B3CC3"/>
    <w:rsid w:val="008B67F4"/>
    <w:rsid w:val="008B68BD"/>
    <w:rsid w:val="008B7377"/>
    <w:rsid w:val="008B7452"/>
    <w:rsid w:val="008C0297"/>
    <w:rsid w:val="008C05FA"/>
    <w:rsid w:val="008C06A1"/>
    <w:rsid w:val="008C0C38"/>
    <w:rsid w:val="008C1575"/>
    <w:rsid w:val="008C1859"/>
    <w:rsid w:val="008C19BB"/>
    <w:rsid w:val="008C282F"/>
    <w:rsid w:val="008C2AB5"/>
    <w:rsid w:val="008C2E0C"/>
    <w:rsid w:val="008C40CF"/>
    <w:rsid w:val="008C46B8"/>
    <w:rsid w:val="008C4946"/>
    <w:rsid w:val="008C4BDE"/>
    <w:rsid w:val="008C4FBF"/>
    <w:rsid w:val="008C53A9"/>
    <w:rsid w:val="008C59C6"/>
    <w:rsid w:val="008C5AD3"/>
    <w:rsid w:val="008C5DA0"/>
    <w:rsid w:val="008C5FD3"/>
    <w:rsid w:val="008C6463"/>
    <w:rsid w:val="008C6F31"/>
    <w:rsid w:val="008C707B"/>
    <w:rsid w:val="008C74E4"/>
    <w:rsid w:val="008C76AD"/>
    <w:rsid w:val="008C7B16"/>
    <w:rsid w:val="008C7B9B"/>
    <w:rsid w:val="008D00B4"/>
    <w:rsid w:val="008D17D3"/>
    <w:rsid w:val="008D1825"/>
    <w:rsid w:val="008D1CEE"/>
    <w:rsid w:val="008D20DC"/>
    <w:rsid w:val="008D2DA5"/>
    <w:rsid w:val="008D2E1A"/>
    <w:rsid w:val="008D34B1"/>
    <w:rsid w:val="008D34BE"/>
    <w:rsid w:val="008D359A"/>
    <w:rsid w:val="008D3C5A"/>
    <w:rsid w:val="008D48D8"/>
    <w:rsid w:val="008D4F83"/>
    <w:rsid w:val="008D6CCD"/>
    <w:rsid w:val="008D6D12"/>
    <w:rsid w:val="008D7194"/>
    <w:rsid w:val="008D7540"/>
    <w:rsid w:val="008D75A4"/>
    <w:rsid w:val="008E04FA"/>
    <w:rsid w:val="008E12B8"/>
    <w:rsid w:val="008E1E71"/>
    <w:rsid w:val="008E23D4"/>
    <w:rsid w:val="008E2B57"/>
    <w:rsid w:val="008E2D0C"/>
    <w:rsid w:val="008E2D54"/>
    <w:rsid w:val="008E2E4D"/>
    <w:rsid w:val="008E3491"/>
    <w:rsid w:val="008E34B5"/>
    <w:rsid w:val="008E351D"/>
    <w:rsid w:val="008E3E48"/>
    <w:rsid w:val="008E5598"/>
    <w:rsid w:val="008E57CD"/>
    <w:rsid w:val="008E5F0B"/>
    <w:rsid w:val="008E6085"/>
    <w:rsid w:val="008E6460"/>
    <w:rsid w:val="008E6A60"/>
    <w:rsid w:val="008E6AF0"/>
    <w:rsid w:val="008E70E3"/>
    <w:rsid w:val="008E725F"/>
    <w:rsid w:val="008F0517"/>
    <w:rsid w:val="008F1A2B"/>
    <w:rsid w:val="008F1A6B"/>
    <w:rsid w:val="008F21C2"/>
    <w:rsid w:val="008F2FFD"/>
    <w:rsid w:val="008F6317"/>
    <w:rsid w:val="008F7522"/>
    <w:rsid w:val="008F754A"/>
    <w:rsid w:val="00900529"/>
    <w:rsid w:val="0090122C"/>
    <w:rsid w:val="00901828"/>
    <w:rsid w:val="00901855"/>
    <w:rsid w:val="009018B7"/>
    <w:rsid w:val="00901DD7"/>
    <w:rsid w:val="00901E5E"/>
    <w:rsid w:val="00902556"/>
    <w:rsid w:val="0090278C"/>
    <w:rsid w:val="00902956"/>
    <w:rsid w:val="00902BD8"/>
    <w:rsid w:val="00903784"/>
    <w:rsid w:val="00903BDB"/>
    <w:rsid w:val="0090542B"/>
    <w:rsid w:val="009057DA"/>
    <w:rsid w:val="00905857"/>
    <w:rsid w:val="00905B54"/>
    <w:rsid w:val="009061D1"/>
    <w:rsid w:val="00906232"/>
    <w:rsid w:val="009064E0"/>
    <w:rsid w:val="00906B26"/>
    <w:rsid w:val="009076A7"/>
    <w:rsid w:val="00907740"/>
    <w:rsid w:val="00907947"/>
    <w:rsid w:val="00907CD5"/>
    <w:rsid w:val="00910244"/>
    <w:rsid w:val="0091100F"/>
    <w:rsid w:val="009115E0"/>
    <w:rsid w:val="00911D6C"/>
    <w:rsid w:val="00911DB8"/>
    <w:rsid w:val="009123B5"/>
    <w:rsid w:val="009127E0"/>
    <w:rsid w:val="009138D2"/>
    <w:rsid w:val="00913B0B"/>
    <w:rsid w:val="00913C74"/>
    <w:rsid w:val="00914193"/>
    <w:rsid w:val="009142D6"/>
    <w:rsid w:val="00914499"/>
    <w:rsid w:val="009151EA"/>
    <w:rsid w:val="009159C6"/>
    <w:rsid w:val="0091654F"/>
    <w:rsid w:val="00916C49"/>
    <w:rsid w:val="00916D32"/>
    <w:rsid w:val="00917224"/>
    <w:rsid w:val="00917446"/>
    <w:rsid w:val="00917B0A"/>
    <w:rsid w:val="009205D4"/>
    <w:rsid w:val="00920918"/>
    <w:rsid w:val="00920920"/>
    <w:rsid w:val="009215AD"/>
    <w:rsid w:val="00921D84"/>
    <w:rsid w:val="009223F7"/>
    <w:rsid w:val="009226DE"/>
    <w:rsid w:val="009227FC"/>
    <w:rsid w:val="00922820"/>
    <w:rsid w:val="00922C25"/>
    <w:rsid w:val="00922D9F"/>
    <w:rsid w:val="0092306A"/>
    <w:rsid w:val="00923149"/>
    <w:rsid w:val="00923566"/>
    <w:rsid w:val="00923E5E"/>
    <w:rsid w:val="009242CF"/>
    <w:rsid w:val="0092480D"/>
    <w:rsid w:val="00924CDE"/>
    <w:rsid w:val="009256C1"/>
    <w:rsid w:val="00925A4E"/>
    <w:rsid w:val="00925D37"/>
    <w:rsid w:val="00925E15"/>
    <w:rsid w:val="00925EB3"/>
    <w:rsid w:val="00926758"/>
    <w:rsid w:val="00926D3F"/>
    <w:rsid w:val="009270A9"/>
    <w:rsid w:val="00927F08"/>
    <w:rsid w:val="009303FB"/>
    <w:rsid w:val="009304E4"/>
    <w:rsid w:val="00930526"/>
    <w:rsid w:val="00931045"/>
    <w:rsid w:val="00931052"/>
    <w:rsid w:val="009312F5"/>
    <w:rsid w:val="009318A0"/>
    <w:rsid w:val="00933603"/>
    <w:rsid w:val="009339E9"/>
    <w:rsid w:val="009343B7"/>
    <w:rsid w:val="00934403"/>
    <w:rsid w:val="00934A36"/>
    <w:rsid w:val="00935617"/>
    <w:rsid w:val="00935A7B"/>
    <w:rsid w:val="00935AC5"/>
    <w:rsid w:val="00935B83"/>
    <w:rsid w:val="009362D7"/>
    <w:rsid w:val="009362EB"/>
    <w:rsid w:val="00936B2C"/>
    <w:rsid w:val="0093739F"/>
    <w:rsid w:val="0093757D"/>
    <w:rsid w:val="00937661"/>
    <w:rsid w:val="009379CB"/>
    <w:rsid w:val="0094211F"/>
    <w:rsid w:val="00943015"/>
    <w:rsid w:val="0094368F"/>
    <w:rsid w:val="009439B7"/>
    <w:rsid w:val="00943B00"/>
    <w:rsid w:val="009446F1"/>
    <w:rsid w:val="0094491B"/>
    <w:rsid w:val="00945C5E"/>
    <w:rsid w:val="009461C6"/>
    <w:rsid w:val="009463A3"/>
    <w:rsid w:val="0094660C"/>
    <w:rsid w:val="00946D1C"/>
    <w:rsid w:val="00946E0C"/>
    <w:rsid w:val="009472E3"/>
    <w:rsid w:val="00947567"/>
    <w:rsid w:val="00947EED"/>
    <w:rsid w:val="0095003D"/>
    <w:rsid w:val="0095022A"/>
    <w:rsid w:val="0095032D"/>
    <w:rsid w:val="0095036C"/>
    <w:rsid w:val="00951082"/>
    <w:rsid w:val="00951677"/>
    <w:rsid w:val="009526BB"/>
    <w:rsid w:val="00952759"/>
    <w:rsid w:val="009527EA"/>
    <w:rsid w:val="00952D95"/>
    <w:rsid w:val="00954456"/>
    <w:rsid w:val="0095560D"/>
    <w:rsid w:val="00956C90"/>
    <w:rsid w:val="00957377"/>
    <w:rsid w:val="00957641"/>
    <w:rsid w:val="0095794C"/>
    <w:rsid w:val="0096018D"/>
    <w:rsid w:val="009617F0"/>
    <w:rsid w:val="00962115"/>
    <w:rsid w:val="009633A8"/>
    <w:rsid w:val="009635D2"/>
    <w:rsid w:val="00963CF7"/>
    <w:rsid w:val="009655A8"/>
    <w:rsid w:val="0096613D"/>
    <w:rsid w:val="009672BA"/>
    <w:rsid w:val="00967857"/>
    <w:rsid w:val="00967F69"/>
    <w:rsid w:val="00967F8A"/>
    <w:rsid w:val="00970454"/>
    <w:rsid w:val="00970D75"/>
    <w:rsid w:val="009715FA"/>
    <w:rsid w:val="00971805"/>
    <w:rsid w:val="00971A6A"/>
    <w:rsid w:val="00971FEE"/>
    <w:rsid w:val="009720BF"/>
    <w:rsid w:val="00972741"/>
    <w:rsid w:val="00972759"/>
    <w:rsid w:val="00973386"/>
    <w:rsid w:val="009733F5"/>
    <w:rsid w:val="00973606"/>
    <w:rsid w:val="00973D80"/>
    <w:rsid w:val="00973F8E"/>
    <w:rsid w:val="00973FB7"/>
    <w:rsid w:val="00974717"/>
    <w:rsid w:val="009747DA"/>
    <w:rsid w:val="00974808"/>
    <w:rsid w:val="00974867"/>
    <w:rsid w:val="0097500C"/>
    <w:rsid w:val="00975C96"/>
    <w:rsid w:val="009772DB"/>
    <w:rsid w:val="00977618"/>
    <w:rsid w:val="00977FC5"/>
    <w:rsid w:val="009801E8"/>
    <w:rsid w:val="0098158C"/>
    <w:rsid w:val="00981A65"/>
    <w:rsid w:val="00982511"/>
    <w:rsid w:val="00982A4F"/>
    <w:rsid w:val="00982B2E"/>
    <w:rsid w:val="009833FA"/>
    <w:rsid w:val="0098370F"/>
    <w:rsid w:val="00984386"/>
    <w:rsid w:val="0098598E"/>
    <w:rsid w:val="00985A0B"/>
    <w:rsid w:val="0098607F"/>
    <w:rsid w:val="00986E32"/>
    <w:rsid w:val="00987158"/>
    <w:rsid w:val="00987861"/>
    <w:rsid w:val="00987966"/>
    <w:rsid w:val="00987BF9"/>
    <w:rsid w:val="00987C74"/>
    <w:rsid w:val="00987DA2"/>
    <w:rsid w:val="00987EDB"/>
    <w:rsid w:val="00990557"/>
    <w:rsid w:val="00990707"/>
    <w:rsid w:val="009912BF"/>
    <w:rsid w:val="00991C30"/>
    <w:rsid w:val="00991DA8"/>
    <w:rsid w:val="00991EC4"/>
    <w:rsid w:val="0099217B"/>
    <w:rsid w:val="0099257D"/>
    <w:rsid w:val="009926CF"/>
    <w:rsid w:val="0099298C"/>
    <w:rsid w:val="00992D12"/>
    <w:rsid w:val="00992E7A"/>
    <w:rsid w:val="00992F70"/>
    <w:rsid w:val="00993453"/>
    <w:rsid w:val="00993B3B"/>
    <w:rsid w:val="00993C07"/>
    <w:rsid w:val="0099455E"/>
    <w:rsid w:val="00994CF5"/>
    <w:rsid w:val="00994E95"/>
    <w:rsid w:val="00995189"/>
    <w:rsid w:val="00995291"/>
    <w:rsid w:val="00995F61"/>
    <w:rsid w:val="009963B1"/>
    <w:rsid w:val="00996558"/>
    <w:rsid w:val="009965DE"/>
    <w:rsid w:val="00996B19"/>
    <w:rsid w:val="00997051"/>
    <w:rsid w:val="00997810"/>
    <w:rsid w:val="00997E5B"/>
    <w:rsid w:val="00997E92"/>
    <w:rsid w:val="009A0739"/>
    <w:rsid w:val="009A07B8"/>
    <w:rsid w:val="009A0D94"/>
    <w:rsid w:val="009A0E58"/>
    <w:rsid w:val="009A0FC7"/>
    <w:rsid w:val="009A1818"/>
    <w:rsid w:val="009A1E29"/>
    <w:rsid w:val="009A1F02"/>
    <w:rsid w:val="009A1F7F"/>
    <w:rsid w:val="009A28B2"/>
    <w:rsid w:val="009A37CD"/>
    <w:rsid w:val="009A3CCD"/>
    <w:rsid w:val="009A3DB3"/>
    <w:rsid w:val="009A4101"/>
    <w:rsid w:val="009A424E"/>
    <w:rsid w:val="009A42BD"/>
    <w:rsid w:val="009A47D0"/>
    <w:rsid w:val="009A6630"/>
    <w:rsid w:val="009A6A5C"/>
    <w:rsid w:val="009A6C76"/>
    <w:rsid w:val="009A6CC9"/>
    <w:rsid w:val="009B0172"/>
    <w:rsid w:val="009B01E1"/>
    <w:rsid w:val="009B063D"/>
    <w:rsid w:val="009B0CE3"/>
    <w:rsid w:val="009B0F3C"/>
    <w:rsid w:val="009B114C"/>
    <w:rsid w:val="009B170B"/>
    <w:rsid w:val="009B1FFE"/>
    <w:rsid w:val="009B2737"/>
    <w:rsid w:val="009B28B6"/>
    <w:rsid w:val="009B2C70"/>
    <w:rsid w:val="009B2E1C"/>
    <w:rsid w:val="009B339D"/>
    <w:rsid w:val="009B36BC"/>
    <w:rsid w:val="009B39AD"/>
    <w:rsid w:val="009B3ABF"/>
    <w:rsid w:val="009B3D17"/>
    <w:rsid w:val="009B44B4"/>
    <w:rsid w:val="009B47E8"/>
    <w:rsid w:val="009B4F8B"/>
    <w:rsid w:val="009B61DD"/>
    <w:rsid w:val="009B74ED"/>
    <w:rsid w:val="009B7916"/>
    <w:rsid w:val="009C02FA"/>
    <w:rsid w:val="009C260A"/>
    <w:rsid w:val="009C331C"/>
    <w:rsid w:val="009C4463"/>
    <w:rsid w:val="009C4860"/>
    <w:rsid w:val="009C5403"/>
    <w:rsid w:val="009C555B"/>
    <w:rsid w:val="009C55CC"/>
    <w:rsid w:val="009C5F5B"/>
    <w:rsid w:val="009C5F93"/>
    <w:rsid w:val="009C6A57"/>
    <w:rsid w:val="009C6D08"/>
    <w:rsid w:val="009C6ED9"/>
    <w:rsid w:val="009C7153"/>
    <w:rsid w:val="009C74EE"/>
    <w:rsid w:val="009C7889"/>
    <w:rsid w:val="009C79EA"/>
    <w:rsid w:val="009C7CEB"/>
    <w:rsid w:val="009D00C4"/>
    <w:rsid w:val="009D07E9"/>
    <w:rsid w:val="009D0902"/>
    <w:rsid w:val="009D0B96"/>
    <w:rsid w:val="009D1317"/>
    <w:rsid w:val="009D1CA8"/>
    <w:rsid w:val="009D216B"/>
    <w:rsid w:val="009D22F9"/>
    <w:rsid w:val="009D2A75"/>
    <w:rsid w:val="009D302A"/>
    <w:rsid w:val="009D3917"/>
    <w:rsid w:val="009D3BF5"/>
    <w:rsid w:val="009D3F5B"/>
    <w:rsid w:val="009D41BE"/>
    <w:rsid w:val="009D4B18"/>
    <w:rsid w:val="009D5765"/>
    <w:rsid w:val="009D59B9"/>
    <w:rsid w:val="009D6D9C"/>
    <w:rsid w:val="009D7063"/>
    <w:rsid w:val="009D781C"/>
    <w:rsid w:val="009D7875"/>
    <w:rsid w:val="009E197D"/>
    <w:rsid w:val="009E1EA3"/>
    <w:rsid w:val="009E20BA"/>
    <w:rsid w:val="009E26BD"/>
    <w:rsid w:val="009E282F"/>
    <w:rsid w:val="009E2DEE"/>
    <w:rsid w:val="009E3917"/>
    <w:rsid w:val="009E64DE"/>
    <w:rsid w:val="009E791E"/>
    <w:rsid w:val="009E7E2D"/>
    <w:rsid w:val="009E7ED8"/>
    <w:rsid w:val="009F00DE"/>
    <w:rsid w:val="009F0DAF"/>
    <w:rsid w:val="009F123A"/>
    <w:rsid w:val="009F2156"/>
    <w:rsid w:val="009F2C94"/>
    <w:rsid w:val="009F3149"/>
    <w:rsid w:val="009F4A22"/>
    <w:rsid w:val="009F515C"/>
    <w:rsid w:val="009F567D"/>
    <w:rsid w:val="009F5BDE"/>
    <w:rsid w:val="009F5EA0"/>
    <w:rsid w:val="009F63E1"/>
    <w:rsid w:val="009F6CEF"/>
    <w:rsid w:val="009F6D2E"/>
    <w:rsid w:val="009F6F75"/>
    <w:rsid w:val="009F7207"/>
    <w:rsid w:val="00A0031E"/>
    <w:rsid w:val="00A0091B"/>
    <w:rsid w:val="00A01075"/>
    <w:rsid w:val="00A0168B"/>
    <w:rsid w:val="00A01CCB"/>
    <w:rsid w:val="00A02278"/>
    <w:rsid w:val="00A02309"/>
    <w:rsid w:val="00A0285A"/>
    <w:rsid w:val="00A03059"/>
    <w:rsid w:val="00A030BF"/>
    <w:rsid w:val="00A038A5"/>
    <w:rsid w:val="00A03B80"/>
    <w:rsid w:val="00A042D9"/>
    <w:rsid w:val="00A04539"/>
    <w:rsid w:val="00A04F99"/>
    <w:rsid w:val="00A05483"/>
    <w:rsid w:val="00A05510"/>
    <w:rsid w:val="00A059EB"/>
    <w:rsid w:val="00A05B38"/>
    <w:rsid w:val="00A06221"/>
    <w:rsid w:val="00A06B2F"/>
    <w:rsid w:val="00A06BB8"/>
    <w:rsid w:val="00A07251"/>
    <w:rsid w:val="00A074CE"/>
    <w:rsid w:val="00A07665"/>
    <w:rsid w:val="00A0798E"/>
    <w:rsid w:val="00A101D4"/>
    <w:rsid w:val="00A111F7"/>
    <w:rsid w:val="00A112AE"/>
    <w:rsid w:val="00A1162D"/>
    <w:rsid w:val="00A12019"/>
    <w:rsid w:val="00A12581"/>
    <w:rsid w:val="00A129F6"/>
    <w:rsid w:val="00A12BE2"/>
    <w:rsid w:val="00A12C4A"/>
    <w:rsid w:val="00A130B1"/>
    <w:rsid w:val="00A1311B"/>
    <w:rsid w:val="00A149E7"/>
    <w:rsid w:val="00A14AD6"/>
    <w:rsid w:val="00A14D4A"/>
    <w:rsid w:val="00A16DBB"/>
    <w:rsid w:val="00A16E9D"/>
    <w:rsid w:val="00A178DA"/>
    <w:rsid w:val="00A17D30"/>
    <w:rsid w:val="00A20032"/>
    <w:rsid w:val="00A207EC"/>
    <w:rsid w:val="00A20C21"/>
    <w:rsid w:val="00A20D66"/>
    <w:rsid w:val="00A20FDA"/>
    <w:rsid w:val="00A21744"/>
    <w:rsid w:val="00A22707"/>
    <w:rsid w:val="00A2286D"/>
    <w:rsid w:val="00A22D28"/>
    <w:rsid w:val="00A234E4"/>
    <w:rsid w:val="00A23A84"/>
    <w:rsid w:val="00A23ED8"/>
    <w:rsid w:val="00A243BC"/>
    <w:rsid w:val="00A24600"/>
    <w:rsid w:val="00A2477B"/>
    <w:rsid w:val="00A24A40"/>
    <w:rsid w:val="00A256E3"/>
    <w:rsid w:val="00A2591B"/>
    <w:rsid w:val="00A25EA3"/>
    <w:rsid w:val="00A265EE"/>
    <w:rsid w:val="00A30924"/>
    <w:rsid w:val="00A30950"/>
    <w:rsid w:val="00A30959"/>
    <w:rsid w:val="00A30FF7"/>
    <w:rsid w:val="00A31972"/>
    <w:rsid w:val="00A31E88"/>
    <w:rsid w:val="00A32004"/>
    <w:rsid w:val="00A32D71"/>
    <w:rsid w:val="00A33069"/>
    <w:rsid w:val="00A33861"/>
    <w:rsid w:val="00A3452F"/>
    <w:rsid w:val="00A349C8"/>
    <w:rsid w:val="00A349CC"/>
    <w:rsid w:val="00A34B42"/>
    <w:rsid w:val="00A36747"/>
    <w:rsid w:val="00A369F7"/>
    <w:rsid w:val="00A36F9D"/>
    <w:rsid w:val="00A3730E"/>
    <w:rsid w:val="00A37648"/>
    <w:rsid w:val="00A376AB"/>
    <w:rsid w:val="00A37DA0"/>
    <w:rsid w:val="00A400FF"/>
    <w:rsid w:val="00A406FC"/>
    <w:rsid w:val="00A40D89"/>
    <w:rsid w:val="00A40DA2"/>
    <w:rsid w:val="00A40F72"/>
    <w:rsid w:val="00A413B2"/>
    <w:rsid w:val="00A41879"/>
    <w:rsid w:val="00A41C3A"/>
    <w:rsid w:val="00A4210B"/>
    <w:rsid w:val="00A42419"/>
    <w:rsid w:val="00A4291B"/>
    <w:rsid w:val="00A42E0D"/>
    <w:rsid w:val="00A4318E"/>
    <w:rsid w:val="00A432A0"/>
    <w:rsid w:val="00A43748"/>
    <w:rsid w:val="00A43C1B"/>
    <w:rsid w:val="00A43DE7"/>
    <w:rsid w:val="00A43E4B"/>
    <w:rsid w:val="00A4404F"/>
    <w:rsid w:val="00A44CFA"/>
    <w:rsid w:val="00A45C41"/>
    <w:rsid w:val="00A460AF"/>
    <w:rsid w:val="00A467CC"/>
    <w:rsid w:val="00A5010E"/>
    <w:rsid w:val="00A50181"/>
    <w:rsid w:val="00A50527"/>
    <w:rsid w:val="00A50A7E"/>
    <w:rsid w:val="00A51051"/>
    <w:rsid w:val="00A510E0"/>
    <w:rsid w:val="00A51366"/>
    <w:rsid w:val="00A51833"/>
    <w:rsid w:val="00A51ACC"/>
    <w:rsid w:val="00A524C5"/>
    <w:rsid w:val="00A52835"/>
    <w:rsid w:val="00A543B8"/>
    <w:rsid w:val="00A54AAC"/>
    <w:rsid w:val="00A5659C"/>
    <w:rsid w:val="00A56A74"/>
    <w:rsid w:val="00A57698"/>
    <w:rsid w:val="00A57C00"/>
    <w:rsid w:val="00A6013E"/>
    <w:rsid w:val="00A6037A"/>
    <w:rsid w:val="00A6081E"/>
    <w:rsid w:val="00A60877"/>
    <w:rsid w:val="00A6146C"/>
    <w:rsid w:val="00A615B5"/>
    <w:rsid w:val="00A61CBB"/>
    <w:rsid w:val="00A62C72"/>
    <w:rsid w:val="00A632F3"/>
    <w:rsid w:val="00A633B9"/>
    <w:rsid w:val="00A634EA"/>
    <w:rsid w:val="00A63BAC"/>
    <w:rsid w:val="00A63E4F"/>
    <w:rsid w:val="00A63F9E"/>
    <w:rsid w:val="00A65129"/>
    <w:rsid w:val="00A66256"/>
    <w:rsid w:val="00A66E08"/>
    <w:rsid w:val="00A67406"/>
    <w:rsid w:val="00A67650"/>
    <w:rsid w:val="00A701BF"/>
    <w:rsid w:val="00A7088F"/>
    <w:rsid w:val="00A718A6"/>
    <w:rsid w:val="00A71B55"/>
    <w:rsid w:val="00A72208"/>
    <w:rsid w:val="00A725AE"/>
    <w:rsid w:val="00A726BC"/>
    <w:rsid w:val="00A726E5"/>
    <w:rsid w:val="00A72869"/>
    <w:rsid w:val="00A732C6"/>
    <w:rsid w:val="00A7363B"/>
    <w:rsid w:val="00A737A3"/>
    <w:rsid w:val="00A73930"/>
    <w:rsid w:val="00A73CD1"/>
    <w:rsid w:val="00A73F6A"/>
    <w:rsid w:val="00A74157"/>
    <w:rsid w:val="00A742FC"/>
    <w:rsid w:val="00A749EF"/>
    <w:rsid w:val="00A74A48"/>
    <w:rsid w:val="00A75092"/>
    <w:rsid w:val="00A7531C"/>
    <w:rsid w:val="00A758D1"/>
    <w:rsid w:val="00A75AA3"/>
    <w:rsid w:val="00A76772"/>
    <w:rsid w:val="00A769F5"/>
    <w:rsid w:val="00A76CE2"/>
    <w:rsid w:val="00A76E61"/>
    <w:rsid w:val="00A77128"/>
    <w:rsid w:val="00A7753B"/>
    <w:rsid w:val="00A7770F"/>
    <w:rsid w:val="00A803FD"/>
    <w:rsid w:val="00A805BA"/>
    <w:rsid w:val="00A8088C"/>
    <w:rsid w:val="00A8131E"/>
    <w:rsid w:val="00A81386"/>
    <w:rsid w:val="00A8157A"/>
    <w:rsid w:val="00A83513"/>
    <w:rsid w:val="00A8352F"/>
    <w:rsid w:val="00A836FC"/>
    <w:rsid w:val="00A83DBC"/>
    <w:rsid w:val="00A84843"/>
    <w:rsid w:val="00A8495F"/>
    <w:rsid w:val="00A84F4E"/>
    <w:rsid w:val="00A866F3"/>
    <w:rsid w:val="00A868BC"/>
    <w:rsid w:val="00A86A66"/>
    <w:rsid w:val="00A86B65"/>
    <w:rsid w:val="00A87692"/>
    <w:rsid w:val="00A876F7"/>
    <w:rsid w:val="00A90A08"/>
    <w:rsid w:val="00A90C21"/>
    <w:rsid w:val="00A91967"/>
    <w:rsid w:val="00A9263F"/>
    <w:rsid w:val="00A92B94"/>
    <w:rsid w:val="00A93682"/>
    <w:rsid w:val="00A9402C"/>
    <w:rsid w:val="00A941EC"/>
    <w:rsid w:val="00A94287"/>
    <w:rsid w:val="00A9494C"/>
    <w:rsid w:val="00A94CA2"/>
    <w:rsid w:val="00A9518A"/>
    <w:rsid w:val="00A95974"/>
    <w:rsid w:val="00A95A05"/>
    <w:rsid w:val="00A95A44"/>
    <w:rsid w:val="00A966A6"/>
    <w:rsid w:val="00A97510"/>
    <w:rsid w:val="00A97B85"/>
    <w:rsid w:val="00A97CDC"/>
    <w:rsid w:val="00AA253F"/>
    <w:rsid w:val="00AA257E"/>
    <w:rsid w:val="00AA27A0"/>
    <w:rsid w:val="00AA34A0"/>
    <w:rsid w:val="00AA3C2F"/>
    <w:rsid w:val="00AA3C7F"/>
    <w:rsid w:val="00AA3D40"/>
    <w:rsid w:val="00AA41E8"/>
    <w:rsid w:val="00AA44C7"/>
    <w:rsid w:val="00AA4588"/>
    <w:rsid w:val="00AA4F46"/>
    <w:rsid w:val="00AA6354"/>
    <w:rsid w:val="00AA6A46"/>
    <w:rsid w:val="00AA7336"/>
    <w:rsid w:val="00AA7BE1"/>
    <w:rsid w:val="00AB1DF8"/>
    <w:rsid w:val="00AB1EC4"/>
    <w:rsid w:val="00AB3892"/>
    <w:rsid w:val="00AB4BFE"/>
    <w:rsid w:val="00AB505B"/>
    <w:rsid w:val="00AB5CC2"/>
    <w:rsid w:val="00AB6075"/>
    <w:rsid w:val="00AB6B45"/>
    <w:rsid w:val="00AB6C3D"/>
    <w:rsid w:val="00AB6F81"/>
    <w:rsid w:val="00AB797B"/>
    <w:rsid w:val="00AB7AD0"/>
    <w:rsid w:val="00AC075E"/>
    <w:rsid w:val="00AC0F83"/>
    <w:rsid w:val="00AC1B6F"/>
    <w:rsid w:val="00AC2361"/>
    <w:rsid w:val="00AC29DE"/>
    <w:rsid w:val="00AC2C59"/>
    <w:rsid w:val="00AC2D46"/>
    <w:rsid w:val="00AC3896"/>
    <w:rsid w:val="00AC4F29"/>
    <w:rsid w:val="00AC5B4F"/>
    <w:rsid w:val="00AC5B8D"/>
    <w:rsid w:val="00AC60D0"/>
    <w:rsid w:val="00AC6395"/>
    <w:rsid w:val="00AC6A8F"/>
    <w:rsid w:val="00AC6C71"/>
    <w:rsid w:val="00AC7235"/>
    <w:rsid w:val="00AC77C5"/>
    <w:rsid w:val="00AC7CB4"/>
    <w:rsid w:val="00AC7D43"/>
    <w:rsid w:val="00AD0498"/>
    <w:rsid w:val="00AD0DB2"/>
    <w:rsid w:val="00AD1305"/>
    <w:rsid w:val="00AD143A"/>
    <w:rsid w:val="00AD1B1D"/>
    <w:rsid w:val="00AD1E93"/>
    <w:rsid w:val="00AD1EF5"/>
    <w:rsid w:val="00AD2082"/>
    <w:rsid w:val="00AD2527"/>
    <w:rsid w:val="00AD2A19"/>
    <w:rsid w:val="00AD2B7A"/>
    <w:rsid w:val="00AD2C94"/>
    <w:rsid w:val="00AD31A8"/>
    <w:rsid w:val="00AD3FA4"/>
    <w:rsid w:val="00AD46CF"/>
    <w:rsid w:val="00AD5E29"/>
    <w:rsid w:val="00AD5F08"/>
    <w:rsid w:val="00AD687C"/>
    <w:rsid w:val="00AD7876"/>
    <w:rsid w:val="00AD7B93"/>
    <w:rsid w:val="00AD7C8D"/>
    <w:rsid w:val="00AE08B8"/>
    <w:rsid w:val="00AE1E18"/>
    <w:rsid w:val="00AE313F"/>
    <w:rsid w:val="00AE3568"/>
    <w:rsid w:val="00AE38BA"/>
    <w:rsid w:val="00AE3DD9"/>
    <w:rsid w:val="00AE409E"/>
    <w:rsid w:val="00AE4B4E"/>
    <w:rsid w:val="00AE54BA"/>
    <w:rsid w:val="00AE5511"/>
    <w:rsid w:val="00AE56E8"/>
    <w:rsid w:val="00AE6050"/>
    <w:rsid w:val="00AE62D3"/>
    <w:rsid w:val="00AE69FF"/>
    <w:rsid w:val="00AE6E85"/>
    <w:rsid w:val="00AE6EA9"/>
    <w:rsid w:val="00AE7118"/>
    <w:rsid w:val="00AE7547"/>
    <w:rsid w:val="00AE7585"/>
    <w:rsid w:val="00AE799C"/>
    <w:rsid w:val="00AE7C68"/>
    <w:rsid w:val="00AF0698"/>
    <w:rsid w:val="00AF0C24"/>
    <w:rsid w:val="00AF0CEF"/>
    <w:rsid w:val="00AF1C7D"/>
    <w:rsid w:val="00AF20C4"/>
    <w:rsid w:val="00AF21D4"/>
    <w:rsid w:val="00AF2542"/>
    <w:rsid w:val="00AF2894"/>
    <w:rsid w:val="00AF2E8F"/>
    <w:rsid w:val="00AF4567"/>
    <w:rsid w:val="00AF4965"/>
    <w:rsid w:val="00AF5103"/>
    <w:rsid w:val="00AF62DD"/>
    <w:rsid w:val="00AF64BA"/>
    <w:rsid w:val="00AF7AEA"/>
    <w:rsid w:val="00B00C26"/>
    <w:rsid w:val="00B00F13"/>
    <w:rsid w:val="00B01898"/>
    <w:rsid w:val="00B01AA7"/>
    <w:rsid w:val="00B02891"/>
    <w:rsid w:val="00B03273"/>
    <w:rsid w:val="00B03295"/>
    <w:rsid w:val="00B03D6A"/>
    <w:rsid w:val="00B0447B"/>
    <w:rsid w:val="00B04CA3"/>
    <w:rsid w:val="00B058EA"/>
    <w:rsid w:val="00B058FC"/>
    <w:rsid w:val="00B05C86"/>
    <w:rsid w:val="00B064A5"/>
    <w:rsid w:val="00B078BB"/>
    <w:rsid w:val="00B10A24"/>
    <w:rsid w:val="00B10B10"/>
    <w:rsid w:val="00B121CF"/>
    <w:rsid w:val="00B12AD5"/>
    <w:rsid w:val="00B12D09"/>
    <w:rsid w:val="00B12EE8"/>
    <w:rsid w:val="00B13664"/>
    <w:rsid w:val="00B13952"/>
    <w:rsid w:val="00B13989"/>
    <w:rsid w:val="00B142F2"/>
    <w:rsid w:val="00B14A50"/>
    <w:rsid w:val="00B14C36"/>
    <w:rsid w:val="00B14E1B"/>
    <w:rsid w:val="00B15157"/>
    <w:rsid w:val="00B159F1"/>
    <w:rsid w:val="00B168FE"/>
    <w:rsid w:val="00B1691B"/>
    <w:rsid w:val="00B16E92"/>
    <w:rsid w:val="00B1725E"/>
    <w:rsid w:val="00B17C4E"/>
    <w:rsid w:val="00B20C72"/>
    <w:rsid w:val="00B20E46"/>
    <w:rsid w:val="00B21292"/>
    <w:rsid w:val="00B218B9"/>
    <w:rsid w:val="00B21B82"/>
    <w:rsid w:val="00B21F28"/>
    <w:rsid w:val="00B221AB"/>
    <w:rsid w:val="00B22EFB"/>
    <w:rsid w:val="00B23086"/>
    <w:rsid w:val="00B23542"/>
    <w:rsid w:val="00B2374A"/>
    <w:rsid w:val="00B23888"/>
    <w:rsid w:val="00B23C8F"/>
    <w:rsid w:val="00B24326"/>
    <w:rsid w:val="00B24D16"/>
    <w:rsid w:val="00B255E7"/>
    <w:rsid w:val="00B25640"/>
    <w:rsid w:val="00B25EA5"/>
    <w:rsid w:val="00B262A3"/>
    <w:rsid w:val="00B2670B"/>
    <w:rsid w:val="00B26D56"/>
    <w:rsid w:val="00B27373"/>
    <w:rsid w:val="00B31CE4"/>
    <w:rsid w:val="00B32382"/>
    <w:rsid w:val="00B32B61"/>
    <w:rsid w:val="00B330AE"/>
    <w:rsid w:val="00B332B2"/>
    <w:rsid w:val="00B33443"/>
    <w:rsid w:val="00B3372C"/>
    <w:rsid w:val="00B33A3A"/>
    <w:rsid w:val="00B33D33"/>
    <w:rsid w:val="00B34547"/>
    <w:rsid w:val="00B34ACB"/>
    <w:rsid w:val="00B3502B"/>
    <w:rsid w:val="00B3597F"/>
    <w:rsid w:val="00B35ABF"/>
    <w:rsid w:val="00B36136"/>
    <w:rsid w:val="00B40072"/>
    <w:rsid w:val="00B40231"/>
    <w:rsid w:val="00B406B0"/>
    <w:rsid w:val="00B408A5"/>
    <w:rsid w:val="00B40F5E"/>
    <w:rsid w:val="00B40F6B"/>
    <w:rsid w:val="00B40FBD"/>
    <w:rsid w:val="00B41539"/>
    <w:rsid w:val="00B41624"/>
    <w:rsid w:val="00B42B54"/>
    <w:rsid w:val="00B44224"/>
    <w:rsid w:val="00B44591"/>
    <w:rsid w:val="00B44C42"/>
    <w:rsid w:val="00B44E72"/>
    <w:rsid w:val="00B4506B"/>
    <w:rsid w:val="00B45567"/>
    <w:rsid w:val="00B46B83"/>
    <w:rsid w:val="00B471F2"/>
    <w:rsid w:val="00B47405"/>
    <w:rsid w:val="00B47487"/>
    <w:rsid w:val="00B4750A"/>
    <w:rsid w:val="00B476C2"/>
    <w:rsid w:val="00B47CBF"/>
    <w:rsid w:val="00B47D92"/>
    <w:rsid w:val="00B5001E"/>
    <w:rsid w:val="00B50223"/>
    <w:rsid w:val="00B50569"/>
    <w:rsid w:val="00B51EE6"/>
    <w:rsid w:val="00B53107"/>
    <w:rsid w:val="00B53121"/>
    <w:rsid w:val="00B53DD0"/>
    <w:rsid w:val="00B545A8"/>
    <w:rsid w:val="00B547A7"/>
    <w:rsid w:val="00B549AF"/>
    <w:rsid w:val="00B54A88"/>
    <w:rsid w:val="00B54C47"/>
    <w:rsid w:val="00B55049"/>
    <w:rsid w:val="00B5524F"/>
    <w:rsid w:val="00B5561E"/>
    <w:rsid w:val="00B5651C"/>
    <w:rsid w:val="00B5693A"/>
    <w:rsid w:val="00B56C01"/>
    <w:rsid w:val="00B57DF3"/>
    <w:rsid w:val="00B6009F"/>
    <w:rsid w:val="00B60D46"/>
    <w:rsid w:val="00B60DEC"/>
    <w:rsid w:val="00B628BD"/>
    <w:rsid w:val="00B62C3F"/>
    <w:rsid w:val="00B63120"/>
    <w:rsid w:val="00B6331C"/>
    <w:rsid w:val="00B63A2C"/>
    <w:rsid w:val="00B6532C"/>
    <w:rsid w:val="00B65941"/>
    <w:rsid w:val="00B65C1B"/>
    <w:rsid w:val="00B65CFC"/>
    <w:rsid w:val="00B663F6"/>
    <w:rsid w:val="00B66701"/>
    <w:rsid w:val="00B67B4B"/>
    <w:rsid w:val="00B705EF"/>
    <w:rsid w:val="00B70C64"/>
    <w:rsid w:val="00B70FED"/>
    <w:rsid w:val="00B71276"/>
    <w:rsid w:val="00B7133F"/>
    <w:rsid w:val="00B71A0B"/>
    <w:rsid w:val="00B71F93"/>
    <w:rsid w:val="00B72242"/>
    <w:rsid w:val="00B7225B"/>
    <w:rsid w:val="00B723D5"/>
    <w:rsid w:val="00B726E5"/>
    <w:rsid w:val="00B72896"/>
    <w:rsid w:val="00B734E6"/>
    <w:rsid w:val="00B750B0"/>
    <w:rsid w:val="00B752E9"/>
    <w:rsid w:val="00B755DA"/>
    <w:rsid w:val="00B75BE5"/>
    <w:rsid w:val="00B76787"/>
    <w:rsid w:val="00B76907"/>
    <w:rsid w:val="00B7794F"/>
    <w:rsid w:val="00B77C08"/>
    <w:rsid w:val="00B77F26"/>
    <w:rsid w:val="00B8042E"/>
    <w:rsid w:val="00B8045B"/>
    <w:rsid w:val="00B810C0"/>
    <w:rsid w:val="00B81506"/>
    <w:rsid w:val="00B81781"/>
    <w:rsid w:val="00B81825"/>
    <w:rsid w:val="00B81B8B"/>
    <w:rsid w:val="00B84389"/>
    <w:rsid w:val="00B845C5"/>
    <w:rsid w:val="00B84675"/>
    <w:rsid w:val="00B84A5A"/>
    <w:rsid w:val="00B85913"/>
    <w:rsid w:val="00B86605"/>
    <w:rsid w:val="00B87062"/>
    <w:rsid w:val="00B8709B"/>
    <w:rsid w:val="00B87143"/>
    <w:rsid w:val="00B874FB"/>
    <w:rsid w:val="00B87C72"/>
    <w:rsid w:val="00B903AD"/>
    <w:rsid w:val="00B92586"/>
    <w:rsid w:val="00B9272D"/>
    <w:rsid w:val="00B93257"/>
    <w:rsid w:val="00B93678"/>
    <w:rsid w:val="00B94FDC"/>
    <w:rsid w:val="00B950AC"/>
    <w:rsid w:val="00B956C4"/>
    <w:rsid w:val="00B95ECA"/>
    <w:rsid w:val="00B964B8"/>
    <w:rsid w:val="00B96884"/>
    <w:rsid w:val="00B97B7E"/>
    <w:rsid w:val="00B97D23"/>
    <w:rsid w:val="00B97E19"/>
    <w:rsid w:val="00BA0A5E"/>
    <w:rsid w:val="00BA145B"/>
    <w:rsid w:val="00BA30B4"/>
    <w:rsid w:val="00BA3C42"/>
    <w:rsid w:val="00BA3E88"/>
    <w:rsid w:val="00BA40DA"/>
    <w:rsid w:val="00BA53E9"/>
    <w:rsid w:val="00BA5D88"/>
    <w:rsid w:val="00BA68F6"/>
    <w:rsid w:val="00BA6DCE"/>
    <w:rsid w:val="00BA6E7E"/>
    <w:rsid w:val="00BA748B"/>
    <w:rsid w:val="00BA7B90"/>
    <w:rsid w:val="00BA7E8D"/>
    <w:rsid w:val="00BB055A"/>
    <w:rsid w:val="00BB0697"/>
    <w:rsid w:val="00BB1ADE"/>
    <w:rsid w:val="00BB1C8A"/>
    <w:rsid w:val="00BB29A7"/>
    <w:rsid w:val="00BB2FF9"/>
    <w:rsid w:val="00BB32D5"/>
    <w:rsid w:val="00BB38DB"/>
    <w:rsid w:val="00BB3F91"/>
    <w:rsid w:val="00BB4AEB"/>
    <w:rsid w:val="00BB4B7D"/>
    <w:rsid w:val="00BB535A"/>
    <w:rsid w:val="00BB62F9"/>
    <w:rsid w:val="00BB6A3C"/>
    <w:rsid w:val="00BB6FA3"/>
    <w:rsid w:val="00BB7566"/>
    <w:rsid w:val="00BC07CC"/>
    <w:rsid w:val="00BC2999"/>
    <w:rsid w:val="00BC2C71"/>
    <w:rsid w:val="00BC338B"/>
    <w:rsid w:val="00BC3470"/>
    <w:rsid w:val="00BC3796"/>
    <w:rsid w:val="00BC4270"/>
    <w:rsid w:val="00BC4703"/>
    <w:rsid w:val="00BC568F"/>
    <w:rsid w:val="00BC5BDD"/>
    <w:rsid w:val="00BC5F21"/>
    <w:rsid w:val="00BC5F26"/>
    <w:rsid w:val="00BC6911"/>
    <w:rsid w:val="00BC75C8"/>
    <w:rsid w:val="00BC76D0"/>
    <w:rsid w:val="00BC7C1F"/>
    <w:rsid w:val="00BC7C85"/>
    <w:rsid w:val="00BD0106"/>
    <w:rsid w:val="00BD0367"/>
    <w:rsid w:val="00BD0930"/>
    <w:rsid w:val="00BD0DF0"/>
    <w:rsid w:val="00BD0F0F"/>
    <w:rsid w:val="00BD1507"/>
    <w:rsid w:val="00BD1EFE"/>
    <w:rsid w:val="00BD23C9"/>
    <w:rsid w:val="00BD2488"/>
    <w:rsid w:val="00BD2684"/>
    <w:rsid w:val="00BD27BF"/>
    <w:rsid w:val="00BD2C5A"/>
    <w:rsid w:val="00BD2DB2"/>
    <w:rsid w:val="00BD2E53"/>
    <w:rsid w:val="00BD33BE"/>
    <w:rsid w:val="00BD3FF7"/>
    <w:rsid w:val="00BD4BBD"/>
    <w:rsid w:val="00BD51BD"/>
    <w:rsid w:val="00BD56D0"/>
    <w:rsid w:val="00BD5847"/>
    <w:rsid w:val="00BD5ABA"/>
    <w:rsid w:val="00BD5B3E"/>
    <w:rsid w:val="00BD6BB2"/>
    <w:rsid w:val="00BD74CE"/>
    <w:rsid w:val="00BD7BC6"/>
    <w:rsid w:val="00BE05E5"/>
    <w:rsid w:val="00BE0689"/>
    <w:rsid w:val="00BE079D"/>
    <w:rsid w:val="00BE0834"/>
    <w:rsid w:val="00BE0871"/>
    <w:rsid w:val="00BE0BCD"/>
    <w:rsid w:val="00BE1146"/>
    <w:rsid w:val="00BE1508"/>
    <w:rsid w:val="00BE17B3"/>
    <w:rsid w:val="00BE211D"/>
    <w:rsid w:val="00BE2205"/>
    <w:rsid w:val="00BE283A"/>
    <w:rsid w:val="00BE2EAA"/>
    <w:rsid w:val="00BE471C"/>
    <w:rsid w:val="00BE4CD7"/>
    <w:rsid w:val="00BE5AC3"/>
    <w:rsid w:val="00BE63E6"/>
    <w:rsid w:val="00BE6668"/>
    <w:rsid w:val="00BE6D91"/>
    <w:rsid w:val="00BE76B9"/>
    <w:rsid w:val="00BE77E3"/>
    <w:rsid w:val="00BE789A"/>
    <w:rsid w:val="00BE7CD3"/>
    <w:rsid w:val="00BE7E68"/>
    <w:rsid w:val="00BE7E84"/>
    <w:rsid w:val="00BF024A"/>
    <w:rsid w:val="00BF09CF"/>
    <w:rsid w:val="00BF221F"/>
    <w:rsid w:val="00BF25AE"/>
    <w:rsid w:val="00BF26E5"/>
    <w:rsid w:val="00BF2AAE"/>
    <w:rsid w:val="00BF37FC"/>
    <w:rsid w:val="00BF413E"/>
    <w:rsid w:val="00BF432A"/>
    <w:rsid w:val="00BF433E"/>
    <w:rsid w:val="00BF4B02"/>
    <w:rsid w:val="00BF4CCC"/>
    <w:rsid w:val="00BF5CC9"/>
    <w:rsid w:val="00BF5F75"/>
    <w:rsid w:val="00BF6CDB"/>
    <w:rsid w:val="00BF785B"/>
    <w:rsid w:val="00BF7ED0"/>
    <w:rsid w:val="00C00594"/>
    <w:rsid w:val="00C015FA"/>
    <w:rsid w:val="00C01819"/>
    <w:rsid w:val="00C02001"/>
    <w:rsid w:val="00C02A38"/>
    <w:rsid w:val="00C02CE0"/>
    <w:rsid w:val="00C031FB"/>
    <w:rsid w:val="00C0372C"/>
    <w:rsid w:val="00C03BC8"/>
    <w:rsid w:val="00C0526D"/>
    <w:rsid w:val="00C0529C"/>
    <w:rsid w:val="00C0540B"/>
    <w:rsid w:val="00C06F0B"/>
    <w:rsid w:val="00C07159"/>
    <w:rsid w:val="00C10F2F"/>
    <w:rsid w:val="00C11F35"/>
    <w:rsid w:val="00C12356"/>
    <w:rsid w:val="00C12406"/>
    <w:rsid w:val="00C12832"/>
    <w:rsid w:val="00C129E0"/>
    <w:rsid w:val="00C13EDF"/>
    <w:rsid w:val="00C1409B"/>
    <w:rsid w:val="00C1476E"/>
    <w:rsid w:val="00C14839"/>
    <w:rsid w:val="00C150BA"/>
    <w:rsid w:val="00C152E1"/>
    <w:rsid w:val="00C165BC"/>
    <w:rsid w:val="00C168C2"/>
    <w:rsid w:val="00C16B4A"/>
    <w:rsid w:val="00C17014"/>
    <w:rsid w:val="00C20FEA"/>
    <w:rsid w:val="00C229A8"/>
    <w:rsid w:val="00C22B10"/>
    <w:rsid w:val="00C22B9B"/>
    <w:rsid w:val="00C22CA4"/>
    <w:rsid w:val="00C22FA4"/>
    <w:rsid w:val="00C23216"/>
    <w:rsid w:val="00C2380F"/>
    <w:rsid w:val="00C24057"/>
    <w:rsid w:val="00C26406"/>
    <w:rsid w:val="00C26B42"/>
    <w:rsid w:val="00C2703E"/>
    <w:rsid w:val="00C2722E"/>
    <w:rsid w:val="00C2768C"/>
    <w:rsid w:val="00C3046E"/>
    <w:rsid w:val="00C30A22"/>
    <w:rsid w:val="00C30C04"/>
    <w:rsid w:val="00C31AE4"/>
    <w:rsid w:val="00C321E5"/>
    <w:rsid w:val="00C32ABF"/>
    <w:rsid w:val="00C3307C"/>
    <w:rsid w:val="00C33204"/>
    <w:rsid w:val="00C333EA"/>
    <w:rsid w:val="00C3382F"/>
    <w:rsid w:val="00C34A72"/>
    <w:rsid w:val="00C34E60"/>
    <w:rsid w:val="00C34FD0"/>
    <w:rsid w:val="00C354DD"/>
    <w:rsid w:val="00C356D2"/>
    <w:rsid w:val="00C35924"/>
    <w:rsid w:val="00C35A6F"/>
    <w:rsid w:val="00C3723F"/>
    <w:rsid w:val="00C40621"/>
    <w:rsid w:val="00C41718"/>
    <w:rsid w:val="00C418A5"/>
    <w:rsid w:val="00C41F06"/>
    <w:rsid w:val="00C41F7F"/>
    <w:rsid w:val="00C428A2"/>
    <w:rsid w:val="00C428B2"/>
    <w:rsid w:val="00C43B6E"/>
    <w:rsid w:val="00C43C6B"/>
    <w:rsid w:val="00C44321"/>
    <w:rsid w:val="00C45041"/>
    <w:rsid w:val="00C459C8"/>
    <w:rsid w:val="00C45A44"/>
    <w:rsid w:val="00C460A7"/>
    <w:rsid w:val="00C46966"/>
    <w:rsid w:val="00C46E13"/>
    <w:rsid w:val="00C4722F"/>
    <w:rsid w:val="00C47663"/>
    <w:rsid w:val="00C47ABE"/>
    <w:rsid w:val="00C5127B"/>
    <w:rsid w:val="00C517DE"/>
    <w:rsid w:val="00C518E9"/>
    <w:rsid w:val="00C51A16"/>
    <w:rsid w:val="00C525D7"/>
    <w:rsid w:val="00C525EA"/>
    <w:rsid w:val="00C52C86"/>
    <w:rsid w:val="00C531FD"/>
    <w:rsid w:val="00C5391F"/>
    <w:rsid w:val="00C53C0F"/>
    <w:rsid w:val="00C53D4A"/>
    <w:rsid w:val="00C5432F"/>
    <w:rsid w:val="00C5438D"/>
    <w:rsid w:val="00C5456A"/>
    <w:rsid w:val="00C55565"/>
    <w:rsid w:val="00C55C4E"/>
    <w:rsid w:val="00C57007"/>
    <w:rsid w:val="00C57F4A"/>
    <w:rsid w:val="00C60938"/>
    <w:rsid w:val="00C60A95"/>
    <w:rsid w:val="00C6184A"/>
    <w:rsid w:val="00C61F85"/>
    <w:rsid w:val="00C62673"/>
    <w:rsid w:val="00C62ADF"/>
    <w:rsid w:val="00C62F7E"/>
    <w:rsid w:val="00C648E7"/>
    <w:rsid w:val="00C65110"/>
    <w:rsid w:val="00C65777"/>
    <w:rsid w:val="00C668AF"/>
    <w:rsid w:val="00C66EFA"/>
    <w:rsid w:val="00C672DC"/>
    <w:rsid w:val="00C678F0"/>
    <w:rsid w:val="00C67CF8"/>
    <w:rsid w:val="00C70BDF"/>
    <w:rsid w:val="00C71E5D"/>
    <w:rsid w:val="00C72980"/>
    <w:rsid w:val="00C72B50"/>
    <w:rsid w:val="00C72EF7"/>
    <w:rsid w:val="00C72F96"/>
    <w:rsid w:val="00C73816"/>
    <w:rsid w:val="00C73B6C"/>
    <w:rsid w:val="00C73E0A"/>
    <w:rsid w:val="00C7437C"/>
    <w:rsid w:val="00C74477"/>
    <w:rsid w:val="00C74A51"/>
    <w:rsid w:val="00C74F84"/>
    <w:rsid w:val="00C75089"/>
    <w:rsid w:val="00C76857"/>
    <w:rsid w:val="00C769C8"/>
    <w:rsid w:val="00C77EFF"/>
    <w:rsid w:val="00C802B9"/>
    <w:rsid w:val="00C803A1"/>
    <w:rsid w:val="00C807BD"/>
    <w:rsid w:val="00C808D2"/>
    <w:rsid w:val="00C8106E"/>
    <w:rsid w:val="00C816C9"/>
    <w:rsid w:val="00C8176F"/>
    <w:rsid w:val="00C8355C"/>
    <w:rsid w:val="00C83C2B"/>
    <w:rsid w:val="00C83D75"/>
    <w:rsid w:val="00C83DBF"/>
    <w:rsid w:val="00C84019"/>
    <w:rsid w:val="00C841A0"/>
    <w:rsid w:val="00C8477F"/>
    <w:rsid w:val="00C84A26"/>
    <w:rsid w:val="00C84A63"/>
    <w:rsid w:val="00C84DEB"/>
    <w:rsid w:val="00C8501D"/>
    <w:rsid w:val="00C8527E"/>
    <w:rsid w:val="00C85566"/>
    <w:rsid w:val="00C873DC"/>
    <w:rsid w:val="00C87778"/>
    <w:rsid w:val="00C90257"/>
    <w:rsid w:val="00C90633"/>
    <w:rsid w:val="00C910A8"/>
    <w:rsid w:val="00C91448"/>
    <w:rsid w:val="00C91640"/>
    <w:rsid w:val="00C91722"/>
    <w:rsid w:val="00C918E7"/>
    <w:rsid w:val="00C92076"/>
    <w:rsid w:val="00C92C74"/>
    <w:rsid w:val="00C933C8"/>
    <w:rsid w:val="00C93589"/>
    <w:rsid w:val="00C93864"/>
    <w:rsid w:val="00C938AF"/>
    <w:rsid w:val="00C942F4"/>
    <w:rsid w:val="00C944B1"/>
    <w:rsid w:val="00C955EC"/>
    <w:rsid w:val="00C95C7A"/>
    <w:rsid w:val="00C95CB0"/>
    <w:rsid w:val="00C96D01"/>
    <w:rsid w:val="00C96FC8"/>
    <w:rsid w:val="00CA0E7B"/>
    <w:rsid w:val="00CA0F1A"/>
    <w:rsid w:val="00CA14D5"/>
    <w:rsid w:val="00CA18FA"/>
    <w:rsid w:val="00CA1A1B"/>
    <w:rsid w:val="00CA1C09"/>
    <w:rsid w:val="00CA25DE"/>
    <w:rsid w:val="00CA400C"/>
    <w:rsid w:val="00CA4ADC"/>
    <w:rsid w:val="00CA4C2E"/>
    <w:rsid w:val="00CA54E2"/>
    <w:rsid w:val="00CA5925"/>
    <w:rsid w:val="00CA6B9A"/>
    <w:rsid w:val="00CA7112"/>
    <w:rsid w:val="00CA7B4B"/>
    <w:rsid w:val="00CB02DB"/>
    <w:rsid w:val="00CB0725"/>
    <w:rsid w:val="00CB0A34"/>
    <w:rsid w:val="00CB19F4"/>
    <w:rsid w:val="00CB20CA"/>
    <w:rsid w:val="00CB280C"/>
    <w:rsid w:val="00CB286B"/>
    <w:rsid w:val="00CB2D2A"/>
    <w:rsid w:val="00CB3A96"/>
    <w:rsid w:val="00CB4803"/>
    <w:rsid w:val="00CB481D"/>
    <w:rsid w:val="00CB55EC"/>
    <w:rsid w:val="00CB5676"/>
    <w:rsid w:val="00CB614E"/>
    <w:rsid w:val="00CB6D42"/>
    <w:rsid w:val="00CB6D6E"/>
    <w:rsid w:val="00CB6E19"/>
    <w:rsid w:val="00CB6E37"/>
    <w:rsid w:val="00CB777E"/>
    <w:rsid w:val="00CC0D65"/>
    <w:rsid w:val="00CC0D73"/>
    <w:rsid w:val="00CC0E81"/>
    <w:rsid w:val="00CC1006"/>
    <w:rsid w:val="00CC1245"/>
    <w:rsid w:val="00CC1DB9"/>
    <w:rsid w:val="00CC2068"/>
    <w:rsid w:val="00CC27A9"/>
    <w:rsid w:val="00CC29BC"/>
    <w:rsid w:val="00CC2F40"/>
    <w:rsid w:val="00CC334A"/>
    <w:rsid w:val="00CC3438"/>
    <w:rsid w:val="00CC362A"/>
    <w:rsid w:val="00CC382C"/>
    <w:rsid w:val="00CC3BEF"/>
    <w:rsid w:val="00CC3D56"/>
    <w:rsid w:val="00CC4377"/>
    <w:rsid w:val="00CC43D5"/>
    <w:rsid w:val="00CC47A0"/>
    <w:rsid w:val="00CD00A0"/>
    <w:rsid w:val="00CD0268"/>
    <w:rsid w:val="00CD07A5"/>
    <w:rsid w:val="00CD0955"/>
    <w:rsid w:val="00CD12D4"/>
    <w:rsid w:val="00CD1C6D"/>
    <w:rsid w:val="00CD1DEF"/>
    <w:rsid w:val="00CD257A"/>
    <w:rsid w:val="00CD2DFF"/>
    <w:rsid w:val="00CD3EBC"/>
    <w:rsid w:val="00CD41BA"/>
    <w:rsid w:val="00CD4213"/>
    <w:rsid w:val="00CD500A"/>
    <w:rsid w:val="00CD56A3"/>
    <w:rsid w:val="00CD5D26"/>
    <w:rsid w:val="00CD6CDF"/>
    <w:rsid w:val="00CD73F5"/>
    <w:rsid w:val="00CD7404"/>
    <w:rsid w:val="00CE00C6"/>
    <w:rsid w:val="00CE02AA"/>
    <w:rsid w:val="00CE0F97"/>
    <w:rsid w:val="00CE1419"/>
    <w:rsid w:val="00CE1604"/>
    <w:rsid w:val="00CE1640"/>
    <w:rsid w:val="00CE183E"/>
    <w:rsid w:val="00CE2136"/>
    <w:rsid w:val="00CE346C"/>
    <w:rsid w:val="00CE3FB7"/>
    <w:rsid w:val="00CE444E"/>
    <w:rsid w:val="00CE4791"/>
    <w:rsid w:val="00CE4C6B"/>
    <w:rsid w:val="00CE4F07"/>
    <w:rsid w:val="00CE547B"/>
    <w:rsid w:val="00CE555F"/>
    <w:rsid w:val="00CF11F6"/>
    <w:rsid w:val="00CF1640"/>
    <w:rsid w:val="00CF22AF"/>
    <w:rsid w:val="00CF30D8"/>
    <w:rsid w:val="00CF454A"/>
    <w:rsid w:val="00CF4890"/>
    <w:rsid w:val="00CF489A"/>
    <w:rsid w:val="00CF4928"/>
    <w:rsid w:val="00CF4A90"/>
    <w:rsid w:val="00CF4B29"/>
    <w:rsid w:val="00CF4F83"/>
    <w:rsid w:val="00CF5B56"/>
    <w:rsid w:val="00CF67FE"/>
    <w:rsid w:val="00CF7406"/>
    <w:rsid w:val="00CF7700"/>
    <w:rsid w:val="00CF775B"/>
    <w:rsid w:val="00D0069C"/>
    <w:rsid w:val="00D0094C"/>
    <w:rsid w:val="00D01A0E"/>
    <w:rsid w:val="00D02516"/>
    <w:rsid w:val="00D02C91"/>
    <w:rsid w:val="00D02E9B"/>
    <w:rsid w:val="00D03E4D"/>
    <w:rsid w:val="00D04396"/>
    <w:rsid w:val="00D045E3"/>
    <w:rsid w:val="00D04885"/>
    <w:rsid w:val="00D04A5A"/>
    <w:rsid w:val="00D04E93"/>
    <w:rsid w:val="00D05CFF"/>
    <w:rsid w:val="00D06D42"/>
    <w:rsid w:val="00D0751B"/>
    <w:rsid w:val="00D07F0D"/>
    <w:rsid w:val="00D11013"/>
    <w:rsid w:val="00D11567"/>
    <w:rsid w:val="00D116D8"/>
    <w:rsid w:val="00D11868"/>
    <w:rsid w:val="00D121C0"/>
    <w:rsid w:val="00D12B1B"/>
    <w:rsid w:val="00D13336"/>
    <w:rsid w:val="00D13346"/>
    <w:rsid w:val="00D137F5"/>
    <w:rsid w:val="00D13CEE"/>
    <w:rsid w:val="00D14029"/>
    <w:rsid w:val="00D14318"/>
    <w:rsid w:val="00D147D4"/>
    <w:rsid w:val="00D1576B"/>
    <w:rsid w:val="00D15F0E"/>
    <w:rsid w:val="00D16120"/>
    <w:rsid w:val="00D16597"/>
    <w:rsid w:val="00D169FB"/>
    <w:rsid w:val="00D16AEE"/>
    <w:rsid w:val="00D1746E"/>
    <w:rsid w:val="00D1763B"/>
    <w:rsid w:val="00D17D01"/>
    <w:rsid w:val="00D20421"/>
    <w:rsid w:val="00D20834"/>
    <w:rsid w:val="00D208FC"/>
    <w:rsid w:val="00D20BB2"/>
    <w:rsid w:val="00D20E19"/>
    <w:rsid w:val="00D211DC"/>
    <w:rsid w:val="00D21C14"/>
    <w:rsid w:val="00D220EA"/>
    <w:rsid w:val="00D220F4"/>
    <w:rsid w:val="00D223F7"/>
    <w:rsid w:val="00D2270F"/>
    <w:rsid w:val="00D23621"/>
    <w:rsid w:val="00D23826"/>
    <w:rsid w:val="00D23DB4"/>
    <w:rsid w:val="00D2465E"/>
    <w:rsid w:val="00D24DA0"/>
    <w:rsid w:val="00D27803"/>
    <w:rsid w:val="00D300FC"/>
    <w:rsid w:val="00D3064E"/>
    <w:rsid w:val="00D30C23"/>
    <w:rsid w:val="00D31C4D"/>
    <w:rsid w:val="00D320F2"/>
    <w:rsid w:val="00D32BDA"/>
    <w:rsid w:val="00D32D86"/>
    <w:rsid w:val="00D32FAA"/>
    <w:rsid w:val="00D33204"/>
    <w:rsid w:val="00D335B7"/>
    <w:rsid w:val="00D339AE"/>
    <w:rsid w:val="00D339E4"/>
    <w:rsid w:val="00D34E66"/>
    <w:rsid w:val="00D35305"/>
    <w:rsid w:val="00D3611D"/>
    <w:rsid w:val="00D363F2"/>
    <w:rsid w:val="00D37324"/>
    <w:rsid w:val="00D37AC1"/>
    <w:rsid w:val="00D37C2A"/>
    <w:rsid w:val="00D37DCF"/>
    <w:rsid w:val="00D40683"/>
    <w:rsid w:val="00D4169D"/>
    <w:rsid w:val="00D41C14"/>
    <w:rsid w:val="00D420A0"/>
    <w:rsid w:val="00D424D4"/>
    <w:rsid w:val="00D42B55"/>
    <w:rsid w:val="00D42BD0"/>
    <w:rsid w:val="00D42CD0"/>
    <w:rsid w:val="00D43A3B"/>
    <w:rsid w:val="00D43C40"/>
    <w:rsid w:val="00D43CD9"/>
    <w:rsid w:val="00D43F1D"/>
    <w:rsid w:val="00D44143"/>
    <w:rsid w:val="00D44639"/>
    <w:rsid w:val="00D45232"/>
    <w:rsid w:val="00D45245"/>
    <w:rsid w:val="00D455A6"/>
    <w:rsid w:val="00D45853"/>
    <w:rsid w:val="00D45FB0"/>
    <w:rsid w:val="00D46D05"/>
    <w:rsid w:val="00D47E8F"/>
    <w:rsid w:val="00D5094F"/>
    <w:rsid w:val="00D50D00"/>
    <w:rsid w:val="00D50EFD"/>
    <w:rsid w:val="00D51534"/>
    <w:rsid w:val="00D51555"/>
    <w:rsid w:val="00D515F5"/>
    <w:rsid w:val="00D517DA"/>
    <w:rsid w:val="00D519AD"/>
    <w:rsid w:val="00D51B30"/>
    <w:rsid w:val="00D51E45"/>
    <w:rsid w:val="00D52A2F"/>
    <w:rsid w:val="00D52A36"/>
    <w:rsid w:val="00D52E1F"/>
    <w:rsid w:val="00D53DC0"/>
    <w:rsid w:val="00D54BB4"/>
    <w:rsid w:val="00D560B6"/>
    <w:rsid w:val="00D560D2"/>
    <w:rsid w:val="00D566D1"/>
    <w:rsid w:val="00D56DC4"/>
    <w:rsid w:val="00D5738F"/>
    <w:rsid w:val="00D57F59"/>
    <w:rsid w:val="00D6061F"/>
    <w:rsid w:val="00D60750"/>
    <w:rsid w:val="00D607F1"/>
    <w:rsid w:val="00D60C42"/>
    <w:rsid w:val="00D618F5"/>
    <w:rsid w:val="00D61A10"/>
    <w:rsid w:val="00D61F66"/>
    <w:rsid w:val="00D622D0"/>
    <w:rsid w:val="00D625F8"/>
    <w:rsid w:val="00D62EBF"/>
    <w:rsid w:val="00D63386"/>
    <w:rsid w:val="00D63685"/>
    <w:rsid w:val="00D63AD8"/>
    <w:rsid w:val="00D63F4B"/>
    <w:rsid w:val="00D64456"/>
    <w:rsid w:val="00D64D13"/>
    <w:rsid w:val="00D66315"/>
    <w:rsid w:val="00D668B3"/>
    <w:rsid w:val="00D67899"/>
    <w:rsid w:val="00D67D0D"/>
    <w:rsid w:val="00D70B8E"/>
    <w:rsid w:val="00D7143D"/>
    <w:rsid w:val="00D71A3F"/>
    <w:rsid w:val="00D71C3A"/>
    <w:rsid w:val="00D71F2E"/>
    <w:rsid w:val="00D72365"/>
    <w:rsid w:val="00D72547"/>
    <w:rsid w:val="00D74CF1"/>
    <w:rsid w:val="00D76503"/>
    <w:rsid w:val="00D76547"/>
    <w:rsid w:val="00D76C95"/>
    <w:rsid w:val="00D76F5F"/>
    <w:rsid w:val="00D77100"/>
    <w:rsid w:val="00D771B4"/>
    <w:rsid w:val="00D77390"/>
    <w:rsid w:val="00D77727"/>
    <w:rsid w:val="00D80452"/>
    <w:rsid w:val="00D81052"/>
    <w:rsid w:val="00D815BA"/>
    <w:rsid w:val="00D816AF"/>
    <w:rsid w:val="00D818B2"/>
    <w:rsid w:val="00D81D0F"/>
    <w:rsid w:val="00D82BB8"/>
    <w:rsid w:val="00D834CA"/>
    <w:rsid w:val="00D83A48"/>
    <w:rsid w:val="00D83AE2"/>
    <w:rsid w:val="00D83B17"/>
    <w:rsid w:val="00D84623"/>
    <w:rsid w:val="00D85179"/>
    <w:rsid w:val="00D8537E"/>
    <w:rsid w:val="00D857F1"/>
    <w:rsid w:val="00D85D4A"/>
    <w:rsid w:val="00D85DF2"/>
    <w:rsid w:val="00D8680E"/>
    <w:rsid w:val="00D868CB"/>
    <w:rsid w:val="00D86B81"/>
    <w:rsid w:val="00D90057"/>
    <w:rsid w:val="00D90A05"/>
    <w:rsid w:val="00D91160"/>
    <w:rsid w:val="00D91DA4"/>
    <w:rsid w:val="00D92573"/>
    <w:rsid w:val="00D928A7"/>
    <w:rsid w:val="00D92D87"/>
    <w:rsid w:val="00D93DAD"/>
    <w:rsid w:val="00D94267"/>
    <w:rsid w:val="00D945DB"/>
    <w:rsid w:val="00D95CB7"/>
    <w:rsid w:val="00D96A31"/>
    <w:rsid w:val="00D9701E"/>
    <w:rsid w:val="00D97FD7"/>
    <w:rsid w:val="00DA0234"/>
    <w:rsid w:val="00DA0894"/>
    <w:rsid w:val="00DA1036"/>
    <w:rsid w:val="00DA2DB3"/>
    <w:rsid w:val="00DA2F51"/>
    <w:rsid w:val="00DA3861"/>
    <w:rsid w:val="00DA482B"/>
    <w:rsid w:val="00DA5C95"/>
    <w:rsid w:val="00DA65FC"/>
    <w:rsid w:val="00DA6816"/>
    <w:rsid w:val="00DA6A0B"/>
    <w:rsid w:val="00DA6C5E"/>
    <w:rsid w:val="00DB0BA6"/>
    <w:rsid w:val="00DB0F60"/>
    <w:rsid w:val="00DB1111"/>
    <w:rsid w:val="00DB1B27"/>
    <w:rsid w:val="00DB1D72"/>
    <w:rsid w:val="00DB1EAE"/>
    <w:rsid w:val="00DB1FCE"/>
    <w:rsid w:val="00DB2652"/>
    <w:rsid w:val="00DB2856"/>
    <w:rsid w:val="00DB3353"/>
    <w:rsid w:val="00DB4F22"/>
    <w:rsid w:val="00DB5493"/>
    <w:rsid w:val="00DB5FD6"/>
    <w:rsid w:val="00DB601D"/>
    <w:rsid w:val="00DB75BB"/>
    <w:rsid w:val="00DB79EE"/>
    <w:rsid w:val="00DC00E4"/>
    <w:rsid w:val="00DC01CE"/>
    <w:rsid w:val="00DC0489"/>
    <w:rsid w:val="00DC0571"/>
    <w:rsid w:val="00DC0DE4"/>
    <w:rsid w:val="00DC0ED2"/>
    <w:rsid w:val="00DC166A"/>
    <w:rsid w:val="00DC1B9E"/>
    <w:rsid w:val="00DC2234"/>
    <w:rsid w:val="00DC2250"/>
    <w:rsid w:val="00DC312B"/>
    <w:rsid w:val="00DC4522"/>
    <w:rsid w:val="00DC452F"/>
    <w:rsid w:val="00DC4CE1"/>
    <w:rsid w:val="00DC4D0B"/>
    <w:rsid w:val="00DC5241"/>
    <w:rsid w:val="00DC5705"/>
    <w:rsid w:val="00DC5C6E"/>
    <w:rsid w:val="00DC5CDB"/>
    <w:rsid w:val="00DC6181"/>
    <w:rsid w:val="00DC631E"/>
    <w:rsid w:val="00DC7934"/>
    <w:rsid w:val="00DC7D6E"/>
    <w:rsid w:val="00DD0252"/>
    <w:rsid w:val="00DD0481"/>
    <w:rsid w:val="00DD0B16"/>
    <w:rsid w:val="00DD21F5"/>
    <w:rsid w:val="00DD276F"/>
    <w:rsid w:val="00DD29DA"/>
    <w:rsid w:val="00DD2DB5"/>
    <w:rsid w:val="00DD3162"/>
    <w:rsid w:val="00DD41CB"/>
    <w:rsid w:val="00DD4367"/>
    <w:rsid w:val="00DD461D"/>
    <w:rsid w:val="00DD4860"/>
    <w:rsid w:val="00DD4F76"/>
    <w:rsid w:val="00DD5EFC"/>
    <w:rsid w:val="00DD60BD"/>
    <w:rsid w:val="00DD67DB"/>
    <w:rsid w:val="00DD7803"/>
    <w:rsid w:val="00DE0D80"/>
    <w:rsid w:val="00DE15C4"/>
    <w:rsid w:val="00DE1AA4"/>
    <w:rsid w:val="00DE3496"/>
    <w:rsid w:val="00DE3615"/>
    <w:rsid w:val="00DE5349"/>
    <w:rsid w:val="00DE534C"/>
    <w:rsid w:val="00DE53CC"/>
    <w:rsid w:val="00DE58CE"/>
    <w:rsid w:val="00DE5C16"/>
    <w:rsid w:val="00DE5CDF"/>
    <w:rsid w:val="00DE6E70"/>
    <w:rsid w:val="00DE77D5"/>
    <w:rsid w:val="00DF00F3"/>
    <w:rsid w:val="00DF096E"/>
    <w:rsid w:val="00DF0F15"/>
    <w:rsid w:val="00DF174C"/>
    <w:rsid w:val="00DF1E28"/>
    <w:rsid w:val="00DF20E8"/>
    <w:rsid w:val="00DF210A"/>
    <w:rsid w:val="00DF219E"/>
    <w:rsid w:val="00DF27A0"/>
    <w:rsid w:val="00DF2FFD"/>
    <w:rsid w:val="00DF3D42"/>
    <w:rsid w:val="00DF4001"/>
    <w:rsid w:val="00DF4074"/>
    <w:rsid w:val="00DF40A0"/>
    <w:rsid w:val="00DF4AC8"/>
    <w:rsid w:val="00DF4C2B"/>
    <w:rsid w:val="00DF5239"/>
    <w:rsid w:val="00DF5A09"/>
    <w:rsid w:val="00DF5E3B"/>
    <w:rsid w:val="00DF623F"/>
    <w:rsid w:val="00DF65F0"/>
    <w:rsid w:val="00DF6768"/>
    <w:rsid w:val="00DF7BA9"/>
    <w:rsid w:val="00DF7F13"/>
    <w:rsid w:val="00E00110"/>
    <w:rsid w:val="00E015F4"/>
    <w:rsid w:val="00E017F9"/>
    <w:rsid w:val="00E01FED"/>
    <w:rsid w:val="00E02171"/>
    <w:rsid w:val="00E0217B"/>
    <w:rsid w:val="00E0240F"/>
    <w:rsid w:val="00E03697"/>
    <w:rsid w:val="00E0376C"/>
    <w:rsid w:val="00E03F4E"/>
    <w:rsid w:val="00E040D5"/>
    <w:rsid w:val="00E04483"/>
    <w:rsid w:val="00E04E00"/>
    <w:rsid w:val="00E056AA"/>
    <w:rsid w:val="00E0583F"/>
    <w:rsid w:val="00E05939"/>
    <w:rsid w:val="00E05FEC"/>
    <w:rsid w:val="00E064EF"/>
    <w:rsid w:val="00E0702C"/>
    <w:rsid w:val="00E0712B"/>
    <w:rsid w:val="00E07DEA"/>
    <w:rsid w:val="00E10399"/>
    <w:rsid w:val="00E10537"/>
    <w:rsid w:val="00E1114B"/>
    <w:rsid w:val="00E12050"/>
    <w:rsid w:val="00E12323"/>
    <w:rsid w:val="00E137D3"/>
    <w:rsid w:val="00E13E80"/>
    <w:rsid w:val="00E14A08"/>
    <w:rsid w:val="00E15656"/>
    <w:rsid w:val="00E16526"/>
    <w:rsid w:val="00E16746"/>
    <w:rsid w:val="00E16856"/>
    <w:rsid w:val="00E1690A"/>
    <w:rsid w:val="00E171B7"/>
    <w:rsid w:val="00E17A4C"/>
    <w:rsid w:val="00E20632"/>
    <w:rsid w:val="00E20798"/>
    <w:rsid w:val="00E2079A"/>
    <w:rsid w:val="00E20BDB"/>
    <w:rsid w:val="00E20FE9"/>
    <w:rsid w:val="00E21A2F"/>
    <w:rsid w:val="00E21FE1"/>
    <w:rsid w:val="00E220D3"/>
    <w:rsid w:val="00E224CF"/>
    <w:rsid w:val="00E2283F"/>
    <w:rsid w:val="00E22A5B"/>
    <w:rsid w:val="00E23106"/>
    <w:rsid w:val="00E2349F"/>
    <w:rsid w:val="00E2380C"/>
    <w:rsid w:val="00E239EA"/>
    <w:rsid w:val="00E24209"/>
    <w:rsid w:val="00E247F4"/>
    <w:rsid w:val="00E248C0"/>
    <w:rsid w:val="00E2523A"/>
    <w:rsid w:val="00E25D1F"/>
    <w:rsid w:val="00E2632E"/>
    <w:rsid w:val="00E26634"/>
    <w:rsid w:val="00E27033"/>
    <w:rsid w:val="00E27901"/>
    <w:rsid w:val="00E310E5"/>
    <w:rsid w:val="00E312D0"/>
    <w:rsid w:val="00E31643"/>
    <w:rsid w:val="00E3195F"/>
    <w:rsid w:val="00E31A46"/>
    <w:rsid w:val="00E31A86"/>
    <w:rsid w:val="00E31A92"/>
    <w:rsid w:val="00E3200B"/>
    <w:rsid w:val="00E3214F"/>
    <w:rsid w:val="00E32B52"/>
    <w:rsid w:val="00E335A2"/>
    <w:rsid w:val="00E346E6"/>
    <w:rsid w:val="00E34C7F"/>
    <w:rsid w:val="00E35219"/>
    <w:rsid w:val="00E35778"/>
    <w:rsid w:val="00E35CFF"/>
    <w:rsid w:val="00E364A8"/>
    <w:rsid w:val="00E37D9A"/>
    <w:rsid w:val="00E40C5B"/>
    <w:rsid w:val="00E41A9B"/>
    <w:rsid w:val="00E41B3A"/>
    <w:rsid w:val="00E423B2"/>
    <w:rsid w:val="00E42411"/>
    <w:rsid w:val="00E4322F"/>
    <w:rsid w:val="00E43B2A"/>
    <w:rsid w:val="00E43EF3"/>
    <w:rsid w:val="00E44A44"/>
    <w:rsid w:val="00E463C8"/>
    <w:rsid w:val="00E46E4C"/>
    <w:rsid w:val="00E477E7"/>
    <w:rsid w:val="00E50042"/>
    <w:rsid w:val="00E50859"/>
    <w:rsid w:val="00E50E9D"/>
    <w:rsid w:val="00E51048"/>
    <w:rsid w:val="00E512E4"/>
    <w:rsid w:val="00E513BD"/>
    <w:rsid w:val="00E515A2"/>
    <w:rsid w:val="00E5198C"/>
    <w:rsid w:val="00E51E1B"/>
    <w:rsid w:val="00E52195"/>
    <w:rsid w:val="00E52546"/>
    <w:rsid w:val="00E52618"/>
    <w:rsid w:val="00E5274D"/>
    <w:rsid w:val="00E52D0D"/>
    <w:rsid w:val="00E52F69"/>
    <w:rsid w:val="00E52FBD"/>
    <w:rsid w:val="00E53033"/>
    <w:rsid w:val="00E53101"/>
    <w:rsid w:val="00E5322E"/>
    <w:rsid w:val="00E53A55"/>
    <w:rsid w:val="00E53E8B"/>
    <w:rsid w:val="00E540DB"/>
    <w:rsid w:val="00E542A7"/>
    <w:rsid w:val="00E54BED"/>
    <w:rsid w:val="00E55312"/>
    <w:rsid w:val="00E55338"/>
    <w:rsid w:val="00E555C3"/>
    <w:rsid w:val="00E5606A"/>
    <w:rsid w:val="00E56349"/>
    <w:rsid w:val="00E56E36"/>
    <w:rsid w:val="00E56EAC"/>
    <w:rsid w:val="00E57CC0"/>
    <w:rsid w:val="00E6066E"/>
    <w:rsid w:val="00E60AB2"/>
    <w:rsid w:val="00E61657"/>
    <w:rsid w:val="00E61834"/>
    <w:rsid w:val="00E61A2A"/>
    <w:rsid w:val="00E61EF5"/>
    <w:rsid w:val="00E61F14"/>
    <w:rsid w:val="00E62B83"/>
    <w:rsid w:val="00E635DE"/>
    <w:rsid w:val="00E63A49"/>
    <w:rsid w:val="00E64469"/>
    <w:rsid w:val="00E64F58"/>
    <w:rsid w:val="00E654CD"/>
    <w:rsid w:val="00E65BC8"/>
    <w:rsid w:val="00E66921"/>
    <w:rsid w:val="00E673A3"/>
    <w:rsid w:val="00E67552"/>
    <w:rsid w:val="00E67BFA"/>
    <w:rsid w:val="00E70343"/>
    <w:rsid w:val="00E70ACC"/>
    <w:rsid w:val="00E70FF8"/>
    <w:rsid w:val="00E7183E"/>
    <w:rsid w:val="00E720D4"/>
    <w:rsid w:val="00E724D0"/>
    <w:rsid w:val="00E72B97"/>
    <w:rsid w:val="00E72DD1"/>
    <w:rsid w:val="00E731E6"/>
    <w:rsid w:val="00E73461"/>
    <w:rsid w:val="00E740DD"/>
    <w:rsid w:val="00E7420A"/>
    <w:rsid w:val="00E748A6"/>
    <w:rsid w:val="00E74C0A"/>
    <w:rsid w:val="00E74F02"/>
    <w:rsid w:val="00E7502B"/>
    <w:rsid w:val="00E75368"/>
    <w:rsid w:val="00E7669F"/>
    <w:rsid w:val="00E76F07"/>
    <w:rsid w:val="00E77335"/>
    <w:rsid w:val="00E77DC5"/>
    <w:rsid w:val="00E77F04"/>
    <w:rsid w:val="00E77F4D"/>
    <w:rsid w:val="00E80642"/>
    <w:rsid w:val="00E813BE"/>
    <w:rsid w:val="00E81A22"/>
    <w:rsid w:val="00E81B03"/>
    <w:rsid w:val="00E8216F"/>
    <w:rsid w:val="00E823BB"/>
    <w:rsid w:val="00E8336B"/>
    <w:rsid w:val="00E836E1"/>
    <w:rsid w:val="00E84A7A"/>
    <w:rsid w:val="00E84C9A"/>
    <w:rsid w:val="00E86964"/>
    <w:rsid w:val="00E86F30"/>
    <w:rsid w:val="00E872E7"/>
    <w:rsid w:val="00E879D5"/>
    <w:rsid w:val="00E87B61"/>
    <w:rsid w:val="00E90B19"/>
    <w:rsid w:val="00E90CC8"/>
    <w:rsid w:val="00E90CF8"/>
    <w:rsid w:val="00E9197A"/>
    <w:rsid w:val="00E91A63"/>
    <w:rsid w:val="00E92F0A"/>
    <w:rsid w:val="00E931C1"/>
    <w:rsid w:val="00E931F5"/>
    <w:rsid w:val="00E932CA"/>
    <w:rsid w:val="00E93537"/>
    <w:rsid w:val="00E94895"/>
    <w:rsid w:val="00E953CF"/>
    <w:rsid w:val="00E960D2"/>
    <w:rsid w:val="00E96421"/>
    <w:rsid w:val="00E96F31"/>
    <w:rsid w:val="00E97228"/>
    <w:rsid w:val="00EA0321"/>
    <w:rsid w:val="00EA05BE"/>
    <w:rsid w:val="00EA10DC"/>
    <w:rsid w:val="00EA10FC"/>
    <w:rsid w:val="00EA205C"/>
    <w:rsid w:val="00EA34CB"/>
    <w:rsid w:val="00EA3B50"/>
    <w:rsid w:val="00EA4087"/>
    <w:rsid w:val="00EA4283"/>
    <w:rsid w:val="00EA52AA"/>
    <w:rsid w:val="00EA52B8"/>
    <w:rsid w:val="00EA5C0A"/>
    <w:rsid w:val="00EA5F35"/>
    <w:rsid w:val="00EA60B7"/>
    <w:rsid w:val="00EA6576"/>
    <w:rsid w:val="00EA658F"/>
    <w:rsid w:val="00EA6AD3"/>
    <w:rsid w:val="00EA71FB"/>
    <w:rsid w:val="00EA73C4"/>
    <w:rsid w:val="00EA768B"/>
    <w:rsid w:val="00EB0794"/>
    <w:rsid w:val="00EB0947"/>
    <w:rsid w:val="00EB1484"/>
    <w:rsid w:val="00EB19B6"/>
    <w:rsid w:val="00EB2444"/>
    <w:rsid w:val="00EB2601"/>
    <w:rsid w:val="00EB2900"/>
    <w:rsid w:val="00EB2D59"/>
    <w:rsid w:val="00EB31AE"/>
    <w:rsid w:val="00EB4201"/>
    <w:rsid w:val="00EB467C"/>
    <w:rsid w:val="00EB4843"/>
    <w:rsid w:val="00EB497D"/>
    <w:rsid w:val="00EB5529"/>
    <w:rsid w:val="00EB56B0"/>
    <w:rsid w:val="00EB5EA3"/>
    <w:rsid w:val="00EB6BBA"/>
    <w:rsid w:val="00EB71C1"/>
    <w:rsid w:val="00EB734F"/>
    <w:rsid w:val="00EC022F"/>
    <w:rsid w:val="00EC19E5"/>
    <w:rsid w:val="00EC21CF"/>
    <w:rsid w:val="00EC2BAF"/>
    <w:rsid w:val="00EC2D9F"/>
    <w:rsid w:val="00EC2EF4"/>
    <w:rsid w:val="00EC3B51"/>
    <w:rsid w:val="00EC437E"/>
    <w:rsid w:val="00EC45CA"/>
    <w:rsid w:val="00EC475B"/>
    <w:rsid w:val="00EC4DCC"/>
    <w:rsid w:val="00EC57E0"/>
    <w:rsid w:val="00EC582F"/>
    <w:rsid w:val="00EC72DF"/>
    <w:rsid w:val="00EC7780"/>
    <w:rsid w:val="00ED0DD6"/>
    <w:rsid w:val="00ED10C3"/>
    <w:rsid w:val="00ED11BE"/>
    <w:rsid w:val="00ED1B37"/>
    <w:rsid w:val="00ED2071"/>
    <w:rsid w:val="00ED2982"/>
    <w:rsid w:val="00ED2F6F"/>
    <w:rsid w:val="00ED43AA"/>
    <w:rsid w:val="00ED4477"/>
    <w:rsid w:val="00ED4C17"/>
    <w:rsid w:val="00ED4FD6"/>
    <w:rsid w:val="00ED51FB"/>
    <w:rsid w:val="00ED6777"/>
    <w:rsid w:val="00ED6D3B"/>
    <w:rsid w:val="00ED7210"/>
    <w:rsid w:val="00ED7B5D"/>
    <w:rsid w:val="00EE07B2"/>
    <w:rsid w:val="00EE16CF"/>
    <w:rsid w:val="00EE1A66"/>
    <w:rsid w:val="00EE2125"/>
    <w:rsid w:val="00EE2551"/>
    <w:rsid w:val="00EE2C82"/>
    <w:rsid w:val="00EE2DB3"/>
    <w:rsid w:val="00EE39E7"/>
    <w:rsid w:val="00EE5402"/>
    <w:rsid w:val="00EE568D"/>
    <w:rsid w:val="00EE5A4D"/>
    <w:rsid w:val="00EE5EBF"/>
    <w:rsid w:val="00EE6425"/>
    <w:rsid w:val="00EE646F"/>
    <w:rsid w:val="00EE6500"/>
    <w:rsid w:val="00EE67A7"/>
    <w:rsid w:val="00EE6892"/>
    <w:rsid w:val="00EE7377"/>
    <w:rsid w:val="00EF1765"/>
    <w:rsid w:val="00EF1AE3"/>
    <w:rsid w:val="00EF1BF3"/>
    <w:rsid w:val="00EF1FBE"/>
    <w:rsid w:val="00EF2860"/>
    <w:rsid w:val="00EF3082"/>
    <w:rsid w:val="00EF340E"/>
    <w:rsid w:val="00EF372A"/>
    <w:rsid w:val="00EF3B7A"/>
    <w:rsid w:val="00EF4049"/>
    <w:rsid w:val="00EF43DF"/>
    <w:rsid w:val="00EF4B4C"/>
    <w:rsid w:val="00EF5BDD"/>
    <w:rsid w:val="00EF68A2"/>
    <w:rsid w:val="00EF6A7D"/>
    <w:rsid w:val="00EF6D51"/>
    <w:rsid w:val="00EF7559"/>
    <w:rsid w:val="00EF7F85"/>
    <w:rsid w:val="00F00127"/>
    <w:rsid w:val="00F00307"/>
    <w:rsid w:val="00F00C5A"/>
    <w:rsid w:val="00F01512"/>
    <w:rsid w:val="00F01618"/>
    <w:rsid w:val="00F01CB8"/>
    <w:rsid w:val="00F01D75"/>
    <w:rsid w:val="00F02004"/>
    <w:rsid w:val="00F03109"/>
    <w:rsid w:val="00F03A01"/>
    <w:rsid w:val="00F03C2A"/>
    <w:rsid w:val="00F04541"/>
    <w:rsid w:val="00F05318"/>
    <w:rsid w:val="00F055A6"/>
    <w:rsid w:val="00F0582A"/>
    <w:rsid w:val="00F05BAB"/>
    <w:rsid w:val="00F05BD4"/>
    <w:rsid w:val="00F06425"/>
    <w:rsid w:val="00F06584"/>
    <w:rsid w:val="00F06626"/>
    <w:rsid w:val="00F067ED"/>
    <w:rsid w:val="00F068D4"/>
    <w:rsid w:val="00F069A5"/>
    <w:rsid w:val="00F06C30"/>
    <w:rsid w:val="00F070D5"/>
    <w:rsid w:val="00F078B5"/>
    <w:rsid w:val="00F07C14"/>
    <w:rsid w:val="00F07D62"/>
    <w:rsid w:val="00F119F5"/>
    <w:rsid w:val="00F12FEA"/>
    <w:rsid w:val="00F1344B"/>
    <w:rsid w:val="00F13D43"/>
    <w:rsid w:val="00F141C0"/>
    <w:rsid w:val="00F1427D"/>
    <w:rsid w:val="00F14B7D"/>
    <w:rsid w:val="00F1512E"/>
    <w:rsid w:val="00F15989"/>
    <w:rsid w:val="00F15AFA"/>
    <w:rsid w:val="00F15CA1"/>
    <w:rsid w:val="00F15E0C"/>
    <w:rsid w:val="00F15FFB"/>
    <w:rsid w:val="00F16190"/>
    <w:rsid w:val="00F16567"/>
    <w:rsid w:val="00F17236"/>
    <w:rsid w:val="00F173E7"/>
    <w:rsid w:val="00F20B19"/>
    <w:rsid w:val="00F20C17"/>
    <w:rsid w:val="00F22035"/>
    <w:rsid w:val="00F220ED"/>
    <w:rsid w:val="00F22122"/>
    <w:rsid w:val="00F22683"/>
    <w:rsid w:val="00F2272F"/>
    <w:rsid w:val="00F22D50"/>
    <w:rsid w:val="00F22F0C"/>
    <w:rsid w:val="00F25799"/>
    <w:rsid w:val="00F25D59"/>
    <w:rsid w:val="00F25FBB"/>
    <w:rsid w:val="00F26659"/>
    <w:rsid w:val="00F268D5"/>
    <w:rsid w:val="00F26DC5"/>
    <w:rsid w:val="00F277F7"/>
    <w:rsid w:val="00F27DD4"/>
    <w:rsid w:val="00F27E9D"/>
    <w:rsid w:val="00F30822"/>
    <w:rsid w:val="00F31290"/>
    <w:rsid w:val="00F316A4"/>
    <w:rsid w:val="00F320D1"/>
    <w:rsid w:val="00F3222E"/>
    <w:rsid w:val="00F325BE"/>
    <w:rsid w:val="00F32729"/>
    <w:rsid w:val="00F32904"/>
    <w:rsid w:val="00F32B4D"/>
    <w:rsid w:val="00F339C2"/>
    <w:rsid w:val="00F33A90"/>
    <w:rsid w:val="00F34932"/>
    <w:rsid w:val="00F34BC0"/>
    <w:rsid w:val="00F34F61"/>
    <w:rsid w:val="00F350A9"/>
    <w:rsid w:val="00F352BC"/>
    <w:rsid w:val="00F3541E"/>
    <w:rsid w:val="00F3621E"/>
    <w:rsid w:val="00F3644C"/>
    <w:rsid w:val="00F368EE"/>
    <w:rsid w:val="00F37420"/>
    <w:rsid w:val="00F37665"/>
    <w:rsid w:val="00F37CBE"/>
    <w:rsid w:val="00F40582"/>
    <w:rsid w:val="00F4096B"/>
    <w:rsid w:val="00F40C45"/>
    <w:rsid w:val="00F40D41"/>
    <w:rsid w:val="00F4107A"/>
    <w:rsid w:val="00F41110"/>
    <w:rsid w:val="00F4179B"/>
    <w:rsid w:val="00F41CE8"/>
    <w:rsid w:val="00F4246E"/>
    <w:rsid w:val="00F42E4E"/>
    <w:rsid w:val="00F42F20"/>
    <w:rsid w:val="00F43206"/>
    <w:rsid w:val="00F43402"/>
    <w:rsid w:val="00F441AE"/>
    <w:rsid w:val="00F459C2"/>
    <w:rsid w:val="00F45C2C"/>
    <w:rsid w:val="00F463D8"/>
    <w:rsid w:val="00F46679"/>
    <w:rsid w:val="00F46933"/>
    <w:rsid w:val="00F478F3"/>
    <w:rsid w:val="00F47AEB"/>
    <w:rsid w:val="00F5046E"/>
    <w:rsid w:val="00F50BCE"/>
    <w:rsid w:val="00F50ED5"/>
    <w:rsid w:val="00F5171A"/>
    <w:rsid w:val="00F51DF9"/>
    <w:rsid w:val="00F522FF"/>
    <w:rsid w:val="00F53F67"/>
    <w:rsid w:val="00F548D5"/>
    <w:rsid w:val="00F54931"/>
    <w:rsid w:val="00F54B3A"/>
    <w:rsid w:val="00F54B59"/>
    <w:rsid w:val="00F54F79"/>
    <w:rsid w:val="00F5517E"/>
    <w:rsid w:val="00F5565E"/>
    <w:rsid w:val="00F5591E"/>
    <w:rsid w:val="00F56023"/>
    <w:rsid w:val="00F562C2"/>
    <w:rsid w:val="00F5645D"/>
    <w:rsid w:val="00F564A4"/>
    <w:rsid w:val="00F568AB"/>
    <w:rsid w:val="00F572CC"/>
    <w:rsid w:val="00F5740A"/>
    <w:rsid w:val="00F5785B"/>
    <w:rsid w:val="00F602B9"/>
    <w:rsid w:val="00F6082A"/>
    <w:rsid w:val="00F61744"/>
    <w:rsid w:val="00F6192A"/>
    <w:rsid w:val="00F61E61"/>
    <w:rsid w:val="00F62192"/>
    <w:rsid w:val="00F62689"/>
    <w:rsid w:val="00F62821"/>
    <w:rsid w:val="00F629F5"/>
    <w:rsid w:val="00F631B0"/>
    <w:rsid w:val="00F64664"/>
    <w:rsid w:val="00F64809"/>
    <w:rsid w:val="00F64C4A"/>
    <w:rsid w:val="00F64CA9"/>
    <w:rsid w:val="00F65989"/>
    <w:rsid w:val="00F67198"/>
    <w:rsid w:val="00F677D8"/>
    <w:rsid w:val="00F678E4"/>
    <w:rsid w:val="00F707B3"/>
    <w:rsid w:val="00F708BC"/>
    <w:rsid w:val="00F720D5"/>
    <w:rsid w:val="00F721F1"/>
    <w:rsid w:val="00F73B23"/>
    <w:rsid w:val="00F74653"/>
    <w:rsid w:val="00F756DF"/>
    <w:rsid w:val="00F76765"/>
    <w:rsid w:val="00F76D4F"/>
    <w:rsid w:val="00F7700C"/>
    <w:rsid w:val="00F77153"/>
    <w:rsid w:val="00F77178"/>
    <w:rsid w:val="00F77CA0"/>
    <w:rsid w:val="00F804B7"/>
    <w:rsid w:val="00F80D71"/>
    <w:rsid w:val="00F8133E"/>
    <w:rsid w:val="00F82B74"/>
    <w:rsid w:val="00F82FCD"/>
    <w:rsid w:val="00F8389C"/>
    <w:rsid w:val="00F840DC"/>
    <w:rsid w:val="00F84541"/>
    <w:rsid w:val="00F84CC7"/>
    <w:rsid w:val="00F84E27"/>
    <w:rsid w:val="00F856AC"/>
    <w:rsid w:val="00F860F8"/>
    <w:rsid w:val="00F864A0"/>
    <w:rsid w:val="00F87064"/>
    <w:rsid w:val="00F873C4"/>
    <w:rsid w:val="00F87E99"/>
    <w:rsid w:val="00F87F7D"/>
    <w:rsid w:val="00F9020C"/>
    <w:rsid w:val="00F9076D"/>
    <w:rsid w:val="00F90A47"/>
    <w:rsid w:val="00F915FF"/>
    <w:rsid w:val="00F9181F"/>
    <w:rsid w:val="00F92173"/>
    <w:rsid w:val="00F921DA"/>
    <w:rsid w:val="00F92379"/>
    <w:rsid w:val="00F92ED6"/>
    <w:rsid w:val="00F93115"/>
    <w:rsid w:val="00F936CB"/>
    <w:rsid w:val="00F937EB"/>
    <w:rsid w:val="00F939D9"/>
    <w:rsid w:val="00F93E72"/>
    <w:rsid w:val="00F948C9"/>
    <w:rsid w:val="00F94CB2"/>
    <w:rsid w:val="00F95528"/>
    <w:rsid w:val="00F9697A"/>
    <w:rsid w:val="00F97C04"/>
    <w:rsid w:val="00FA04A2"/>
    <w:rsid w:val="00FA07FE"/>
    <w:rsid w:val="00FA091E"/>
    <w:rsid w:val="00FA0D30"/>
    <w:rsid w:val="00FA131D"/>
    <w:rsid w:val="00FA2990"/>
    <w:rsid w:val="00FA2D1A"/>
    <w:rsid w:val="00FA2E3C"/>
    <w:rsid w:val="00FA3B79"/>
    <w:rsid w:val="00FA5E21"/>
    <w:rsid w:val="00FA6027"/>
    <w:rsid w:val="00FA6CA3"/>
    <w:rsid w:val="00FA7703"/>
    <w:rsid w:val="00FB0975"/>
    <w:rsid w:val="00FB165A"/>
    <w:rsid w:val="00FB16B4"/>
    <w:rsid w:val="00FB246C"/>
    <w:rsid w:val="00FB251C"/>
    <w:rsid w:val="00FB291A"/>
    <w:rsid w:val="00FB2B45"/>
    <w:rsid w:val="00FB2EF2"/>
    <w:rsid w:val="00FB383C"/>
    <w:rsid w:val="00FB40C0"/>
    <w:rsid w:val="00FB4BF9"/>
    <w:rsid w:val="00FB4C28"/>
    <w:rsid w:val="00FB5EA5"/>
    <w:rsid w:val="00FB5FA2"/>
    <w:rsid w:val="00FB673D"/>
    <w:rsid w:val="00FB751A"/>
    <w:rsid w:val="00FB7C57"/>
    <w:rsid w:val="00FC11F6"/>
    <w:rsid w:val="00FC172B"/>
    <w:rsid w:val="00FC1B0D"/>
    <w:rsid w:val="00FC1B2C"/>
    <w:rsid w:val="00FC23FF"/>
    <w:rsid w:val="00FC2C05"/>
    <w:rsid w:val="00FC2D63"/>
    <w:rsid w:val="00FC2F29"/>
    <w:rsid w:val="00FC3415"/>
    <w:rsid w:val="00FC378F"/>
    <w:rsid w:val="00FC38DE"/>
    <w:rsid w:val="00FC3BE5"/>
    <w:rsid w:val="00FC4220"/>
    <w:rsid w:val="00FC492B"/>
    <w:rsid w:val="00FC4967"/>
    <w:rsid w:val="00FC5ABF"/>
    <w:rsid w:val="00FC62D2"/>
    <w:rsid w:val="00FC6994"/>
    <w:rsid w:val="00FC723D"/>
    <w:rsid w:val="00FC7ABC"/>
    <w:rsid w:val="00FD1D1D"/>
    <w:rsid w:val="00FD20DA"/>
    <w:rsid w:val="00FD4016"/>
    <w:rsid w:val="00FD4451"/>
    <w:rsid w:val="00FD4CDA"/>
    <w:rsid w:val="00FD4F0E"/>
    <w:rsid w:val="00FD5997"/>
    <w:rsid w:val="00FD5EC9"/>
    <w:rsid w:val="00FD6219"/>
    <w:rsid w:val="00FD6B8D"/>
    <w:rsid w:val="00FD6F56"/>
    <w:rsid w:val="00FD7CAC"/>
    <w:rsid w:val="00FE0467"/>
    <w:rsid w:val="00FE046E"/>
    <w:rsid w:val="00FE07A8"/>
    <w:rsid w:val="00FE18FE"/>
    <w:rsid w:val="00FE2270"/>
    <w:rsid w:val="00FE2CD6"/>
    <w:rsid w:val="00FE430F"/>
    <w:rsid w:val="00FE580A"/>
    <w:rsid w:val="00FE728A"/>
    <w:rsid w:val="00FF00B8"/>
    <w:rsid w:val="00FF06F2"/>
    <w:rsid w:val="00FF0B49"/>
    <w:rsid w:val="00FF0F21"/>
    <w:rsid w:val="00FF179C"/>
    <w:rsid w:val="00FF246D"/>
    <w:rsid w:val="00FF2588"/>
    <w:rsid w:val="00FF25C4"/>
    <w:rsid w:val="00FF3F4A"/>
    <w:rsid w:val="00FF42FF"/>
    <w:rsid w:val="00FF5AC8"/>
    <w:rsid w:val="00FF5D3C"/>
    <w:rsid w:val="00FF63C4"/>
    <w:rsid w:val="00FF6426"/>
    <w:rsid w:val="00FF7213"/>
    <w:rsid w:val="00FF732D"/>
    <w:rsid w:val="00FF7703"/>
    <w:rsid w:val="00FF7E32"/>
    <w:rsid w:val="011AE464"/>
    <w:rsid w:val="011E63F3"/>
    <w:rsid w:val="018824BD"/>
    <w:rsid w:val="01997D9D"/>
    <w:rsid w:val="02DBE27C"/>
    <w:rsid w:val="039A1A85"/>
    <w:rsid w:val="042776B5"/>
    <w:rsid w:val="04308C0F"/>
    <w:rsid w:val="046C29E7"/>
    <w:rsid w:val="04A155F2"/>
    <w:rsid w:val="04B88CB3"/>
    <w:rsid w:val="04D95AA1"/>
    <w:rsid w:val="04F997C7"/>
    <w:rsid w:val="05DA60FB"/>
    <w:rsid w:val="06165BD6"/>
    <w:rsid w:val="0674F68B"/>
    <w:rsid w:val="07014D24"/>
    <w:rsid w:val="0721C6EA"/>
    <w:rsid w:val="075EBAF1"/>
    <w:rsid w:val="0792C9D4"/>
    <w:rsid w:val="08018451"/>
    <w:rsid w:val="0846836A"/>
    <w:rsid w:val="085CC6D3"/>
    <w:rsid w:val="08D0ED3D"/>
    <w:rsid w:val="0978E58D"/>
    <w:rsid w:val="09AD14C0"/>
    <w:rsid w:val="0A54A042"/>
    <w:rsid w:val="0B441169"/>
    <w:rsid w:val="0BBBBCA5"/>
    <w:rsid w:val="0BE1B416"/>
    <w:rsid w:val="0BE9ED4D"/>
    <w:rsid w:val="0C6B84C8"/>
    <w:rsid w:val="0C9BBF21"/>
    <w:rsid w:val="0CBD55F1"/>
    <w:rsid w:val="0D1BD547"/>
    <w:rsid w:val="0DAB21B2"/>
    <w:rsid w:val="0DFFE055"/>
    <w:rsid w:val="0E428BD0"/>
    <w:rsid w:val="0EBAFD11"/>
    <w:rsid w:val="0EE57DAC"/>
    <w:rsid w:val="0F98923C"/>
    <w:rsid w:val="1026E60F"/>
    <w:rsid w:val="11051ECB"/>
    <w:rsid w:val="11351DD5"/>
    <w:rsid w:val="114AACAF"/>
    <w:rsid w:val="12E471F6"/>
    <w:rsid w:val="139FEC93"/>
    <w:rsid w:val="13A4A2F8"/>
    <w:rsid w:val="14868076"/>
    <w:rsid w:val="154D5299"/>
    <w:rsid w:val="15C353E3"/>
    <w:rsid w:val="160821A2"/>
    <w:rsid w:val="162525CE"/>
    <w:rsid w:val="16A965DF"/>
    <w:rsid w:val="16B92F7A"/>
    <w:rsid w:val="16CC9D00"/>
    <w:rsid w:val="17064863"/>
    <w:rsid w:val="174E118E"/>
    <w:rsid w:val="17988DAA"/>
    <w:rsid w:val="18A24B38"/>
    <w:rsid w:val="19424E78"/>
    <w:rsid w:val="195DF272"/>
    <w:rsid w:val="19D1D0BB"/>
    <w:rsid w:val="1A045CAD"/>
    <w:rsid w:val="1A50F0E2"/>
    <w:rsid w:val="1C20EB1E"/>
    <w:rsid w:val="1C2BB5B5"/>
    <w:rsid w:val="1C68FC85"/>
    <w:rsid w:val="1C7270AA"/>
    <w:rsid w:val="1CFAF902"/>
    <w:rsid w:val="1D2AA869"/>
    <w:rsid w:val="1D6FF9D6"/>
    <w:rsid w:val="1D765BBA"/>
    <w:rsid w:val="1D812249"/>
    <w:rsid w:val="1DA3F246"/>
    <w:rsid w:val="1E085081"/>
    <w:rsid w:val="1E8F6D64"/>
    <w:rsid w:val="1F584B6C"/>
    <w:rsid w:val="1F766D6C"/>
    <w:rsid w:val="20845166"/>
    <w:rsid w:val="21F74039"/>
    <w:rsid w:val="22064EED"/>
    <w:rsid w:val="224EEE7A"/>
    <w:rsid w:val="2251B925"/>
    <w:rsid w:val="22CB3CAA"/>
    <w:rsid w:val="22EFA514"/>
    <w:rsid w:val="24C68068"/>
    <w:rsid w:val="2506C986"/>
    <w:rsid w:val="25604E8F"/>
    <w:rsid w:val="25F6889F"/>
    <w:rsid w:val="26249A5C"/>
    <w:rsid w:val="268F90B2"/>
    <w:rsid w:val="26BDBF80"/>
    <w:rsid w:val="279789F1"/>
    <w:rsid w:val="2824FA61"/>
    <w:rsid w:val="282FAEF5"/>
    <w:rsid w:val="28AEFC76"/>
    <w:rsid w:val="28DDE6CE"/>
    <w:rsid w:val="2903B78E"/>
    <w:rsid w:val="29103CB6"/>
    <w:rsid w:val="292B429D"/>
    <w:rsid w:val="29906976"/>
    <w:rsid w:val="29CC996A"/>
    <w:rsid w:val="2B585CF8"/>
    <w:rsid w:val="2D02981B"/>
    <w:rsid w:val="2D194D8B"/>
    <w:rsid w:val="2D3BD33C"/>
    <w:rsid w:val="2D6F360B"/>
    <w:rsid w:val="2D7E4FC2"/>
    <w:rsid w:val="2DCF7A65"/>
    <w:rsid w:val="2E8F7077"/>
    <w:rsid w:val="2ED0AD68"/>
    <w:rsid w:val="2F642614"/>
    <w:rsid w:val="2F9F6480"/>
    <w:rsid w:val="2FF772B2"/>
    <w:rsid w:val="30001DCC"/>
    <w:rsid w:val="30D2B356"/>
    <w:rsid w:val="314F3A88"/>
    <w:rsid w:val="3163A862"/>
    <w:rsid w:val="324D345F"/>
    <w:rsid w:val="329B0E9B"/>
    <w:rsid w:val="32CD1865"/>
    <w:rsid w:val="338A7CEC"/>
    <w:rsid w:val="34162F17"/>
    <w:rsid w:val="34E81D85"/>
    <w:rsid w:val="3551E35A"/>
    <w:rsid w:val="3552A5D8"/>
    <w:rsid w:val="355D4BBD"/>
    <w:rsid w:val="360987AF"/>
    <w:rsid w:val="3687526B"/>
    <w:rsid w:val="3793EDBF"/>
    <w:rsid w:val="37ABCD27"/>
    <w:rsid w:val="37B49FBF"/>
    <w:rsid w:val="37EEF7E9"/>
    <w:rsid w:val="38A4B340"/>
    <w:rsid w:val="38E0E9A9"/>
    <w:rsid w:val="39A1FDFB"/>
    <w:rsid w:val="3A3164CC"/>
    <w:rsid w:val="3A5097A3"/>
    <w:rsid w:val="3B3D8FF7"/>
    <w:rsid w:val="3B4326A5"/>
    <w:rsid w:val="3BBECB6B"/>
    <w:rsid w:val="3D49AC79"/>
    <w:rsid w:val="3D57B2CD"/>
    <w:rsid w:val="3D6A1471"/>
    <w:rsid w:val="3E5CBF3E"/>
    <w:rsid w:val="3EE6A494"/>
    <w:rsid w:val="3F563483"/>
    <w:rsid w:val="3FD072D1"/>
    <w:rsid w:val="4002BF0E"/>
    <w:rsid w:val="4037E841"/>
    <w:rsid w:val="4103A32E"/>
    <w:rsid w:val="4134568F"/>
    <w:rsid w:val="41FD8B19"/>
    <w:rsid w:val="422F772F"/>
    <w:rsid w:val="42DFE695"/>
    <w:rsid w:val="42EA4AB3"/>
    <w:rsid w:val="4300EF23"/>
    <w:rsid w:val="44AC4030"/>
    <w:rsid w:val="451CA64C"/>
    <w:rsid w:val="456F43A3"/>
    <w:rsid w:val="46632DAE"/>
    <w:rsid w:val="4676BBB8"/>
    <w:rsid w:val="46CA9180"/>
    <w:rsid w:val="46F5EB94"/>
    <w:rsid w:val="4722FC5D"/>
    <w:rsid w:val="47A3AF65"/>
    <w:rsid w:val="47A83A51"/>
    <w:rsid w:val="47F5F556"/>
    <w:rsid w:val="488E1DE8"/>
    <w:rsid w:val="4895890D"/>
    <w:rsid w:val="48A1D3E8"/>
    <w:rsid w:val="49588524"/>
    <w:rsid w:val="49DC1B71"/>
    <w:rsid w:val="4A4DF8B0"/>
    <w:rsid w:val="4BB78CF0"/>
    <w:rsid w:val="4BE2C055"/>
    <w:rsid w:val="4BEFA2D3"/>
    <w:rsid w:val="4C13F650"/>
    <w:rsid w:val="4C4CDBB6"/>
    <w:rsid w:val="4CAFEB91"/>
    <w:rsid w:val="4D45D31E"/>
    <w:rsid w:val="4E166878"/>
    <w:rsid w:val="500BDAD4"/>
    <w:rsid w:val="502D7E3E"/>
    <w:rsid w:val="510889D7"/>
    <w:rsid w:val="52776F45"/>
    <w:rsid w:val="52C9ADEE"/>
    <w:rsid w:val="539A3875"/>
    <w:rsid w:val="53FFD77B"/>
    <w:rsid w:val="5409A598"/>
    <w:rsid w:val="54A9897F"/>
    <w:rsid w:val="54BFDBE1"/>
    <w:rsid w:val="54CFF060"/>
    <w:rsid w:val="55756E92"/>
    <w:rsid w:val="5597B36A"/>
    <w:rsid w:val="55BEBEA4"/>
    <w:rsid w:val="56808E86"/>
    <w:rsid w:val="57881762"/>
    <w:rsid w:val="5836C905"/>
    <w:rsid w:val="584BE2CB"/>
    <w:rsid w:val="585B48FF"/>
    <w:rsid w:val="58C57FA1"/>
    <w:rsid w:val="58FA9B7C"/>
    <w:rsid w:val="591288FA"/>
    <w:rsid w:val="59B9A922"/>
    <w:rsid w:val="5A90C0A3"/>
    <w:rsid w:val="5BE51027"/>
    <w:rsid w:val="5C663B9E"/>
    <w:rsid w:val="5CC0030A"/>
    <w:rsid w:val="5CFDEEA6"/>
    <w:rsid w:val="5D2AA563"/>
    <w:rsid w:val="5DA88D5F"/>
    <w:rsid w:val="5DC2B049"/>
    <w:rsid w:val="5DD82790"/>
    <w:rsid w:val="5E3C5D11"/>
    <w:rsid w:val="5E5B043F"/>
    <w:rsid w:val="5EA7FE0B"/>
    <w:rsid w:val="5EB68234"/>
    <w:rsid w:val="5EFD9EC6"/>
    <w:rsid w:val="5F3EB53A"/>
    <w:rsid w:val="5FF49B46"/>
    <w:rsid w:val="60316F16"/>
    <w:rsid w:val="60F77C4C"/>
    <w:rsid w:val="610625F1"/>
    <w:rsid w:val="610A34A8"/>
    <w:rsid w:val="612E4513"/>
    <w:rsid w:val="61512DB7"/>
    <w:rsid w:val="6155EA3B"/>
    <w:rsid w:val="615A36EA"/>
    <w:rsid w:val="6178EB7B"/>
    <w:rsid w:val="629B4360"/>
    <w:rsid w:val="62BB8218"/>
    <w:rsid w:val="62BD5FFA"/>
    <w:rsid w:val="637BF4B4"/>
    <w:rsid w:val="63815D08"/>
    <w:rsid w:val="6392AF57"/>
    <w:rsid w:val="63A1D6F5"/>
    <w:rsid w:val="63E63810"/>
    <w:rsid w:val="63F9E7C2"/>
    <w:rsid w:val="64D042D1"/>
    <w:rsid w:val="64DCBFCE"/>
    <w:rsid w:val="6509A2DE"/>
    <w:rsid w:val="658988E9"/>
    <w:rsid w:val="66027959"/>
    <w:rsid w:val="668ACFBE"/>
    <w:rsid w:val="672EAB9A"/>
    <w:rsid w:val="673DAA4F"/>
    <w:rsid w:val="67B4443C"/>
    <w:rsid w:val="682FB62E"/>
    <w:rsid w:val="6870F33C"/>
    <w:rsid w:val="6879747D"/>
    <w:rsid w:val="6959F86D"/>
    <w:rsid w:val="698D0635"/>
    <w:rsid w:val="69FA71FA"/>
    <w:rsid w:val="6A397DB8"/>
    <w:rsid w:val="6A785000"/>
    <w:rsid w:val="6A9CC93C"/>
    <w:rsid w:val="6B3498AA"/>
    <w:rsid w:val="6B34D21B"/>
    <w:rsid w:val="6BBF77D0"/>
    <w:rsid w:val="6BC90427"/>
    <w:rsid w:val="6C054946"/>
    <w:rsid w:val="6C6C32FE"/>
    <w:rsid w:val="6CF10D01"/>
    <w:rsid w:val="6D4FCAD1"/>
    <w:rsid w:val="6D7F0E22"/>
    <w:rsid w:val="6D977828"/>
    <w:rsid w:val="6E31450C"/>
    <w:rsid w:val="6EFF671E"/>
    <w:rsid w:val="6F39CD7F"/>
    <w:rsid w:val="6F79FA6F"/>
    <w:rsid w:val="6F8856BB"/>
    <w:rsid w:val="6FA5EA3C"/>
    <w:rsid w:val="6FF594B6"/>
    <w:rsid w:val="711852EB"/>
    <w:rsid w:val="714BE3DD"/>
    <w:rsid w:val="71D7F5BC"/>
    <w:rsid w:val="72093F47"/>
    <w:rsid w:val="72554269"/>
    <w:rsid w:val="72573E57"/>
    <w:rsid w:val="7257942B"/>
    <w:rsid w:val="72A8EF97"/>
    <w:rsid w:val="72AA7850"/>
    <w:rsid w:val="72DD87B5"/>
    <w:rsid w:val="734879EF"/>
    <w:rsid w:val="737233BF"/>
    <w:rsid w:val="73D09BAB"/>
    <w:rsid w:val="73F11EE0"/>
    <w:rsid w:val="749B2E07"/>
    <w:rsid w:val="74ABABFF"/>
    <w:rsid w:val="74C310F0"/>
    <w:rsid w:val="75264A25"/>
    <w:rsid w:val="752AED81"/>
    <w:rsid w:val="76451043"/>
    <w:rsid w:val="76D9CB4B"/>
    <w:rsid w:val="76DE6A60"/>
    <w:rsid w:val="773401A5"/>
    <w:rsid w:val="77E7700C"/>
    <w:rsid w:val="77F985A7"/>
    <w:rsid w:val="781A90A9"/>
    <w:rsid w:val="79621CE8"/>
    <w:rsid w:val="79CED196"/>
    <w:rsid w:val="7A0983E2"/>
    <w:rsid w:val="7A6A0DFF"/>
    <w:rsid w:val="7ADE7575"/>
    <w:rsid w:val="7B1FEB08"/>
    <w:rsid w:val="7B56784A"/>
    <w:rsid w:val="7BE2537E"/>
    <w:rsid w:val="7CB9A74B"/>
    <w:rsid w:val="7CF84F3F"/>
    <w:rsid w:val="7D75D361"/>
    <w:rsid w:val="7DC3C732"/>
    <w:rsid w:val="7DDF3040"/>
    <w:rsid w:val="7EB7536D"/>
    <w:rsid w:val="7F155749"/>
    <w:rsid w:val="7F63F174"/>
    <w:rsid w:val="7F8D7F4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D894752"/>
  <w15:docId w15:val="{27A1E7B2-6785-428E-AC3D-F5925065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B8"/>
    <w:pPr>
      <w:spacing w:before="120" w:after="120" w:line="360" w:lineRule="auto"/>
      <w:jc w:val="both"/>
    </w:pPr>
    <w:rPr>
      <w:rFonts w:ascii="Century Gothic" w:hAnsi="Century Gothic"/>
    </w:rPr>
  </w:style>
  <w:style w:type="paragraph" w:styleId="Titre1">
    <w:name w:val="heading 1"/>
    <w:basedOn w:val="Normal"/>
    <w:next w:val="Normal"/>
    <w:link w:val="Titre1Car"/>
    <w:autoRedefine/>
    <w:uiPriority w:val="9"/>
    <w:qFormat/>
    <w:rsid w:val="00F564A4"/>
    <w:pPr>
      <w:keepNext/>
      <w:keepLines/>
      <w:pBdr>
        <w:top w:val="single" w:sz="4" w:space="1" w:color="0070C0"/>
        <w:left w:val="single" w:sz="4" w:space="4" w:color="0070C0"/>
        <w:bottom w:val="single" w:sz="4" w:space="1" w:color="0070C0"/>
        <w:right w:val="single" w:sz="4" w:space="4" w:color="0070C0"/>
      </w:pBdr>
      <w:shd w:val="pct5" w:color="auto" w:fill="auto"/>
      <w:spacing w:before="240" w:after="0" w:line="276" w:lineRule="auto"/>
      <w:ind w:left="360"/>
      <w:outlineLvl w:val="0"/>
    </w:pPr>
    <w:rPr>
      <w:rFonts w:eastAsiaTheme="majorEastAsia" w:cstheme="majorBidi"/>
      <w:b/>
      <w:color w:val="0070C0"/>
      <w:sz w:val="24"/>
      <w:szCs w:val="32"/>
    </w:rPr>
  </w:style>
  <w:style w:type="paragraph" w:styleId="Titre2">
    <w:name w:val="heading 2"/>
    <w:basedOn w:val="Normal"/>
    <w:next w:val="Normal"/>
    <w:link w:val="Titre2Car"/>
    <w:autoRedefine/>
    <w:uiPriority w:val="9"/>
    <w:unhideWhenUsed/>
    <w:qFormat/>
    <w:rsid w:val="00820BBD"/>
    <w:pPr>
      <w:keepNext/>
      <w:keepLines/>
      <w:numPr>
        <w:ilvl w:val="1"/>
        <w:numId w:val="82"/>
      </w:numPr>
      <w:spacing w:before="0" w:after="0"/>
      <w:outlineLvl w:val="1"/>
    </w:pPr>
    <w:rPr>
      <w:rFonts w:eastAsiaTheme="majorEastAsia" w:cstheme="majorBidi"/>
      <w:b/>
      <w:color w:val="0070C0"/>
      <w:szCs w:val="26"/>
    </w:rPr>
  </w:style>
  <w:style w:type="paragraph" w:styleId="Titre3">
    <w:name w:val="heading 3"/>
    <w:basedOn w:val="Normal"/>
    <w:next w:val="Normal"/>
    <w:link w:val="Titre3Car"/>
    <w:autoRedefine/>
    <w:uiPriority w:val="9"/>
    <w:unhideWhenUsed/>
    <w:qFormat/>
    <w:rsid w:val="00DF4AC8"/>
    <w:pPr>
      <w:keepNext/>
      <w:keepLines/>
      <w:spacing w:after="0"/>
      <w:outlineLvl w:val="2"/>
    </w:pPr>
    <w:rPr>
      <w:rFonts w:eastAsiaTheme="majorEastAsia" w:cstheme="majorBidi"/>
      <w:i/>
      <w:color w:val="0070C0"/>
      <w:szCs w:val="24"/>
    </w:rPr>
  </w:style>
  <w:style w:type="paragraph" w:styleId="Titre4">
    <w:name w:val="heading 4"/>
    <w:basedOn w:val="Normal"/>
    <w:next w:val="Normal"/>
    <w:link w:val="Titre4Car"/>
    <w:uiPriority w:val="9"/>
    <w:unhideWhenUsed/>
    <w:qFormat/>
    <w:rsid w:val="00F01CB8"/>
    <w:pPr>
      <w:keepNext/>
      <w:keepLines/>
      <w:spacing w:before="40" w:after="0"/>
      <w:outlineLvl w:val="3"/>
    </w:pPr>
    <w:rPr>
      <w:rFonts w:eastAsiaTheme="majorEastAsia" w:cstheme="majorBidi"/>
      <w:b/>
      <w:i/>
      <w:iCs/>
      <w:smallCaps/>
      <w:color w:val="2E74B5"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64A4"/>
    <w:rPr>
      <w:rFonts w:ascii="Century Gothic" w:eastAsiaTheme="majorEastAsia" w:hAnsi="Century Gothic" w:cstheme="majorBidi"/>
      <w:b/>
      <w:color w:val="0070C0"/>
      <w:sz w:val="24"/>
      <w:szCs w:val="32"/>
      <w:shd w:val="pct5" w:color="auto" w:fill="auto"/>
    </w:rPr>
  </w:style>
  <w:style w:type="character" w:customStyle="1" w:styleId="Titre2Car">
    <w:name w:val="Titre 2 Car"/>
    <w:basedOn w:val="Policepardfaut"/>
    <w:link w:val="Titre2"/>
    <w:uiPriority w:val="9"/>
    <w:rsid w:val="00820BBD"/>
    <w:rPr>
      <w:rFonts w:ascii="Century Gothic" w:eastAsiaTheme="majorEastAsia" w:hAnsi="Century Gothic" w:cstheme="majorBidi"/>
      <w:b/>
      <w:color w:val="0070C0"/>
      <w:szCs w:val="26"/>
    </w:rPr>
  </w:style>
  <w:style w:type="character" w:customStyle="1" w:styleId="Titre3Car">
    <w:name w:val="Titre 3 Car"/>
    <w:basedOn w:val="Policepardfaut"/>
    <w:link w:val="Titre3"/>
    <w:uiPriority w:val="9"/>
    <w:rsid w:val="00DF4AC8"/>
    <w:rPr>
      <w:rFonts w:ascii="Century Gothic" w:eastAsiaTheme="majorEastAsia" w:hAnsi="Century Gothic" w:cstheme="majorBidi"/>
      <w:i/>
      <w:color w:val="0070C0"/>
      <w:szCs w:val="24"/>
    </w:rPr>
  </w:style>
  <w:style w:type="character" w:customStyle="1" w:styleId="Titre4Car">
    <w:name w:val="Titre 4 Car"/>
    <w:basedOn w:val="Policepardfaut"/>
    <w:link w:val="Titre4"/>
    <w:uiPriority w:val="9"/>
    <w:rsid w:val="0071026C"/>
    <w:rPr>
      <w:rFonts w:ascii="Century Gothic" w:eastAsiaTheme="majorEastAsia" w:hAnsi="Century Gothic" w:cstheme="majorBidi"/>
      <w:b/>
      <w:i/>
      <w:iCs/>
      <w:smallCaps/>
      <w:color w:val="2E74B5" w:themeColor="accent1" w:themeShade="BF"/>
      <w:sz w:val="24"/>
    </w:rPr>
  </w:style>
  <w:style w:type="paragraph" w:styleId="Paragraphedeliste">
    <w:name w:val="List Paragraph"/>
    <w:aliases w:val="Paragraphe de liste1,Puces,Bullet List,Paragraphe 2,Bullets,References,Numbered List Paragraph,ReferencesCxSpLast,List Bullet Mary,List Paragraph (numbered (a)),Table/Figure Heading,U 5,r2,inspringtekst,Texte Général,Paragraphe  revu"/>
    <w:basedOn w:val="Normal"/>
    <w:link w:val="ParagraphedelisteCar"/>
    <w:uiPriority w:val="34"/>
    <w:qFormat/>
    <w:rsid w:val="003A030E"/>
    <w:pPr>
      <w:ind w:left="720"/>
      <w:contextualSpacing/>
    </w:pPr>
  </w:style>
  <w:style w:type="character" w:customStyle="1" w:styleId="ParagraphedelisteCar">
    <w:name w:val="Paragraphe de liste Car"/>
    <w:aliases w:val="Paragraphe de liste1 Car,Puces Car,Bullet List Car,Paragraphe 2 Car,Bullets Car,References Car,Numbered List Paragraph Car,ReferencesCxSpLast Car,List Bullet Mary Car,List Paragraph (numbered (a)) Car,Table/Figure Heading Car"/>
    <w:link w:val="Paragraphedeliste"/>
    <w:uiPriority w:val="34"/>
    <w:qFormat/>
    <w:rsid w:val="0023767F"/>
  </w:style>
  <w:style w:type="paragraph" w:styleId="En-tte">
    <w:name w:val="header"/>
    <w:basedOn w:val="Normal"/>
    <w:link w:val="En-tteCar"/>
    <w:uiPriority w:val="99"/>
    <w:unhideWhenUsed/>
    <w:rsid w:val="007E10D6"/>
    <w:pPr>
      <w:tabs>
        <w:tab w:val="center" w:pos="4536"/>
        <w:tab w:val="right" w:pos="9072"/>
      </w:tabs>
      <w:spacing w:after="0" w:line="240" w:lineRule="auto"/>
    </w:pPr>
  </w:style>
  <w:style w:type="character" w:customStyle="1" w:styleId="En-tteCar">
    <w:name w:val="En-tête Car"/>
    <w:basedOn w:val="Policepardfaut"/>
    <w:link w:val="En-tte"/>
    <w:uiPriority w:val="99"/>
    <w:rsid w:val="007E10D6"/>
  </w:style>
  <w:style w:type="paragraph" w:styleId="Pieddepage">
    <w:name w:val="footer"/>
    <w:basedOn w:val="Normal"/>
    <w:link w:val="PieddepageCar"/>
    <w:uiPriority w:val="99"/>
    <w:unhideWhenUsed/>
    <w:rsid w:val="007E10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0D6"/>
  </w:style>
  <w:style w:type="paragraph" w:customStyle="1" w:styleId="Default">
    <w:name w:val="Default"/>
    <w:link w:val="DefaultCar"/>
    <w:qFormat/>
    <w:rsid w:val="00F01CB8"/>
    <w:pPr>
      <w:autoSpaceDE w:val="0"/>
      <w:autoSpaceDN w:val="0"/>
      <w:adjustRightInd w:val="0"/>
      <w:spacing w:after="0" w:line="240" w:lineRule="auto"/>
    </w:pPr>
    <w:rPr>
      <w:rFonts w:ascii="Calibri" w:hAnsi="Calibri" w:cs="Calibri"/>
      <w:color w:val="000000"/>
      <w:sz w:val="24"/>
      <w:szCs w:val="24"/>
    </w:rPr>
  </w:style>
  <w:style w:type="character" w:customStyle="1" w:styleId="DefaultCar">
    <w:name w:val="Default Car"/>
    <w:basedOn w:val="Policepardfaut"/>
    <w:link w:val="Default"/>
    <w:rsid w:val="009F6D2E"/>
    <w:rPr>
      <w:rFonts w:ascii="Calibri" w:hAnsi="Calibri" w:cs="Calibri"/>
      <w:color w:val="000000"/>
      <w:sz w:val="24"/>
      <w:szCs w:val="24"/>
    </w:rPr>
  </w:style>
  <w:style w:type="table" w:customStyle="1" w:styleId="Grilledutableau1">
    <w:name w:val="Grille du tableau1"/>
    <w:basedOn w:val="TableauNormal"/>
    <w:next w:val="Grilledutableau"/>
    <w:uiPriority w:val="39"/>
    <w:rsid w:val="000C50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0C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single space,ALTS FOOTNOTE,ADB,fn,ft,Footnote Text Char1,Footnote Text Char Char,FOOTNOTES,footnote text, Char Char1, Char Char3, Char Char2,Fodnotetekst Tegn,footnote text Char,Fodnotetekst Tegn Char,single space Char,Footnote,12pt"/>
    <w:basedOn w:val="Normal"/>
    <w:link w:val="NotedebasdepageCar"/>
    <w:uiPriority w:val="99"/>
    <w:unhideWhenUsed/>
    <w:qFormat/>
    <w:rsid w:val="00480936"/>
    <w:pPr>
      <w:spacing w:after="0" w:line="240" w:lineRule="auto"/>
    </w:pPr>
    <w:rPr>
      <w:sz w:val="20"/>
      <w:szCs w:val="20"/>
    </w:rPr>
  </w:style>
  <w:style w:type="character" w:customStyle="1" w:styleId="NotedebasdepageCar">
    <w:name w:val="Note de bas de page Car"/>
    <w:aliases w:val="single space Car,ALTS FOOTNOTE Car,ADB Car,fn Car,ft Car,Footnote Text Char1 Car,Footnote Text Char Char Car,FOOTNOTES Car,footnote text Car, Char Char1 Car, Char Char3 Car, Char Char2 Car,Fodnotetekst Tegn Car,Footnote Car"/>
    <w:basedOn w:val="Policepardfaut"/>
    <w:link w:val="Notedebasdepage"/>
    <w:uiPriority w:val="99"/>
    <w:rsid w:val="00480936"/>
    <w:rPr>
      <w:sz w:val="20"/>
      <w:szCs w:val="20"/>
    </w:rPr>
  </w:style>
  <w:style w:type="character" w:styleId="Appelnotedebasdep">
    <w:name w:val="footnote reference"/>
    <w:aliases w:val="Car Car Char Car Char Car Car Char Car Char Char,Car Car Car Car Car Car Car Car Char Car Car Char Car Car Car Char Car Char Char Char,ftref,16 Point,Superscript 6 Point,SUPERS, BVI fnr,BVI fnr,Référence pied de page,ftref Char"/>
    <w:basedOn w:val="Policepardfaut"/>
    <w:link w:val="ftrefCharCarCarCarCarCar1CarCarCarCarCarCharCar"/>
    <w:uiPriority w:val="99"/>
    <w:unhideWhenUsed/>
    <w:qFormat/>
    <w:rsid w:val="00480936"/>
    <w:rPr>
      <w:vertAlign w:val="superscript"/>
    </w:rPr>
  </w:style>
  <w:style w:type="character" w:styleId="Lienhypertexte">
    <w:name w:val="Hyperlink"/>
    <w:basedOn w:val="Policepardfaut"/>
    <w:uiPriority w:val="99"/>
    <w:unhideWhenUsed/>
    <w:rsid w:val="00F01CB8"/>
    <w:rPr>
      <w:color w:val="0563C1" w:themeColor="hyperlink"/>
      <w:u w:val="single"/>
    </w:rPr>
  </w:style>
  <w:style w:type="table" w:customStyle="1" w:styleId="Grilledutableau2">
    <w:name w:val="Grille du tableau2"/>
    <w:basedOn w:val="TableauNormal"/>
    <w:next w:val="Grilledutableau"/>
    <w:uiPriority w:val="39"/>
    <w:rsid w:val="00507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A115F"/>
    <w:rPr>
      <w:rFonts w:ascii="Century Gothic" w:hAnsi="Century Gothic" w:hint="default"/>
      <w:b w:val="0"/>
      <w:bCs w:val="0"/>
      <w:i w:val="0"/>
      <w:iCs w:val="0"/>
      <w:color w:val="000000"/>
      <w:sz w:val="22"/>
      <w:szCs w:val="22"/>
    </w:rPr>
  </w:style>
  <w:style w:type="paragraph" w:styleId="Textedebulles">
    <w:name w:val="Balloon Text"/>
    <w:basedOn w:val="Normal"/>
    <w:link w:val="TextedebullesCar"/>
    <w:uiPriority w:val="99"/>
    <w:semiHidden/>
    <w:unhideWhenUsed/>
    <w:rsid w:val="003761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613B"/>
    <w:rPr>
      <w:rFonts w:ascii="Tahoma" w:hAnsi="Tahoma" w:cs="Tahoma"/>
      <w:sz w:val="16"/>
      <w:szCs w:val="16"/>
    </w:rPr>
  </w:style>
  <w:style w:type="paragraph" w:styleId="En-ttedetabledesmatires">
    <w:name w:val="TOC Heading"/>
    <w:basedOn w:val="Titre1"/>
    <w:next w:val="Normal"/>
    <w:uiPriority w:val="39"/>
    <w:unhideWhenUsed/>
    <w:qFormat/>
    <w:rsid w:val="00F01CB8"/>
    <w:p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b w:val="0"/>
      <w:caps/>
      <w:color w:val="2E74B5" w:themeColor="accent1" w:themeShade="BF"/>
      <w:sz w:val="32"/>
      <w:lang w:eastAsia="fr-FR"/>
    </w:rPr>
  </w:style>
  <w:style w:type="paragraph" w:styleId="TM1">
    <w:name w:val="toc 1"/>
    <w:basedOn w:val="Normal"/>
    <w:next w:val="Normal"/>
    <w:autoRedefine/>
    <w:uiPriority w:val="39"/>
    <w:unhideWhenUsed/>
    <w:rsid w:val="00F62689"/>
    <w:pPr>
      <w:tabs>
        <w:tab w:val="right" w:leader="dot" w:pos="9203"/>
      </w:tabs>
      <w:spacing w:before="40" w:after="40" w:line="300" w:lineRule="auto"/>
      <w:jc w:val="left"/>
    </w:pPr>
    <w:rPr>
      <w:rFonts w:cstheme="minorHAnsi"/>
      <w:b/>
      <w:bCs/>
      <w:sz w:val="24"/>
      <w:szCs w:val="20"/>
    </w:rPr>
  </w:style>
  <w:style w:type="paragraph" w:styleId="TM2">
    <w:name w:val="toc 2"/>
    <w:basedOn w:val="Normal"/>
    <w:next w:val="Normal"/>
    <w:autoRedefine/>
    <w:uiPriority w:val="39"/>
    <w:unhideWhenUsed/>
    <w:rsid w:val="00F62689"/>
    <w:pPr>
      <w:tabs>
        <w:tab w:val="left" w:pos="880"/>
        <w:tab w:val="right" w:leader="dot" w:pos="9062"/>
      </w:tabs>
      <w:spacing w:before="20" w:after="20" w:line="276" w:lineRule="auto"/>
      <w:ind w:left="221"/>
      <w:jc w:val="left"/>
    </w:pPr>
    <w:rPr>
      <w:rFonts w:cstheme="minorHAnsi"/>
      <w:bCs/>
      <w:iCs/>
      <w:szCs w:val="20"/>
    </w:rPr>
  </w:style>
  <w:style w:type="paragraph" w:styleId="TM3">
    <w:name w:val="toc 3"/>
    <w:basedOn w:val="Normal"/>
    <w:next w:val="Normal"/>
    <w:autoRedefine/>
    <w:uiPriority w:val="39"/>
    <w:unhideWhenUsed/>
    <w:rsid w:val="00095D82"/>
    <w:pPr>
      <w:spacing w:before="20" w:after="20"/>
      <w:ind w:left="442"/>
    </w:pPr>
    <w:rPr>
      <w:rFonts w:cstheme="minorHAnsi"/>
      <w:i/>
      <w:szCs w:val="20"/>
    </w:rPr>
  </w:style>
  <w:style w:type="paragraph" w:styleId="TM4">
    <w:name w:val="toc 4"/>
    <w:basedOn w:val="Normal"/>
    <w:next w:val="Normal"/>
    <w:autoRedefine/>
    <w:uiPriority w:val="39"/>
    <w:unhideWhenUsed/>
    <w:rsid w:val="00161E51"/>
    <w:pPr>
      <w:spacing w:after="0"/>
      <w:ind w:left="660"/>
    </w:pPr>
    <w:rPr>
      <w:rFonts w:cstheme="minorHAnsi"/>
      <w:sz w:val="20"/>
      <w:szCs w:val="20"/>
    </w:rPr>
  </w:style>
  <w:style w:type="paragraph" w:styleId="TM5">
    <w:name w:val="toc 5"/>
    <w:basedOn w:val="Normal"/>
    <w:next w:val="Normal"/>
    <w:autoRedefine/>
    <w:uiPriority w:val="39"/>
    <w:unhideWhenUsed/>
    <w:rsid w:val="00161E51"/>
    <w:pPr>
      <w:spacing w:after="0"/>
      <w:ind w:left="880"/>
    </w:pPr>
    <w:rPr>
      <w:rFonts w:cstheme="minorHAnsi"/>
      <w:sz w:val="20"/>
      <w:szCs w:val="20"/>
    </w:rPr>
  </w:style>
  <w:style w:type="paragraph" w:styleId="TM6">
    <w:name w:val="toc 6"/>
    <w:basedOn w:val="Normal"/>
    <w:next w:val="Normal"/>
    <w:autoRedefine/>
    <w:uiPriority w:val="39"/>
    <w:unhideWhenUsed/>
    <w:rsid w:val="00161E51"/>
    <w:pPr>
      <w:spacing w:after="0"/>
      <w:ind w:left="1100"/>
    </w:pPr>
    <w:rPr>
      <w:rFonts w:cstheme="minorHAnsi"/>
      <w:sz w:val="20"/>
      <w:szCs w:val="20"/>
    </w:rPr>
  </w:style>
  <w:style w:type="paragraph" w:styleId="TM7">
    <w:name w:val="toc 7"/>
    <w:basedOn w:val="Normal"/>
    <w:next w:val="Normal"/>
    <w:autoRedefine/>
    <w:uiPriority w:val="39"/>
    <w:unhideWhenUsed/>
    <w:rsid w:val="00161E51"/>
    <w:pPr>
      <w:spacing w:after="0"/>
      <w:ind w:left="1320"/>
    </w:pPr>
    <w:rPr>
      <w:rFonts w:cstheme="minorHAnsi"/>
      <w:sz w:val="20"/>
      <w:szCs w:val="20"/>
    </w:rPr>
  </w:style>
  <w:style w:type="paragraph" w:styleId="TM8">
    <w:name w:val="toc 8"/>
    <w:basedOn w:val="Normal"/>
    <w:next w:val="Normal"/>
    <w:autoRedefine/>
    <w:uiPriority w:val="39"/>
    <w:unhideWhenUsed/>
    <w:rsid w:val="00DA0234"/>
    <w:pPr>
      <w:keepNext/>
      <w:keepLines/>
      <w:spacing w:after="0" w:line="240" w:lineRule="auto"/>
    </w:pPr>
    <w:rPr>
      <w:rFonts w:cstheme="minorHAnsi"/>
      <w:b/>
      <w:bCs/>
      <w:color w:val="0070C0"/>
    </w:rPr>
  </w:style>
  <w:style w:type="paragraph" w:styleId="TM9">
    <w:name w:val="toc 9"/>
    <w:basedOn w:val="Normal"/>
    <w:next w:val="Normal"/>
    <w:autoRedefine/>
    <w:uiPriority w:val="39"/>
    <w:unhideWhenUsed/>
    <w:rsid w:val="00161E51"/>
    <w:pPr>
      <w:spacing w:after="0"/>
      <w:ind w:left="1760"/>
    </w:pPr>
    <w:rPr>
      <w:rFonts w:cstheme="minorHAnsi"/>
      <w:sz w:val="20"/>
      <w:szCs w:val="20"/>
    </w:rPr>
  </w:style>
  <w:style w:type="paragraph" w:styleId="Lgende">
    <w:name w:val="caption"/>
    <w:basedOn w:val="Normal"/>
    <w:next w:val="Normal"/>
    <w:autoRedefine/>
    <w:uiPriority w:val="35"/>
    <w:unhideWhenUsed/>
    <w:qFormat/>
    <w:rsid w:val="00212696"/>
    <w:pPr>
      <w:spacing w:before="0" w:after="40" w:line="276" w:lineRule="auto"/>
    </w:pPr>
    <w:rPr>
      <w:b/>
      <w:i/>
      <w:iCs/>
      <w:color w:val="004F8A"/>
      <w:sz w:val="21"/>
      <w:szCs w:val="18"/>
    </w:rPr>
  </w:style>
  <w:style w:type="paragraph" w:styleId="Tabledesillustrations">
    <w:name w:val="table of figures"/>
    <w:basedOn w:val="Normal"/>
    <w:next w:val="Normal"/>
    <w:uiPriority w:val="99"/>
    <w:unhideWhenUsed/>
    <w:rsid w:val="003C0C69"/>
    <w:pPr>
      <w:spacing w:before="80" w:after="0" w:line="300" w:lineRule="auto"/>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72D4C"/>
    <w:rPr>
      <w:b/>
      <w:bCs/>
    </w:rPr>
  </w:style>
  <w:style w:type="character" w:customStyle="1" w:styleId="ObjetducommentaireCar">
    <w:name w:val="Objet du commentaire Car"/>
    <w:basedOn w:val="CommentaireCar"/>
    <w:link w:val="Objetducommentaire"/>
    <w:uiPriority w:val="99"/>
    <w:semiHidden/>
    <w:rsid w:val="00272D4C"/>
    <w:rPr>
      <w:b/>
      <w:bCs/>
      <w:sz w:val="20"/>
      <w:szCs w:val="20"/>
    </w:rPr>
  </w:style>
  <w:style w:type="paragraph" w:styleId="Corpsdetexte">
    <w:name w:val="Body Text"/>
    <w:basedOn w:val="Normal"/>
    <w:link w:val="CorpsdetexteCar"/>
    <w:uiPriority w:val="1"/>
    <w:qFormat/>
    <w:rsid w:val="00A8088C"/>
    <w:pPr>
      <w:widowControl w:val="0"/>
      <w:spacing w:line="276" w:lineRule="auto"/>
    </w:pPr>
    <w:rPr>
      <w:rFonts w:ascii="Sitka Text" w:eastAsia="Times New Roman" w:hAnsi="Sitka Text" w:cs="Times New Roman"/>
      <w:spacing w:val="-2"/>
      <w:lang w:eastAsia="fr-FR"/>
    </w:rPr>
  </w:style>
  <w:style w:type="character" w:customStyle="1" w:styleId="CorpsdetexteCar">
    <w:name w:val="Corps de texte Car"/>
    <w:basedOn w:val="Policepardfaut"/>
    <w:link w:val="Corpsdetexte"/>
    <w:uiPriority w:val="1"/>
    <w:rsid w:val="00A8088C"/>
    <w:rPr>
      <w:rFonts w:ascii="Sitka Text" w:eastAsia="Times New Roman" w:hAnsi="Sitka Text" w:cs="Times New Roman"/>
      <w:spacing w:val="-2"/>
      <w:lang w:eastAsia="fr-FR"/>
    </w:rPr>
  </w:style>
  <w:style w:type="character" w:customStyle="1" w:styleId="fontstyle01">
    <w:name w:val="fontstyle01"/>
    <w:basedOn w:val="Policepardfaut"/>
    <w:rsid w:val="001B222F"/>
    <w:rPr>
      <w:rFonts w:ascii="Calibri" w:hAnsi="Calibri" w:cs="Calibri" w:hint="default"/>
      <w:b w:val="0"/>
      <w:bCs w:val="0"/>
      <w:i w:val="0"/>
      <w:iCs w:val="0"/>
      <w:color w:val="000000"/>
      <w:sz w:val="22"/>
      <w:szCs w:val="22"/>
    </w:rPr>
  </w:style>
  <w:style w:type="paragraph" w:styleId="Listepuces">
    <w:name w:val="List Bullet"/>
    <w:basedOn w:val="Normal"/>
    <w:uiPriority w:val="99"/>
    <w:unhideWhenUsed/>
    <w:rsid w:val="00272BBB"/>
    <w:pPr>
      <w:numPr>
        <w:numId w:val="12"/>
      </w:numPr>
      <w:contextualSpacing/>
    </w:pPr>
  </w:style>
  <w:style w:type="paragraph" w:styleId="Retraitcorpsdetexte">
    <w:name w:val="Body Text Indent"/>
    <w:basedOn w:val="Normal"/>
    <w:link w:val="RetraitcorpsdetexteCar"/>
    <w:uiPriority w:val="99"/>
    <w:unhideWhenUsed/>
    <w:rsid w:val="00AD1E93"/>
    <w:pPr>
      <w:ind w:left="283"/>
    </w:pPr>
  </w:style>
  <w:style w:type="character" w:customStyle="1" w:styleId="RetraitcorpsdetexteCar">
    <w:name w:val="Retrait corps de texte Car"/>
    <w:basedOn w:val="Policepardfaut"/>
    <w:link w:val="Retraitcorpsdetexte"/>
    <w:uiPriority w:val="99"/>
    <w:rsid w:val="00AD1E93"/>
    <w:rPr>
      <w:rFonts w:ascii="Century Gothic" w:hAnsi="Century Gothic"/>
    </w:rPr>
  </w:style>
  <w:style w:type="character" w:styleId="Titredulivre">
    <w:name w:val="Book Title"/>
    <w:basedOn w:val="Policepardfaut"/>
    <w:uiPriority w:val="33"/>
    <w:qFormat/>
    <w:rsid w:val="00987C74"/>
    <w:rPr>
      <w:b/>
      <w:bCs/>
      <w:i/>
      <w:iCs/>
      <w:spacing w:val="5"/>
    </w:rPr>
  </w:style>
  <w:style w:type="character" w:customStyle="1" w:styleId="Mentionnonrsolue1">
    <w:name w:val="Mention non résolue1"/>
    <w:basedOn w:val="Policepardfaut"/>
    <w:uiPriority w:val="99"/>
    <w:unhideWhenUsed/>
    <w:rsid w:val="00583796"/>
    <w:rPr>
      <w:color w:val="605E5C"/>
      <w:shd w:val="clear" w:color="auto" w:fill="E1DFDD"/>
    </w:rPr>
  </w:style>
  <w:style w:type="paragraph" w:styleId="Rvision">
    <w:name w:val="Revision"/>
    <w:hidden/>
    <w:uiPriority w:val="99"/>
    <w:semiHidden/>
    <w:rsid w:val="00F01CB8"/>
    <w:pPr>
      <w:spacing w:after="0" w:line="240" w:lineRule="auto"/>
    </w:pPr>
    <w:rPr>
      <w:rFonts w:ascii="Century Gothic" w:hAnsi="Century Gothic"/>
    </w:rPr>
  </w:style>
  <w:style w:type="paragraph" w:styleId="NormalWeb">
    <w:name w:val="Normal (Web)"/>
    <w:basedOn w:val="Normal"/>
    <w:uiPriority w:val="99"/>
    <w:unhideWhenUsed/>
    <w:rsid w:val="00B903A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cf01">
    <w:name w:val="cf01"/>
    <w:basedOn w:val="Policepardfaut"/>
    <w:rsid w:val="0061359F"/>
    <w:rPr>
      <w:rFonts w:ascii="Segoe UI" w:hAnsi="Segoe UI" w:cs="Segoe UI" w:hint="default"/>
      <w:sz w:val="18"/>
      <w:szCs w:val="18"/>
    </w:rPr>
  </w:style>
  <w:style w:type="table" w:customStyle="1" w:styleId="TableNormal1">
    <w:name w:val="Table Normal1"/>
    <w:uiPriority w:val="2"/>
    <w:semiHidden/>
    <w:unhideWhenUsed/>
    <w:qFormat/>
    <w:rsid w:val="007050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509E"/>
    <w:pPr>
      <w:widowControl w:val="0"/>
      <w:autoSpaceDE w:val="0"/>
      <w:autoSpaceDN w:val="0"/>
      <w:spacing w:before="0" w:after="0" w:line="240" w:lineRule="auto"/>
      <w:ind w:left="103"/>
      <w:jc w:val="left"/>
    </w:pPr>
    <w:rPr>
      <w:rFonts w:ascii="Calibri" w:eastAsia="Calibri" w:hAnsi="Calibri" w:cs="Calibri"/>
      <w:lang w:val="en-US"/>
    </w:rPr>
  </w:style>
  <w:style w:type="paragraph" w:styleId="Notedefin">
    <w:name w:val="endnote text"/>
    <w:basedOn w:val="Normal"/>
    <w:link w:val="NotedefinCar"/>
    <w:uiPriority w:val="99"/>
    <w:semiHidden/>
    <w:unhideWhenUsed/>
    <w:rsid w:val="00383B84"/>
    <w:pPr>
      <w:spacing w:before="0" w:after="0" w:line="240" w:lineRule="auto"/>
    </w:pPr>
    <w:rPr>
      <w:sz w:val="20"/>
      <w:szCs w:val="20"/>
    </w:rPr>
  </w:style>
  <w:style w:type="character" w:customStyle="1" w:styleId="NotedefinCar">
    <w:name w:val="Note de fin Car"/>
    <w:basedOn w:val="Policepardfaut"/>
    <w:link w:val="Notedefin"/>
    <w:uiPriority w:val="99"/>
    <w:semiHidden/>
    <w:rsid w:val="00383B84"/>
    <w:rPr>
      <w:rFonts w:ascii="Century Gothic" w:hAnsi="Century Gothic"/>
      <w:sz w:val="20"/>
      <w:szCs w:val="20"/>
    </w:rPr>
  </w:style>
  <w:style w:type="character" w:styleId="Appeldenotedefin">
    <w:name w:val="endnote reference"/>
    <w:basedOn w:val="Policepardfaut"/>
    <w:uiPriority w:val="99"/>
    <w:semiHidden/>
    <w:unhideWhenUsed/>
    <w:rsid w:val="00383B84"/>
    <w:rPr>
      <w:vertAlign w:val="superscript"/>
    </w:rPr>
  </w:style>
  <w:style w:type="character" w:styleId="Rfrenceintense">
    <w:name w:val="Intense Reference"/>
    <w:basedOn w:val="Policepardfaut"/>
    <w:uiPriority w:val="32"/>
    <w:qFormat/>
    <w:rsid w:val="00C45041"/>
    <w:rPr>
      <w:b/>
      <w:bCs w:val="0"/>
      <w:sz w:val="24"/>
      <w:u w:val="single"/>
    </w:rPr>
  </w:style>
  <w:style w:type="character" w:styleId="Accentuation">
    <w:name w:val="Emphasis"/>
    <w:basedOn w:val="Policepardfaut"/>
    <w:uiPriority w:val="20"/>
    <w:qFormat/>
    <w:rsid w:val="00C45041"/>
    <w:rPr>
      <w:i/>
      <w:iCs/>
    </w:rPr>
  </w:style>
  <w:style w:type="paragraph" w:styleId="Sansinterligne">
    <w:name w:val="No Spacing"/>
    <w:uiPriority w:val="1"/>
    <w:qFormat/>
    <w:rsid w:val="00F01CB8"/>
    <w:pPr>
      <w:spacing w:after="0" w:line="240" w:lineRule="auto"/>
    </w:pPr>
  </w:style>
  <w:style w:type="character" w:customStyle="1" w:styleId="fontstyle31">
    <w:name w:val="fontstyle31"/>
    <w:basedOn w:val="Policepardfaut"/>
    <w:rsid w:val="003D11C5"/>
    <w:rPr>
      <w:rFonts w:ascii="Wingdings-Regular" w:hAnsi="Wingdings-Regular" w:hint="default"/>
      <w:b w:val="0"/>
      <w:bCs w:val="0"/>
      <w:i w:val="0"/>
      <w:iCs w:val="0"/>
      <w:color w:val="000000"/>
      <w:sz w:val="22"/>
      <w:szCs w:val="22"/>
    </w:rPr>
  </w:style>
  <w:style w:type="character" w:customStyle="1" w:styleId="fontstyle41">
    <w:name w:val="fontstyle41"/>
    <w:basedOn w:val="Policepardfaut"/>
    <w:rsid w:val="003D11C5"/>
    <w:rPr>
      <w:rFonts w:ascii="Cambria-Bold" w:hAnsi="Cambria-Bold" w:hint="default"/>
      <w:b/>
      <w:bCs/>
      <w:i w:val="0"/>
      <w:iCs w:val="0"/>
      <w:color w:val="000000"/>
      <w:sz w:val="24"/>
      <w:szCs w:val="24"/>
    </w:rPr>
  </w:style>
  <w:style w:type="character" w:customStyle="1" w:styleId="fontstyle51">
    <w:name w:val="fontstyle51"/>
    <w:basedOn w:val="Policepardfaut"/>
    <w:rsid w:val="003D11C5"/>
    <w:rPr>
      <w:rFonts w:ascii="Cambria" w:hAnsi="Cambria" w:hint="default"/>
      <w:b w:val="0"/>
      <w:bCs w:val="0"/>
      <w:i w:val="0"/>
      <w:iCs w:val="0"/>
      <w:color w:val="000000"/>
      <w:sz w:val="24"/>
      <w:szCs w:val="24"/>
    </w:rPr>
  </w:style>
  <w:style w:type="paragraph" w:customStyle="1" w:styleId="normaltableau">
    <w:name w:val="normal_tableau"/>
    <w:basedOn w:val="Normal"/>
    <w:rsid w:val="00643743"/>
    <w:pPr>
      <w:spacing w:line="240" w:lineRule="auto"/>
    </w:pPr>
    <w:rPr>
      <w:rFonts w:ascii="Optima" w:eastAsia="Times New Roman" w:hAnsi="Optima" w:cs="Times New Roman"/>
      <w:lang w:val="en-GB" w:eastAsia="en-GB"/>
    </w:rPr>
  </w:style>
  <w:style w:type="paragraph" w:customStyle="1" w:styleId="Nomdesocit">
    <w:name w:val="Nom de société"/>
    <w:basedOn w:val="Normal"/>
    <w:next w:val="Normal"/>
    <w:rsid w:val="00643743"/>
    <w:pPr>
      <w:tabs>
        <w:tab w:val="left" w:pos="1440"/>
        <w:tab w:val="right" w:pos="6480"/>
      </w:tabs>
      <w:autoSpaceDE w:val="0"/>
      <w:autoSpaceDN w:val="0"/>
      <w:spacing w:before="220" w:after="0" w:line="220" w:lineRule="atLeast"/>
      <w:jc w:val="left"/>
    </w:pPr>
    <w:rPr>
      <w:rFonts w:ascii="Garamond" w:eastAsia="Times New Roman" w:hAnsi="Garamond" w:cs="Times New Roman"/>
    </w:rPr>
  </w:style>
  <w:style w:type="paragraph" w:customStyle="1" w:styleId="BodyText21">
    <w:name w:val="Body Text 21"/>
    <w:rsid w:val="00F01CB8"/>
    <w:pPr>
      <w:spacing w:after="120" w:line="480" w:lineRule="auto"/>
    </w:pPr>
    <w:rPr>
      <w:rFonts w:ascii="Times New Roman" w:eastAsia="ヒラギノ角ゴ Pro W3" w:hAnsi="Times New Roman" w:cs="Times New Roman"/>
      <w:color w:val="000000"/>
      <w:sz w:val="20"/>
      <w:szCs w:val="20"/>
      <w:lang w:val="en-US" w:eastAsia="da-DK"/>
    </w:rPr>
  </w:style>
  <w:style w:type="character" w:styleId="Lienhypertextesuivivisit">
    <w:name w:val="FollowedHyperlink"/>
    <w:basedOn w:val="Policepardfaut"/>
    <w:uiPriority w:val="99"/>
    <w:semiHidden/>
    <w:unhideWhenUsed/>
    <w:rsid w:val="00F01CB8"/>
    <w:rPr>
      <w:color w:val="954F72" w:themeColor="followedHyperlink"/>
      <w:u w:val="single"/>
    </w:rPr>
  </w:style>
  <w:style w:type="paragraph" w:customStyle="1" w:styleId="pf0">
    <w:name w:val="pf0"/>
    <w:basedOn w:val="Normal"/>
    <w:rsid w:val="00A40DA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styleId="TableauGrille4-Accentuation1">
    <w:name w:val="Grid Table 4 Accent 1"/>
    <w:basedOn w:val="TableauNormal"/>
    <w:uiPriority w:val="49"/>
    <w:rsid w:val="007A64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trefCharCarCarCarCarCar1CarCarCarCarCarCharCar">
    <w:name w:val="ftref Char Car Car Car Car Car1 Car Car Car Car Car Char Car"/>
    <w:aliases w:val="Char Char Car Car Char Char Car Car1 Car Car Car Car Car Car Car Car Char Car,ftref Char Car Car Car Car Car Car Car Car Car Car Car Car Car Car Car Char Char Car Car"/>
    <w:basedOn w:val="Normal"/>
    <w:next w:val="Normal"/>
    <w:link w:val="Appelnotedebasdep"/>
    <w:uiPriority w:val="99"/>
    <w:rsid w:val="00F01CB8"/>
    <w:pPr>
      <w:snapToGrid w:val="0"/>
      <w:spacing w:line="240" w:lineRule="exact"/>
    </w:pPr>
    <w:rPr>
      <w:rFonts w:asciiTheme="minorHAnsi" w:hAnsiTheme="minorHAnsi"/>
      <w:vertAlign w:val="superscript"/>
    </w:rPr>
  </w:style>
  <w:style w:type="character" w:styleId="Mentionnonrsolue">
    <w:name w:val="Unresolved Mention"/>
    <w:basedOn w:val="Policepardfaut"/>
    <w:uiPriority w:val="99"/>
    <w:semiHidden/>
    <w:unhideWhenUsed/>
    <w:rsid w:val="00603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5512">
      <w:bodyDiv w:val="1"/>
      <w:marLeft w:val="0"/>
      <w:marRight w:val="0"/>
      <w:marTop w:val="0"/>
      <w:marBottom w:val="0"/>
      <w:divBdr>
        <w:top w:val="none" w:sz="0" w:space="0" w:color="auto"/>
        <w:left w:val="none" w:sz="0" w:space="0" w:color="auto"/>
        <w:bottom w:val="none" w:sz="0" w:space="0" w:color="auto"/>
        <w:right w:val="none" w:sz="0" w:space="0" w:color="auto"/>
      </w:divBdr>
    </w:div>
    <w:div w:id="98764299">
      <w:bodyDiv w:val="1"/>
      <w:marLeft w:val="0"/>
      <w:marRight w:val="0"/>
      <w:marTop w:val="0"/>
      <w:marBottom w:val="0"/>
      <w:divBdr>
        <w:top w:val="none" w:sz="0" w:space="0" w:color="auto"/>
        <w:left w:val="none" w:sz="0" w:space="0" w:color="auto"/>
        <w:bottom w:val="none" w:sz="0" w:space="0" w:color="auto"/>
        <w:right w:val="none" w:sz="0" w:space="0" w:color="auto"/>
      </w:divBdr>
    </w:div>
    <w:div w:id="134570864">
      <w:bodyDiv w:val="1"/>
      <w:marLeft w:val="0"/>
      <w:marRight w:val="0"/>
      <w:marTop w:val="0"/>
      <w:marBottom w:val="0"/>
      <w:divBdr>
        <w:top w:val="none" w:sz="0" w:space="0" w:color="auto"/>
        <w:left w:val="none" w:sz="0" w:space="0" w:color="auto"/>
        <w:bottom w:val="none" w:sz="0" w:space="0" w:color="auto"/>
        <w:right w:val="none" w:sz="0" w:space="0" w:color="auto"/>
      </w:divBdr>
    </w:div>
    <w:div w:id="193542737">
      <w:bodyDiv w:val="1"/>
      <w:marLeft w:val="0"/>
      <w:marRight w:val="0"/>
      <w:marTop w:val="0"/>
      <w:marBottom w:val="0"/>
      <w:divBdr>
        <w:top w:val="none" w:sz="0" w:space="0" w:color="auto"/>
        <w:left w:val="none" w:sz="0" w:space="0" w:color="auto"/>
        <w:bottom w:val="none" w:sz="0" w:space="0" w:color="auto"/>
        <w:right w:val="none" w:sz="0" w:space="0" w:color="auto"/>
      </w:divBdr>
    </w:div>
    <w:div w:id="195437003">
      <w:bodyDiv w:val="1"/>
      <w:marLeft w:val="0"/>
      <w:marRight w:val="0"/>
      <w:marTop w:val="0"/>
      <w:marBottom w:val="0"/>
      <w:divBdr>
        <w:top w:val="none" w:sz="0" w:space="0" w:color="auto"/>
        <w:left w:val="none" w:sz="0" w:space="0" w:color="auto"/>
        <w:bottom w:val="none" w:sz="0" w:space="0" w:color="auto"/>
        <w:right w:val="none" w:sz="0" w:space="0" w:color="auto"/>
      </w:divBdr>
    </w:div>
    <w:div w:id="206184493">
      <w:bodyDiv w:val="1"/>
      <w:marLeft w:val="0"/>
      <w:marRight w:val="0"/>
      <w:marTop w:val="0"/>
      <w:marBottom w:val="0"/>
      <w:divBdr>
        <w:top w:val="none" w:sz="0" w:space="0" w:color="auto"/>
        <w:left w:val="none" w:sz="0" w:space="0" w:color="auto"/>
        <w:bottom w:val="none" w:sz="0" w:space="0" w:color="auto"/>
        <w:right w:val="none" w:sz="0" w:space="0" w:color="auto"/>
      </w:divBdr>
    </w:div>
    <w:div w:id="216354306">
      <w:bodyDiv w:val="1"/>
      <w:marLeft w:val="0"/>
      <w:marRight w:val="0"/>
      <w:marTop w:val="0"/>
      <w:marBottom w:val="0"/>
      <w:divBdr>
        <w:top w:val="none" w:sz="0" w:space="0" w:color="auto"/>
        <w:left w:val="none" w:sz="0" w:space="0" w:color="auto"/>
        <w:bottom w:val="none" w:sz="0" w:space="0" w:color="auto"/>
        <w:right w:val="none" w:sz="0" w:space="0" w:color="auto"/>
      </w:divBdr>
    </w:div>
    <w:div w:id="217279798">
      <w:bodyDiv w:val="1"/>
      <w:marLeft w:val="0"/>
      <w:marRight w:val="0"/>
      <w:marTop w:val="0"/>
      <w:marBottom w:val="0"/>
      <w:divBdr>
        <w:top w:val="none" w:sz="0" w:space="0" w:color="auto"/>
        <w:left w:val="none" w:sz="0" w:space="0" w:color="auto"/>
        <w:bottom w:val="none" w:sz="0" w:space="0" w:color="auto"/>
        <w:right w:val="none" w:sz="0" w:space="0" w:color="auto"/>
      </w:divBdr>
    </w:div>
    <w:div w:id="253560510">
      <w:bodyDiv w:val="1"/>
      <w:marLeft w:val="0"/>
      <w:marRight w:val="0"/>
      <w:marTop w:val="0"/>
      <w:marBottom w:val="0"/>
      <w:divBdr>
        <w:top w:val="none" w:sz="0" w:space="0" w:color="auto"/>
        <w:left w:val="none" w:sz="0" w:space="0" w:color="auto"/>
        <w:bottom w:val="none" w:sz="0" w:space="0" w:color="auto"/>
        <w:right w:val="none" w:sz="0" w:space="0" w:color="auto"/>
      </w:divBdr>
    </w:div>
    <w:div w:id="401366035">
      <w:bodyDiv w:val="1"/>
      <w:marLeft w:val="0"/>
      <w:marRight w:val="0"/>
      <w:marTop w:val="0"/>
      <w:marBottom w:val="0"/>
      <w:divBdr>
        <w:top w:val="none" w:sz="0" w:space="0" w:color="auto"/>
        <w:left w:val="none" w:sz="0" w:space="0" w:color="auto"/>
        <w:bottom w:val="none" w:sz="0" w:space="0" w:color="auto"/>
        <w:right w:val="none" w:sz="0" w:space="0" w:color="auto"/>
      </w:divBdr>
    </w:div>
    <w:div w:id="427308062">
      <w:bodyDiv w:val="1"/>
      <w:marLeft w:val="0"/>
      <w:marRight w:val="0"/>
      <w:marTop w:val="0"/>
      <w:marBottom w:val="0"/>
      <w:divBdr>
        <w:top w:val="none" w:sz="0" w:space="0" w:color="auto"/>
        <w:left w:val="none" w:sz="0" w:space="0" w:color="auto"/>
        <w:bottom w:val="none" w:sz="0" w:space="0" w:color="auto"/>
        <w:right w:val="none" w:sz="0" w:space="0" w:color="auto"/>
      </w:divBdr>
    </w:div>
    <w:div w:id="444228401">
      <w:bodyDiv w:val="1"/>
      <w:marLeft w:val="0"/>
      <w:marRight w:val="0"/>
      <w:marTop w:val="0"/>
      <w:marBottom w:val="0"/>
      <w:divBdr>
        <w:top w:val="none" w:sz="0" w:space="0" w:color="auto"/>
        <w:left w:val="none" w:sz="0" w:space="0" w:color="auto"/>
        <w:bottom w:val="none" w:sz="0" w:space="0" w:color="auto"/>
        <w:right w:val="none" w:sz="0" w:space="0" w:color="auto"/>
      </w:divBdr>
    </w:div>
    <w:div w:id="482477906">
      <w:bodyDiv w:val="1"/>
      <w:marLeft w:val="0"/>
      <w:marRight w:val="0"/>
      <w:marTop w:val="0"/>
      <w:marBottom w:val="0"/>
      <w:divBdr>
        <w:top w:val="none" w:sz="0" w:space="0" w:color="auto"/>
        <w:left w:val="none" w:sz="0" w:space="0" w:color="auto"/>
        <w:bottom w:val="none" w:sz="0" w:space="0" w:color="auto"/>
        <w:right w:val="none" w:sz="0" w:space="0" w:color="auto"/>
      </w:divBdr>
    </w:div>
    <w:div w:id="498352741">
      <w:bodyDiv w:val="1"/>
      <w:marLeft w:val="0"/>
      <w:marRight w:val="0"/>
      <w:marTop w:val="0"/>
      <w:marBottom w:val="0"/>
      <w:divBdr>
        <w:top w:val="none" w:sz="0" w:space="0" w:color="auto"/>
        <w:left w:val="none" w:sz="0" w:space="0" w:color="auto"/>
        <w:bottom w:val="none" w:sz="0" w:space="0" w:color="auto"/>
        <w:right w:val="none" w:sz="0" w:space="0" w:color="auto"/>
      </w:divBdr>
    </w:div>
    <w:div w:id="583998662">
      <w:bodyDiv w:val="1"/>
      <w:marLeft w:val="0"/>
      <w:marRight w:val="0"/>
      <w:marTop w:val="0"/>
      <w:marBottom w:val="0"/>
      <w:divBdr>
        <w:top w:val="none" w:sz="0" w:space="0" w:color="auto"/>
        <w:left w:val="none" w:sz="0" w:space="0" w:color="auto"/>
        <w:bottom w:val="none" w:sz="0" w:space="0" w:color="auto"/>
        <w:right w:val="none" w:sz="0" w:space="0" w:color="auto"/>
      </w:divBdr>
    </w:div>
    <w:div w:id="591623034">
      <w:bodyDiv w:val="1"/>
      <w:marLeft w:val="0"/>
      <w:marRight w:val="0"/>
      <w:marTop w:val="0"/>
      <w:marBottom w:val="0"/>
      <w:divBdr>
        <w:top w:val="none" w:sz="0" w:space="0" w:color="auto"/>
        <w:left w:val="none" w:sz="0" w:space="0" w:color="auto"/>
        <w:bottom w:val="none" w:sz="0" w:space="0" w:color="auto"/>
        <w:right w:val="none" w:sz="0" w:space="0" w:color="auto"/>
      </w:divBdr>
    </w:div>
    <w:div w:id="593172455">
      <w:bodyDiv w:val="1"/>
      <w:marLeft w:val="0"/>
      <w:marRight w:val="0"/>
      <w:marTop w:val="0"/>
      <w:marBottom w:val="0"/>
      <w:divBdr>
        <w:top w:val="none" w:sz="0" w:space="0" w:color="auto"/>
        <w:left w:val="none" w:sz="0" w:space="0" w:color="auto"/>
        <w:bottom w:val="none" w:sz="0" w:space="0" w:color="auto"/>
        <w:right w:val="none" w:sz="0" w:space="0" w:color="auto"/>
      </w:divBdr>
    </w:div>
    <w:div w:id="600651905">
      <w:bodyDiv w:val="1"/>
      <w:marLeft w:val="0"/>
      <w:marRight w:val="0"/>
      <w:marTop w:val="0"/>
      <w:marBottom w:val="0"/>
      <w:divBdr>
        <w:top w:val="none" w:sz="0" w:space="0" w:color="auto"/>
        <w:left w:val="none" w:sz="0" w:space="0" w:color="auto"/>
        <w:bottom w:val="none" w:sz="0" w:space="0" w:color="auto"/>
        <w:right w:val="none" w:sz="0" w:space="0" w:color="auto"/>
      </w:divBdr>
    </w:div>
    <w:div w:id="886530748">
      <w:bodyDiv w:val="1"/>
      <w:marLeft w:val="0"/>
      <w:marRight w:val="0"/>
      <w:marTop w:val="0"/>
      <w:marBottom w:val="0"/>
      <w:divBdr>
        <w:top w:val="none" w:sz="0" w:space="0" w:color="auto"/>
        <w:left w:val="none" w:sz="0" w:space="0" w:color="auto"/>
        <w:bottom w:val="none" w:sz="0" w:space="0" w:color="auto"/>
        <w:right w:val="none" w:sz="0" w:space="0" w:color="auto"/>
      </w:divBdr>
    </w:div>
    <w:div w:id="899443727">
      <w:bodyDiv w:val="1"/>
      <w:marLeft w:val="0"/>
      <w:marRight w:val="0"/>
      <w:marTop w:val="0"/>
      <w:marBottom w:val="0"/>
      <w:divBdr>
        <w:top w:val="none" w:sz="0" w:space="0" w:color="auto"/>
        <w:left w:val="none" w:sz="0" w:space="0" w:color="auto"/>
        <w:bottom w:val="none" w:sz="0" w:space="0" w:color="auto"/>
        <w:right w:val="none" w:sz="0" w:space="0" w:color="auto"/>
      </w:divBdr>
    </w:div>
    <w:div w:id="907493078">
      <w:bodyDiv w:val="1"/>
      <w:marLeft w:val="0"/>
      <w:marRight w:val="0"/>
      <w:marTop w:val="0"/>
      <w:marBottom w:val="0"/>
      <w:divBdr>
        <w:top w:val="none" w:sz="0" w:space="0" w:color="auto"/>
        <w:left w:val="none" w:sz="0" w:space="0" w:color="auto"/>
        <w:bottom w:val="none" w:sz="0" w:space="0" w:color="auto"/>
        <w:right w:val="none" w:sz="0" w:space="0" w:color="auto"/>
      </w:divBdr>
    </w:div>
    <w:div w:id="925458888">
      <w:bodyDiv w:val="1"/>
      <w:marLeft w:val="0"/>
      <w:marRight w:val="0"/>
      <w:marTop w:val="0"/>
      <w:marBottom w:val="0"/>
      <w:divBdr>
        <w:top w:val="none" w:sz="0" w:space="0" w:color="auto"/>
        <w:left w:val="none" w:sz="0" w:space="0" w:color="auto"/>
        <w:bottom w:val="none" w:sz="0" w:space="0" w:color="auto"/>
        <w:right w:val="none" w:sz="0" w:space="0" w:color="auto"/>
      </w:divBdr>
    </w:div>
    <w:div w:id="936523676">
      <w:bodyDiv w:val="1"/>
      <w:marLeft w:val="0"/>
      <w:marRight w:val="0"/>
      <w:marTop w:val="0"/>
      <w:marBottom w:val="0"/>
      <w:divBdr>
        <w:top w:val="none" w:sz="0" w:space="0" w:color="auto"/>
        <w:left w:val="none" w:sz="0" w:space="0" w:color="auto"/>
        <w:bottom w:val="none" w:sz="0" w:space="0" w:color="auto"/>
        <w:right w:val="none" w:sz="0" w:space="0" w:color="auto"/>
      </w:divBdr>
    </w:div>
    <w:div w:id="957029949">
      <w:bodyDiv w:val="1"/>
      <w:marLeft w:val="0"/>
      <w:marRight w:val="0"/>
      <w:marTop w:val="0"/>
      <w:marBottom w:val="0"/>
      <w:divBdr>
        <w:top w:val="none" w:sz="0" w:space="0" w:color="auto"/>
        <w:left w:val="none" w:sz="0" w:space="0" w:color="auto"/>
        <w:bottom w:val="none" w:sz="0" w:space="0" w:color="auto"/>
        <w:right w:val="none" w:sz="0" w:space="0" w:color="auto"/>
      </w:divBdr>
    </w:div>
    <w:div w:id="1127236642">
      <w:bodyDiv w:val="1"/>
      <w:marLeft w:val="0"/>
      <w:marRight w:val="0"/>
      <w:marTop w:val="0"/>
      <w:marBottom w:val="0"/>
      <w:divBdr>
        <w:top w:val="none" w:sz="0" w:space="0" w:color="auto"/>
        <w:left w:val="none" w:sz="0" w:space="0" w:color="auto"/>
        <w:bottom w:val="none" w:sz="0" w:space="0" w:color="auto"/>
        <w:right w:val="none" w:sz="0" w:space="0" w:color="auto"/>
      </w:divBdr>
    </w:div>
    <w:div w:id="1236892647">
      <w:bodyDiv w:val="1"/>
      <w:marLeft w:val="0"/>
      <w:marRight w:val="0"/>
      <w:marTop w:val="0"/>
      <w:marBottom w:val="0"/>
      <w:divBdr>
        <w:top w:val="none" w:sz="0" w:space="0" w:color="auto"/>
        <w:left w:val="none" w:sz="0" w:space="0" w:color="auto"/>
        <w:bottom w:val="none" w:sz="0" w:space="0" w:color="auto"/>
        <w:right w:val="none" w:sz="0" w:space="0" w:color="auto"/>
      </w:divBdr>
    </w:div>
    <w:div w:id="1247806470">
      <w:bodyDiv w:val="1"/>
      <w:marLeft w:val="0"/>
      <w:marRight w:val="0"/>
      <w:marTop w:val="0"/>
      <w:marBottom w:val="0"/>
      <w:divBdr>
        <w:top w:val="none" w:sz="0" w:space="0" w:color="auto"/>
        <w:left w:val="none" w:sz="0" w:space="0" w:color="auto"/>
        <w:bottom w:val="none" w:sz="0" w:space="0" w:color="auto"/>
        <w:right w:val="none" w:sz="0" w:space="0" w:color="auto"/>
      </w:divBdr>
    </w:div>
    <w:div w:id="1286157157">
      <w:bodyDiv w:val="1"/>
      <w:marLeft w:val="0"/>
      <w:marRight w:val="0"/>
      <w:marTop w:val="0"/>
      <w:marBottom w:val="0"/>
      <w:divBdr>
        <w:top w:val="none" w:sz="0" w:space="0" w:color="auto"/>
        <w:left w:val="none" w:sz="0" w:space="0" w:color="auto"/>
        <w:bottom w:val="none" w:sz="0" w:space="0" w:color="auto"/>
        <w:right w:val="none" w:sz="0" w:space="0" w:color="auto"/>
      </w:divBdr>
    </w:div>
    <w:div w:id="1445034496">
      <w:bodyDiv w:val="1"/>
      <w:marLeft w:val="0"/>
      <w:marRight w:val="0"/>
      <w:marTop w:val="0"/>
      <w:marBottom w:val="0"/>
      <w:divBdr>
        <w:top w:val="none" w:sz="0" w:space="0" w:color="auto"/>
        <w:left w:val="none" w:sz="0" w:space="0" w:color="auto"/>
        <w:bottom w:val="none" w:sz="0" w:space="0" w:color="auto"/>
        <w:right w:val="none" w:sz="0" w:space="0" w:color="auto"/>
      </w:divBdr>
    </w:div>
    <w:div w:id="1489246422">
      <w:bodyDiv w:val="1"/>
      <w:marLeft w:val="0"/>
      <w:marRight w:val="0"/>
      <w:marTop w:val="0"/>
      <w:marBottom w:val="0"/>
      <w:divBdr>
        <w:top w:val="none" w:sz="0" w:space="0" w:color="auto"/>
        <w:left w:val="none" w:sz="0" w:space="0" w:color="auto"/>
        <w:bottom w:val="none" w:sz="0" w:space="0" w:color="auto"/>
        <w:right w:val="none" w:sz="0" w:space="0" w:color="auto"/>
      </w:divBdr>
    </w:div>
    <w:div w:id="1512069108">
      <w:bodyDiv w:val="1"/>
      <w:marLeft w:val="0"/>
      <w:marRight w:val="0"/>
      <w:marTop w:val="0"/>
      <w:marBottom w:val="0"/>
      <w:divBdr>
        <w:top w:val="none" w:sz="0" w:space="0" w:color="auto"/>
        <w:left w:val="none" w:sz="0" w:space="0" w:color="auto"/>
        <w:bottom w:val="none" w:sz="0" w:space="0" w:color="auto"/>
        <w:right w:val="none" w:sz="0" w:space="0" w:color="auto"/>
      </w:divBdr>
    </w:div>
    <w:div w:id="1562599270">
      <w:bodyDiv w:val="1"/>
      <w:marLeft w:val="0"/>
      <w:marRight w:val="0"/>
      <w:marTop w:val="0"/>
      <w:marBottom w:val="0"/>
      <w:divBdr>
        <w:top w:val="none" w:sz="0" w:space="0" w:color="auto"/>
        <w:left w:val="none" w:sz="0" w:space="0" w:color="auto"/>
        <w:bottom w:val="none" w:sz="0" w:space="0" w:color="auto"/>
        <w:right w:val="none" w:sz="0" w:space="0" w:color="auto"/>
      </w:divBdr>
    </w:div>
    <w:div w:id="1597054602">
      <w:bodyDiv w:val="1"/>
      <w:marLeft w:val="0"/>
      <w:marRight w:val="0"/>
      <w:marTop w:val="0"/>
      <w:marBottom w:val="0"/>
      <w:divBdr>
        <w:top w:val="none" w:sz="0" w:space="0" w:color="auto"/>
        <w:left w:val="none" w:sz="0" w:space="0" w:color="auto"/>
        <w:bottom w:val="none" w:sz="0" w:space="0" w:color="auto"/>
        <w:right w:val="none" w:sz="0" w:space="0" w:color="auto"/>
      </w:divBdr>
    </w:div>
    <w:div w:id="1644626126">
      <w:bodyDiv w:val="1"/>
      <w:marLeft w:val="0"/>
      <w:marRight w:val="0"/>
      <w:marTop w:val="0"/>
      <w:marBottom w:val="0"/>
      <w:divBdr>
        <w:top w:val="none" w:sz="0" w:space="0" w:color="auto"/>
        <w:left w:val="none" w:sz="0" w:space="0" w:color="auto"/>
        <w:bottom w:val="none" w:sz="0" w:space="0" w:color="auto"/>
        <w:right w:val="none" w:sz="0" w:space="0" w:color="auto"/>
      </w:divBdr>
    </w:div>
    <w:div w:id="1679969003">
      <w:bodyDiv w:val="1"/>
      <w:marLeft w:val="0"/>
      <w:marRight w:val="0"/>
      <w:marTop w:val="0"/>
      <w:marBottom w:val="0"/>
      <w:divBdr>
        <w:top w:val="none" w:sz="0" w:space="0" w:color="auto"/>
        <w:left w:val="none" w:sz="0" w:space="0" w:color="auto"/>
        <w:bottom w:val="none" w:sz="0" w:space="0" w:color="auto"/>
        <w:right w:val="none" w:sz="0" w:space="0" w:color="auto"/>
      </w:divBdr>
    </w:div>
    <w:div w:id="1782064275">
      <w:bodyDiv w:val="1"/>
      <w:marLeft w:val="0"/>
      <w:marRight w:val="0"/>
      <w:marTop w:val="0"/>
      <w:marBottom w:val="0"/>
      <w:divBdr>
        <w:top w:val="none" w:sz="0" w:space="0" w:color="auto"/>
        <w:left w:val="none" w:sz="0" w:space="0" w:color="auto"/>
        <w:bottom w:val="none" w:sz="0" w:space="0" w:color="auto"/>
        <w:right w:val="none" w:sz="0" w:space="0" w:color="auto"/>
      </w:divBdr>
      <w:divsChild>
        <w:div w:id="634454227">
          <w:marLeft w:val="446"/>
          <w:marRight w:val="0"/>
          <w:marTop w:val="120"/>
          <w:marBottom w:val="60"/>
          <w:divBdr>
            <w:top w:val="none" w:sz="0" w:space="0" w:color="auto"/>
            <w:left w:val="none" w:sz="0" w:space="0" w:color="auto"/>
            <w:bottom w:val="none" w:sz="0" w:space="0" w:color="auto"/>
            <w:right w:val="none" w:sz="0" w:space="0" w:color="auto"/>
          </w:divBdr>
        </w:div>
        <w:div w:id="786507784">
          <w:marLeft w:val="446"/>
          <w:marRight w:val="0"/>
          <w:marTop w:val="120"/>
          <w:marBottom w:val="60"/>
          <w:divBdr>
            <w:top w:val="none" w:sz="0" w:space="0" w:color="auto"/>
            <w:left w:val="none" w:sz="0" w:space="0" w:color="auto"/>
            <w:bottom w:val="none" w:sz="0" w:space="0" w:color="auto"/>
            <w:right w:val="none" w:sz="0" w:space="0" w:color="auto"/>
          </w:divBdr>
        </w:div>
        <w:div w:id="956066610">
          <w:marLeft w:val="446"/>
          <w:marRight w:val="0"/>
          <w:marTop w:val="120"/>
          <w:marBottom w:val="60"/>
          <w:divBdr>
            <w:top w:val="none" w:sz="0" w:space="0" w:color="auto"/>
            <w:left w:val="none" w:sz="0" w:space="0" w:color="auto"/>
            <w:bottom w:val="none" w:sz="0" w:space="0" w:color="auto"/>
            <w:right w:val="none" w:sz="0" w:space="0" w:color="auto"/>
          </w:divBdr>
        </w:div>
        <w:div w:id="1592229556">
          <w:marLeft w:val="446"/>
          <w:marRight w:val="0"/>
          <w:marTop w:val="120"/>
          <w:marBottom w:val="60"/>
          <w:divBdr>
            <w:top w:val="none" w:sz="0" w:space="0" w:color="auto"/>
            <w:left w:val="none" w:sz="0" w:space="0" w:color="auto"/>
            <w:bottom w:val="none" w:sz="0" w:space="0" w:color="auto"/>
            <w:right w:val="none" w:sz="0" w:space="0" w:color="auto"/>
          </w:divBdr>
        </w:div>
      </w:divsChild>
    </w:div>
    <w:div w:id="1822884343">
      <w:bodyDiv w:val="1"/>
      <w:marLeft w:val="0"/>
      <w:marRight w:val="0"/>
      <w:marTop w:val="0"/>
      <w:marBottom w:val="0"/>
      <w:divBdr>
        <w:top w:val="none" w:sz="0" w:space="0" w:color="auto"/>
        <w:left w:val="none" w:sz="0" w:space="0" w:color="auto"/>
        <w:bottom w:val="none" w:sz="0" w:space="0" w:color="auto"/>
        <w:right w:val="none" w:sz="0" w:space="0" w:color="auto"/>
      </w:divBdr>
    </w:div>
    <w:div w:id="1842040211">
      <w:bodyDiv w:val="1"/>
      <w:marLeft w:val="0"/>
      <w:marRight w:val="0"/>
      <w:marTop w:val="0"/>
      <w:marBottom w:val="0"/>
      <w:divBdr>
        <w:top w:val="none" w:sz="0" w:space="0" w:color="auto"/>
        <w:left w:val="none" w:sz="0" w:space="0" w:color="auto"/>
        <w:bottom w:val="none" w:sz="0" w:space="0" w:color="auto"/>
        <w:right w:val="none" w:sz="0" w:space="0" w:color="auto"/>
      </w:divBdr>
    </w:div>
    <w:div w:id="185888561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932008593">
      <w:bodyDiv w:val="1"/>
      <w:marLeft w:val="0"/>
      <w:marRight w:val="0"/>
      <w:marTop w:val="0"/>
      <w:marBottom w:val="0"/>
      <w:divBdr>
        <w:top w:val="none" w:sz="0" w:space="0" w:color="auto"/>
        <w:left w:val="none" w:sz="0" w:space="0" w:color="auto"/>
        <w:bottom w:val="none" w:sz="0" w:space="0" w:color="auto"/>
        <w:right w:val="none" w:sz="0" w:space="0" w:color="auto"/>
      </w:divBdr>
    </w:div>
    <w:div w:id="2051877950">
      <w:bodyDiv w:val="1"/>
      <w:marLeft w:val="0"/>
      <w:marRight w:val="0"/>
      <w:marTop w:val="0"/>
      <w:marBottom w:val="0"/>
      <w:divBdr>
        <w:top w:val="none" w:sz="0" w:space="0" w:color="auto"/>
        <w:left w:val="none" w:sz="0" w:space="0" w:color="auto"/>
        <w:bottom w:val="none" w:sz="0" w:space="0" w:color="auto"/>
        <w:right w:val="none" w:sz="0" w:space="0" w:color="auto"/>
      </w:divBdr>
    </w:div>
    <w:div w:id="2078896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afdb.org/fr/documents/indice-de-legalite-des-genres-en-afrique-2019-rapport-methodologique-et-statistique"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hyperlink" Target="http://www.unwomen.org/en/about&#8208;us/evaluation/decentralized&#8208;evaluation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yperlink" Target="https://www.international-alert.org/wp-content/uploads/2021/08/Sahel-Violent-Extremism-Gender-FR-20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hyperlink" Target="https://data.ipu.org/fr/womenranking?month=1&amp;year=2019" TargetMode="External"/><Relationship Id="rId37" Type="http://schemas.openxmlformats.org/officeDocument/2006/relationships/image" Target="media/image11.png"/><Relationship Id="rId36" Type="http://schemas.openxmlformats.org/officeDocument/2006/relationships/image" Target="media/image10.png"/><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hyperlink" Target="https://www.icrc.org/fr/document/mali-niger-changement-climatique-et-conflits-forment-un-cocktail-explosif-au-sahel-0"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hdr.undp.org/sites/default/files/2020_statistical_annex_table_5.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yperlink" Target="https://reliefweb.int/sites/reliefweb.int/files/resources/interconnexion_mali-niger_31_decembre_2018.pdf" TargetMode="External"/><Relationship Id="rId30" Type="http://schemas.openxmlformats.org/officeDocument/2006/relationships/hyperlink" Target="https://minusma.unmissions.org/L%E2%80%99impact%20de%20la%20crise%20sur%20les%20Femmes%20Maliennes" TargetMode="External"/><Relationship Id="rId35"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80/08874417.2013.11645667" TargetMode="External"/><Relationship Id="rId3" Type="http://schemas.openxmlformats.org/officeDocument/2006/relationships/hyperlink" Target="http://hdr.undp.org/sites/default/files/2020_statistical_annex_table_5.xlsx" TargetMode="External"/><Relationship Id="rId7" Type="http://schemas.openxmlformats.org/officeDocument/2006/relationships/hyperlink" Target="https://www.icrc.org/fr/document/mali-niger-changement-climatique-et-conflits-forment-un-cocktail-explosif-au-sahel-0" TargetMode="External"/><Relationship Id="rId2" Type="http://schemas.openxmlformats.org/officeDocument/2006/relationships/hyperlink" Target="https://reliefweb.int/sites/reliefweb.int/files/resources/interconnexion_mali-niger_31_decembre_2018.pdf" TargetMode="External"/><Relationship Id="rId1" Type="http://schemas.openxmlformats.org/officeDocument/2006/relationships/hyperlink" Target="http://www.uemoa.int/sites/default/files/bibliotheque/projet_commucationresultats_ehcvm_juin2020_13072020_obs.pdf" TargetMode="External"/><Relationship Id="rId6" Type="http://schemas.openxmlformats.org/officeDocument/2006/relationships/hyperlink" Target="https://www.international-alert.org/wp-content/uploads/2021/08/Sahel-Violent-Extremism-Gender-FR-2020.pdf" TargetMode="External"/><Relationship Id="rId5" Type="http://schemas.openxmlformats.org/officeDocument/2006/relationships/hyperlink" Target="https://minusma.unmissions.org/L%E2%80%99impact%20de%20la%20crise%20sur%20les%20Femmes%20Maliennes" TargetMode="External"/><Relationship Id="rId10" Type="http://schemas.openxmlformats.org/officeDocument/2006/relationships/hyperlink" Target="http://www.jstor.org/stable/2778934" TargetMode="External"/><Relationship Id="rId4" Type="http://schemas.openxmlformats.org/officeDocument/2006/relationships/hyperlink" Target="https://data.ipu.org/fr/women" TargetMode="External"/><Relationship Id="rId9" Type="http://schemas.openxmlformats.org/officeDocument/2006/relationships/hyperlink" Target="https://www.ilo.org/wcmsp5/groups/public/---ed_emp/documents/publication/wcms_77888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sara.bottin@un.org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MPTF_00006_00622</ProjectId>
    <FundCode xmlns="f9695bc1-6109-4dcd-a27a-f8a0370b00e2">MPTF_00006</FundCode>
    <Comments xmlns="f9695bc1-6109-4dcd-a27a-f8a0370b00e2">Evaluation report</Comments>
    <Active xmlns="f9695bc1-6109-4dcd-a27a-f8a0370b00e2">Yes</Active>
    <DocumentDate xmlns="b1528a4b-5ccb-40f7-a09e-43427183cd95">2023-11-15T08:00:00+00:00</DocumentDate>
    <Featured xmlns="b1528a4b-5ccb-40f7-a09e-43427183cd95">1</Featured>
    <FormTypeCode xmlns="b1528a4b-5ccb-40f7-a09e-43427183cd9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248EFD17D1B2C940A0205A853DCFF5BE" ma:contentTypeVersion="13" ma:contentTypeDescription="Crée un document." ma:contentTypeScope="" ma:versionID="cf99c3f6df536166fb319dc00a263f61">
  <xsd:schema xmlns:xsd="http://www.w3.org/2001/XMLSchema" xmlns:xs="http://www.w3.org/2001/XMLSchema" xmlns:p="http://schemas.microsoft.com/office/2006/metadata/properties" xmlns:ns2="1397b5fe-6d08-4547-93d5-cd383ce49b7c" xmlns:ns3="0963286d-53f8-40d2-b059-4a7ab95b224f" targetNamespace="http://schemas.microsoft.com/office/2006/metadata/properties" ma:root="true" ma:fieldsID="6d8b369844a8b7eed23d793758ef649b" ns2:_="" ns3:_="">
    <xsd:import namespace="1397b5fe-6d08-4547-93d5-cd383ce49b7c"/>
    <xsd:import namespace="0963286d-53f8-40d2-b059-4a7ab95b22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7b5fe-6d08-4547-93d5-cd383ce49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63286d-53f8-40d2-b059-4a7ab95b224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FC3E83-C523-4144-B80A-06DD469DD1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0F0FB6-B960-43A0-B4BC-CC05801EE613}">
  <ds:schemaRefs>
    <ds:schemaRef ds:uri="http://schemas.openxmlformats.org/officeDocument/2006/bibliography"/>
  </ds:schemaRefs>
</ds:datastoreItem>
</file>

<file path=customXml/itemProps3.xml><?xml version="1.0" encoding="utf-8"?>
<ds:datastoreItem xmlns:ds="http://schemas.openxmlformats.org/officeDocument/2006/customXml" ds:itemID="{92628840-9302-40A0-BECC-9EDA63A6E6A9}">
  <ds:schemaRefs>
    <ds:schemaRef ds:uri="http://schemas.microsoft.com/sharepoint/v3/contenttype/forms"/>
  </ds:schemaRefs>
</ds:datastoreItem>
</file>

<file path=customXml/itemProps4.xml><?xml version="1.0" encoding="utf-8"?>
<ds:datastoreItem xmlns:ds="http://schemas.openxmlformats.org/officeDocument/2006/customXml" ds:itemID="{EB6FB1AA-A2A1-475C-A873-34DE7DF7411C}"/>
</file>

<file path=customXml/itemProps5.xml><?xml version="1.0" encoding="utf-8"?>
<ds:datastoreItem xmlns:ds="http://schemas.openxmlformats.org/officeDocument/2006/customXml" ds:itemID="{DA5A6492-F997-41D3-B29E-B12712DBA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7b5fe-6d08-4547-93d5-cd383ce49b7c"/>
    <ds:schemaRef ds:uri="0963286d-53f8-40d2-b059-4a7ab95b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70521</Words>
  <Characters>387869</Characters>
  <Application>Microsoft Office Word</Application>
  <DocSecurity>0</DocSecurity>
  <Lines>3232</Lines>
  <Paragraphs>914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rapport-evaluation_finale_projet_transfrontalier_vf_003.docx</dc:title>
  <dc:subject/>
  <dc:creator>Utilisateur Windows</dc:creator>
  <cp:keywords/>
  <dc:description/>
  <cp:lastModifiedBy>Jean-claude Cigwerhe</cp:lastModifiedBy>
  <cp:revision>2</cp:revision>
  <cp:lastPrinted>2021-06-04T12:16:00Z</cp:lastPrinted>
  <dcterms:created xsi:type="dcterms:W3CDTF">2022-05-24T13:53:00Z</dcterms:created>
  <dcterms:modified xsi:type="dcterms:W3CDTF">2022-05-24T13:53:00Z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