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742407" w:rsidRDefault="003758E5" w:rsidP="00E36380">
      <w:pPr>
        <w:jc w:val="center"/>
        <w:rPr>
          <w:b/>
          <w:lang w:val="fr-FR"/>
        </w:rPr>
      </w:pPr>
      <w:r w:rsidRPr="00742407">
        <w:rPr>
          <w:b/>
          <w:noProof/>
          <w:sz w:val="22"/>
          <w:szCs w:val="22"/>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742407">
        <w:rPr>
          <w:b/>
          <w:lang w:val="fr-FR"/>
        </w:rPr>
        <w:t>RAPPORT DE PROGRES DE PROJET PBF</w:t>
      </w:r>
    </w:p>
    <w:p w14:paraId="1DEE58D7" w14:textId="1B890407" w:rsidR="0059090C" w:rsidRPr="00742407" w:rsidRDefault="0059090C" w:rsidP="0059090C">
      <w:pPr>
        <w:numPr>
          <w:ilvl w:val="12"/>
          <w:numId w:val="0"/>
        </w:numPr>
        <w:tabs>
          <w:tab w:val="left" w:pos="0"/>
        </w:tabs>
        <w:suppressAutoHyphens/>
        <w:jc w:val="center"/>
        <w:rPr>
          <w:bCs/>
          <w:i/>
          <w:iCs/>
          <w:lang w:val="fr-FR"/>
        </w:rPr>
      </w:pPr>
      <w:r w:rsidRPr="00742407">
        <w:rPr>
          <w:bCs/>
          <w:i/>
          <w:iCs/>
          <w:lang w:val="fr-FR"/>
        </w:rPr>
        <w:t>Mise à jour : octobre 2022</w:t>
      </w:r>
    </w:p>
    <w:p w14:paraId="726C4E64" w14:textId="77777777" w:rsidR="0059090C" w:rsidRPr="00742407" w:rsidRDefault="0059090C" w:rsidP="0059090C">
      <w:pPr>
        <w:numPr>
          <w:ilvl w:val="12"/>
          <w:numId w:val="0"/>
        </w:numPr>
        <w:tabs>
          <w:tab w:val="left" w:pos="0"/>
        </w:tabs>
        <w:suppressAutoHyphens/>
        <w:jc w:val="center"/>
        <w:rPr>
          <w:bCs/>
          <w:i/>
          <w:iCs/>
          <w:caps/>
          <w:lang w:val="fr-FR"/>
        </w:rPr>
      </w:pPr>
    </w:p>
    <w:p w14:paraId="7FF6AF87" w14:textId="7BDFB17C" w:rsidR="000F43A8" w:rsidRPr="00742407" w:rsidRDefault="002A5B56" w:rsidP="000F43A8">
      <w:pPr>
        <w:jc w:val="center"/>
        <w:rPr>
          <w:b/>
          <w:bCs/>
          <w:caps/>
          <w:lang w:val="fr-FR"/>
        </w:rPr>
      </w:pPr>
      <w:r w:rsidRPr="00742407">
        <w:rPr>
          <w:b/>
          <w:bCs/>
          <w:caps/>
          <w:lang w:val="fr-FR"/>
        </w:rPr>
        <w:t>PAYS :</w:t>
      </w:r>
      <w:r w:rsidR="000F43A8" w:rsidRPr="00742407">
        <w:rPr>
          <w:bCs/>
          <w:iCs/>
          <w:snapToGrid w:val="0"/>
          <w:szCs w:val="28"/>
          <w:lang w:val="fr-FR"/>
        </w:rPr>
        <w:t xml:space="preserve"> </w:t>
      </w:r>
      <w:r w:rsidR="007B5B14" w:rsidRPr="00742407">
        <w:rPr>
          <w:bCs/>
          <w:iCs/>
          <w:snapToGrid w:val="0"/>
          <w:szCs w:val="28"/>
        </w:rPr>
        <w:fldChar w:fldCharType="begin">
          <w:ffData>
            <w:name w:val=""/>
            <w:enabled/>
            <w:calcOnExit w:val="0"/>
            <w:textInput>
              <w:format w:val="Première majuscule"/>
            </w:textInput>
          </w:ffData>
        </w:fldChar>
      </w:r>
      <w:r w:rsidR="007B5B14" w:rsidRPr="00742407">
        <w:rPr>
          <w:bCs/>
          <w:iCs/>
          <w:snapToGrid w:val="0"/>
          <w:szCs w:val="28"/>
          <w:lang w:val="fr-FR"/>
        </w:rPr>
        <w:instrText xml:space="preserve"> FORMTEXT </w:instrText>
      </w:r>
      <w:r w:rsidR="007B5B14" w:rsidRPr="00742407">
        <w:rPr>
          <w:bCs/>
          <w:iCs/>
          <w:snapToGrid w:val="0"/>
          <w:szCs w:val="28"/>
        </w:rPr>
      </w:r>
      <w:r w:rsidR="007B5B14" w:rsidRPr="00742407">
        <w:rPr>
          <w:bCs/>
          <w:iCs/>
          <w:snapToGrid w:val="0"/>
          <w:szCs w:val="28"/>
        </w:rPr>
        <w:fldChar w:fldCharType="separate"/>
      </w:r>
      <w:r w:rsidR="00892A25" w:rsidRPr="00B83736">
        <w:rPr>
          <w:bCs/>
          <w:iCs/>
          <w:noProof/>
          <w:snapToGrid w:val="0"/>
          <w:szCs w:val="28"/>
          <w:lang w:val="fr-FR"/>
        </w:rPr>
        <w:t xml:space="preserve"> RÉPUBLIQUE CENTRAFRICAINE</w:t>
      </w:r>
      <w:r w:rsidR="007B5B14" w:rsidRPr="00742407">
        <w:rPr>
          <w:bCs/>
          <w:iCs/>
          <w:noProof/>
          <w:snapToGrid w:val="0"/>
          <w:szCs w:val="28"/>
        </w:rPr>
        <w:t> </w:t>
      </w:r>
      <w:r w:rsidR="007B5B14" w:rsidRPr="00742407">
        <w:rPr>
          <w:bCs/>
          <w:iCs/>
          <w:noProof/>
          <w:snapToGrid w:val="0"/>
          <w:szCs w:val="28"/>
        </w:rPr>
        <w:t> </w:t>
      </w:r>
      <w:r w:rsidR="007B5B14" w:rsidRPr="00742407">
        <w:rPr>
          <w:bCs/>
          <w:iCs/>
          <w:noProof/>
          <w:snapToGrid w:val="0"/>
          <w:szCs w:val="28"/>
        </w:rPr>
        <w:t> </w:t>
      </w:r>
      <w:r w:rsidR="007B5B14" w:rsidRPr="00742407">
        <w:rPr>
          <w:bCs/>
          <w:iCs/>
          <w:snapToGrid w:val="0"/>
          <w:szCs w:val="28"/>
        </w:rPr>
        <w:fldChar w:fldCharType="end"/>
      </w:r>
    </w:p>
    <w:p w14:paraId="35B8BCCA" w14:textId="22A68A88" w:rsidR="000F43A8" w:rsidRPr="00742407" w:rsidRDefault="000F43A8" w:rsidP="00E36380">
      <w:pPr>
        <w:rPr>
          <w:b/>
          <w:bCs/>
          <w:caps/>
          <w:sz w:val="22"/>
          <w:szCs w:val="22"/>
          <w:lang w:val="fr-FR"/>
        </w:rPr>
      </w:pPr>
      <w:r w:rsidRPr="00742407">
        <w:rPr>
          <w:b/>
          <w:bCs/>
          <w:caps/>
          <w:sz w:val="22"/>
          <w:szCs w:val="22"/>
          <w:lang w:val="fr-FR"/>
        </w:rPr>
        <w:t xml:space="preserve">TYPE DE </w:t>
      </w:r>
      <w:r w:rsidR="002A5B56" w:rsidRPr="00742407">
        <w:rPr>
          <w:b/>
          <w:bCs/>
          <w:caps/>
          <w:sz w:val="22"/>
          <w:szCs w:val="22"/>
          <w:lang w:val="fr-FR"/>
        </w:rPr>
        <w:t>RAPPORT :</w:t>
      </w:r>
      <w:r w:rsidRPr="00742407">
        <w:rPr>
          <w:b/>
          <w:bCs/>
          <w:caps/>
          <w:sz w:val="22"/>
          <w:szCs w:val="22"/>
          <w:lang w:val="fr-FR"/>
        </w:rPr>
        <w:t xml:space="preserve"> SEMESTRIEL, annuEl OU</w:t>
      </w:r>
      <w:r w:rsidR="00E36380" w:rsidRPr="00742407">
        <w:rPr>
          <w:b/>
          <w:bCs/>
          <w:caps/>
          <w:sz w:val="22"/>
          <w:szCs w:val="22"/>
          <w:lang w:val="fr-FR"/>
        </w:rPr>
        <w:t xml:space="preserve"> </w:t>
      </w:r>
      <w:r w:rsidRPr="00742407">
        <w:rPr>
          <w:b/>
          <w:bCs/>
          <w:caps/>
          <w:sz w:val="22"/>
          <w:szCs w:val="22"/>
          <w:lang w:val="fr-FR"/>
        </w:rPr>
        <w:t>FINAL</w:t>
      </w:r>
      <w:r w:rsidR="00892A25" w:rsidRPr="00742407">
        <w:rPr>
          <w:b/>
          <w:bCs/>
          <w:caps/>
          <w:sz w:val="22"/>
          <w:szCs w:val="22"/>
          <w:lang w:val="fr-FR"/>
        </w:rPr>
        <w:t> : Final</w:t>
      </w:r>
    </w:p>
    <w:p w14:paraId="18BDAF77" w14:textId="2A8DF9AA" w:rsidR="0059090C" w:rsidRPr="00742407" w:rsidRDefault="00500587" w:rsidP="00E36380">
      <w:pPr>
        <w:jc w:val="center"/>
        <w:rPr>
          <w:bCs/>
          <w:iCs/>
          <w:snapToGrid w:val="0"/>
          <w:szCs w:val="28"/>
          <w:lang w:val="fr-FR"/>
        </w:rPr>
      </w:pPr>
      <w:r w:rsidRPr="00742407">
        <w:rPr>
          <w:b/>
          <w:bCs/>
          <w:caps/>
          <w:lang w:val="fr-FR"/>
        </w:rPr>
        <w:t>ANNEE</w:t>
      </w:r>
      <w:r w:rsidR="000F43A8" w:rsidRPr="00742407">
        <w:rPr>
          <w:b/>
          <w:bCs/>
          <w:caps/>
          <w:lang w:val="fr-FR"/>
        </w:rPr>
        <w:t xml:space="preserve"> DE </w:t>
      </w:r>
      <w:r w:rsidR="002A5B56" w:rsidRPr="00742407">
        <w:rPr>
          <w:b/>
          <w:bCs/>
          <w:caps/>
          <w:lang w:val="fr-FR"/>
        </w:rPr>
        <w:t>RAPPORT :</w:t>
      </w:r>
      <w:r w:rsidR="000F43A8" w:rsidRPr="00742407">
        <w:rPr>
          <w:b/>
          <w:bCs/>
          <w:caps/>
          <w:lang w:val="fr-FR"/>
        </w:rPr>
        <w:t xml:space="preserve"> </w:t>
      </w:r>
      <w:r w:rsidR="000F43A8" w:rsidRPr="00742407">
        <w:rPr>
          <w:bCs/>
          <w:iCs/>
          <w:snapToGrid w:val="0"/>
          <w:szCs w:val="28"/>
        </w:rPr>
        <w:fldChar w:fldCharType="begin">
          <w:ffData>
            <w:name w:val="Text11"/>
            <w:enabled/>
            <w:calcOnExit w:val="0"/>
            <w:textInput>
              <w:format w:val="Première majuscule"/>
            </w:textInput>
          </w:ffData>
        </w:fldChar>
      </w:r>
      <w:r w:rsidR="000F43A8" w:rsidRPr="00742407">
        <w:rPr>
          <w:bCs/>
          <w:iCs/>
          <w:snapToGrid w:val="0"/>
          <w:szCs w:val="28"/>
          <w:lang w:val="fr-FR"/>
        </w:rPr>
        <w:instrText xml:space="preserve"> FORMTEXT </w:instrText>
      </w:r>
      <w:r w:rsidR="000F43A8" w:rsidRPr="00742407">
        <w:rPr>
          <w:bCs/>
          <w:iCs/>
          <w:snapToGrid w:val="0"/>
          <w:szCs w:val="28"/>
        </w:rPr>
      </w:r>
      <w:r w:rsidR="000F43A8" w:rsidRPr="00742407">
        <w:rPr>
          <w:bCs/>
          <w:iCs/>
          <w:snapToGrid w:val="0"/>
          <w:szCs w:val="28"/>
        </w:rPr>
        <w:fldChar w:fldCharType="separate"/>
      </w:r>
      <w:r w:rsidR="00892A25" w:rsidRPr="00B83736">
        <w:rPr>
          <w:bCs/>
          <w:iCs/>
          <w:snapToGrid w:val="0"/>
          <w:szCs w:val="28"/>
          <w:lang w:val="fr-FR"/>
        </w:rPr>
        <w:t>2023</w:t>
      </w:r>
      <w:r w:rsidR="000F43A8" w:rsidRPr="00742407">
        <w:rPr>
          <w:bCs/>
          <w:iCs/>
          <w:snapToGrid w:val="0"/>
          <w:szCs w:val="28"/>
        </w:rPr>
        <w:fldChar w:fldCharType="end"/>
      </w:r>
    </w:p>
    <w:p w14:paraId="086DBF74" w14:textId="77777777" w:rsidR="0059090C" w:rsidRPr="00742407" w:rsidRDefault="0059090C" w:rsidP="000F43A8">
      <w:pPr>
        <w:jc w:val="center"/>
        <w:rPr>
          <w:bCs/>
          <w:iCs/>
          <w:snapToGrid w:val="0"/>
          <w:szCs w:val="28"/>
          <w:lang w:val="fr-FR"/>
        </w:rPr>
      </w:pPr>
    </w:p>
    <w:p w14:paraId="32235E8F" w14:textId="376DFD8B" w:rsidR="000F43A8" w:rsidRPr="00742407" w:rsidRDefault="00C7756D" w:rsidP="000F43A8">
      <w:pPr>
        <w:jc w:val="center"/>
        <w:rPr>
          <w:b/>
          <w:bCs/>
          <w:caps/>
          <w:lang w:val="fr-FR"/>
        </w:rPr>
      </w:pPr>
      <w:r w:rsidRPr="00742407">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2F0D" w14:paraId="26E9F2DE" w14:textId="77777777" w:rsidTr="6595E2F0">
        <w:trPr>
          <w:trHeight w:val="422"/>
        </w:trPr>
        <w:tc>
          <w:tcPr>
            <w:tcW w:w="10080" w:type="dxa"/>
            <w:gridSpan w:val="2"/>
          </w:tcPr>
          <w:p w14:paraId="11EF4F5F" w14:textId="460BEEC9" w:rsidR="000F43A8" w:rsidRDefault="000F43A8" w:rsidP="000F43A8">
            <w:pPr>
              <w:pStyle w:val="Textedebulles"/>
              <w:numPr>
                <w:ilvl w:val="12"/>
                <w:numId w:val="0"/>
              </w:numPr>
              <w:tabs>
                <w:tab w:val="left" w:pos="-720"/>
                <w:tab w:val="left" w:pos="4500"/>
              </w:tabs>
              <w:suppressAutoHyphens/>
              <w:rPr>
                <w:rFonts w:ascii="Times New Roman" w:hAnsi="Times New Roman" w:cs="Times New Roman"/>
                <w:b/>
                <w:iCs/>
                <w:snapToGrid w:val="0"/>
                <w:sz w:val="20"/>
                <w:szCs w:val="20"/>
                <w:lang w:val="fr-FR"/>
              </w:rPr>
            </w:pPr>
            <w:r w:rsidRPr="00742407">
              <w:rPr>
                <w:rFonts w:ascii="Times New Roman" w:hAnsi="Times New Roman" w:cs="Times New Roman"/>
                <w:b/>
                <w:sz w:val="24"/>
                <w:szCs w:val="24"/>
                <w:lang w:val="fr-FR"/>
              </w:rPr>
              <w:t xml:space="preserve">Titre du </w:t>
            </w:r>
            <w:r w:rsidR="002A5B56" w:rsidRPr="00742407">
              <w:rPr>
                <w:rFonts w:ascii="Times New Roman" w:hAnsi="Times New Roman" w:cs="Times New Roman"/>
                <w:b/>
                <w:sz w:val="24"/>
                <w:szCs w:val="24"/>
                <w:lang w:val="fr-FR"/>
              </w:rPr>
              <w:t>projet :</w:t>
            </w:r>
            <w:r w:rsidRPr="00742407">
              <w:rPr>
                <w:rFonts w:ascii="Times New Roman" w:hAnsi="Times New Roman" w:cs="Times New Roman"/>
                <w:b/>
                <w:sz w:val="24"/>
                <w:szCs w:val="24"/>
                <w:lang w:val="fr-FR"/>
              </w:rPr>
              <w:t xml:space="preserve"> </w:t>
            </w:r>
            <w:r w:rsidR="00872F0D" w:rsidRPr="002554BF">
              <w:rPr>
                <w:rFonts w:ascii="Times New Roman" w:hAnsi="Times New Roman" w:cs="Times New Roman"/>
                <w:b/>
                <w:iCs/>
                <w:snapToGrid w:val="0"/>
                <w:sz w:val="20"/>
                <w:szCs w:val="20"/>
                <w:lang w:val="fr-FR"/>
              </w:rPr>
              <w:t>PROJET D’APPUI AUX VICTIMES ET AUX POPULATIONS CENTRAFRICAINES POUR ACCEDER A LA JUSTICE ET A LA VERITE</w:t>
            </w:r>
          </w:p>
          <w:p w14:paraId="52D463FE" w14:textId="77777777" w:rsidR="002554BF" w:rsidRPr="002554BF" w:rsidRDefault="002554BF" w:rsidP="000F43A8">
            <w:pPr>
              <w:pStyle w:val="Textedebulles"/>
              <w:numPr>
                <w:ilvl w:val="12"/>
                <w:numId w:val="0"/>
              </w:numPr>
              <w:tabs>
                <w:tab w:val="left" w:pos="-720"/>
                <w:tab w:val="left" w:pos="4500"/>
              </w:tabs>
              <w:suppressAutoHyphens/>
              <w:rPr>
                <w:rFonts w:ascii="Times New Roman" w:hAnsi="Times New Roman" w:cs="Times New Roman"/>
                <w:b/>
                <w:sz w:val="12"/>
                <w:szCs w:val="12"/>
                <w:lang w:val="fr-FR"/>
              </w:rPr>
            </w:pPr>
          </w:p>
          <w:p w14:paraId="24C4A490" w14:textId="4EECBD2E" w:rsidR="00793DE6" w:rsidRPr="007530A1" w:rsidRDefault="000F43A8" w:rsidP="000F43A8">
            <w:pPr>
              <w:rPr>
                <w:b/>
                <w:lang w:val="en-US"/>
              </w:rPr>
            </w:pPr>
            <w:proofErr w:type="spellStart"/>
            <w:r w:rsidRPr="007530A1">
              <w:rPr>
                <w:b/>
                <w:lang w:val="en-US"/>
              </w:rPr>
              <w:t>Numéro</w:t>
            </w:r>
            <w:proofErr w:type="spellEnd"/>
            <w:r w:rsidRPr="007530A1">
              <w:rPr>
                <w:b/>
                <w:lang w:val="en-US"/>
              </w:rPr>
              <w:t xml:space="preserve"> </w:t>
            </w:r>
            <w:proofErr w:type="spellStart"/>
            <w:r w:rsidRPr="007530A1">
              <w:rPr>
                <w:b/>
                <w:lang w:val="en-US"/>
              </w:rPr>
              <w:t>Projet</w:t>
            </w:r>
            <w:proofErr w:type="spellEnd"/>
            <w:r w:rsidRPr="007530A1">
              <w:rPr>
                <w:b/>
                <w:lang w:val="en-US"/>
              </w:rPr>
              <w:t xml:space="preserve"> / MPTF </w:t>
            </w:r>
            <w:r w:rsidR="00AF1DA3" w:rsidRPr="007530A1">
              <w:rPr>
                <w:b/>
                <w:lang w:val="en-US"/>
              </w:rPr>
              <w:t>Gateway:</w:t>
            </w:r>
            <w:r w:rsidR="00A43B9C" w:rsidRPr="00742407">
              <w:rPr>
                <w:b/>
              </w:rPr>
              <w:fldChar w:fldCharType="begin">
                <w:ffData>
                  <w:name w:val="Text39"/>
                  <w:enabled/>
                  <w:calcOnExit w:val="0"/>
                  <w:textInput/>
                </w:ffData>
              </w:fldChar>
            </w:r>
            <w:bookmarkStart w:id="0" w:name="Text39"/>
            <w:r w:rsidR="00A43B9C" w:rsidRPr="007530A1">
              <w:rPr>
                <w:b/>
                <w:lang w:val="en-US"/>
              </w:rPr>
              <w:instrText xml:space="preserve"> FORMTEXT </w:instrText>
            </w:r>
            <w:r w:rsidR="00A43B9C" w:rsidRPr="00742407">
              <w:rPr>
                <w:b/>
              </w:rPr>
            </w:r>
            <w:r w:rsidR="00A43B9C" w:rsidRPr="00742407">
              <w:rPr>
                <w:b/>
              </w:rPr>
              <w:fldChar w:fldCharType="separate"/>
            </w:r>
            <w:r w:rsidR="00A43B9C" w:rsidRPr="00742407">
              <w:rPr>
                <w:b/>
                <w:noProof/>
              </w:rPr>
              <w:t> </w:t>
            </w:r>
            <w:r w:rsidR="00892A25" w:rsidRPr="007530A1">
              <w:rPr>
                <w:b/>
                <w:lang w:val="en-US"/>
              </w:rPr>
              <w:t xml:space="preserve"> PBF-CAF-A9/00116887</w:t>
            </w:r>
            <w:r w:rsidR="00A43B9C" w:rsidRPr="00742407">
              <w:rPr>
                <w:b/>
                <w:noProof/>
              </w:rPr>
              <w:t> </w:t>
            </w:r>
            <w:r w:rsidR="00A43B9C" w:rsidRPr="00742407">
              <w:rPr>
                <w:b/>
                <w:noProof/>
              </w:rPr>
              <w:t> </w:t>
            </w:r>
            <w:r w:rsidR="00A43B9C" w:rsidRPr="00742407">
              <w:rPr>
                <w:b/>
                <w:noProof/>
              </w:rPr>
              <w:t> </w:t>
            </w:r>
            <w:r w:rsidR="00A43B9C" w:rsidRPr="00742407">
              <w:rPr>
                <w:b/>
                <w:noProof/>
              </w:rPr>
              <w:t> </w:t>
            </w:r>
            <w:r w:rsidR="00A43B9C" w:rsidRPr="00742407">
              <w:rPr>
                <w:b/>
              </w:rPr>
              <w:fldChar w:fldCharType="end"/>
            </w:r>
            <w:bookmarkEnd w:id="0"/>
          </w:p>
        </w:tc>
      </w:tr>
      <w:tr w:rsidR="00A43B9C" w:rsidRPr="00872F0D" w14:paraId="27B16979" w14:textId="77777777" w:rsidTr="6595E2F0">
        <w:trPr>
          <w:trHeight w:val="422"/>
        </w:trPr>
        <w:tc>
          <w:tcPr>
            <w:tcW w:w="4163" w:type="dxa"/>
          </w:tcPr>
          <w:p w14:paraId="7816FE38" w14:textId="35EB3848" w:rsidR="000F43A8" w:rsidRPr="00742407"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742407">
              <w:rPr>
                <w:rFonts w:ascii="Times New Roman" w:hAnsi="Times New Roman" w:cs="Times New Roman"/>
                <w:b/>
                <w:sz w:val="24"/>
                <w:szCs w:val="24"/>
                <w:lang w:val="fr-FR"/>
              </w:rPr>
              <w:t xml:space="preserve">Si le financement passe par un Fonds Fiduciaire (“Trust </w:t>
            </w:r>
            <w:proofErr w:type="spellStart"/>
            <w:r w:rsidRPr="00742407">
              <w:rPr>
                <w:rFonts w:ascii="Times New Roman" w:hAnsi="Times New Roman" w:cs="Times New Roman"/>
                <w:b/>
                <w:sz w:val="24"/>
                <w:szCs w:val="24"/>
                <w:lang w:val="fr-FR"/>
              </w:rPr>
              <w:t>fund</w:t>
            </w:r>
            <w:proofErr w:type="spellEnd"/>
            <w:r w:rsidRPr="00742407">
              <w:rPr>
                <w:rFonts w:ascii="Times New Roman" w:hAnsi="Times New Roman" w:cs="Times New Roman"/>
                <w:b/>
                <w:sz w:val="24"/>
                <w:szCs w:val="24"/>
                <w:lang w:val="fr-FR"/>
              </w:rPr>
              <w:t>”</w:t>
            </w:r>
            <w:r w:rsidR="002A5B56" w:rsidRPr="00742407">
              <w:rPr>
                <w:rFonts w:ascii="Times New Roman" w:hAnsi="Times New Roman" w:cs="Times New Roman"/>
                <w:b/>
                <w:sz w:val="24"/>
                <w:szCs w:val="24"/>
                <w:lang w:val="fr-FR"/>
              </w:rPr>
              <w:t>) :</w:t>
            </w:r>
            <w:r w:rsidRPr="00742407">
              <w:rPr>
                <w:rFonts w:ascii="Times New Roman" w:hAnsi="Times New Roman" w:cs="Times New Roman"/>
                <w:b/>
                <w:sz w:val="24"/>
                <w:szCs w:val="24"/>
                <w:lang w:val="fr-FR"/>
              </w:rPr>
              <w:t xml:space="preserve"> </w:t>
            </w:r>
          </w:p>
          <w:p w14:paraId="2523A6CD" w14:textId="77777777" w:rsidR="000F43A8" w:rsidRPr="00742407" w:rsidRDefault="000F43A8" w:rsidP="000F43A8">
            <w:pPr>
              <w:tabs>
                <w:tab w:val="left" w:pos="0"/>
              </w:tabs>
              <w:suppressAutoHyphens/>
              <w:rPr>
                <w:b/>
                <w:spacing w:val="-3"/>
                <w:lang w:val="fr-FR"/>
              </w:rPr>
            </w:pPr>
            <w:r w:rsidRPr="00742407">
              <w:fldChar w:fldCharType="begin">
                <w:ffData>
                  <w:name w:val="Check1"/>
                  <w:enabled/>
                  <w:calcOnExit w:val="0"/>
                  <w:checkBox>
                    <w:sizeAuto/>
                    <w:default w:val="0"/>
                  </w:checkBox>
                </w:ffData>
              </w:fldChar>
            </w:r>
            <w:r w:rsidRPr="00742407">
              <w:rPr>
                <w:lang w:val="fr-FR"/>
              </w:rPr>
              <w:instrText xml:space="preserve"> FORMCHECKBOX </w:instrText>
            </w:r>
            <w:r w:rsidR="00000000">
              <w:fldChar w:fldCharType="separate"/>
            </w:r>
            <w:r w:rsidRPr="00742407">
              <w:fldChar w:fldCharType="end"/>
            </w:r>
            <w:r w:rsidRPr="00742407">
              <w:rPr>
                <w:lang w:val="fr-FR"/>
              </w:rPr>
              <w:tab/>
            </w:r>
            <w:r w:rsidRPr="00742407">
              <w:rPr>
                <w:lang w:val="fr-FR"/>
              </w:rPr>
              <w:tab/>
            </w:r>
            <w:r w:rsidRPr="00742407">
              <w:rPr>
                <w:spacing w:val="-3"/>
                <w:lang w:val="fr-FR"/>
              </w:rPr>
              <w:t>Fonds fiduciaire pays</w:t>
            </w:r>
            <w:r w:rsidRPr="00742407">
              <w:rPr>
                <w:b/>
                <w:spacing w:val="-3"/>
                <w:lang w:val="fr-FR"/>
              </w:rPr>
              <w:t xml:space="preserve"> </w:t>
            </w:r>
          </w:p>
          <w:p w14:paraId="63C2D512" w14:textId="77777777" w:rsidR="000F43A8" w:rsidRPr="00742407" w:rsidRDefault="000F43A8" w:rsidP="000F43A8">
            <w:pPr>
              <w:tabs>
                <w:tab w:val="left" w:pos="0"/>
              </w:tabs>
              <w:suppressAutoHyphens/>
              <w:rPr>
                <w:b/>
                <w:lang w:val="fr-FR"/>
              </w:rPr>
            </w:pPr>
            <w:r w:rsidRPr="00742407">
              <w:fldChar w:fldCharType="begin">
                <w:ffData>
                  <w:name w:val="Check1"/>
                  <w:enabled/>
                  <w:calcOnExit w:val="0"/>
                  <w:checkBox>
                    <w:sizeAuto/>
                    <w:default w:val="0"/>
                  </w:checkBox>
                </w:ffData>
              </w:fldChar>
            </w:r>
            <w:r w:rsidRPr="00742407">
              <w:rPr>
                <w:lang w:val="fr-FR"/>
              </w:rPr>
              <w:instrText xml:space="preserve"> FORMCHECKBOX </w:instrText>
            </w:r>
            <w:r w:rsidR="00000000">
              <w:fldChar w:fldCharType="separate"/>
            </w:r>
            <w:r w:rsidRPr="00742407">
              <w:fldChar w:fldCharType="end"/>
            </w:r>
            <w:r w:rsidRPr="00742407">
              <w:rPr>
                <w:lang w:val="fr-FR"/>
              </w:rPr>
              <w:tab/>
            </w:r>
            <w:r w:rsidRPr="00742407">
              <w:rPr>
                <w:lang w:val="fr-FR"/>
              </w:rPr>
              <w:tab/>
              <w:t>Fonds fiduciaire régional</w:t>
            </w:r>
            <w:r w:rsidRPr="00742407">
              <w:rPr>
                <w:b/>
                <w:lang w:val="fr-FR"/>
              </w:rPr>
              <w:t xml:space="preserve"> </w:t>
            </w:r>
          </w:p>
          <w:p w14:paraId="44750222" w14:textId="77777777" w:rsidR="000F43A8" w:rsidRPr="00742407" w:rsidRDefault="000F43A8" w:rsidP="000F43A8">
            <w:pPr>
              <w:tabs>
                <w:tab w:val="left" w:pos="0"/>
              </w:tabs>
              <w:suppressAutoHyphens/>
              <w:rPr>
                <w:b/>
                <w:lang w:val="fr-FR"/>
              </w:rPr>
            </w:pPr>
          </w:p>
          <w:p w14:paraId="57DFB016" w14:textId="4C61BFAA" w:rsidR="000F43A8" w:rsidRPr="00742407"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742407">
              <w:rPr>
                <w:rFonts w:ascii="Times New Roman" w:hAnsi="Times New Roman" w:cs="Times New Roman"/>
                <w:b/>
                <w:sz w:val="24"/>
                <w:szCs w:val="24"/>
                <w:lang w:val="fr-FR"/>
              </w:rPr>
              <w:t xml:space="preserve">Nom du fonds </w:t>
            </w:r>
            <w:r w:rsidR="00AF1DA3" w:rsidRPr="00742407">
              <w:rPr>
                <w:rFonts w:ascii="Times New Roman" w:hAnsi="Times New Roman" w:cs="Times New Roman"/>
                <w:b/>
                <w:sz w:val="24"/>
                <w:szCs w:val="24"/>
                <w:lang w:val="fr-FR"/>
              </w:rPr>
              <w:t>fiduciaire :</w:t>
            </w:r>
            <w:r w:rsidRPr="00742407">
              <w:rPr>
                <w:rFonts w:ascii="Times New Roman" w:hAnsi="Times New Roman" w:cs="Times New Roman"/>
                <w:b/>
                <w:sz w:val="24"/>
                <w:szCs w:val="24"/>
                <w:lang w:val="fr-FR"/>
              </w:rPr>
              <w:t xml:space="preserve"> </w:t>
            </w:r>
            <w:r w:rsidR="005D5A4A" w:rsidRPr="00742407">
              <w:rPr>
                <w:rFonts w:ascii="Times New Roman" w:hAnsi="Times New Roman" w:cs="Times New Roman"/>
                <w:bCs/>
                <w:iCs/>
                <w:snapToGrid w:val="0"/>
                <w:szCs w:val="28"/>
              </w:rPr>
              <w:fldChar w:fldCharType="begin">
                <w:ffData>
                  <w:name w:val=""/>
                  <w:enabled/>
                  <w:calcOnExit w:val="0"/>
                  <w:textInput>
                    <w:format w:val="Première majuscule"/>
                  </w:textInput>
                </w:ffData>
              </w:fldChar>
            </w:r>
            <w:r w:rsidR="005D5A4A" w:rsidRPr="00742407">
              <w:rPr>
                <w:rFonts w:ascii="Times New Roman" w:hAnsi="Times New Roman" w:cs="Times New Roman"/>
                <w:bCs/>
                <w:iCs/>
                <w:snapToGrid w:val="0"/>
                <w:szCs w:val="28"/>
              </w:rPr>
              <w:instrText xml:space="preserve"> FORMTEXT </w:instrText>
            </w:r>
            <w:r w:rsidR="005D5A4A" w:rsidRPr="00742407">
              <w:rPr>
                <w:rFonts w:ascii="Times New Roman" w:hAnsi="Times New Roman" w:cs="Times New Roman"/>
                <w:bCs/>
                <w:iCs/>
                <w:snapToGrid w:val="0"/>
                <w:szCs w:val="28"/>
              </w:rPr>
            </w:r>
            <w:r w:rsidR="005D5A4A" w:rsidRPr="00742407">
              <w:rPr>
                <w:rFonts w:ascii="Times New Roman" w:hAnsi="Times New Roman" w:cs="Times New Roman"/>
                <w:bCs/>
                <w:iCs/>
                <w:snapToGrid w:val="0"/>
                <w:szCs w:val="28"/>
              </w:rPr>
              <w:fldChar w:fldCharType="separate"/>
            </w:r>
            <w:r w:rsidR="005D5A4A" w:rsidRPr="00742407">
              <w:rPr>
                <w:rFonts w:ascii="Times New Roman" w:hAnsi="Times New Roman" w:cs="Times New Roman"/>
                <w:bCs/>
                <w:iCs/>
                <w:noProof/>
                <w:snapToGrid w:val="0"/>
                <w:szCs w:val="28"/>
              </w:rPr>
              <w:t> </w:t>
            </w:r>
            <w:r w:rsidR="005D5A4A" w:rsidRPr="00742407">
              <w:rPr>
                <w:rFonts w:ascii="Times New Roman" w:hAnsi="Times New Roman" w:cs="Times New Roman"/>
                <w:bCs/>
                <w:iCs/>
                <w:noProof/>
                <w:snapToGrid w:val="0"/>
                <w:szCs w:val="28"/>
              </w:rPr>
              <w:t> </w:t>
            </w:r>
            <w:r w:rsidR="005D5A4A" w:rsidRPr="00742407">
              <w:rPr>
                <w:rFonts w:ascii="Times New Roman" w:hAnsi="Times New Roman" w:cs="Times New Roman"/>
                <w:bCs/>
                <w:iCs/>
                <w:noProof/>
                <w:snapToGrid w:val="0"/>
                <w:szCs w:val="28"/>
              </w:rPr>
              <w:t> </w:t>
            </w:r>
            <w:r w:rsidR="005D5A4A" w:rsidRPr="00742407">
              <w:rPr>
                <w:rFonts w:ascii="Times New Roman" w:hAnsi="Times New Roman" w:cs="Times New Roman"/>
                <w:bCs/>
                <w:iCs/>
                <w:noProof/>
                <w:snapToGrid w:val="0"/>
                <w:szCs w:val="28"/>
              </w:rPr>
              <w:t> </w:t>
            </w:r>
            <w:r w:rsidR="005D5A4A" w:rsidRPr="00742407">
              <w:rPr>
                <w:rFonts w:ascii="Times New Roman" w:hAnsi="Times New Roman" w:cs="Times New Roman"/>
                <w:bCs/>
                <w:iCs/>
                <w:noProof/>
                <w:snapToGrid w:val="0"/>
                <w:szCs w:val="28"/>
              </w:rPr>
              <w:t> </w:t>
            </w:r>
            <w:r w:rsidR="005D5A4A" w:rsidRPr="00742407">
              <w:rPr>
                <w:rFonts w:ascii="Times New Roman" w:hAnsi="Times New Roman" w:cs="Times New Roman"/>
                <w:bCs/>
                <w:iCs/>
                <w:snapToGrid w:val="0"/>
                <w:szCs w:val="28"/>
              </w:rPr>
              <w:fldChar w:fldCharType="end"/>
            </w:r>
          </w:p>
          <w:p w14:paraId="3B731EC0" w14:textId="77777777" w:rsidR="00A43B9C" w:rsidRPr="00742407" w:rsidRDefault="00A43B9C" w:rsidP="00F23D0F">
            <w:pPr>
              <w:tabs>
                <w:tab w:val="left" w:pos="0"/>
              </w:tabs>
              <w:suppressAutoHyphens/>
              <w:jc w:val="both"/>
              <w:rPr>
                <w:b/>
              </w:rPr>
            </w:pPr>
          </w:p>
        </w:tc>
        <w:tc>
          <w:tcPr>
            <w:tcW w:w="5917" w:type="dxa"/>
          </w:tcPr>
          <w:p w14:paraId="4A6F6EA9" w14:textId="678B259B" w:rsidR="00A43B9C" w:rsidRPr="00742407" w:rsidRDefault="00A43B9C" w:rsidP="00A43B9C">
            <w:pPr>
              <w:rPr>
                <w:b/>
                <w:bCs/>
                <w:iCs/>
                <w:lang w:val="fr-FR"/>
              </w:rPr>
            </w:pPr>
            <w:r w:rsidRPr="00742407">
              <w:rPr>
                <w:b/>
                <w:bCs/>
                <w:iCs/>
                <w:lang w:val="fr-FR"/>
              </w:rPr>
              <w:t xml:space="preserve">Type </w:t>
            </w:r>
            <w:r w:rsidR="000F43A8" w:rsidRPr="00742407">
              <w:rPr>
                <w:b/>
                <w:bCs/>
                <w:iCs/>
                <w:lang w:val="fr-FR"/>
              </w:rPr>
              <w:t xml:space="preserve">et nom d’agence </w:t>
            </w:r>
            <w:r w:rsidR="002A5B56" w:rsidRPr="00742407">
              <w:rPr>
                <w:b/>
                <w:bCs/>
                <w:iCs/>
                <w:lang w:val="fr-FR"/>
              </w:rPr>
              <w:t>récipiendaire :</w:t>
            </w:r>
            <w:r w:rsidRPr="00742407">
              <w:rPr>
                <w:b/>
                <w:bCs/>
                <w:iCs/>
                <w:lang w:val="fr-FR"/>
              </w:rPr>
              <w:t xml:space="preserve"> </w:t>
            </w:r>
          </w:p>
          <w:p w14:paraId="2FF52B1A" w14:textId="77777777" w:rsidR="00A43B9C" w:rsidRPr="00742407" w:rsidRDefault="00A43B9C" w:rsidP="00A43B9C">
            <w:pPr>
              <w:rPr>
                <w:b/>
                <w:bCs/>
                <w:iCs/>
                <w:lang w:val="fr-FR"/>
              </w:rPr>
            </w:pPr>
          </w:p>
          <w:p w14:paraId="6B8358E3" w14:textId="64245BEA" w:rsidR="00A43B9C" w:rsidRPr="007530A1" w:rsidRDefault="00872F0D"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7530A1">
              <w:rPr>
                <w:rFonts w:ascii="Times New Roman" w:hAnsi="Times New Roman" w:cs="Times New Roman"/>
                <w:b/>
                <w:sz w:val="24"/>
                <w:szCs w:val="24"/>
                <w:lang w:val="fr-FR"/>
              </w:rPr>
              <w:t xml:space="preserve">PNUD </w:t>
            </w:r>
            <w:r w:rsidR="00A43B9C" w:rsidRPr="007530A1">
              <w:rPr>
                <w:rFonts w:ascii="Times New Roman" w:hAnsi="Times New Roman" w:cs="Times New Roman"/>
                <w:b/>
                <w:sz w:val="24"/>
                <w:szCs w:val="24"/>
                <w:lang w:val="fr-FR"/>
              </w:rPr>
              <w:t>(</w:t>
            </w:r>
            <w:r w:rsidR="000F43A8" w:rsidRPr="007530A1">
              <w:rPr>
                <w:rFonts w:ascii="Times New Roman" w:hAnsi="Times New Roman" w:cs="Times New Roman"/>
                <w:b/>
                <w:sz w:val="24"/>
                <w:szCs w:val="24"/>
                <w:lang w:val="fr-FR"/>
              </w:rPr>
              <w:t>Agence coordinatrice</w:t>
            </w:r>
            <w:r w:rsidR="00A43B9C" w:rsidRPr="007530A1">
              <w:rPr>
                <w:rFonts w:ascii="Times New Roman" w:hAnsi="Times New Roman" w:cs="Times New Roman"/>
                <w:b/>
                <w:sz w:val="24"/>
                <w:szCs w:val="24"/>
                <w:lang w:val="fr-FR"/>
              </w:rPr>
              <w:t>)</w:t>
            </w:r>
          </w:p>
          <w:p w14:paraId="28F5F181" w14:textId="2F4C2BA5" w:rsidR="00A43B9C" w:rsidRPr="00DE794D" w:rsidRDefault="00872F0D"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DE794D">
              <w:rPr>
                <w:rFonts w:ascii="Times New Roman" w:hAnsi="Times New Roman" w:cs="Times New Roman"/>
                <w:b/>
                <w:sz w:val="24"/>
                <w:szCs w:val="24"/>
                <w:lang w:val="fr-FR"/>
              </w:rPr>
              <w:t>ONU Femmes</w:t>
            </w:r>
            <w:r>
              <w:rPr>
                <w:rFonts w:ascii="Times New Roman" w:hAnsi="Times New Roman" w:cs="Times New Roman"/>
                <w:b/>
                <w:sz w:val="24"/>
                <w:szCs w:val="24"/>
                <w:lang w:val="fr-FR"/>
              </w:rPr>
              <w:t xml:space="preserve"> </w:t>
            </w:r>
          </w:p>
          <w:p w14:paraId="7E3EB135" w14:textId="77777777" w:rsidR="00A43B9C" w:rsidRPr="007530A1"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742407">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sidRPr="00A41474">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742407">
              <w:rPr>
                <w:rFonts w:ascii="Times New Roman" w:hAnsi="Times New Roman" w:cs="Times New Roman"/>
                <w:b/>
                <w:sz w:val="24"/>
                <w:szCs w:val="24"/>
              </w:rPr>
              <w:fldChar w:fldCharType="end"/>
            </w:r>
            <w:bookmarkEnd w:id="1"/>
            <w:r w:rsidR="00A43B9C" w:rsidRPr="007530A1">
              <w:rPr>
                <w:rFonts w:ascii="Times New Roman" w:hAnsi="Times New Roman" w:cs="Times New Roman"/>
                <w:b/>
                <w:sz w:val="24"/>
                <w:szCs w:val="24"/>
                <w:lang w:val="fr-FR"/>
              </w:rPr>
              <w:t xml:space="preserve">     </w:t>
            </w:r>
            <w:r w:rsidR="00A43B9C" w:rsidRPr="00742407">
              <w:rPr>
                <w:rFonts w:ascii="Times New Roman" w:hAnsi="Times New Roman" w:cs="Times New Roman"/>
                <w:b/>
                <w:sz w:val="24"/>
                <w:szCs w:val="24"/>
              </w:rPr>
              <w:fldChar w:fldCharType="begin">
                <w:ffData>
                  <w:name w:val="Text42"/>
                  <w:enabled/>
                  <w:calcOnExit w:val="0"/>
                  <w:textInput/>
                </w:ffData>
              </w:fldChar>
            </w:r>
            <w:bookmarkStart w:id="2" w:name="Text42"/>
            <w:r w:rsidR="00A43B9C" w:rsidRPr="007530A1">
              <w:rPr>
                <w:rFonts w:ascii="Times New Roman" w:hAnsi="Times New Roman" w:cs="Times New Roman"/>
                <w:b/>
                <w:sz w:val="24"/>
                <w:szCs w:val="24"/>
                <w:lang w:val="fr-FR"/>
              </w:rPr>
              <w:instrText xml:space="preserve"> FORMTEXT </w:instrText>
            </w:r>
            <w:r w:rsidR="00A43B9C" w:rsidRPr="00742407">
              <w:rPr>
                <w:rFonts w:ascii="Times New Roman" w:hAnsi="Times New Roman" w:cs="Times New Roman"/>
                <w:b/>
                <w:sz w:val="24"/>
                <w:szCs w:val="24"/>
              </w:rPr>
            </w:r>
            <w:r w:rsidR="00A43B9C" w:rsidRPr="00742407">
              <w:rPr>
                <w:rFonts w:ascii="Times New Roman" w:hAnsi="Times New Roman" w:cs="Times New Roman"/>
                <w:b/>
                <w:sz w:val="24"/>
                <w:szCs w:val="24"/>
              </w:rPr>
              <w:fldChar w:fldCharType="separate"/>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sz w:val="24"/>
                <w:szCs w:val="24"/>
              </w:rPr>
              <w:fldChar w:fldCharType="end"/>
            </w:r>
            <w:bookmarkEnd w:id="2"/>
          </w:p>
          <w:p w14:paraId="0673E8AA" w14:textId="52E3F0C4" w:rsidR="00A43B9C" w:rsidRPr="007530A1"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742407">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A41474">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742407">
              <w:rPr>
                <w:rFonts w:ascii="Times New Roman" w:hAnsi="Times New Roman" w:cs="Times New Roman"/>
                <w:b/>
                <w:sz w:val="24"/>
                <w:szCs w:val="24"/>
              </w:rPr>
              <w:fldChar w:fldCharType="end"/>
            </w:r>
            <w:r w:rsidR="00A43B9C" w:rsidRPr="007530A1">
              <w:rPr>
                <w:rFonts w:ascii="Times New Roman" w:hAnsi="Times New Roman" w:cs="Times New Roman"/>
                <w:b/>
                <w:sz w:val="24"/>
                <w:szCs w:val="24"/>
                <w:lang w:val="fr-FR"/>
              </w:rPr>
              <w:t xml:space="preserve">     </w:t>
            </w:r>
            <w:r w:rsidR="00A43B9C" w:rsidRPr="00742407">
              <w:rPr>
                <w:rFonts w:ascii="Times New Roman" w:hAnsi="Times New Roman" w:cs="Times New Roman"/>
                <w:b/>
                <w:sz w:val="24"/>
                <w:szCs w:val="24"/>
              </w:rPr>
              <w:fldChar w:fldCharType="begin">
                <w:ffData>
                  <w:name w:val="Text43"/>
                  <w:enabled/>
                  <w:calcOnExit w:val="0"/>
                  <w:textInput/>
                </w:ffData>
              </w:fldChar>
            </w:r>
            <w:bookmarkStart w:id="3" w:name="Text43"/>
            <w:r w:rsidR="00A43B9C" w:rsidRPr="007530A1">
              <w:rPr>
                <w:rFonts w:ascii="Times New Roman" w:hAnsi="Times New Roman" w:cs="Times New Roman"/>
                <w:b/>
                <w:sz w:val="24"/>
                <w:szCs w:val="24"/>
                <w:lang w:val="fr-FR"/>
              </w:rPr>
              <w:instrText xml:space="preserve"> FORMTEXT </w:instrText>
            </w:r>
            <w:r w:rsidR="00A43B9C" w:rsidRPr="00742407">
              <w:rPr>
                <w:rFonts w:ascii="Times New Roman" w:hAnsi="Times New Roman" w:cs="Times New Roman"/>
                <w:b/>
                <w:sz w:val="24"/>
                <w:szCs w:val="24"/>
              </w:rPr>
            </w:r>
            <w:r w:rsidR="00A43B9C" w:rsidRPr="00742407">
              <w:rPr>
                <w:rFonts w:ascii="Times New Roman" w:hAnsi="Times New Roman" w:cs="Times New Roman"/>
                <w:b/>
                <w:sz w:val="24"/>
                <w:szCs w:val="24"/>
              </w:rPr>
              <w:fldChar w:fldCharType="separate"/>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sz w:val="24"/>
                <w:szCs w:val="24"/>
              </w:rPr>
              <w:fldChar w:fldCharType="end"/>
            </w:r>
            <w:bookmarkEnd w:id="3"/>
            <w:r w:rsidR="00A43B9C" w:rsidRPr="007530A1">
              <w:rPr>
                <w:rFonts w:ascii="Times New Roman" w:hAnsi="Times New Roman" w:cs="Times New Roman"/>
                <w:b/>
                <w:sz w:val="24"/>
                <w:szCs w:val="24"/>
                <w:lang w:val="fr-FR"/>
              </w:rPr>
              <w:t xml:space="preserve">  </w:t>
            </w:r>
            <w:r w:rsidR="00A43B9C" w:rsidRPr="00742407">
              <w:rPr>
                <w:rFonts w:ascii="Times New Roman" w:hAnsi="Times New Roman" w:cs="Times New Roman"/>
                <w:b/>
                <w:sz w:val="24"/>
                <w:szCs w:val="24"/>
              </w:rPr>
              <w:fldChar w:fldCharType="begin">
                <w:ffData>
                  <w:name w:val="Text44"/>
                  <w:enabled/>
                  <w:calcOnExit w:val="0"/>
                  <w:textInput/>
                </w:ffData>
              </w:fldChar>
            </w:r>
            <w:bookmarkStart w:id="4" w:name="Text44"/>
            <w:r w:rsidR="00A43B9C" w:rsidRPr="007530A1">
              <w:rPr>
                <w:rFonts w:ascii="Times New Roman" w:hAnsi="Times New Roman" w:cs="Times New Roman"/>
                <w:b/>
                <w:sz w:val="24"/>
                <w:szCs w:val="24"/>
                <w:lang w:val="fr-FR"/>
              </w:rPr>
              <w:instrText xml:space="preserve"> FORMTEXT </w:instrText>
            </w:r>
            <w:r w:rsidR="00A43B9C" w:rsidRPr="00742407">
              <w:rPr>
                <w:rFonts w:ascii="Times New Roman" w:hAnsi="Times New Roman" w:cs="Times New Roman"/>
                <w:b/>
                <w:sz w:val="24"/>
                <w:szCs w:val="24"/>
              </w:rPr>
            </w:r>
            <w:r w:rsidR="00A43B9C" w:rsidRPr="00742407">
              <w:rPr>
                <w:rFonts w:ascii="Times New Roman" w:hAnsi="Times New Roman" w:cs="Times New Roman"/>
                <w:b/>
                <w:sz w:val="24"/>
                <w:szCs w:val="24"/>
              </w:rPr>
              <w:fldChar w:fldCharType="separate"/>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noProof/>
                <w:sz w:val="24"/>
                <w:szCs w:val="24"/>
              </w:rPr>
              <w:t> </w:t>
            </w:r>
            <w:r w:rsidR="00A43B9C" w:rsidRPr="00742407">
              <w:rPr>
                <w:rFonts w:ascii="Times New Roman" w:hAnsi="Times New Roman" w:cs="Times New Roman"/>
                <w:b/>
                <w:sz w:val="24"/>
                <w:szCs w:val="24"/>
              </w:rPr>
              <w:fldChar w:fldCharType="end"/>
            </w:r>
            <w:bookmarkEnd w:id="4"/>
          </w:p>
        </w:tc>
      </w:tr>
      <w:tr w:rsidR="00793DE6" w:rsidRPr="006B0660" w14:paraId="72CE853D" w14:textId="77777777" w:rsidTr="6595E2F0">
        <w:trPr>
          <w:trHeight w:val="368"/>
        </w:trPr>
        <w:tc>
          <w:tcPr>
            <w:tcW w:w="10080" w:type="dxa"/>
            <w:gridSpan w:val="2"/>
          </w:tcPr>
          <w:p w14:paraId="5C2804C5" w14:textId="7BA01177" w:rsidR="00793DE6" w:rsidRPr="00742407" w:rsidRDefault="000F43A8" w:rsidP="00F23D0F">
            <w:pPr>
              <w:rPr>
                <w:b/>
                <w:bCs/>
                <w:iCs/>
                <w:lang w:val="fr-FR"/>
              </w:rPr>
            </w:pPr>
            <w:r w:rsidRPr="00742407">
              <w:rPr>
                <w:b/>
                <w:bCs/>
                <w:iCs/>
                <w:lang w:val="fr-FR"/>
              </w:rPr>
              <w:t xml:space="preserve">Date du premier transfert de </w:t>
            </w:r>
            <w:r w:rsidR="00AF1DA3" w:rsidRPr="00742407">
              <w:rPr>
                <w:b/>
                <w:bCs/>
                <w:iCs/>
                <w:lang w:val="fr-FR"/>
              </w:rPr>
              <w:t>fonds :</w:t>
            </w:r>
            <w:r w:rsidR="00793DE6" w:rsidRPr="00742407">
              <w:rPr>
                <w:b/>
                <w:bCs/>
                <w:iCs/>
                <w:lang w:val="fr-FR"/>
              </w:rPr>
              <w:t xml:space="preserve"> </w:t>
            </w:r>
            <w:r w:rsidR="005D5A4A" w:rsidRPr="00742407">
              <w:rPr>
                <w:bCs/>
                <w:iCs/>
                <w:snapToGrid w:val="0"/>
              </w:rPr>
              <w:fldChar w:fldCharType="begin">
                <w:ffData>
                  <w:name w:val=""/>
                  <w:enabled/>
                  <w:calcOnExit w:val="0"/>
                  <w:textInput>
                    <w:format w:val="Première majuscule"/>
                  </w:textInput>
                </w:ffData>
              </w:fldChar>
            </w:r>
            <w:r w:rsidR="005D5A4A" w:rsidRPr="00742407">
              <w:rPr>
                <w:bCs/>
                <w:iCs/>
                <w:snapToGrid w:val="0"/>
                <w:lang w:val="fr-FR"/>
              </w:rPr>
              <w:instrText xml:space="preserve"> FORMTEXT </w:instrText>
            </w:r>
            <w:r w:rsidR="005D5A4A" w:rsidRPr="00742407">
              <w:rPr>
                <w:bCs/>
                <w:iCs/>
                <w:snapToGrid w:val="0"/>
              </w:rPr>
            </w:r>
            <w:r w:rsidR="005D5A4A" w:rsidRPr="00742407">
              <w:rPr>
                <w:bCs/>
                <w:iCs/>
                <w:snapToGrid w:val="0"/>
              </w:rPr>
              <w:fldChar w:fldCharType="separate"/>
            </w:r>
            <w:r w:rsidR="00892A25" w:rsidRPr="00742407">
              <w:rPr>
                <w:bCs/>
                <w:iCs/>
                <w:lang w:val="fr-FR"/>
              </w:rPr>
              <w:t>23 juillet 2019</w:t>
            </w:r>
            <w:r w:rsidR="005D5A4A" w:rsidRPr="00742407">
              <w:rPr>
                <w:bCs/>
                <w:iCs/>
                <w:snapToGrid w:val="0"/>
              </w:rPr>
              <w:fldChar w:fldCharType="end"/>
            </w:r>
          </w:p>
          <w:p w14:paraId="064BF427" w14:textId="0F062D73" w:rsidR="004D141E" w:rsidRPr="00742407" w:rsidRDefault="000F43A8" w:rsidP="00F23D0F">
            <w:pPr>
              <w:rPr>
                <w:bCs/>
                <w:iCs/>
                <w:snapToGrid w:val="0"/>
                <w:lang w:val="fr-FR"/>
              </w:rPr>
            </w:pPr>
            <w:r w:rsidRPr="00742407">
              <w:rPr>
                <w:b/>
                <w:bCs/>
                <w:iCs/>
                <w:lang w:val="fr-FR"/>
              </w:rPr>
              <w:t xml:space="preserve">Date de fin de </w:t>
            </w:r>
            <w:r w:rsidR="00AF1DA3" w:rsidRPr="00742407">
              <w:rPr>
                <w:b/>
                <w:bCs/>
                <w:iCs/>
                <w:lang w:val="fr-FR"/>
              </w:rPr>
              <w:t>projet :</w:t>
            </w:r>
            <w:r w:rsidR="00793DE6" w:rsidRPr="00742407">
              <w:rPr>
                <w:b/>
                <w:bCs/>
                <w:iCs/>
                <w:lang w:val="fr-FR"/>
              </w:rPr>
              <w:t xml:space="preserve"> </w:t>
            </w:r>
            <w:r w:rsidR="00C12D6A" w:rsidRPr="00742407">
              <w:rPr>
                <w:bCs/>
                <w:iCs/>
                <w:snapToGrid w:val="0"/>
              </w:rPr>
              <w:fldChar w:fldCharType="begin">
                <w:ffData>
                  <w:name w:val="Text11"/>
                  <w:enabled/>
                  <w:calcOnExit w:val="0"/>
                  <w:textInput>
                    <w:format w:val="Première majuscule"/>
                  </w:textInput>
                </w:ffData>
              </w:fldChar>
            </w:r>
            <w:r w:rsidR="00C12D6A" w:rsidRPr="00742407">
              <w:rPr>
                <w:bCs/>
                <w:iCs/>
                <w:snapToGrid w:val="0"/>
                <w:lang w:val="fr-FR"/>
              </w:rPr>
              <w:instrText xml:space="preserve"> FORMTEXT </w:instrText>
            </w:r>
            <w:r w:rsidR="00C12D6A" w:rsidRPr="00742407">
              <w:rPr>
                <w:bCs/>
                <w:iCs/>
                <w:snapToGrid w:val="0"/>
              </w:rPr>
            </w:r>
            <w:r w:rsidR="00C12D6A" w:rsidRPr="00742407">
              <w:rPr>
                <w:bCs/>
                <w:iCs/>
                <w:snapToGrid w:val="0"/>
              </w:rPr>
              <w:fldChar w:fldCharType="separate"/>
            </w:r>
            <w:r w:rsidR="00892A25" w:rsidRPr="00742407">
              <w:rPr>
                <w:b/>
                <w:bCs/>
                <w:iCs/>
                <w:lang w:val="fr-FR"/>
              </w:rPr>
              <w:t>(</w:t>
            </w:r>
            <w:r w:rsidR="00892A25" w:rsidRPr="00742407">
              <w:rPr>
                <w:bCs/>
                <w:iCs/>
                <w:snapToGrid w:val="0"/>
                <w:lang w:val="fr-FR"/>
              </w:rPr>
              <w:t>22 juillet 2021) 19 Juillet 2021 + Extension sans cout de 6 mois (21 Janvier 2022)</w:t>
            </w:r>
            <w:r w:rsidR="00C12D6A" w:rsidRPr="00742407">
              <w:rPr>
                <w:bCs/>
                <w:iCs/>
                <w:snapToGrid w:val="0"/>
              </w:rPr>
              <w:t> </w:t>
            </w:r>
            <w:r w:rsidR="00C12D6A" w:rsidRPr="00742407">
              <w:rPr>
                <w:bCs/>
                <w:iCs/>
                <w:snapToGrid w:val="0"/>
              </w:rPr>
              <w:t> </w:t>
            </w:r>
            <w:r w:rsidR="00C12D6A" w:rsidRPr="00742407">
              <w:rPr>
                <w:bCs/>
                <w:iCs/>
                <w:snapToGrid w:val="0"/>
              </w:rPr>
              <w:t> </w:t>
            </w:r>
            <w:r w:rsidR="00C12D6A" w:rsidRPr="00742407">
              <w:rPr>
                <w:bCs/>
                <w:iCs/>
                <w:snapToGrid w:val="0"/>
              </w:rPr>
              <w:t> </w:t>
            </w:r>
            <w:r w:rsidR="00C12D6A" w:rsidRPr="00742407">
              <w:rPr>
                <w:bCs/>
                <w:iCs/>
                <w:snapToGrid w:val="0"/>
              </w:rPr>
              <w:fldChar w:fldCharType="end"/>
            </w:r>
            <w:r w:rsidR="0025220B" w:rsidRPr="00742407">
              <w:rPr>
                <w:bCs/>
                <w:iCs/>
                <w:snapToGrid w:val="0"/>
                <w:lang w:val="fr-FR"/>
              </w:rPr>
              <w:t xml:space="preserve">     </w:t>
            </w:r>
          </w:p>
          <w:p w14:paraId="6259CC9F" w14:textId="2ECF823A" w:rsidR="004973DD" w:rsidRPr="00742407" w:rsidRDefault="00FA3B7C" w:rsidP="00F23D0F">
            <w:pPr>
              <w:rPr>
                <w:b/>
                <w:iCs/>
                <w:snapToGrid w:val="0"/>
                <w:lang w:val="fr-FR"/>
              </w:rPr>
            </w:pPr>
            <w:r w:rsidRPr="00742407">
              <w:rPr>
                <w:b/>
                <w:iCs/>
                <w:snapToGrid w:val="0"/>
                <w:lang w:val="fr-FR"/>
              </w:rPr>
              <w:t>Ce projet a-t-il bénéficié d'une prolongation</w:t>
            </w:r>
            <w:r w:rsidR="005D3939" w:rsidRPr="00742407">
              <w:rPr>
                <w:b/>
                <w:iCs/>
                <w:snapToGrid w:val="0"/>
                <w:lang w:val="fr-FR"/>
              </w:rPr>
              <w:t xml:space="preserve"> (avec ou sans coûts)</w:t>
            </w:r>
            <w:r w:rsidRPr="00742407">
              <w:rPr>
                <w:b/>
                <w:iCs/>
                <w:snapToGrid w:val="0"/>
                <w:lang w:val="fr-FR"/>
              </w:rPr>
              <w:t xml:space="preserve"> ?</w:t>
            </w:r>
            <w:r w:rsidR="00A55CCC" w:rsidRPr="00742407">
              <w:rPr>
                <w:b/>
                <w:iCs/>
                <w:snapToGrid w:val="0"/>
                <w:lang w:val="fr-FR"/>
              </w:rPr>
              <w:t xml:space="preserve"> </w:t>
            </w:r>
            <w:r w:rsidR="00A55CCC" w:rsidRPr="00742407">
              <w:rPr>
                <w:b/>
                <w:iCs/>
                <w:snapToGrid w:val="0"/>
                <w:lang w:val="fr-FR"/>
              </w:rPr>
              <w:fldChar w:fldCharType="begin">
                <w:ffData>
                  <w:name w:val="Text55"/>
                  <w:enabled/>
                  <w:calcOnExit w:val="0"/>
                  <w:textInput/>
                </w:ffData>
              </w:fldChar>
            </w:r>
            <w:bookmarkStart w:id="5" w:name="Text55"/>
            <w:r w:rsidR="00A55CCC" w:rsidRPr="00742407">
              <w:rPr>
                <w:b/>
                <w:iCs/>
                <w:snapToGrid w:val="0"/>
                <w:lang w:val="fr-FR"/>
              </w:rPr>
              <w:instrText xml:space="preserve"> FORMTEXT </w:instrText>
            </w:r>
            <w:r w:rsidR="00A55CCC" w:rsidRPr="00742407">
              <w:rPr>
                <w:b/>
                <w:iCs/>
                <w:snapToGrid w:val="0"/>
                <w:lang w:val="fr-FR"/>
              </w:rPr>
            </w:r>
            <w:r w:rsidR="00A55CCC" w:rsidRPr="00742407">
              <w:rPr>
                <w:b/>
                <w:iCs/>
                <w:snapToGrid w:val="0"/>
                <w:lang w:val="fr-FR"/>
              </w:rPr>
              <w:fldChar w:fldCharType="separate"/>
            </w:r>
            <w:r w:rsidR="00892A25" w:rsidRPr="00742407">
              <w:rPr>
                <w:b/>
                <w:iCs/>
                <w:noProof/>
                <w:snapToGrid w:val="0"/>
                <w:lang w:val="fr-FR"/>
              </w:rPr>
              <w:t>Oui, Prolongation sans coût</w:t>
            </w:r>
            <w:r w:rsidR="00A55CCC" w:rsidRPr="00742407">
              <w:rPr>
                <w:b/>
                <w:iCs/>
                <w:snapToGrid w:val="0"/>
                <w:lang w:val="fr-FR"/>
              </w:rPr>
              <w:fldChar w:fldCharType="end"/>
            </w:r>
            <w:bookmarkEnd w:id="5"/>
          </w:p>
          <w:p w14:paraId="3760ACA8" w14:textId="4E1D6B49" w:rsidR="005D3939" w:rsidRPr="00742407" w:rsidRDefault="005D3939" w:rsidP="005D3939">
            <w:pPr>
              <w:rPr>
                <w:b/>
                <w:iCs/>
                <w:snapToGrid w:val="0"/>
                <w:lang w:val="fr-FR"/>
              </w:rPr>
            </w:pPr>
            <w:r w:rsidRPr="00742407">
              <w:rPr>
                <w:b/>
                <w:color w:val="323232"/>
                <w:lang w:val="fr-FR"/>
              </w:rPr>
              <w:t xml:space="preserve">Ce projet demandera-t-il une prolongation </w:t>
            </w:r>
            <w:r w:rsidRPr="00742407">
              <w:rPr>
                <w:b/>
                <w:iCs/>
                <w:snapToGrid w:val="0"/>
                <w:lang w:val="fr-FR"/>
              </w:rPr>
              <w:t>(avec ou sans coûts</w:t>
            </w:r>
            <w:r w:rsidR="00AF1DA3" w:rsidRPr="00742407">
              <w:rPr>
                <w:b/>
                <w:iCs/>
                <w:snapToGrid w:val="0"/>
                <w:lang w:val="fr-FR"/>
              </w:rPr>
              <w:t>)</w:t>
            </w:r>
            <w:r w:rsidR="00AF1DA3" w:rsidRPr="00742407">
              <w:rPr>
                <w:b/>
                <w:color w:val="323232"/>
                <w:lang w:val="fr-FR"/>
              </w:rPr>
              <w:t xml:space="preserve"> ?</w:t>
            </w:r>
            <w:r w:rsidR="00A55CCC" w:rsidRPr="00742407">
              <w:rPr>
                <w:b/>
                <w:color w:val="323232"/>
              </w:rPr>
              <w:fldChar w:fldCharType="begin">
                <w:ffData>
                  <w:name w:val="Text56"/>
                  <w:enabled/>
                  <w:calcOnExit w:val="0"/>
                  <w:textInput/>
                </w:ffData>
              </w:fldChar>
            </w:r>
            <w:bookmarkStart w:id="6" w:name="Text56"/>
            <w:r w:rsidR="00A55CCC" w:rsidRPr="00742407">
              <w:rPr>
                <w:b/>
                <w:color w:val="323232"/>
                <w:lang w:val="fr-FR"/>
              </w:rPr>
              <w:instrText xml:space="preserve"> FORMTEXT </w:instrText>
            </w:r>
            <w:r w:rsidR="00A55CCC" w:rsidRPr="00742407">
              <w:rPr>
                <w:b/>
                <w:color w:val="323232"/>
              </w:rPr>
            </w:r>
            <w:r w:rsidR="00A55CCC" w:rsidRPr="00742407">
              <w:rPr>
                <w:b/>
                <w:color w:val="323232"/>
              </w:rPr>
              <w:fldChar w:fldCharType="separate"/>
            </w:r>
            <w:r w:rsidR="00892A25" w:rsidRPr="00742407">
              <w:rPr>
                <w:b/>
                <w:noProof/>
                <w:color w:val="323232"/>
                <w:lang w:val="fr-FR"/>
              </w:rPr>
              <w:t>Non</w:t>
            </w:r>
            <w:r w:rsidR="00A55CCC" w:rsidRPr="00742407">
              <w:rPr>
                <w:b/>
                <w:color w:val="323232"/>
              </w:rPr>
              <w:fldChar w:fldCharType="end"/>
            </w:r>
            <w:bookmarkEnd w:id="6"/>
          </w:p>
          <w:p w14:paraId="2AE235F0" w14:textId="3B2B03B3" w:rsidR="00793DE6" w:rsidRPr="00742407" w:rsidRDefault="000F43A8" w:rsidP="000F43A8">
            <w:pPr>
              <w:rPr>
                <w:bCs/>
                <w:iCs/>
                <w:snapToGrid w:val="0"/>
                <w:lang w:val="fr-FR"/>
              </w:rPr>
            </w:pPr>
            <w:r w:rsidRPr="00742407">
              <w:rPr>
                <w:b/>
                <w:iCs/>
                <w:snapToGrid w:val="0"/>
                <w:lang w:val="fr-FR"/>
              </w:rPr>
              <w:t>Le projet est-il dans ces six derniers mois de mise en œuvre</w:t>
            </w:r>
            <w:r w:rsidR="00892A25" w:rsidRPr="00742407">
              <w:rPr>
                <w:b/>
                <w:iCs/>
                <w:snapToGrid w:val="0"/>
                <w:lang w:val="fr-FR"/>
              </w:rPr>
              <w:t xml:space="preserve"> </w:t>
            </w:r>
            <w:r w:rsidR="0025220B" w:rsidRPr="00742407">
              <w:rPr>
                <w:b/>
                <w:iCs/>
                <w:snapToGrid w:val="0"/>
                <w:lang w:val="fr-FR"/>
              </w:rPr>
              <w:t>?</w:t>
            </w:r>
            <w:r w:rsidR="0025220B" w:rsidRPr="00742407">
              <w:rPr>
                <w:bCs/>
                <w:iCs/>
                <w:snapToGrid w:val="0"/>
                <w:lang w:val="fr-FR"/>
              </w:rPr>
              <w:t xml:space="preserve"> </w:t>
            </w:r>
            <w:r w:rsidR="00280FEA" w:rsidRPr="00742407">
              <w:rPr>
                <w:bCs/>
                <w:iCs/>
                <w:snapToGrid w:val="0"/>
              </w:rPr>
              <w:fldChar w:fldCharType="begin">
                <w:ffData>
                  <w:name w:val="enddate"/>
                  <w:enabled/>
                  <w:calcOnExit w:val="0"/>
                  <w:ddList>
                    <w:listEntry w:val="Veuillez sélectionner"/>
                    <w:listEntry w:val="Oui"/>
                    <w:listEntry w:val="Non"/>
                  </w:ddList>
                </w:ffData>
              </w:fldChar>
            </w:r>
            <w:bookmarkStart w:id="7" w:name="enddate"/>
            <w:r w:rsidR="00280FEA" w:rsidRPr="00742407">
              <w:rPr>
                <w:bCs/>
                <w:iCs/>
                <w:snapToGrid w:val="0"/>
                <w:lang w:val="fr-FR"/>
              </w:rPr>
              <w:instrText xml:space="preserve"> FORMDROPDOWN </w:instrText>
            </w:r>
            <w:r w:rsidR="00000000">
              <w:rPr>
                <w:bCs/>
                <w:iCs/>
                <w:snapToGrid w:val="0"/>
              </w:rPr>
            </w:r>
            <w:r w:rsidR="00000000">
              <w:rPr>
                <w:bCs/>
                <w:iCs/>
                <w:snapToGrid w:val="0"/>
              </w:rPr>
              <w:fldChar w:fldCharType="separate"/>
            </w:r>
            <w:r w:rsidR="00280FEA" w:rsidRPr="00742407">
              <w:rPr>
                <w:bCs/>
                <w:iCs/>
                <w:snapToGrid w:val="0"/>
              </w:rPr>
              <w:fldChar w:fldCharType="end"/>
            </w:r>
            <w:bookmarkEnd w:id="7"/>
          </w:p>
          <w:p w14:paraId="433C13C0" w14:textId="77777777" w:rsidR="000F43A8" w:rsidRPr="00742407" w:rsidRDefault="000F43A8" w:rsidP="000F43A8">
            <w:pPr>
              <w:rPr>
                <w:b/>
                <w:bCs/>
                <w:iCs/>
                <w:lang w:val="fr-FR"/>
              </w:rPr>
            </w:pPr>
          </w:p>
        </w:tc>
      </w:tr>
      <w:tr w:rsidR="00793DE6" w:rsidRPr="00742407" w14:paraId="3A707F8C" w14:textId="77777777" w:rsidTr="6595E2F0">
        <w:trPr>
          <w:trHeight w:val="368"/>
        </w:trPr>
        <w:tc>
          <w:tcPr>
            <w:tcW w:w="10080" w:type="dxa"/>
            <w:gridSpan w:val="2"/>
          </w:tcPr>
          <w:p w14:paraId="77DA62DA" w14:textId="20AC401E" w:rsidR="000F43A8" w:rsidRPr="00742407" w:rsidRDefault="000F43A8" w:rsidP="000F43A8">
            <w:pPr>
              <w:rPr>
                <w:b/>
                <w:bCs/>
                <w:iCs/>
                <w:lang w:val="fr-FR"/>
              </w:rPr>
            </w:pPr>
            <w:r w:rsidRPr="00742407">
              <w:rPr>
                <w:b/>
                <w:bCs/>
                <w:iCs/>
                <w:lang w:val="fr-FR"/>
              </w:rPr>
              <w:t xml:space="preserve">Est-ce que le projet fait part d’une des fenêtres prioritaires spécifiques du </w:t>
            </w:r>
            <w:r w:rsidR="00AF1DA3" w:rsidRPr="00742407">
              <w:rPr>
                <w:b/>
                <w:bCs/>
                <w:iCs/>
                <w:lang w:val="fr-FR"/>
              </w:rPr>
              <w:t>PBF :</w:t>
            </w:r>
          </w:p>
          <w:p w14:paraId="100F4267" w14:textId="77777777" w:rsidR="000F43A8" w:rsidRPr="00742407" w:rsidRDefault="000F43A8" w:rsidP="000F43A8">
            <w:pPr>
              <w:rPr>
                <w:lang w:val="fr-FR"/>
              </w:rPr>
            </w:pPr>
            <w:r w:rsidRPr="00742407">
              <w:rPr>
                <w:lang w:val="fr-FR"/>
              </w:rPr>
              <w:fldChar w:fldCharType="begin">
                <w:ffData>
                  <w:name w:val=""/>
                  <w:enabled/>
                  <w:calcOnExit w:val="0"/>
                  <w:checkBox>
                    <w:sizeAuto/>
                    <w:default w:val="0"/>
                  </w:checkBox>
                </w:ffData>
              </w:fldChar>
            </w:r>
            <w:r w:rsidRPr="00742407">
              <w:rPr>
                <w:lang w:val="fr-FR"/>
              </w:rPr>
              <w:instrText xml:space="preserve"> FORMCHECKBOX </w:instrText>
            </w:r>
            <w:r w:rsidR="00000000">
              <w:rPr>
                <w:lang w:val="fr-FR"/>
              </w:rPr>
            </w:r>
            <w:r w:rsidR="00000000">
              <w:rPr>
                <w:lang w:val="fr-FR"/>
              </w:rPr>
              <w:fldChar w:fldCharType="separate"/>
            </w:r>
            <w:r w:rsidRPr="00742407">
              <w:rPr>
                <w:lang w:val="fr-FR"/>
              </w:rPr>
              <w:fldChar w:fldCharType="end"/>
            </w:r>
            <w:r w:rsidRPr="00742407">
              <w:rPr>
                <w:lang w:val="fr-FR"/>
              </w:rPr>
              <w:t xml:space="preserve"> Initiative de promotion du genre</w:t>
            </w:r>
          </w:p>
          <w:p w14:paraId="347330FA" w14:textId="77777777" w:rsidR="000F43A8" w:rsidRPr="00742407" w:rsidRDefault="000F43A8" w:rsidP="000F43A8">
            <w:pPr>
              <w:rPr>
                <w:lang w:val="fr-FR"/>
              </w:rPr>
            </w:pPr>
            <w:r w:rsidRPr="00742407">
              <w:rPr>
                <w:lang w:val="fr-FR"/>
              </w:rPr>
              <w:fldChar w:fldCharType="begin">
                <w:ffData>
                  <w:name w:val=""/>
                  <w:enabled/>
                  <w:calcOnExit w:val="0"/>
                  <w:checkBox>
                    <w:sizeAuto/>
                    <w:default w:val="0"/>
                  </w:checkBox>
                </w:ffData>
              </w:fldChar>
            </w:r>
            <w:r w:rsidRPr="00742407">
              <w:rPr>
                <w:lang w:val="fr-FR"/>
              </w:rPr>
              <w:instrText xml:space="preserve"> FORMCHECKBOX </w:instrText>
            </w:r>
            <w:r w:rsidR="00000000">
              <w:rPr>
                <w:lang w:val="fr-FR"/>
              </w:rPr>
            </w:r>
            <w:r w:rsidR="00000000">
              <w:rPr>
                <w:lang w:val="fr-FR"/>
              </w:rPr>
              <w:fldChar w:fldCharType="separate"/>
            </w:r>
            <w:r w:rsidRPr="00742407">
              <w:rPr>
                <w:lang w:val="fr-FR"/>
              </w:rPr>
              <w:fldChar w:fldCharType="end"/>
            </w:r>
            <w:r w:rsidRPr="00742407">
              <w:rPr>
                <w:lang w:val="fr-FR"/>
              </w:rPr>
              <w:t xml:space="preserve"> Initiative de promotion de la jeunesse</w:t>
            </w:r>
          </w:p>
          <w:p w14:paraId="422AAC34" w14:textId="77777777" w:rsidR="000F43A8" w:rsidRPr="00742407" w:rsidRDefault="000F43A8" w:rsidP="000F43A8">
            <w:pPr>
              <w:rPr>
                <w:sz w:val="22"/>
                <w:szCs w:val="22"/>
                <w:lang w:val="fr-FR"/>
              </w:rPr>
            </w:pPr>
            <w:r w:rsidRPr="00742407">
              <w:rPr>
                <w:lang w:val="fr-FR"/>
              </w:rPr>
              <w:fldChar w:fldCharType="begin">
                <w:ffData>
                  <w:name w:val=""/>
                  <w:enabled/>
                  <w:calcOnExit w:val="0"/>
                  <w:checkBox>
                    <w:sizeAuto/>
                    <w:default w:val="0"/>
                  </w:checkBox>
                </w:ffData>
              </w:fldChar>
            </w:r>
            <w:r w:rsidRPr="00742407">
              <w:rPr>
                <w:lang w:val="fr-FR"/>
              </w:rPr>
              <w:instrText xml:space="preserve"> FORMCHECKBOX </w:instrText>
            </w:r>
            <w:r w:rsidR="00000000">
              <w:rPr>
                <w:lang w:val="fr-FR"/>
              </w:rPr>
            </w:r>
            <w:r w:rsidR="00000000">
              <w:rPr>
                <w:lang w:val="fr-FR"/>
              </w:rPr>
              <w:fldChar w:fldCharType="separate"/>
            </w:r>
            <w:r w:rsidRPr="00742407">
              <w:rPr>
                <w:lang w:val="fr-FR"/>
              </w:rPr>
              <w:fldChar w:fldCharType="end"/>
            </w:r>
            <w:r w:rsidRPr="00742407">
              <w:rPr>
                <w:lang w:val="fr-FR"/>
              </w:rPr>
              <w:t xml:space="preserve"> Transition entre différentes configurations de </w:t>
            </w:r>
            <w:r w:rsidRPr="00742407">
              <w:rPr>
                <w:sz w:val="22"/>
                <w:szCs w:val="22"/>
                <w:lang w:val="fr-FR"/>
              </w:rPr>
              <w:t>l’ONU (e.g. sortie de la mission de maintien de la paix)</w:t>
            </w:r>
          </w:p>
          <w:p w14:paraId="7A1D285E" w14:textId="77777777" w:rsidR="00793DE6" w:rsidRPr="00742407" w:rsidRDefault="000F43A8" w:rsidP="000F43A8">
            <w:pPr>
              <w:rPr>
                <w:lang w:val="fr-FR"/>
              </w:rPr>
            </w:pPr>
            <w:r w:rsidRPr="00742407">
              <w:rPr>
                <w:lang w:val="fr-FR"/>
              </w:rPr>
              <w:fldChar w:fldCharType="begin">
                <w:ffData>
                  <w:name w:val=""/>
                  <w:enabled/>
                  <w:calcOnExit w:val="0"/>
                  <w:checkBox>
                    <w:sizeAuto/>
                    <w:default w:val="0"/>
                  </w:checkBox>
                </w:ffData>
              </w:fldChar>
            </w:r>
            <w:r w:rsidRPr="00742407">
              <w:rPr>
                <w:lang w:val="fr-FR"/>
              </w:rPr>
              <w:instrText xml:space="preserve"> FORMCHECKBOX </w:instrText>
            </w:r>
            <w:r w:rsidR="00000000">
              <w:rPr>
                <w:lang w:val="fr-FR"/>
              </w:rPr>
            </w:r>
            <w:r w:rsidR="00000000">
              <w:rPr>
                <w:lang w:val="fr-FR"/>
              </w:rPr>
              <w:fldChar w:fldCharType="separate"/>
            </w:r>
            <w:r w:rsidRPr="00742407">
              <w:rPr>
                <w:lang w:val="fr-FR"/>
              </w:rPr>
              <w:fldChar w:fldCharType="end"/>
            </w:r>
            <w:r w:rsidRPr="00742407">
              <w:rPr>
                <w:lang w:val="fr-FR"/>
              </w:rPr>
              <w:t xml:space="preserve"> Projet transfrontalier ou régional</w:t>
            </w:r>
          </w:p>
          <w:p w14:paraId="4BA2AA6A" w14:textId="77777777" w:rsidR="000F43A8" w:rsidRPr="00742407" w:rsidRDefault="000F43A8" w:rsidP="000F43A8">
            <w:pPr>
              <w:rPr>
                <w:b/>
                <w:bCs/>
                <w:iCs/>
              </w:rPr>
            </w:pPr>
          </w:p>
        </w:tc>
      </w:tr>
      <w:tr w:rsidR="00793DE6" w:rsidRPr="006B0660" w14:paraId="65120CDF" w14:textId="77777777" w:rsidTr="6595E2F0">
        <w:trPr>
          <w:trHeight w:val="1124"/>
        </w:trPr>
        <w:tc>
          <w:tcPr>
            <w:tcW w:w="10080" w:type="dxa"/>
            <w:gridSpan w:val="2"/>
          </w:tcPr>
          <w:p w14:paraId="08D9EBF0" w14:textId="4B56CC18" w:rsidR="00793DE6" w:rsidRPr="00742407" w:rsidRDefault="000F43A8" w:rsidP="00F23D0F">
            <w:pPr>
              <w:rPr>
                <w:b/>
                <w:bCs/>
                <w:iCs/>
                <w:lang w:val="fr-FR"/>
              </w:rPr>
            </w:pPr>
            <w:r w:rsidRPr="00742407">
              <w:rPr>
                <w:b/>
                <w:bCs/>
                <w:iCs/>
                <w:lang w:val="fr-FR"/>
              </w:rPr>
              <w:t>Budget PBF total approuvé</w:t>
            </w:r>
            <w:r w:rsidR="00793DE6" w:rsidRPr="00742407">
              <w:rPr>
                <w:b/>
                <w:bCs/>
                <w:iCs/>
                <w:lang w:val="fr-FR"/>
              </w:rPr>
              <w:t xml:space="preserve"> (</w:t>
            </w:r>
            <w:r w:rsidRPr="00742407">
              <w:rPr>
                <w:b/>
                <w:bCs/>
                <w:iCs/>
                <w:lang w:val="fr-FR"/>
              </w:rPr>
              <w:t>par agence récipiendaire</w:t>
            </w:r>
            <w:r w:rsidR="00AF1DA3" w:rsidRPr="00742407">
              <w:rPr>
                <w:b/>
                <w:bCs/>
                <w:iCs/>
                <w:lang w:val="fr-FR"/>
              </w:rPr>
              <w:t>) :</w:t>
            </w:r>
            <w:r w:rsidR="00793DE6" w:rsidRPr="00742407">
              <w:rPr>
                <w:b/>
                <w:bCs/>
                <w:iCs/>
                <w:lang w:val="fr-FR"/>
              </w:rPr>
              <w:t xml:space="preserve"> </w:t>
            </w:r>
          </w:p>
          <w:p w14:paraId="7B753D4D" w14:textId="77777777" w:rsidR="00117EE7" w:rsidRPr="00742407" w:rsidRDefault="00117EE7" w:rsidP="001B7DD1">
            <w:pPr>
              <w:pStyle w:val="Paragraphedeliste"/>
              <w:numPr>
                <w:ilvl w:val="0"/>
                <w:numId w:val="2"/>
              </w:numPr>
              <w:rPr>
                <w:iCs/>
                <w:lang w:val="fr-FR"/>
              </w:rPr>
            </w:pPr>
            <w:r w:rsidRPr="00742407">
              <w:rPr>
                <w:iCs/>
                <w:lang w:val="fr-FR"/>
              </w:rPr>
              <w:t xml:space="preserve">Veuillez indiquer les montants totaux en dollars US alloués à chaque organisation récipiendaire </w:t>
            </w:r>
          </w:p>
          <w:p w14:paraId="1E0D2B41" w14:textId="13DB01C6" w:rsidR="00117EE7" w:rsidRPr="00742407" w:rsidRDefault="00117EE7" w:rsidP="001B7DD1">
            <w:pPr>
              <w:pStyle w:val="Paragraphedeliste"/>
              <w:numPr>
                <w:ilvl w:val="0"/>
                <w:numId w:val="2"/>
              </w:numPr>
              <w:rPr>
                <w:iCs/>
                <w:lang w:val="fr-FR"/>
              </w:rPr>
            </w:pPr>
            <w:r w:rsidRPr="00742407">
              <w:rPr>
                <w:iCs/>
                <w:lang w:val="fr-FR"/>
              </w:rPr>
              <w:t>Veuillez indiquer le montant du budget initial, le montant transféré à ce jour et l'estimation des dépenses par récipiendaire.</w:t>
            </w:r>
          </w:p>
          <w:p w14:paraId="53DFD428" w14:textId="3CDA5E11" w:rsidR="00117EE7" w:rsidRPr="00742407" w:rsidRDefault="00117EE7" w:rsidP="001B7DD1">
            <w:pPr>
              <w:pStyle w:val="Paragraphedeliste"/>
              <w:numPr>
                <w:ilvl w:val="0"/>
                <w:numId w:val="2"/>
              </w:numPr>
              <w:rPr>
                <w:iCs/>
                <w:lang w:val="fr-FR"/>
              </w:rPr>
            </w:pPr>
            <w:r w:rsidRPr="0074240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742407" w:rsidRDefault="001A2539" w:rsidP="00F23D0F">
            <w:pPr>
              <w:rPr>
                <w:b/>
                <w:bCs/>
                <w:iCs/>
                <w:lang w:val="fr-FR"/>
              </w:rPr>
            </w:pPr>
          </w:p>
          <w:tbl>
            <w:tblPr>
              <w:tblStyle w:val="Grilledutableau"/>
              <w:tblW w:w="0" w:type="auto"/>
              <w:tblLook w:val="04A0" w:firstRow="1" w:lastRow="0" w:firstColumn="1" w:lastColumn="0" w:noHBand="0" w:noVBand="1"/>
            </w:tblPr>
            <w:tblGrid>
              <w:gridCol w:w="3081"/>
              <w:gridCol w:w="2736"/>
              <w:gridCol w:w="2226"/>
              <w:gridCol w:w="1811"/>
            </w:tblGrid>
            <w:tr w:rsidR="001A2539" w:rsidRPr="006B0660" w14:paraId="3D65A18C" w14:textId="77777777" w:rsidTr="00A55CCC">
              <w:tc>
                <w:tcPr>
                  <w:tcW w:w="3081" w:type="dxa"/>
                </w:tcPr>
                <w:p w14:paraId="10E5F295" w14:textId="05B588BD" w:rsidR="001A2539" w:rsidRPr="00742407" w:rsidRDefault="001A2539" w:rsidP="001A2539">
                  <w:pPr>
                    <w:rPr>
                      <w:b/>
                      <w:bCs/>
                      <w:iCs/>
                      <w:lang w:val="fr-FR"/>
                    </w:rPr>
                  </w:pPr>
                  <w:r w:rsidRPr="00742407">
                    <w:rPr>
                      <w:b/>
                      <w:bCs/>
                      <w:iCs/>
                      <w:lang w:val="fr-FR"/>
                    </w:rPr>
                    <w:t>Récipiendaire</w:t>
                  </w:r>
                </w:p>
              </w:tc>
              <w:tc>
                <w:tcPr>
                  <w:tcW w:w="2736" w:type="dxa"/>
                </w:tcPr>
                <w:p w14:paraId="6097FF9D" w14:textId="2C2CA68F" w:rsidR="001A2539" w:rsidRPr="00742407" w:rsidRDefault="001A2539" w:rsidP="001A2539">
                  <w:pPr>
                    <w:jc w:val="center"/>
                    <w:rPr>
                      <w:b/>
                      <w:bCs/>
                      <w:iCs/>
                      <w:lang w:val="fr-FR"/>
                    </w:rPr>
                  </w:pPr>
                  <w:r w:rsidRPr="00742407">
                    <w:rPr>
                      <w:b/>
                      <w:bCs/>
                      <w:iCs/>
                      <w:lang w:val="fr-FR"/>
                    </w:rPr>
                    <w:t>Budget Alloué ($)</w:t>
                  </w:r>
                </w:p>
              </w:tc>
              <w:tc>
                <w:tcPr>
                  <w:tcW w:w="2226" w:type="dxa"/>
                </w:tcPr>
                <w:p w14:paraId="423620CC" w14:textId="6540F110" w:rsidR="001A2539" w:rsidRPr="00742407" w:rsidRDefault="001A2539" w:rsidP="001A2539">
                  <w:pPr>
                    <w:jc w:val="center"/>
                    <w:rPr>
                      <w:b/>
                      <w:bCs/>
                      <w:iCs/>
                      <w:lang w:val="fr-FR"/>
                    </w:rPr>
                  </w:pPr>
                  <w:r w:rsidRPr="00742407">
                    <w:rPr>
                      <w:b/>
                      <w:bCs/>
                      <w:iCs/>
                      <w:lang w:val="fr-FR"/>
                    </w:rPr>
                    <w:t>Transferts à ce jour ($)</w:t>
                  </w:r>
                </w:p>
              </w:tc>
              <w:tc>
                <w:tcPr>
                  <w:tcW w:w="1811" w:type="dxa"/>
                </w:tcPr>
                <w:p w14:paraId="31950821" w14:textId="29F72919" w:rsidR="001A2539" w:rsidRPr="00742407" w:rsidRDefault="001A2539" w:rsidP="001A2539">
                  <w:pPr>
                    <w:jc w:val="center"/>
                    <w:rPr>
                      <w:b/>
                      <w:bCs/>
                      <w:iCs/>
                      <w:lang w:val="fr-FR"/>
                    </w:rPr>
                  </w:pPr>
                  <w:r w:rsidRPr="00742407">
                    <w:rPr>
                      <w:b/>
                      <w:bCs/>
                      <w:iCs/>
                      <w:lang w:val="fr-FR"/>
                    </w:rPr>
                    <w:t>Dépenses à ce jour ($)</w:t>
                  </w:r>
                </w:p>
              </w:tc>
            </w:tr>
            <w:tr w:rsidR="001A2539" w:rsidRPr="006B0660" w14:paraId="5F79C4FD" w14:textId="77777777" w:rsidTr="00A55CCC">
              <w:trPr>
                <w:trHeight w:val="454"/>
              </w:trPr>
              <w:tc>
                <w:tcPr>
                  <w:tcW w:w="3081" w:type="dxa"/>
                </w:tcPr>
                <w:p w14:paraId="7EF33D3D" w14:textId="77C64CA9" w:rsidR="001A2539" w:rsidRPr="00742407" w:rsidRDefault="00892A25" w:rsidP="001A2539">
                  <w:pPr>
                    <w:rPr>
                      <w:b/>
                      <w:bCs/>
                      <w:iCs/>
                      <w:lang w:val="fr-FR"/>
                    </w:rPr>
                  </w:pPr>
                  <w:r w:rsidRPr="00742407">
                    <w:rPr>
                      <w:b/>
                      <w:bCs/>
                      <w:iCs/>
                      <w:lang w:val="fr-FR"/>
                    </w:rPr>
                    <w:t>PNUD</w:t>
                  </w:r>
                </w:p>
              </w:tc>
              <w:tc>
                <w:tcPr>
                  <w:tcW w:w="2736" w:type="dxa"/>
                </w:tcPr>
                <w:p w14:paraId="54815501" w14:textId="02D620DD" w:rsidR="001A2539" w:rsidRPr="00742407" w:rsidRDefault="00892A25" w:rsidP="001A2539">
                  <w:pPr>
                    <w:jc w:val="center"/>
                    <w:rPr>
                      <w:b/>
                      <w:bCs/>
                      <w:iCs/>
                      <w:lang w:val="fr-FR"/>
                    </w:rPr>
                  </w:pPr>
                  <w:r w:rsidRPr="00742407">
                    <w:rPr>
                      <w:iCs/>
                      <w:lang w:val="fr-FR"/>
                    </w:rPr>
                    <w:t xml:space="preserve">$ </w:t>
                  </w:r>
                  <w:r w:rsidRPr="00742407">
                    <w:rPr>
                      <w:lang w:val="fr-FR"/>
                    </w:rPr>
                    <w:t>3,467,900</w:t>
                  </w:r>
                </w:p>
              </w:tc>
              <w:tc>
                <w:tcPr>
                  <w:tcW w:w="2226" w:type="dxa"/>
                </w:tcPr>
                <w:p w14:paraId="00A6ED58" w14:textId="7E389F8D" w:rsidR="001A2539" w:rsidRPr="00742407" w:rsidRDefault="00892A25" w:rsidP="001A2539">
                  <w:pPr>
                    <w:jc w:val="center"/>
                    <w:rPr>
                      <w:b/>
                      <w:bCs/>
                      <w:iCs/>
                      <w:lang w:val="fr-FR"/>
                    </w:rPr>
                  </w:pPr>
                  <w:r w:rsidRPr="00742407">
                    <w:rPr>
                      <w:iCs/>
                      <w:lang w:val="fr-FR"/>
                    </w:rPr>
                    <w:t xml:space="preserve">$ </w:t>
                  </w:r>
                  <w:r w:rsidR="00347154" w:rsidRPr="00742407">
                    <w:rPr>
                      <w:lang w:val="fr-FR"/>
                    </w:rPr>
                    <w:t>3,467,900</w:t>
                  </w:r>
                </w:p>
              </w:tc>
              <w:tc>
                <w:tcPr>
                  <w:tcW w:w="1811" w:type="dxa"/>
                </w:tcPr>
                <w:p w14:paraId="1EEC049D" w14:textId="629FE80B" w:rsidR="001A2539" w:rsidRPr="00742407" w:rsidRDefault="00892A25" w:rsidP="001A2539">
                  <w:pPr>
                    <w:jc w:val="center"/>
                    <w:rPr>
                      <w:b/>
                      <w:bCs/>
                      <w:iCs/>
                      <w:lang w:val="fr-FR"/>
                    </w:rPr>
                  </w:pPr>
                  <w:r w:rsidRPr="00742407">
                    <w:rPr>
                      <w:iCs/>
                      <w:lang w:val="fr-FR"/>
                    </w:rPr>
                    <w:t xml:space="preserve">$ </w:t>
                  </w:r>
                  <w:r w:rsidR="00E45377" w:rsidRPr="00742407">
                    <w:rPr>
                      <w:lang w:val="fr-FR"/>
                    </w:rPr>
                    <w:t>3,467,900</w:t>
                  </w:r>
                </w:p>
              </w:tc>
            </w:tr>
            <w:tr w:rsidR="001A2539" w:rsidRPr="006B0660" w14:paraId="0CD61B42" w14:textId="77777777" w:rsidTr="00A55CCC">
              <w:trPr>
                <w:trHeight w:val="454"/>
              </w:trPr>
              <w:tc>
                <w:tcPr>
                  <w:tcW w:w="3081" w:type="dxa"/>
                </w:tcPr>
                <w:p w14:paraId="5D870DF7" w14:textId="48A595BB" w:rsidR="001A2539" w:rsidRPr="00742407" w:rsidRDefault="00892A25" w:rsidP="001A2539">
                  <w:pPr>
                    <w:rPr>
                      <w:b/>
                      <w:bCs/>
                      <w:iCs/>
                      <w:lang w:val="fr-FR"/>
                    </w:rPr>
                  </w:pPr>
                  <w:r w:rsidRPr="00742407">
                    <w:rPr>
                      <w:b/>
                      <w:bCs/>
                      <w:iCs/>
                      <w:lang w:val="fr-FR"/>
                    </w:rPr>
                    <w:t>ONU Femmes</w:t>
                  </w:r>
                </w:p>
              </w:tc>
              <w:tc>
                <w:tcPr>
                  <w:tcW w:w="2736" w:type="dxa"/>
                </w:tcPr>
                <w:p w14:paraId="212F9C0B" w14:textId="122B1AC3" w:rsidR="001A2539" w:rsidRPr="00742407" w:rsidRDefault="00347154" w:rsidP="001A2539">
                  <w:pPr>
                    <w:jc w:val="center"/>
                    <w:rPr>
                      <w:iCs/>
                      <w:lang w:val="fr-FR"/>
                    </w:rPr>
                  </w:pPr>
                  <w:r w:rsidRPr="00742407">
                    <w:rPr>
                      <w:iCs/>
                      <w:lang w:val="fr-FR"/>
                    </w:rPr>
                    <w:t>$ 1,032,100</w:t>
                  </w:r>
                </w:p>
              </w:tc>
              <w:tc>
                <w:tcPr>
                  <w:tcW w:w="2226" w:type="dxa"/>
                </w:tcPr>
                <w:p w14:paraId="3A820745" w14:textId="7A2E81F4" w:rsidR="001A2539" w:rsidRPr="00742407" w:rsidRDefault="00347154" w:rsidP="001A2539">
                  <w:pPr>
                    <w:jc w:val="center"/>
                    <w:rPr>
                      <w:iCs/>
                      <w:lang w:val="fr-FR"/>
                    </w:rPr>
                  </w:pPr>
                  <w:r w:rsidRPr="00742407">
                    <w:rPr>
                      <w:iCs/>
                      <w:lang w:val="fr-FR"/>
                    </w:rPr>
                    <w:t>$ 1,032,100</w:t>
                  </w:r>
                </w:p>
              </w:tc>
              <w:tc>
                <w:tcPr>
                  <w:tcW w:w="1811" w:type="dxa"/>
                </w:tcPr>
                <w:p w14:paraId="295DC187" w14:textId="79D2FB5F" w:rsidR="001A2539" w:rsidRPr="00742407" w:rsidRDefault="00347154" w:rsidP="001A2539">
                  <w:pPr>
                    <w:jc w:val="center"/>
                    <w:rPr>
                      <w:iCs/>
                      <w:lang w:val="fr-FR"/>
                    </w:rPr>
                  </w:pPr>
                  <w:r w:rsidRPr="00742407">
                    <w:rPr>
                      <w:iCs/>
                      <w:lang w:val="fr-FR"/>
                    </w:rPr>
                    <w:t>$ 1,032,100</w:t>
                  </w:r>
                </w:p>
              </w:tc>
            </w:tr>
            <w:tr w:rsidR="00347154" w:rsidRPr="006B0660" w14:paraId="2D0EA8FE" w14:textId="77777777" w:rsidTr="00A55CCC">
              <w:trPr>
                <w:trHeight w:val="454"/>
              </w:trPr>
              <w:tc>
                <w:tcPr>
                  <w:tcW w:w="3081" w:type="dxa"/>
                </w:tcPr>
                <w:p w14:paraId="3D976DCB" w14:textId="77777777" w:rsidR="00347154" w:rsidRPr="00742407" w:rsidRDefault="00347154" w:rsidP="00347154">
                  <w:pPr>
                    <w:rPr>
                      <w:b/>
                      <w:bCs/>
                      <w:iCs/>
                      <w:lang w:val="fr-FR"/>
                    </w:rPr>
                  </w:pPr>
                  <w:r w:rsidRPr="00742407">
                    <w:rPr>
                      <w:b/>
                      <w:bCs/>
                      <w:iCs/>
                      <w:lang w:val="fr-FR"/>
                    </w:rPr>
                    <w:t>TOTAL</w:t>
                  </w:r>
                </w:p>
              </w:tc>
              <w:tc>
                <w:tcPr>
                  <w:tcW w:w="2736" w:type="dxa"/>
                </w:tcPr>
                <w:p w14:paraId="755BE03B" w14:textId="034B63DB" w:rsidR="00347154" w:rsidRPr="00742407" w:rsidRDefault="00347154" w:rsidP="00347154">
                  <w:pPr>
                    <w:jc w:val="center"/>
                    <w:rPr>
                      <w:b/>
                      <w:bCs/>
                      <w:iCs/>
                      <w:lang w:val="fr-FR"/>
                    </w:rPr>
                  </w:pPr>
                  <w:r w:rsidRPr="00742407">
                    <w:rPr>
                      <w:b/>
                      <w:bCs/>
                      <w:iCs/>
                      <w:lang w:val="fr-FR"/>
                    </w:rPr>
                    <w:t>$ 4,500,000</w:t>
                  </w:r>
                </w:p>
              </w:tc>
              <w:tc>
                <w:tcPr>
                  <w:tcW w:w="2226" w:type="dxa"/>
                </w:tcPr>
                <w:p w14:paraId="60B62F51" w14:textId="7001319E" w:rsidR="00347154" w:rsidRPr="00742407" w:rsidRDefault="00347154" w:rsidP="00347154">
                  <w:pPr>
                    <w:jc w:val="center"/>
                    <w:rPr>
                      <w:b/>
                      <w:bCs/>
                      <w:iCs/>
                      <w:lang w:val="fr-FR"/>
                    </w:rPr>
                  </w:pPr>
                  <w:r w:rsidRPr="00742407">
                    <w:rPr>
                      <w:b/>
                      <w:bCs/>
                      <w:iCs/>
                      <w:lang w:val="fr-FR"/>
                    </w:rPr>
                    <w:t>$ 4,500,000</w:t>
                  </w:r>
                </w:p>
              </w:tc>
              <w:tc>
                <w:tcPr>
                  <w:tcW w:w="1811" w:type="dxa"/>
                </w:tcPr>
                <w:p w14:paraId="4842283E" w14:textId="15E34091" w:rsidR="00347154" w:rsidRPr="00742407" w:rsidRDefault="00E45377" w:rsidP="00347154">
                  <w:pPr>
                    <w:jc w:val="center"/>
                    <w:rPr>
                      <w:b/>
                      <w:bCs/>
                      <w:iCs/>
                      <w:lang w:val="fr-FR"/>
                    </w:rPr>
                  </w:pPr>
                  <w:r w:rsidRPr="00742407">
                    <w:rPr>
                      <w:b/>
                      <w:bCs/>
                      <w:iCs/>
                      <w:lang w:val="fr-FR"/>
                    </w:rPr>
                    <w:t>$</w:t>
                  </w:r>
                  <w:r>
                    <w:rPr>
                      <w:b/>
                      <w:bCs/>
                      <w:iCs/>
                      <w:lang w:val="fr-FR"/>
                    </w:rPr>
                    <w:t xml:space="preserve"> 4</w:t>
                  </w:r>
                  <w:r w:rsidR="00347154" w:rsidRPr="00742407">
                    <w:rPr>
                      <w:b/>
                      <w:bCs/>
                      <w:iCs/>
                      <w:lang w:val="fr-FR"/>
                    </w:rPr>
                    <w:t>,</w:t>
                  </w:r>
                  <w:r>
                    <w:rPr>
                      <w:b/>
                      <w:bCs/>
                      <w:iCs/>
                      <w:lang w:val="fr-FR"/>
                    </w:rPr>
                    <w:t>5</w:t>
                  </w:r>
                  <w:r w:rsidR="00347154" w:rsidRPr="00742407">
                    <w:rPr>
                      <w:b/>
                      <w:bCs/>
                      <w:iCs/>
                      <w:lang w:val="fr-FR"/>
                    </w:rPr>
                    <w:t>00,000</w:t>
                  </w:r>
                </w:p>
              </w:tc>
            </w:tr>
          </w:tbl>
          <w:p w14:paraId="5324AF29" w14:textId="1363E84C" w:rsidR="001C56B8" w:rsidRPr="00BA1EBD"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42407">
              <w:rPr>
                <w:rFonts w:ascii="Times New Roman" w:hAnsi="Times New Roman" w:cs="Times New Roman"/>
                <w:bCs/>
                <w:iCs/>
                <w:snapToGrid w:val="0"/>
                <w:sz w:val="24"/>
                <w:szCs w:val="24"/>
                <w:lang w:val="fr-FR"/>
              </w:rPr>
              <w:t xml:space="preserve">Taux de mise en œuvre comme pourcentage du budget total du </w:t>
            </w:r>
            <w:r w:rsidR="00347154" w:rsidRPr="00BA1EBD">
              <w:rPr>
                <w:rFonts w:ascii="Times New Roman" w:hAnsi="Times New Roman" w:cs="Times New Roman"/>
                <w:bCs/>
                <w:iCs/>
                <w:snapToGrid w:val="0"/>
                <w:sz w:val="24"/>
                <w:szCs w:val="24"/>
                <w:lang w:val="fr-FR"/>
              </w:rPr>
              <w:t>projet :</w:t>
            </w:r>
            <w:r w:rsidR="001C56B8" w:rsidRPr="00BA1EBD">
              <w:rPr>
                <w:rFonts w:ascii="Times New Roman" w:hAnsi="Times New Roman" w:cs="Times New Roman"/>
                <w:bCs/>
                <w:iCs/>
                <w:snapToGrid w:val="0"/>
                <w:sz w:val="24"/>
                <w:szCs w:val="24"/>
                <w:lang w:val="fr-FR"/>
              </w:rPr>
              <w:t xml:space="preserve"> </w:t>
            </w:r>
            <w:r w:rsidR="0082091E">
              <w:rPr>
                <w:rFonts w:ascii="Times New Roman" w:hAnsi="Times New Roman" w:cs="Times New Roman"/>
                <w:bCs/>
                <w:iCs/>
                <w:snapToGrid w:val="0"/>
                <w:sz w:val="24"/>
                <w:szCs w:val="24"/>
                <w:lang w:val="fr-FR"/>
              </w:rPr>
              <w:t>99</w:t>
            </w:r>
            <w:r w:rsidR="00C25259" w:rsidRPr="00BA1EBD">
              <w:rPr>
                <w:rFonts w:ascii="Times New Roman" w:hAnsi="Times New Roman" w:cs="Times New Roman"/>
                <w:bCs/>
                <w:iCs/>
                <w:snapToGrid w:val="0"/>
                <w:sz w:val="24"/>
                <w:szCs w:val="24"/>
                <w:lang w:val="fr-FR"/>
              </w:rPr>
              <w:t>%</w:t>
            </w:r>
          </w:p>
          <w:p w14:paraId="4160A5D1" w14:textId="7ED0FDBE" w:rsidR="00826923" w:rsidRPr="00742407"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BA1EBD">
              <w:rPr>
                <w:rFonts w:ascii="Times New Roman" w:hAnsi="Times New Roman" w:cs="Times New Roman"/>
                <w:bCs/>
                <w:iCs/>
                <w:snapToGrid w:val="0"/>
                <w:sz w:val="23"/>
                <w:szCs w:val="23"/>
                <w:lang w:val="fr-FR"/>
              </w:rPr>
              <w:t>*JOINDRE LE BUDGET EXCEL DU PROJET MONTRANT LES DÉPENSES APPROXIMATIVES</w:t>
            </w:r>
            <w:r w:rsidRPr="00742407">
              <w:rPr>
                <w:rFonts w:ascii="Times New Roman" w:hAnsi="Times New Roman" w:cs="Times New Roman"/>
                <w:bCs/>
                <w:iCs/>
                <w:snapToGrid w:val="0"/>
                <w:sz w:val="23"/>
                <w:szCs w:val="23"/>
                <w:lang w:val="fr-FR"/>
              </w:rPr>
              <w:t xml:space="preserve"> ACTUELLES*</w:t>
            </w:r>
          </w:p>
          <w:p w14:paraId="156379B1" w14:textId="126947CF" w:rsidR="001A2539" w:rsidRPr="00742407" w:rsidRDefault="001A2539"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r w:rsidRPr="00742407">
              <w:rPr>
                <w:rFonts w:ascii="Times New Roman" w:hAnsi="Times New Roman" w:cs="Times New Roman"/>
                <w:i/>
                <w:iCs/>
                <w:sz w:val="24"/>
                <w:szCs w:val="24"/>
                <w:lang w:val="fr-FR"/>
              </w:rPr>
              <w:lastRenderedPageBreak/>
              <w:t xml:space="preserve">Les modèles de budget sont disponibles </w:t>
            </w:r>
            <w:hyperlink r:id="rId13" w:history="1">
              <w:r w:rsidRPr="00742407">
                <w:rPr>
                  <w:rStyle w:val="Lienhypertexte"/>
                  <w:rFonts w:ascii="Times New Roman" w:hAnsi="Times New Roman" w:cs="Times New Roman"/>
                  <w:i/>
                  <w:iCs/>
                  <w:sz w:val="24"/>
                  <w:szCs w:val="24"/>
                  <w:lang w:val="fr-FR"/>
                </w:rPr>
                <w:t>ici</w:t>
              </w:r>
            </w:hyperlink>
          </w:p>
          <w:p w14:paraId="6BF489E4" w14:textId="1F5AEACA" w:rsidR="005820EE" w:rsidRPr="00742407" w:rsidRDefault="005820EE"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p>
          <w:p w14:paraId="7DEDFDB4" w14:textId="37FDEF0E" w:rsidR="005820EE" w:rsidRPr="00742407" w:rsidRDefault="005820EE" w:rsidP="005820EE">
            <w:pPr>
              <w:rPr>
                <w:b/>
                <w:bCs/>
                <w:lang w:val="fr-FR"/>
              </w:rPr>
            </w:pPr>
            <w:r w:rsidRPr="00742407">
              <w:rPr>
                <w:b/>
                <w:bCs/>
                <w:lang w:val="fr-FR"/>
              </w:rPr>
              <w:t xml:space="preserve">Partenaires de mise en </w:t>
            </w:r>
            <w:r w:rsidR="00C25259" w:rsidRPr="00742407">
              <w:rPr>
                <w:b/>
                <w:bCs/>
                <w:lang w:val="fr-FR"/>
              </w:rPr>
              <w:t>œuvre</w:t>
            </w:r>
          </w:p>
          <w:p w14:paraId="7691E4E7" w14:textId="3952F649" w:rsidR="005820EE" w:rsidRPr="00742407" w:rsidRDefault="00114BF9" w:rsidP="00114BF9">
            <w:pPr>
              <w:rPr>
                <w:lang w:val="fr-FR"/>
              </w:rPr>
            </w:pPr>
            <w:r w:rsidRPr="00742407">
              <w:rPr>
                <w:lang w:val="fr-FR"/>
              </w:rPr>
              <w:t>À combien de partenaires d</w:t>
            </w:r>
            <w:r w:rsidR="00390E93" w:rsidRPr="00742407">
              <w:rPr>
                <w:lang w:val="fr-FR"/>
              </w:rPr>
              <w:t xml:space="preserve">e mise en </w:t>
            </w:r>
            <w:r w:rsidR="00C25259" w:rsidRPr="00742407">
              <w:rPr>
                <w:lang w:val="fr-FR"/>
              </w:rPr>
              <w:t>œuvre</w:t>
            </w:r>
            <w:r w:rsidRPr="00742407">
              <w:rPr>
                <w:lang w:val="fr-FR"/>
              </w:rPr>
              <w:t xml:space="preserve"> est-ce que le projet a transfér</w:t>
            </w:r>
            <w:r w:rsidR="00390E93" w:rsidRPr="00742407">
              <w:rPr>
                <w:lang w:val="fr-FR"/>
              </w:rPr>
              <w:t>é</w:t>
            </w:r>
            <w:r w:rsidRPr="00742407">
              <w:rPr>
                <w:lang w:val="fr-FR"/>
              </w:rPr>
              <w:t xml:space="preserve"> de l'argent jusqu'à</w:t>
            </w:r>
            <w:r w:rsidR="00AF1DA3">
              <w:rPr>
                <w:lang w:val="fr-FR"/>
              </w:rPr>
              <w:t xml:space="preserve"> </w:t>
            </w:r>
            <w:r w:rsidR="00390E93" w:rsidRPr="00742407">
              <w:rPr>
                <w:lang w:val="fr-FR"/>
              </w:rPr>
              <w:t>présent ?</w:t>
            </w:r>
            <w:r w:rsidR="00931671" w:rsidRPr="00742407">
              <w:rPr>
                <w:lang w:val="fr-FR"/>
              </w:rPr>
              <w:t xml:space="preserve"> </w:t>
            </w:r>
            <w:r w:rsidR="001102A9" w:rsidRPr="00742407">
              <w:rPr>
                <w:lang w:val="fr-FR"/>
              </w:rPr>
              <w:fldChar w:fldCharType="begin">
                <w:ffData>
                  <w:name w:val="Text86"/>
                  <w:enabled/>
                  <w:calcOnExit w:val="0"/>
                  <w:textInput/>
                </w:ffData>
              </w:fldChar>
            </w:r>
            <w:bookmarkStart w:id="8" w:name="Text86"/>
            <w:r w:rsidR="001102A9" w:rsidRPr="00742407">
              <w:rPr>
                <w:lang w:val="fr-FR"/>
              </w:rPr>
              <w:instrText xml:space="preserve"> FORMTEXT </w:instrText>
            </w:r>
            <w:r w:rsidR="001102A9" w:rsidRPr="00742407">
              <w:rPr>
                <w:lang w:val="fr-FR"/>
              </w:rPr>
            </w:r>
            <w:r w:rsidR="001102A9" w:rsidRPr="00742407">
              <w:rPr>
                <w:lang w:val="fr-FR"/>
              </w:rPr>
              <w:fldChar w:fldCharType="separate"/>
            </w:r>
            <w:r w:rsidR="001102A9" w:rsidRPr="00742407">
              <w:rPr>
                <w:noProof/>
                <w:lang w:val="fr-FR"/>
              </w:rPr>
              <w:t> </w:t>
            </w:r>
            <w:r w:rsidR="00C25259" w:rsidRPr="00742407">
              <w:rPr>
                <w:noProof/>
                <w:lang w:val="fr-FR"/>
              </w:rPr>
              <w:t>4</w:t>
            </w:r>
            <w:r w:rsidR="001102A9" w:rsidRPr="00742407">
              <w:rPr>
                <w:noProof/>
                <w:lang w:val="fr-FR"/>
              </w:rPr>
              <w:t> </w:t>
            </w:r>
            <w:r w:rsidR="001102A9" w:rsidRPr="00742407">
              <w:rPr>
                <w:lang w:val="fr-FR"/>
              </w:rPr>
              <w:fldChar w:fldCharType="end"/>
            </w:r>
            <w:bookmarkEnd w:id="8"/>
          </w:p>
          <w:p w14:paraId="55F31639" w14:textId="69A87CB2" w:rsidR="001102A9" w:rsidRPr="00742407" w:rsidRDefault="001102A9" w:rsidP="00114BF9">
            <w:pPr>
              <w:rPr>
                <w:lang w:val="fr-FR"/>
              </w:rPr>
            </w:pPr>
          </w:p>
          <w:p w14:paraId="13E13D8F" w14:textId="62D4AE2A" w:rsidR="007E1D18" w:rsidRPr="00742407" w:rsidRDefault="001102A9" w:rsidP="00390E93">
            <w:pPr>
              <w:rPr>
                <w:lang w:val="fr-FR"/>
              </w:rPr>
            </w:pPr>
            <w:r w:rsidRPr="00742407">
              <w:rPr>
                <w:lang w:val="fr-FR"/>
              </w:rPr>
              <w:t>Merci d'énumérer chacun des partenaires d'implémentation et les montants transférés à chacun</w:t>
            </w:r>
          </w:p>
          <w:tbl>
            <w:tblPr>
              <w:tblStyle w:val="Grilledutableau"/>
              <w:tblW w:w="0" w:type="auto"/>
              <w:tblLook w:val="04A0" w:firstRow="1" w:lastRow="0" w:firstColumn="1" w:lastColumn="0" w:noHBand="0" w:noVBand="1"/>
            </w:tblPr>
            <w:tblGrid>
              <w:gridCol w:w="1380"/>
              <w:gridCol w:w="1985"/>
              <w:gridCol w:w="2268"/>
              <w:gridCol w:w="4221"/>
            </w:tblGrid>
            <w:tr w:rsidR="007E1D18" w:rsidRPr="006B0660" w14:paraId="6F2A1CBC" w14:textId="77777777" w:rsidTr="00BA1EBD">
              <w:tc>
                <w:tcPr>
                  <w:tcW w:w="1380" w:type="dxa"/>
                  <w:vAlign w:val="center"/>
                </w:tcPr>
                <w:p w14:paraId="1B690B91" w14:textId="76CA1F74" w:rsidR="007E1D18" w:rsidRPr="00981894" w:rsidRDefault="00AF05B5" w:rsidP="007E1D18">
                  <w:pPr>
                    <w:pStyle w:val="Textedebulles"/>
                    <w:numPr>
                      <w:ilvl w:val="12"/>
                      <w:numId w:val="0"/>
                    </w:numPr>
                    <w:tabs>
                      <w:tab w:val="left" w:pos="-720"/>
                      <w:tab w:val="left" w:pos="4500"/>
                    </w:tabs>
                    <w:suppressAutoHyphens/>
                    <w:rPr>
                      <w:rFonts w:ascii="Times New Roman" w:hAnsi="Times New Roman" w:cs="Times New Roman"/>
                      <w:b/>
                      <w:bCs/>
                      <w:i/>
                      <w:iCs/>
                      <w:sz w:val="24"/>
                      <w:szCs w:val="24"/>
                      <w:lang w:val="fr-FR"/>
                    </w:rPr>
                  </w:pPr>
                  <w:r w:rsidRPr="00981894">
                    <w:rPr>
                      <w:rFonts w:ascii="Times New Roman" w:hAnsi="Times New Roman" w:cs="Times New Roman"/>
                      <w:b/>
                      <w:bCs/>
                      <w:i/>
                      <w:iCs/>
                      <w:sz w:val="24"/>
                      <w:szCs w:val="24"/>
                      <w:lang w:val="fr-FR"/>
                    </w:rPr>
                    <w:t xml:space="preserve">Nom du partenaire de mis en </w:t>
                  </w:r>
                  <w:r w:rsidR="00390E93" w:rsidRPr="00981894">
                    <w:rPr>
                      <w:rFonts w:ascii="Times New Roman" w:hAnsi="Times New Roman" w:cs="Times New Roman"/>
                      <w:b/>
                      <w:bCs/>
                      <w:i/>
                      <w:iCs/>
                      <w:sz w:val="24"/>
                      <w:szCs w:val="24"/>
                      <w:lang w:val="fr-FR"/>
                    </w:rPr>
                    <w:t>œuvre</w:t>
                  </w:r>
                </w:p>
              </w:tc>
              <w:tc>
                <w:tcPr>
                  <w:tcW w:w="1985" w:type="dxa"/>
                  <w:vAlign w:val="center"/>
                </w:tcPr>
                <w:p w14:paraId="27ED8787" w14:textId="00141614" w:rsidR="007E1D18" w:rsidRPr="00981894" w:rsidRDefault="007E1D18" w:rsidP="007E1D18">
                  <w:pPr>
                    <w:pStyle w:val="Textedebulles"/>
                    <w:numPr>
                      <w:ilvl w:val="12"/>
                      <w:numId w:val="0"/>
                    </w:numPr>
                    <w:tabs>
                      <w:tab w:val="left" w:pos="-720"/>
                      <w:tab w:val="left" w:pos="4500"/>
                    </w:tabs>
                    <w:suppressAutoHyphens/>
                    <w:rPr>
                      <w:rFonts w:ascii="Times New Roman" w:hAnsi="Times New Roman" w:cs="Times New Roman"/>
                      <w:b/>
                      <w:bCs/>
                      <w:i/>
                      <w:iCs/>
                      <w:sz w:val="24"/>
                      <w:szCs w:val="24"/>
                      <w:lang w:val="fr-FR"/>
                    </w:rPr>
                  </w:pPr>
                  <w:r w:rsidRPr="00981894">
                    <w:rPr>
                      <w:rFonts w:ascii="Times New Roman" w:hAnsi="Times New Roman" w:cs="Times New Roman"/>
                      <w:b/>
                      <w:bCs/>
                      <w:i/>
                      <w:iCs/>
                      <w:sz w:val="24"/>
                      <w:szCs w:val="24"/>
                      <w:lang w:val="fr-FR"/>
                    </w:rPr>
                    <w:t xml:space="preserve">Type </w:t>
                  </w:r>
                  <w:r w:rsidR="00AF05B5" w:rsidRPr="00981894">
                    <w:rPr>
                      <w:rFonts w:ascii="Times New Roman" w:hAnsi="Times New Roman" w:cs="Times New Roman"/>
                      <w:b/>
                      <w:bCs/>
                      <w:i/>
                      <w:iCs/>
                      <w:sz w:val="24"/>
                      <w:szCs w:val="24"/>
                      <w:lang w:val="fr-FR"/>
                    </w:rPr>
                    <w:t>d</w:t>
                  </w:r>
                  <w:r w:rsidR="00AF05B5" w:rsidRPr="00981894">
                    <w:rPr>
                      <w:rFonts w:ascii="Times New Roman" w:hAnsi="Times New Roman" w:cs="Times New Roman"/>
                      <w:b/>
                      <w:bCs/>
                      <w:sz w:val="24"/>
                      <w:szCs w:val="24"/>
                      <w:lang w:val="fr-FR"/>
                    </w:rPr>
                    <w:t>’</w:t>
                  </w:r>
                  <w:r w:rsidR="00653559" w:rsidRPr="00981894">
                    <w:rPr>
                      <w:rFonts w:ascii="Times New Roman" w:hAnsi="Times New Roman" w:cs="Times New Roman"/>
                      <w:b/>
                      <w:bCs/>
                      <w:sz w:val="24"/>
                      <w:szCs w:val="24"/>
                      <w:lang w:val="fr-FR"/>
                    </w:rPr>
                    <w:t>o</w:t>
                  </w:r>
                  <w:r w:rsidRPr="00981894">
                    <w:rPr>
                      <w:rFonts w:ascii="Times New Roman" w:hAnsi="Times New Roman" w:cs="Times New Roman"/>
                      <w:b/>
                      <w:bCs/>
                      <w:i/>
                      <w:iCs/>
                      <w:sz w:val="24"/>
                      <w:szCs w:val="24"/>
                      <w:lang w:val="fr-FR"/>
                    </w:rPr>
                    <w:t xml:space="preserve">rganisation (ex. </w:t>
                  </w:r>
                  <w:proofErr w:type="spellStart"/>
                  <w:r w:rsidRPr="00981894">
                    <w:rPr>
                      <w:rFonts w:ascii="Times New Roman" w:hAnsi="Times New Roman" w:cs="Times New Roman"/>
                      <w:b/>
                      <w:bCs/>
                      <w:i/>
                      <w:iCs/>
                      <w:sz w:val="24"/>
                      <w:szCs w:val="24"/>
                      <w:lang w:val="fr-FR"/>
                    </w:rPr>
                    <w:t>Govt</w:t>
                  </w:r>
                  <w:proofErr w:type="spellEnd"/>
                  <w:r w:rsidRPr="00981894">
                    <w:rPr>
                      <w:rFonts w:ascii="Times New Roman" w:hAnsi="Times New Roman" w:cs="Times New Roman"/>
                      <w:b/>
                      <w:bCs/>
                      <w:i/>
                      <w:iCs/>
                      <w:sz w:val="24"/>
                      <w:szCs w:val="24"/>
                      <w:lang w:val="fr-FR"/>
                    </w:rPr>
                    <w:t xml:space="preserve">, </w:t>
                  </w:r>
                  <w:r w:rsidR="00AF05B5" w:rsidRPr="00981894">
                    <w:rPr>
                      <w:rFonts w:ascii="Times New Roman" w:hAnsi="Times New Roman" w:cs="Times New Roman"/>
                      <w:b/>
                      <w:bCs/>
                      <w:i/>
                      <w:iCs/>
                      <w:sz w:val="24"/>
                      <w:szCs w:val="24"/>
                      <w:lang w:val="fr-FR"/>
                    </w:rPr>
                    <w:t>s</w:t>
                  </w:r>
                  <w:r w:rsidR="00AF05B5" w:rsidRPr="00981894">
                    <w:rPr>
                      <w:rFonts w:ascii="Times New Roman" w:hAnsi="Times New Roman" w:cs="Times New Roman"/>
                      <w:b/>
                      <w:bCs/>
                      <w:sz w:val="24"/>
                      <w:szCs w:val="24"/>
                      <w:lang w:val="fr-FR"/>
                    </w:rPr>
                    <w:t>ociété civile</w:t>
                  </w:r>
                  <w:r w:rsidRPr="00981894">
                    <w:rPr>
                      <w:rFonts w:ascii="Times New Roman" w:hAnsi="Times New Roman" w:cs="Times New Roman"/>
                      <w:b/>
                      <w:bCs/>
                      <w:i/>
                      <w:iCs/>
                      <w:sz w:val="24"/>
                      <w:szCs w:val="24"/>
                      <w:lang w:val="fr-FR"/>
                    </w:rPr>
                    <w:t>, etc.)</w:t>
                  </w:r>
                </w:p>
              </w:tc>
              <w:tc>
                <w:tcPr>
                  <w:tcW w:w="2268" w:type="dxa"/>
                  <w:vAlign w:val="center"/>
                </w:tcPr>
                <w:p w14:paraId="5E751551" w14:textId="1AD5B8F5" w:rsidR="007E1D18" w:rsidRPr="00981894" w:rsidRDefault="00264DA0" w:rsidP="007E1D18">
                  <w:pPr>
                    <w:pStyle w:val="Textedebulles"/>
                    <w:numPr>
                      <w:ilvl w:val="12"/>
                      <w:numId w:val="0"/>
                    </w:numPr>
                    <w:tabs>
                      <w:tab w:val="left" w:pos="-720"/>
                      <w:tab w:val="left" w:pos="4500"/>
                    </w:tabs>
                    <w:suppressAutoHyphens/>
                    <w:rPr>
                      <w:rFonts w:ascii="Times New Roman" w:hAnsi="Times New Roman" w:cs="Times New Roman"/>
                      <w:b/>
                      <w:bCs/>
                      <w:i/>
                      <w:iCs/>
                      <w:sz w:val="24"/>
                      <w:szCs w:val="24"/>
                      <w:lang w:val="fr-FR"/>
                    </w:rPr>
                  </w:pPr>
                  <w:r w:rsidRPr="00981894">
                    <w:rPr>
                      <w:rFonts w:ascii="Times New Roman" w:hAnsi="Times New Roman" w:cs="Times New Roman"/>
                      <w:b/>
                      <w:bCs/>
                      <w:i/>
                      <w:iCs/>
                      <w:sz w:val="24"/>
                      <w:szCs w:val="24"/>
                      <w:lang w:val="fr-FR"/>
                    </w:rPr>
                    <w:t>Quel est le montant total (en dollars USD) déboursé au partenaire</w:t>
                  </w:r>
                  <w:r w:rsidR="00390E93" w:rsidRPr="00981894">
                    <w:rPr>
                      <w:rFonts w:ascii="Times New Roman" w:hAnsi="Times New Roman" w:cs="Times New Roman"/>
                      <w:b/>
                      <w:bCs/>
                      <w:i/>
                      <w:iCs/>
                      <w:sz w:val="24"/>
                      <w:szCs w:val="24"/>
                      <w:lang w:val="fr-FR"/>
                    </w:rPr>
                    <w:t xml:space="preserve"> </w:t>
                  </w:r>
                  <w:r w:rsidRPr="00981894">
                    <w:rPr>
                      <w:rFonts w:ascii="Times New Roman" w:hAnsi="Times New Roman" w:cs="Times New Roman"/>
                      <w:b/>
                      <w:bCs/>
                      <w:i/>
                      <w:iCs/>
                      <w:sz w:val="24"/>
                      <w:szCs w:val="24"/>
                      <w:lang w:val="fr-FR"/>
                    </w:rPr>
                    <w:t>?</w:t>
                  </w:r>
                </w:p>
              </w:tc>
              <w:tc>
                <w:tcPr>
                  <w:tcW w:w="4221" w:type="dxa"/>
                  <w:vAlign w:val="center"/>
                </w:tcPr>
                <w:p w14:paraId="4CBFA502" w14:textId="1CC6864B" w:rsidR="007E1D18" w:rsidRPr="00981894" w:rsidRDefault="002C356E" w:rsidP="007E1D18">
                  <w:pPr>
                    <w:pStyle w:val="Textedebulles"/>
                    <w:numPr>
                      <w:ilvl w:val="12"/>
                      <w:numId w:val="0"/>
                    </w:numPr>
                    <w:tabs>
                      <w:tab w:val="left" w:pos="-720"/>
                      <w:tab w:val="left" w:pos="4500"/>
                    </w:tabs>
                    <w:suppressAutoHyphens/>
                    <w:rPr>
                      <w:rFonts w:ascii="Times New Roman" w:hAnsi="Times New Roman" w:cs="Times New Roman"/>
                      <w:b/>
                      <w:bCs/>
                      <w:i/>
                      <w:iCs/>
                      <w:sz w:val="24"/>
                      <w:szCs w:val="24"/>
                      <w:lang w:val="fr-FR"/>
                    </w:rPr>
                  </w:pPr>
                  <w:r w:rsidRPr="00981894">
                    <w:rPr>
                      <w:rFonts w:ascii="Times New Roman" w:hAnsi="Times New Roman" w:cs="Times New Roman"/>
                      <w:b/>
                      <w:bCs/>
                      <w:i/>
                      <w:iCs/>
                      <w:sz w:val="24"/>
                      <w:szCs w:val="24"/>
                      <w:lang w:val="fr-FR"/>
                    </w:rPr>
                    <w:t>Décrivez brièvement les activités principales menés par le partenaire (175 mots</w:t>
                  </w:r>
                  <w:r w:rsidR="00C47968" w:rsidRPr="00981894">
                    <w:rPr>
                      <w:rFonts w:ascii="Times New Roman" w:hAnsi="Times New Roman" w:cs="Times New Roman"/>
                      <w:b/>
                      <w:bCs/>
                      <w:i/>
                      <w:iCs/>
                      <w:sz w:val="24"/>
                      <w:szCs w:val="24"/>
                      <w:lang w:val="fr-FR"/>
                    </w:rPr>
                    <w:t xml:space="preserve"> max</w:t>
                  </w:r>
                  <w:r w:rsidRPr="00981894">
                    <w:rPr>
                      <w:rFonts w:ascii="Times New Roman" w:hAnsi="Times New Roman" w:cs="Times New Roman"/>
                      <w:b/>
                      <w:bCs/>
                      <w:i/>
                      <w:iCs/>
                      <w:sz w:val="24"/>
                      <w:szCs w:val="24"/>
                      <w:lang w:val="fr-FR"/>
                    </w:rPr>
                    <w:t>)</w:t>
                  </w:r>
                </w:p>
              </w:tc>
            </w:tr>
            <w:tr w:rsidR="0069567F" w:rsidRPr="006B0660" w14:paraId="0D0C9AFF" w14:textId="77777777" w:rsidTr="00BF53FF">
              <w:trPr>
                <w:trHeight w:val="1688"/>
              </w:trPr>
              <w:tc>
                <w:tcPr>
                  <w:tcW w:w="1380" w:type="dxa"/>
                  <w:vAlign w:val="center"/>
                </w:tcPr>
                <w:p w14:paraId="5F757FFA" w14:textId="3AD6BB92" w:rsidR="00631B6F" w:rsidRDefault="00631B6F" w:rsidP="007E1D18">
                  <w:pPr>
                    <w:pStyle w:val="Textedebulles"/>
                    <w:numPr>
                      <w:ilvl w:val="12"/>
                      <w:numId w:val="0"/>
                    </w:numPr>
                    <w:tabs>
                      <w:tab w:val="left" w:pos="-720"/>
                      <w:tab w:val="left" w:pos="4500"/>
                    </w:tabs>
                    <w:suppressAutoHyphens/>
                    <w:rPr>
                      <w:rFonts w:ascii="Times New Roman" w:hAnsi="Times New Roman" w:cs="Times New Roman"/>
                      <w:sz w:val="24"/>
                      <w:szCs w:val="24"/>
                      <w:highlight w:val="yellow"/>
                      <w:lang w:val="fr-FR"/>
                    </w:rPr>
                  </w:pPr>
                </w:p>
                <w:p w14:paraId="5AE69AE4" w14:textId="77777777" w:rsidR="00F84F79" w:rsidRDefault="00F84F79" w:rsidP="007E1D18">
                  <w:pPr>
                    <w:pStyle w:val="Textedebulles"/>
                    <w:numPr>
                      <w:ilvl w:val="12"/>
                      <w:numId w:val="0"/>
                    </w:numPr>
                    <w:tabs>
                      <w:tab w:val="left" w:pos="-720"/>
                      <w:tab w:val="left" w:pos="4500"/>
                    </w:tabs>
                    <w:suppressAutoHyphens/>
                    <w:rPr>
                      <w:rFonts w:ascii="Times New Roman" w:hAnsi="Times New Roman" w:cs="Times New Roman"/>
                      <w:sz w:val="24"/>
                      <w:szCs w:val="24"/>
                      <w:highlight w:val="yellow"/>
                      <w:lang w:val="fr-FR"/>
                    </w:rPr>
                  </w:pPr>
                </w:p>
                <w:p w14:paraId="325BC27B" w14:textId="55A614B6" w:rsidR="0069567F" w:rsidRPr="00F84F79" w:rsidRDefault="0069567F"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F84F79">
                    <w:rPr>
                      <w:rFonts w:ascii="Times New Roman" w:hAnsi="Times New Roman" w:cs="Times New Roman"/>
                      <w:sz w:val="24"/>
                      <w:szCs w:val="24"/>
                      <w:lang w:val="fr-FR"/>
                    </w:rPr>
                    <w:t>AFJC</w:t>
                  </w:r>
                </w:p>
                <w:p w14:paraId="38FC0AC3" w14:textId="77777777" w:rsidR="0069567F" w:rsidRPr="00981894" w:rsidRDefault="0069567F" w:rsidP="007E1D18">
                  <w:pPr>
                    <w:pStyle w:val="Textedebulles"/>
                    <w:numPr>
                      <w:ilvl w:val="12"/>
                      <w:numId w:val="0"/>
                    </w:numPr>
                    <w:tabs>
                      <w:tab w:val="left" w:pos="-720"/>
                      <w:tab w:val="left" w:pos="4500"/>
                    </w:tabs>
                    <w:suppressAutoHyphens/>
                    <w:rPr>
                      <w:rFonts w:ascii="Times New Roman" w:hAnsi="Times New Roman" w:cs="Times New Roman"/>
                      <w:sz w:val="24"/>
                      <w:szCs w:val="24"/>
                      <w:highlight w:val="yellow"/>
                      <w:lang w:val="fr-FR"/>
                    </w:rPr>
                  </w:pPr>
                </w:p>
                <w:p w14:paraId="3D9D3E6D" w14:textId="3A5F696A" w:rsidR="0069567F" w:rsidRPr="00981894" w:rsidRDefault="0069567F" w:rsidP="00C25259">
                  <w:pPr>
                    <w:pStyle w:val="Textedebulles"/>
                    <w:numPr>
                      <w:ilvl w:val="12"/>
                      <w:numId w:val="0"/>
                    </w:numPr>
                    <w:tabs>
                      <w:tab w:val="left" w:pos="-720"/>
                      <w:tab w:val="left" w:pos="4500"/>
                    </w:tabs>
                    <w:suppressAutoHyphens/>
                    <w:rPr>
                      <w:rFonts w:ascii="Times New Roman" w:hAnsi="Times New Roman" w:cs="Times New Roman"/>
                      <w:sz w:val="24"/>
                      <w:szCs w:val="24"/>
                      <w:highlight w:val="yellow"/>
                      <w:lang w:val="fr-FR"/>
                    </w:rPr>
                  </w:pPr>
                </w:p>
              </w:tc>
              <w:tc>
                <w:tcPr>
                  <w:tcW w:w="1985" w:type="dxa"/>
                  <w:vAlign w:val="center"/>
                </w:tcPr>
                <w:p w14:paraId="3A85D204" w14:textId="77777777" w:rsidR="00F84F79" w:rsidRDefault="00F84F79"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p>
                <w:p w14:paraId="6D24E2D8" w14:textId="13A84C5A" w:rsidR="0069567F" w:rsidRPr="00F84F79" w:rsidRDefault="0069567F"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F84F79">
                    <w:rPr>
                      <w:rFonts w:ascii="Times New Roman" w:hAnsi="Times New Roman" w:cs="Times New Roman"/>
                      <w:sz w:val="24"/>
                      <w:szCs w:val="24"/>
                      <w:lang w:val="en-US"/>
                    </w:rPr>
                    <w:t>Société Civile</w:t>
                  </w:r>
                </w:p>
                <w:p w14:paraId="5470A540" w14:textId="75D3FC4E" w:rsidR="0069567F" w:rsidRPr="00981894" w:rsidRDefault="0069567F" w:rsidP="00C25259">
                  <w:pPr>
                    <w:pStyle w:val="Textedebulles"/>
                    <w:numPr>
                      <w:ilvl w:val="12"/>
                      <w:numId w:val="0"/>
                    </w:numPr>
                    <w:tabs>
                      <w:tab w:val="left" w:pos="-720"/>
                      <w:tab w:val="left" w:pos="4500"/>
                    </w:tabs>
                    <w:suppressAutoHyphens/>
                    <w:rPr>
                      <w:rFonts w:ascii="Times New Roman" w:hAnsi="Times New Roman" w:cs="Times New Roman"/>
                      <w:sz w:val="24"/>
                      <w:szCs w:val="24"/>
                      <w:highlight w:val="yellow"/>
                      <w:lang w:val="en-US"/>
                    </w:rPr>
                  </w:pPr>
                </w:p>
              </w:tc>
              <w:tc>
                <w:tcPr>
                  <w:tcW w:w="2268" w:type="dxa"/>
                  <w:shd w:val="clear" w:color="auto" w:fill="auto"/>
                  <w:vAlign w:val="center"/>
                </w:tcPr>
                <w:p w14:paraId="0080774C" w14:textId="6947AE80" w:rsidR="005E227A" w:rsidRPr="000D43DC" w:rsidRDefault="005E227A" w:rsidP="005E227A">
                  <w:pPr>
                    <w:pStyle w:val="Textedebulles"/>
                    <w:numPr>
                      <w:ilvl w:val="12"/>
                      <w:numId w:val="0"/>
                    </w:numPr>
                    <w:tabs>
                      <w:tab w:val="left" w:pos="-720"/>
                      <w:tab w:val="left" w:pos="4500"/>
                    </w:tabs>
                    <w:suppressAutoHyphens/>
                    <w:jc w:val="center"/>
                    <w:rPr>
                      <w:rFonts w:ascii="Times New Roman" w:hAnsi="Times New Roman" w:cs="Times New Roman"/>
                      <w:sz w:val="20"/>
                      <w:szCs w:val="20"/>
                      <w:lang w:val="en-US"/>
                    </w:rPr>
                  </w:pPr>
                  <w:r w:rsidRPr="007530A1">
                    <w:rPr>
                      <w:rFonts w:ascii="Times New Roman" w:hAnsi="Times New Roman" w:cs="Times New Roman"/>
                      <w:sz w:val="24"/>
                      <w:szCs w:val="24"/>
                      <w:lang w:val="en-US"/>
                    </w:rPr>
                    <w:t>654,881 USD</w:t>
                  </w:r>
                </w:p>
              </w:tc>
              <w:tc>
                <w:tcPr>
                  <w:tcW w:w="4221" w:type="dxa"/>
                  <w:vAlign w:val="center"/>
                </w:tcPr>
                <w:p w14:paraId="0D4C8F69" w14:textId="29E38150" w:rsidR="000E32FF" w:rsidRPr="00C33758" w:rsidRDefault="0069567F" w:rsidP="00F84F79">
                  <w:pPr>
                    <w:pStyle w:val="Textedebulles"/>
                    <w:tabs>
                      <w:tab w:val="left" w:pos="-720"/>
                      <w:tab w:val="left" w:pos="4500"/>
                    </w:tabs>
                    <w:suppressAutoHyphens/>
                    <w:rPr>
                      <w:rFonts w:ascii="Times New Roman" w:hAnsi="Times New Roman" w:cs="Times New Roman"/>
                      <w:sz w:val="24"/>
                      <w:szCs w:val="24"/>
                      <w:lang w:val="fr-FR" w:eastAsia="fr-FR"/>
                    </w:rPr>
                  </w:pPr>
                  <w:bookmarkStart w:id="9" w:name="_Hlk32838036"/>
                  <w:r w:rsidRPr="00F84F79">
                    <w:rPr>
                      <w:rFonts w:ascii="Times New Roman" w:hAnsi="Times New Roman" w:cs="Times New Roman"/>
                      <w:sz w:val="24"/>
                      <w:szCs w:val="24"/>
                      <w:lang w:val="fr-FR" w:eastAsia="fr-FR"/>
                    </w:rPr>
                    <w:t>Dans le cadre de la mise en œuvre de ce projet, l’AFJC a mené des activités suivantes </w:t>
                  </w:r>
                  <w:r w:rsidR="000E32FF">
                    <w:rPr>
                      <w:rFonts w:ascii="Times New Roman" w:hAnsi="Times New Roman" w:cs="Times New Roman"/>
                      <w:sz w:val="24"/>
                      <w:szCs w:val="24"/>
                      <w:lang w:val="fr-FR" w:eastAsia="fr-FR"/>
                    </w:rPr>
                    <w:t>dans les localités de </w:t>
                  </w:r>
                  <w:r w:rsidR="000E32FF" w:rsidRPr="000E32FF">
                    <w:rPr>
                      <w:rFonts w:ascii="Times New Roman" w:hAnsi="Times New Roman" w:cs="Times New Roman"/>
                      <w:sz w:val="24"/>
                      <w:szCs w:val="24"/>
                      <w:lang w:val="fr-CF" w:eastAsia="fr-FR"/>
                    </w:rPr>
                    <w:t xml:space="preserve">Bangui, Bossangoa, Bouar, </w:t>
                  </w:r>
                  <w:proofErr w:type="spellStart"/>
                  <w:r w:rsidR="000E32FF" w:rsidRPr="000E32FF">
                    <w:rPr>
                      <w:rFonts w:ascii="Times New Roman" w:hAnsi="Times New Roman" w:cs="Times New Roman"/>
                      <w:sz w:val="24"/>
                      <w:szCs w:val="24"/>
                      <w:lang w:val="fr-CF" w:eastAsia="fr-FR"/>
                    </w:rPr>
                    <w:t>Boda</w:t>
                  </w:r>
                  <w:proofErr w:type="spellEnd"/>
                  <w:r w:rsidR="000E32FF" w:rsidRPr="000E32FF">
                    <w:rPr>
                      <w:rFonts w:ascii="Times New Roman" w:hAnsi="Times New Roman" w:cs="Times New Roman"/>
                      <w:sz w:val="24"/>
                      <w:szCs w:val="24"/>
                      <w:lang w:val="fr-CF" w:eastAsia="fr-FR"/>
                    </w:rPr>
                    <w:t>, Carnot, Berberati, Nola, Sibut et Bangassou</w:t>
                  </w:r>
                  <w:r w:rsidR="00C33758">
                    <w:rPr>
                      <w:rFonts w:ascii="Times New Roman" w:hAnsi="Times New Roman" w:cs="Times New Roman"/>
                      <w:sz w:val="24"/>
                      <w:szCs w:val="24"/>
                      <w:lang w:val="fr-CF" w:eastAsia="fr-FR"/>
                    </w:rPr>
                    <w:t> </w:t>
                  </w:r>
                  <w:r w:rsidR="00C33758">
                    <w:rPr>
                      <w:rFonts w:ascii="Times New Roman" w:hAnsi="Times New Roman" w:cs="Times New Roman"/>
                      <w:sz w:val="24"/>
                      <w:szCs w:val="24"/>
                      <w:lang w:val="fr-FR" w:eastAsia="fr-FR"/>
                    </w:rPr>
                    <w:t>:</w:t>
                  </w:r>
                </w:p>
                <w:bookmarkEnd w:id="9"/>
                <w:p w14:paraId="09D79FCE" w14:textId="456EC463" w:rsidR="0069567F" w:rsidRPr="005E227A" w:rsidRDefault="0069567F" w:rsidP="00C25259">
                  <w:pPr>
                    <w:pStyle w:val="Textedebulles"/>
                    <w:numPr>
                      <w:ilvl w:val="12"/>
                      <w:numId w:val="0"/>
                    </w:numPr>
                    <w:tabs>
                      <w:tab w:val="left" w:pos="-720"/>
                      <w:tab w:val="left" w:pos="4500"/>
                    </w:tabs>
                    <w:suppressAutoHyphens/>
                    <w:rPr>
                      <w:rFonts w:ascii="Times New Roman" w:hAnsi="Times New Roman" w:cs="Times New Roman"/>
                      <w:sz w:val="10"/>
                      <w:szCs w:val="10"/>
                      <w:lang w:val="fr-FR" w:eastAsia="fr-FR"/>
                    </w:rPr>
                  </w:pPr>
                </w:p>
                <w:p w14:paraId="5EAB4745" w14:textId="3B263CB0" w:rsidR="00F84F79" w:rsidRPr="00F84F79" w:rsidRDefault="00F84F79" w:rsidP="00F84F79">
                  <w:pPr>
                    <w:spacing w:after="160" w:line="259" w:lineRule="auto"/>
                    <w:contextualSpacing/>
                    <w:jc w:val="both"/>
                    <w:rPr>
                      <w:lang w:val="fr-FR" w:eastAsia="fr-FR"/>
                    </w:rPr>
                  </w:pPr>
                  <w:r w:rsidRPr="00F84F79">
                    <w:rPr>
                      <w:lang w:val="fr-FR" w:eastAsia="fr-FR"/>
                    </w:rPr>
                    <w:t>Accueil, écoute, information et orientation des populations et des victimes qui sollicitent les services des cliniques juridiques</w:t>
                  </w:r>
                  <w:r w:rsidR="00BF53FF">
                    <w:rPr>
                      <w:lang w:val="fr-FR" w:eastAsia="fr-FR"/>
                    </w:rPr>
                    <w:t> ;</w:t>
                  </w:r>
                </w:p>
                <w:p w14:paraId="18D65E5C" w14:textId="77777777" w:rsidR="00F84F79" w:rsidRPr="00F84F79" w:rsidRDefault="00F84F79" w:rsidP="00F84F79">
                  <w:pPr>
                    <w:spacing w:after="160" w:line="259" w:lineRule="auto"/>
                    <w:contextualSpacing/>
                    <w:jc w:val="both"/>
                    <w:rPr>
                      <w:sz w:val="14"/>
                      <w:szCs w:val="14"/>
                      <w:lang w:val="fr-FR" w:eastAsia="fr-FR"/>
                    </w:rPr>
                  </w:pPr>
                </w:p>
                <w:p w14:paraId="6BDA0E30" w14:textId="04B535BA" w:rsidR="00F84F79" w:rsidRPr="00F84F79" w:rsidRDefault="009621FA" w:rsidP="00F84F79">
                  <w:pPr>
                    <w:spacing w:after="160" w:line="259" w:lineRule="auto"/>
                    <w:contextualSpacing/>
                    <w:jc w:val="both"/>
                    <w:rPr>
                      <w:lang w:val="fr-FR" w:eastAsia="fr-FR"/>
                    </w:rPr>
                  </w:pPr>
                  <w:r>
                    <w:rPr>
                      <w:lang w:val="fr-FR" w:eastAsia="fr-FR"/>
                    </w:rPr>
                    <w:t>Assistance juridique et judiciaire fournie par les avocats au profit des</w:t>
                  </w:r>
                  <w:r w:rsidR="00F84F79" w:rsidRPr="00F84F79">
                    <w:rPr>
                      <w:lang w:val="fr-FR" w:eastAsia="fr-FR"/>
                    </w:rPr>
                    <w:t xml:space="preserve"> </w:t>
                  </w:r>
                  <w:r w:rsidRPr="00F84F79">
                    <w:rPr>
                      <w:lang w:val="fr-FR" w:eastAsia="fr-FR"/>
                    </w:rPr>
                    <w:t>victimes</w:t>
                  </w:r>
                  <w:r>
                    <w:rPr>
                      <w:lang w:val="fr-FR" w:eastAsia="fr-FR"/>
                    </w:rPr>
                    <w:t xml:space="preserve"> VBG et autres violations de droits humains</w:t>
                  </w:r>
                  <w:r w:rsidR="00BF53FF">
                    <w:rPr>
                      <w:lang w:val="fr-FR" w:eastAsia="fr-FR"/>
                    </w:rPr>
                    <w:t> ;</w:t>
                  </w:r>
                </w:p>
                <w:p w14:paraId="489E5B35" w14:textId="77777777" w:rsidR="00F84F79" w:rsidRPr="00F84F79" w:rsidRDefault="00F84F79" w:rsidP="00F84F79">
                  <w:pPr>
                    <w:spacing w:after="160" w:line="259" w:lineRule="auto"/>
                    <w:contextualSpacing/>
                    <w:jc w:val="both"/>
                    <w:rPr>
                      <w:sz w:val="10"/>
                      <w:szCs w:val="10"/>
                      <w:lang w:val="fr-FR" w:eastAsia="fr-FR"/>
                    </w:rPr>
                  </w:pPr>
                </w:p>
                <w:p w14:paraId="275F2566" w14:textId="6B9E0022" w:rsidR="00F84F79" w:rsidRPr="00F84F79" w:rsidRDefault="009621FA" w:rsidP="00F84F79">
                  <w:pPr>
                    <w:spacing w:after="160" w:line="259" w:lineRule="auto"/>
                    <w:contextualSpacing/>
                    <w:jc w:val="both"/>
                    <w:rPr>
                      <w:lang w:val="fr-FR" w:eastAsia="fr-FR"/>
                    </w:rPr>
                  </w:pPr>
                  <w:r>
                    <w:rPr>
                      <w:lang w:val="fr-FR" w:eastAsia="fr-FR"/>
                    </w:rPr>
                    <w:t xml:space="preserve">Prise en charge médicale et soutien </w:t>
                  </w:r>
                  <w:r w:rsidR="00F84F79" w:rsidRPr="00F84F79">
                    <w:rPr>
                      <w:lang w:val="fr-FR" w:eastAsia="fr-FR"/>
                    </w:rPr>
                    <w:t xml:space="preserve">psychosocial </w:t>
                  </w:r>
                  <w:r>
                    <w:rPr>
                      <w:lang w:val="fr-FR" w:eastAsia="fr-FR"/>
                    </w:rPr>
                    <w:t>aux victimes</w:t>
                  </w:r>
                  <w:r w:rsidR="00BF53FF">
                    <w:rPr>
                      <w:lang w:val="fr-FR" w:eastAsia="fr-FR"/>
                    </w:rPr>
                    <w:t> ;</w:t>
                  </w:r>
                  <w:r w:rsidR="00F84F79" w:rsidRPr="00F84F79">
                    <w:rPr>
                      <w:lang w:val="fr-FR" w:eastAsia="fr-FR"/>
                    </w:rPr>
                    <w:t xml:space="preserve"> </w:t>
                  </w:r>
                </w:p>
                <w:p w14:paraId="5C2786AA" w14:textId="77777777" w:rsidR="00F84F79" w:rsidRPr="005E227A" w:rsidRDefault="00F84F79" w:rsidP="00F84F79">
                  <w:pPr>
                    <w:spacing w:after="160" w:line="259" w:lineRule="auto"/>
                    <w:contextualSpacing/>
                    <w:jc w:val="both"/>
                    <w:rPr>
                      <w:sz w:val="14"/>
                      <w:szCs w:val="14"/>
                      <w:lang w:val="fr-FR" w:eastAsia="fr-FR"/>
                    </w:rPr>
                  </w:pPr>
                </w:p>
                <w:p w14:paraId="27463C96" w14:textId="1C243C7D" w:rsidR="009621FA" w:rsidRDefault="00F84F79" w:rsidP="00F84F79">
                  <w:pPr>
                    <w:spacing w:after="160" w:line="259" w:lineRule="auto"/>
                    <w:contextualSpacing/>
                    <w:jc w:val="both"/>
                    <w:rPr>
                      <w:lang w:val="fr-FR" w:eastAsia="fr-FR"/>
                    </w:rPr>
                  </w:pPr>
                  <w:r w:rsidRPr="00F84F79">
                    <w:rPr>
                      <w:lang w:val="fr-FR" w:eastAsia="fr-FR"/>
                    </w:rPr>
                    <w:t>Information des populations sur les mécanismes formels et informels</w:t>
                  </w:r>
                  <w:r w:rsidR="00BF53FF">
                    <w:rPr>
                      <w:lang w:val="fr-FR" w:eastAsia="fr-FR"/>
                    </w:rPr>
                    <w:t> ;</w:t>
                  </w:r>
                  <w:r w:rsidRPr="00F84F79">
                    <w:rPr>
                      <w:lang w:val="fr-FR" w:eastAsia="fr-FR"/>
                    </w:rPr>
                    <w:t xml:space="preserve"> </w:t>
                  </w:r>
                </w:p>
                <w:p w14:paraId="6F080041" w14:textId="77777777" w:rsidR="009621FA" w:rsidRPr="00BF53FF" w:rsidRDefault="009621FA" w:rsidP="00F84F79">
                  <w:pPr>
                    <w:spacing w:after="160" w:line="259" w:lineRule="auto"/>
                    <w:contextualSpacing/>
                    <w:jc w:val="both"/>
                    <w:rPr>
                      <w:sz w:val="10"/>
                      <w:szCs w:val="10"/>
                      <w:lang w:val="fr-FR" w:eastAsia="fr-FR"/>
                    </w:rPr>
                  </w:pPr>
                </w:p>
                <w:p w14:paraId="082A8B81" w14:textId="662EB351" w:rsidR="00F84F79" w:rsidRDefault="00165FE6" w:rsidP="00F84F79">
                  <w:pPr>
                    <w:spacing w:after="160" w:line="259" w:lineRule="auto"/>
                    <w:contextualSpacing/>
                    <w:jc w:val="both"/>
                    <w:rPr>
                      <w:lang w:val="fr-FR" w:eastAsia="fr-FR"/>
                    </w:rPr>
                  </w:pPr>
                  <w:r>
                    <w:rPr>
                      <w:lang w:val="fr-FR" w:eastAsia="fr-FR"/>
                    </w:rPr>
                    <w:t>Appui aux r</w:t>
                  </w:r>
                  <w:r w:rsidR="00F84F79" w:rsidRPr="00F84F79">
                    <w:rPr>
                      <w:lang w:val="fr-FR" w:eastAsia="fr-FR"/>
                    </w:rPr>
                    <w:t>èglements des différends</w:t>
                  </w:r>
                  <w:r w:rsidR="009621FA">
                    <w:rPr>
                      <w:lang w:val="fr-FR" w:eastAsia="fr-FR"/>
                    </w:rPr>
                    <w:t xml:space="preserve"> au sein des cliniques juridiques à travers la</w:t>
                  </w:r>
                  <w:r w:rsidR="00F84F79" w:rsidRPr="00F84F79">
                    <w:rPr>
                      <w:lang w:val="fr-FR" w:eastAsia="fr-FR"/>
                    </w:rPr>
                    <w:t xml:space="preserve"> médiation</w:t>
                  </w:r>
                  <w:r w:rsidR="00BF53FF">
                    <w:rPr>
                      <w:lang w:val="fr-FR" w:eastAsia="fr-FR"/>
                    </w:rPr>
                    <w:t> ;</w:t>
                  </w:r>
                </w:p>
                <w:p w14:paraId="344D2199" w14:textId="77777777" w:rsidR="000E32FF" w:rsidRPr="00F84F79" w:rsidRDefault="000E32FF" w:rsidP="00F84F79">
                  <w:pPr>
                    <w:spacing w:after="160" w:line="259" w:lineRule="auto"/>
                    <w:contextualSpacing/>
                    <w:jc w:val="both"/>
                    <w:rPr>
                      <w:sz w:val="8"/>
                      <w:szCs w:val="8"/>
                      <w:lang w:val="fr-FR" w:eastAsia="fr-FR"/>
                    </w:rPr>
                  </w:pPr>
                </w:p>
                <w:p w14:paraId="3E85AD5D" w14:textId="77777777" w:rsidR="00F84F79" w:rsidRPr="00F84F79" w:rsidRDefault="00F84F79" w:rsidP="00F84F79">
                  <w:pPr>
                    <w:spacing w:after="160" w:line="259" w:lineRule="auto"/>
                    <w:contextualSpacing/>
                    <w:jc w:val="both"/>
                    <w:rPr>
                      <w:sz w:val="14"/>
                      <w:szCs w:val="14"/>
                      <w:lang w:val="fr-FR" w:eastAsia="fr-FR"/>
                    </w:rPr>
                  </w:pPr>
                </w:p>
                <w:p w14:paraId="407F68EC" w14:textId="3D5C5983" w:rsidR="00F84F79" w:rsidRPr="00F84F79" w:rsidRDefault="004B4560" w:rsidP="00F84F79">
                  <w:pPr>
                    <w:spacing w:after="160" w:line="259" w:lineRule="auto"/>
                    <w:contextualSpacing/>
                    <w:jc w:val="both"/>
                    <w:rPr>
                      <w:lang w:val="fr-FR" w:eastAsia="fr-FR"/>
                    </w:rPr>
                  </w:pPr>
                  <w:r>
                    <w:rPr>
                      <w:lang w:val="fr-FR" w:eastAsia="fr-FR"/>
                    </w:rPr>
                    <w:t>M</w:t>
                  </w:r>
                  <w:r w:rsidR="00F84F79" w:rsidRPr="00F84F79">
                    <w:rPr>
                      <w:lang w:val="fr-FR" w:eastAsia="fr-FR"/>
                    </w:rPr>
                    <w:t>onitoring judiciaire</w:t>
                  </w:r>
                  <w:r>
                    <w:rPr>
                      <w:lang w:val="fr-FR" w:eastAsia="fr-FR"/>
                    </w:rPr>
                    <w:t xml:space="preserve"> des dossiers VBG</w:t>
                  </w:r>
                  <w:r w:rsidR="00F84F79" w:rsidRPr="00F84F79">
                    <w:rPr>
                      <w:lang w:val="fr-FR" w:eastAsia="fr-FR"/>
                    </w:rPr>
                    <w:t xml:space="preserve"> devant les </w:t>
                  </w:r>
                  <w:r>
                    <w:rPr>
                      <w:lang w:val="fr-FR" w:eastAsia="fr-FR"/>
                    </w:rPr>
                    <w:t>juridictions ainsi que</w:t>
                  </w:r>
                  <w:r w:rsidR="00F84F79" w:rsidRPr="00F84F79">
                    <w:rPr>
                      <w:lang w:val="fr-FR" w:eastAsia="fr-FR"/>
                    </w:rPr>
                    <w:t xml:space="preserve"> </w:t>
                  </w:r>
                  <w:r>
                    <w:rPr>
                      <w:lang w:val="fr-FR" w:eastAsia="fr-FR"/>
                    </w:rPr>
                    <w:t xml:space="preserve">les </w:t>
                  </w:r>
                  <w:r w:rsidR="00F84F79" w:rsidRPr="00F84F79">
                    <w:rPr>
                      <w:lang w:val="fr-FR" w:eastAsia="fr-FR"/>
                    </w:rPr>
                    <w:t>sessions criminelles et audiences foraines</w:t>
                  </w:r>
                  <w:r w:rsidR="00BF53FF">
                    <w:rPr>
                      <w:lang w:val="fr-FR" w:eastAsia="fr-FR"/>
                    </w:rPr>
                    <w:t> ;</w:t>
                  </w:r>
                  <w:r w:rsidR="00F84F79" w:rsidRPr="00F84F79">
                    <w:rPr>
                      <w:lang w:val="fr-FR" w:eastAsia="fr-FR"/>
                    </w:rPr>
                    <w:t xml:space="preserve"> </w:t>
                  </w:r>
                </w:p>
                <w:p w14:paraId="6232D352" w14:textId="77777777" w:rsidR="00F84F79" w:rsidRPr="005E227A" w:rsidRDefault="00F84F79" w:rsidP="00F84F79">
                  <w:pPr>
                    <w:spacing w:after="160" w:line="259" w:lineRule="auto"/>
                    <w:contextualSpacing/>
                    <w:jc w:val="both"/>
                    <w:rPr>
                      <w:sz w:val="14"/>
                      <w:szCs w:val="14"/>
                      <w:lang w:val="fr-FR" w:eastAsia="fr-FR"/>
                    </w:rPr>
                  </w:pPr>
                </w:p>
                <w:p w14:paraId="72E8F05C" w14:textId="6A990E62" w:rsidR="00F84F79" w:rsidRPr="00F84F79" w:rsidRDefault="00F84F79" w:rsidP="00F84F79">
                  <w:pPr>
                    <w:spacing w:after="160" w:line="259" w:lineRule="auto"/>
                    <w:contextualSpacing/>
                    <w:jc w:val="both"/>
                    <w:rPr>
                      <w:lang w:val="fr-FR" w:eastAsia="fr-FR"/>
                    </w:rPr>
                  </w:pPr>
                  <w:r w:rsidRPr="00F84F79">
                    <w:rPr>
                      <w:lang w:val="fr-FR" w:eastAsia="fr-FR"/>
                    </w:rPr>
                    <w:t>Information des populations et des victimes sur les mécanismes de justice transitionnelle (CPS et CVJRR)</w:t>
                  </w:r>
                  <w:r w:rsidR="00BF53FF">
                    <w:rPr>
                      <w:lang w:val="fr-FR" w:eastAsia="fr-FR"/>
                    </w:rPr>
                    <w:t> ;</w:t>
                  </w:r>
                  <w:r w:rsidRPr="00F84F79">
                    <w:rPr>
                      <w:lang w:val="fr-FR" w:eastAsia="fr-FR"/>
                    </w:rPr>
                    <w:t xml:space="preserve"> </w:t>
                  </w:r>
                </w:p>
                <w:p w14:paraId="4704F593" w14:textId="77777777" w:rsidR="00F84F79" w:rsidRPr="00F84F79" w:rsidRDefault="00F84F79" w:rsidP="00F84F79">
                  <w:pPr>
                    <w:spacing w:after="160" w:line="259" w:lineRule="auto"/>
                    <w:contextualSpacing/>
                    <w:jc w:val="both"/>
                    <w:rPr>
                      <w:lang w:val="fr-FR" w:eastAsia="fr-FR"/>
                    </w:rPr>
                  </w:pPr>
                </w:p>
                <w:p w14:paraId="63DC208B" w14:textId="77777777" w:rsidR="00F84F79" w:rsidRPr="00F84F79" w:rsidRDefault="00F84F79" w:rsidP="00F84F79">
                  <w:pPr>
                    <w:spacing w:after="160" w:line="259" w:lineRule="auto"/>
                    <w:contextualSpacing/>
                    <w:jc w:val="both"/>
                    <w:rPr>
                      <w:sz w:val="6"/>
                      <w:szCs w:val="6"/>
                      <w:lang w:val="fr-FR" w:eastAsia="fr-FR"/>
                    </w:rPr>
                  </w:pPr>
                </w:p>
                <w:p w14:paraId="090D5842" w14:textId="25EB269F" w:rsidR="00F84F79" w:rsidRPr="00F84F79" w:rsidRDefault="00F84F79" w:rsidP="00F84F79">
                  <w:pPr>
                    <w:spacing w:after="160" w:line="259" w:lineRule="auto"/>
                    <w:contextualSpacing/>
                    <w:jc w:val="both"/>
                    <w:rPr>
                      <w:lang w:val="fr-FR" w:eastAsia="fr-FR"/>
                    </w:rPr>
                  </w:pPr>
                  <w:r w:rsidRPr="00F84F79">
                    <w:rPr>
                      <w:lang w:val="fr-FR" w:eastAsia="fr-FR"/>
                    </w:rPr>
                    <w:t xml:space="preserve">Appui </w:t>
                  </w:r>
                  <w:r w:rsidR="004B4560">
                    <w:rPr>
                      <w:lang w:val="fr-FR" w:eastAsia="fr-FR"/>
                    </w:rPr>
                    <w:t>aux</w:t>
                  </w:r>
                  <w:r w:rsidR="004B4560" w:rsidRPr="00F84F79">
                    <w:rPr>
                      <w:lang w:val="fr-FR" w:eastAsia="fr-FR"/>
                    </w:rPr>
                    <w:t xml:space="preserve"> </w:t>
                  </w:r>
                  <w:r w:rsidRPr="00F84F79">
                    <w:rPr>
                      <w:lang w:val="fr-FR" w:eastAsia="fr-FR"/>
                    </w:rPr>
                    <w:t xml:space="preserve">organisations et administrations locales pour </w:t>
                  </w:r>
                  <w:r w:rsidR="004B4560">
                    <w:rPr>
                      <w:lang w:val="fr-FR" w:eastAsia="fr-FR"/>
                    </w:rPr>
                    <w:t>l’</w:t>
                  </w:r>
                  <w:r w:rsidR="004B4560" w:rsidRPr="00F84F79">
                    <w:rPr>
                      <w:lang w:val="fr-FR" w:eastAsia="fr-FR"/>
                    </w:rPr>
                    <w:t>appropriation</w:t>
                  </w:r>
                  <w:r w:rsidRPr="00F84F79">
                    <w:rPr>
                      <w:lang w:val="fr-FR" w:eastAsia="fr-FR"/>
                    </w:rPr>
                    <w:t xml:space="preserve"> et </w:t>
                  </w:r>
                  <w:r w:rsidR="004B4560">
                    <w:rPr>
                      <w:lang w:val="fr-FR" w:eastAsia="fr-FR"/>
                    </w:rPr>
                    <w:t>la</w:t>
                  </w:r>
                  <w:r w:rsidR="004B4560" w:rsidRPr="00F84F79">
                    <w:rPr>
                      <w:lang w:val="fr-FR" w:eastAsia="fr-FR"/>
                    </w:rPr>
                    <w:t xml:space="preserve"> </w:t>
                  </w:r>
                  <w:r w:rsidRPr="00F84F79">
                    <w:rPr>
                      <w:lang w:val="fr-FR" w:eastAsia="fr-FR"/>
                    </w:rPr>
                    <w:t>pérennisation des activités réalisées ;</w:t>
                  </w:r>
                </w:p>
                <w:p w14:paraId="1F8AF221" w14:textId="77777777" w:rsidR="00F84F79" w:rsidRPr="00F84F79" w:rsidRDefault="00F84F79" w:rsidP="00F84F79">
                  <w:pPr>
                    <w:spacing w:after="160" w:line="259" w:lineRule="auto"/>
                    <w:contextualSpacing/>
                    <w:jc w:val="both"/>
                    <w:rPr>
                      <w:sz w:val="10"/>
                      <w:szCs w:val="10"/>
                      <w:lang w:val="fr-FR" w:eastAsia="fr-FR"/>
                    </w:rPr>
                  </w:pPr>
                </w:p>
                <w:p w14:paraId="5B6D596D" w14:textId="56A97EDF" w:rsidR="00F84F79" w:rsidRPr="00F84F79" w:rsidRDefault="00F84F79" w:rsidP="00275546">
                  <w:pPr>
                    <w:spacing w:after="160" w:line="259" w:lineRule="auto"/>
                    <w:contextualSpacing/>
                    <w:jc w:val="both"/>
                    <w:rPr>
                      <w:lang w:val="fr-FR" w:eastAsia="fr-FR"/>
                    </w:rPr>
                  </w:pPr>
                  <w:r w:rsidRPr="00F84F79">
                    <w:rPr>
                      <w:lang w:val="fr-FR" w:eastAsia="fr-FR"/>
                    </w:rPr>
                    <w:t xml:space="preserve">Information des autorités locales sur les activités des cliniques juridiques et </w:t>
                  </w:r>
                  <w:r w:rsidR="00275546">
                    <w:rPr>
                      <w:lang w:val="fr-FR" w:eastAsia="fr-FR"/>
                    </w:rPr>
                    <w:t xml:space="preserve">leur implication dans le plaidoyer en faveur le respect des droits humains et </w:t>
                  </w:r>
                  <w:r w:rsidRPr="00F84F79">
                    <w:rPr>
                      <w:lang w:val="fr-FR" w:eastAsia="fr-FR"/>
                    </w:rPr>
                    <w:t>l’accès à la justic</w:t>
                  </w:r>
                  <w:r w:rsidR="00275546">
                    <w:rPr>
                      <w:lang w:val="fr-FR" w:eastAsia="fr-FR"/>
                    </w:rPr>
                    <w:t>e</w:t>
                  </w:r>
                </w:p>
              </w:tc>
            </w:tr>
            <w:tr w:rsidR="00631B6F" w:rsidRPr="006B0660" w14:paraId="5CBDFABA" w14:textId="77777777" w:rsidTr="00BF53FF">
              <w:trPr>
                <w:trHeight w:val="3525"/>
              </w:trPr>
              <w:tc>
                <w:tcPr>
                  <w:tcW w:w="1380" w:type="dxa"/>
                  <w:vAlign w:val="center"/>
                </w:tcPr>
                <w:p w14:paraId="17D54F31" w14:textId="795BE876" w:rsidR="00631B6F" w:rsidRPr="00F84F79" w:rsidRDefault="00631B6F"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F84F79">
                    <w:rPr>
                      <w:rFonts w:ascii="Times New Roman" w:hAnsi="Times New Roman" w:cs="Times New Roman"/>
                      <w:sz w:val="24"/>
                      <w:szCs w:val="24"/>
                      <w:lang w:val="en-US"/>
                    </w:rPr>
                    <w:t>RONGDH</w:t>
                  </w:r>
                </w:p>
              </w:tc>
              <w:tc>
                <w:tcPr>
                  <w:tcW w:w="1985" w:type="dxa"/>
                  <w:vAlign w:val="center"/>
                </w:tcPr>
                <w:p w14:paraId="3F986D4E" w14:textId="77777777" w:rsidR="00631B6F" w:rsidRPr="00F84F79" w:rsidRDefault="00631B6F" w:rsidP="00631B6F">
                  <w:pPr>
                    <w:pStyle w:val="Textedebulles"/>
                    <w:numPr>
                      <w:ilvl w:val="12"/>
                      <w:numId w:val="0"/>
                    </w:numPr>
                    <w:tabs>
                      <w:tab w:val="left" w:pos="-720"/>
                      <w:tab w:val="left" w:pos="4500"/>
                    </w:tabs>
                    <w:suppressAutoHyphens/>
                    <w:rPr>
                      <w:rFonts w:ascii="Times New Roman" w:hAnsi="Times New Roman" w:cs="Times New Roman"/>
                      <w:sz w:val="24"/>
                      <w:szCs w:val="24"/>
                      <w:lang w:val="en-US"/>
                    </w:rPr>
                  </w:pPr>
                </w:p>
                <w:p w14:paraId="3EDF7C71" w14:textId="1EB5CD79" w:rsidR="00631B6F" w:rsidRPr="00F84F79" w:rsidRDefault="00631B6F" w:rsidP="00631B6F">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F84F79">
                    <w:rPr>
                      <w:rFonts w:ascii="Times New Roman" w:hAnsi="Times New Roman" w:cs="Times New Roman"/>
                      <w:sz w:val="24"/>
                      <w:szCs w:val="24"/>
                      <w:lang w:val="en-US"/>
                    </w:rPr>
                    <w:t>Société Civile</w:t>
                  </w:r>
                </w:p>
                <w:p w14:paraId="6D4BD5E0" w14:textId="77777777" w:rsidR="00631B6F" w:rsidRPr="00F84F79" w:rsidRDefault="00631B6F"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p>
              </w:tc>
              <w:tc>
                <w:tcPr>
                  <w:tcW w:w="2268" w:type="dxa"/>
                  <w:vAlign w:val="center"/>
                </w:tcPr>
                <w:p w14:paraId="1158F2BB" w14:textId="6419FD44" w:rsidR="005E227A" w:rsidRPr="000D43DC" w:rsidRDefault="005E227A" w:rsidP="007530A1">
                  <w:pPr>
                    <w:pStyle w:val="Textedebulles"/>
                    <w:numPr>
                      <w:ilvl w:val="12"/>
                      <w:numId w:val="0"/>
                    </w:numPr>
                    <w:tabs>
                      <w:tab w:val="left" w:pos="-720"/>
                      <w:tab w:val="left" w:pos="4500"/>
                    </w:tabs>
                    <w:suppressAutoHyphens/>
                    <w:jc w:val="center"/>
                    <w:rPr>
                      <w:rFonts w:ascii="Times New Roman" w:hAnsi="Times New Roman" w:cs="Times New Roman"/>
                      <w:sz w:val="20"/>
                      <w:szCs w:val="20"/>
                      <w:lang w:val="en-US"/>
                    </w:rPr>
                  </w:pPr>
                  <w:r w:rsidRPr="007530A1">
                    <w:rPr>
                      <w:rFonts w:ascii="Times New Roman" w:hAnsi="Times New Roman" w:cs="Times New Roman"/>
                      <w:sz w:val="24"/>
                      <w:szCs w:val="24"/>
                      <w:lang w:val="en-US"/>
                    </w:rPr>
                    <w:t>53, 394 USD</w:t>
                  </w:r>
                </w:p>
              </w:tc>
              <w:tc>
                <w:tcPr>
                  <w:tcW w:w="4221" w:type="dxa"/>
                  <w:vAlign w:val="center"/>
                </w:tcPr>
                <w:p w14:paraId="51EB8E01" w14:textId="6186BA33" w:rsidR="000E32FF" w:rsidRDefault="00C33758" w:rsidP="00F84F79">
                  <w:pPr>
                    <w:spacing w:after="160" w:line="259" w:lineRule="auto"/>
                    <w:contextualSpacing/>
                    <w:jc w:val="both"/>
                    <w:rPr>
                      <w:lang w:val="fr-FR" w:eastAsia="fr-FR"/>
                    </w:rPr>
                  </w:pPr>
                  <w:r>
                    <w:rPr>
                      <w:lang w:val="fr-FR" w:eastAsia="fr-FR"/>
                    </w:rPr>
                    <w:t>En appui à</w:t>
                  </w:r>
                  <w:r w:rsidRPr="00F84F79">
                    <w:rPr>
                      <w:lang w:val="fr-FR" w:eastAsia="fr-FR"/>
                    </w:rPr>
                    <w:t xml:space="preserve"> l’AFJC</w:t>
                  </w:r>
                  <w:r>
                    <w:rPr>
                      <w:lang w:val="fr-FR" w:eastAsia="fr-FR"/>
                    </w:rPr>
                    <w:t xml:space="preserve">, le RONGDH </w:t>
                  </w:r>
                  <w:r w:rsidRPr="00F84F79">
                    <w:rPr>
                      <w:lang w:val="fr-FR" w:eastAsia="fr-FR"/>
                    </w:rPr>
                    <w:t xml:space="preserve">a </w:t>
                  </w:r>
                  <w:r>
                    <w:rPr>
                      <w:lang w:val="fr-FR" w:eastAsia="fr-FR"/>
                    </w:rPr>
                    <w:t>réalisé</w:t>
                  </w:r>
                  <w:r w:rsidRPr="00F84F79">
                    <w:rPr>
                      <w:lang w:val="fr-FR" w:eastAsia="fr-FR"/>
                    </w:rPr>
                    <w:t xml:space="preserve"> des activités suivantes </w:t>
                  </w:r>
                  <w:r>
                    <w:rPr>
                      <w:lang w:val="fr-FR" w:eastAsia="fr-FR"/>
                    </w:rPr>
                    <w:t>dans les localités de </w:t>
                  </w:r>
                  <w:r w:rsidRPr="000E32FF">
                    <w:rPr>
                      <w:lang w:val="fr-CF" w:eastAsia="fr-FR"/>
                    </w:rPr>
                    <w:t xml:space="preserve">Bangui, Bossangoa, Bouar, </w:t>
                  </w:r>
                  <w:proofErr w:type="spellStart"/>
                  <w:r w:rsidRPr="000E32FF">
                    <w:rPr>
                      <w:lang w:val="fr-CF" w:eastAsia="fr-FR"/>
                    </w:rPr>
                    <w:t>Boda</w:t>
                  </w:r>
                  <w:proofErr w:type="spellEnd"/>
                  <w:r w:rsidRPr="000E32FF">
                    <w:rPr>
                      <w:lang w:val="fr-CF" w:eastAsia="fr-FR"/>
                    </w:rPr>
                    <w:t>, Carnot, Berberati, Nola, Sibut et Bangassou</w:t>
                  </w:r>
                  <w:r>
                    <w:rPr>
                      <w:lang w:val="fr-CF" w:eastAsia="fr-FR"/>
                    </w:rPr>
                    <w:t> </w:t>
                  </w:r>
                  <w:r>
                    <w:rPr>
                      <w:lang w:val="fr-FR" w:eastAsia="fr-FR"/>
                    </w:rPr>
                    <w:t>:</w:t>
                  </w:r>
                </w:p>
                <w:p w14:paraId="08A21B62" w14:textId="77777777" w:rsidR="007530A1" w:rsidRPr="007530A1" w:rsidRDefault="007530A1" w:rsidP="00F84F79">
                  <w:pPr>
                    <w:spacing w:after="160" w:line="259" w:lineRule="auto"/>
                    <w:contextualSpacing/>
                    <w:jc w:val="both"/>
                    <w:rPr>
                      <w:sz w:val="18"/>
                      <w:szCs w:val="18"/>
                      <w:lang w:val="fr-FR" w:eastAsia="fr-FR"/>
                    </w:rPr>
                  </w:pPr>
                </w:p>
                <w:p w14:paraId="2DCA9935" w14:textId="248ABE2C" w:rsidR="007530A1" w:rsidRPr="007530A1" w:rsidRDefault="007530A1" w:rsidP="007530A1">
                  <w:pPr>
                    <w:spacing w:after="39" w:line="283" w:lineRule="auto"/>
                    <w:jc w:val="both"/>
                    <w:rPr>
                      <w:lang w:val="fr-CF" w:eastAsia="fr-FR"/>
                    </w:rPr>
                  </w:pPr>
                  <w:r w:rsidRPr="007530A1">
                    <w:rPr>
                      <w:lang w:val="fr-CF" w:eastAsia="fr-FR"/>
                    </w:rPr>
                    <w:t>Missions de présentation du projet aux autorités administratives et locales, d’identification des locaux pouvant abriter les cliniques juridiques, identification des ONG et associations locales dans les 9 zones du projet</w:t>
                  </w:r>
                  <w:r w:rsidR="00C423A7">
                    <w:rPr>
                      <w:lang w:val="fr-CF" w:eastAsia="fr-FR"/>
                    </w:rPr>
                    <w:t> </w:t>
                  </w:r>
                  <w:r w:rsidR="00C423A7">
                    <w:rPr>
                      <w:lang w:val="fr-FR" w:eastAsia="fr-FR"/>
                    </w:rPr>
                    <w:t>;</w:t>
                  </w:r>
                </w:p>
                <w:p w14:paraId="50644CFC" w14:textId="77777777" w:rsidR="007530A1" w:rsidRPr="007530A1" w:rsidRDefault="007530A1" w:rsidP="007530A1">
                  <w:pPr>
                    <w:spacing w:after="51"/>
                    <w:ind w:left="338"/>
                    <w:rPr>
                      <w:lang w:val="fr-CF" w:eastAsia="fr-FR"/>
                    </w:rPr>
                  </w:pPr>
                  <w:r w:rsidRPr="007530A1">
                    <w:rPr>
                      <w:lang w:val="fr-CF" w:eastAsia="fr-FR"/>
                    </w:rPr>
                    <w:t xml:space="preserve"> </w:t>
                  </w:r>
                </w:p>
                <w:p w14:paraId="32EA4B5F" w14:textId="77777777" w:rsidR="007530A1" w:rsidRPr="007530A1" w:rsidRDefault="007530A1" w:rsidP="007530A1">
                  <w:pPr>
                    <w:spacing w:after="39" w:line="283" w:lineRule="auto"/>
                    <w:jc w:val="both"/>
                    <w:rPr>
                      <w:lang w:val="fr-CF" w:eastAsia="fr-FR"/>
                    </w:rPr>
                  </w:pPr>
                  <w:r w:rsidRPr="007530A1">
                    <w:rPr>
                      <w:lang w:val="fr-CF" w:eastAsia="fr-FR"/>
                    </w:rPr>
                    <w:t xml:space="preserve">Recrutement des consultants nationaux (formateurs des formateurs) et conceptions des thématiques de formations des cliniques juridiques en septembre 2020 ; </w:t>
                  </w:r>
                </w:p>
                <w:p w14:paraId="615A3D99" w14:textId="77777777" w:rsidR="007530A1" w:rsidRPr="007530A1" w:rsidRDefault="007530A1" w:rsidP="007530A1">
                  <w:pPr>
                    <w:spacing w:after="52"/>
                    <w:rPr>
                      <w:lang w:val="fr-CF" w:eastAsia="fr-FR"/>
                    </w:rPr>
                  </w:pPr>
                </w:p>
                <w:p w14:paraId="5DF9F85D" w14:textId="77777777" w:rsidR="007530A1" w:rsidRPr="007530A1" w:rsidRDefault="007530A1" w:rsidP="007530A1">
                  <w:pPr>
                    <w:spacing w:after="39" w:line="283" w:lineRule="auto"/>
                    <w:jc w:val="both"/>
                    <w:rPr>
                      <w:lang w:val="fr-CF" w:eastAsia="fr-FR"/>
                    </w:rPr>
                  </w:pPr>
                  <w:r w:rsidRPr="007530A1">
                    <w:rPr>
                      <w:lang w:val="fr-CF" w:eastAsia="fr-FR"/>
                    </w:rPr>
                    <w:t>Organisation d’un atelier de validation des thématiques de formation conçues par les consultants nationaux ;</w:t>
                  </w:r>
                </w:p>
                <w:p w14:paraId="59B9E332" w14:textId="77777777" w:rsidR="007530A1" w:rsidRPr="007530A1" w:rsidRDefault="007530A1" w:rsidP="007530A1">
                  <w:pPr>
                    <w:spacing w:after="52"/>
                    <w:rPr>
                      <w:lang w:val="fr-CF" w:eastAsia="fr-FR"/>
                    </w:rPr>
                  </w:pPr>
                </w:p>
                <w:p w14:paraId="4B4DE615" w14:textId="77777777" w:rsidR="007530A1" w:rsidRPr="007530A1" w:rsidRDefault="007530A1" w:rsidP="007530A1">
                  <w:pPr>
                    <w:spacing w:after="39" w:line="283" w:lineRule="auto"/>
                    <w:jc w:val="both"/>
                    <w:rPr>
                      <w:lang w:val="fr-CF" w:eastAsia="fr-FR"/>
                    </w:rPr>
                  </w:pPr>
                  <w:r w:rsidRPr="007530A1">
                    <w:rPr>
                      <w:lang w:val="fr-CF" w:eastAsia="fr-FR"/>
                    </w:rPr>
                    <w:t>Organisation de huit (08) ateliers formations et de sensibilisation des relais communautaires, para juristes, autorités locales et religieuses, ONG locales et associations.</w:t>
                  </w:r>
                </w:p>
                <w:p w14:paraId="1C64A942" w14:textId="77777777" w:rsidR="00631B6F" w:rsidRPr="00F84F79" w:rsidRDefault="00631B6F" w:rsidP="00BF53FF">
                  <w:pPr>
                    <w:spacing w:after="160" w:line="259" w:lineRule="auto"/>
                    <w:contextualSpacing/>
                    <w:jc w:val="both"/>
                    <w:rPr>
                      <w:sz w:val="6"/>
                      <w:szCs w:val="6"/>
                      <w:lang w:val="fr-FR" w:eastAsia="fr-FR"/>
                    </w:rPr>
                  </w:pPr>
                </w:p>
              </w:tc>
            </w:tr>
            <w:tr w:rsidR="00BB20E5" w:rsidRPr="006B0660" w14:paraId="46E248AB" w14:textId="77777777" w:rsidTr="00BA1EBD">
              <w:trPr>
                <w:trHeight w:val="397"/>
              </w:trPr>
              <w:tc>
                <w:tcPr>
                  <w:tcW w:w="1380" w:type="dxa"/>
                  <w:vAlign w:val="center"/>
                </w:tcPr>
                <w:p w14:paraId="04E7B625" w14:textId="010AEEF7" w:rsidR="00BB20E5" w:rsidRPr="00981894" w:rsidRDefault="00BB20E5" w:rsidP="00BB20E5">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81894">
                    <w:rPr>
                      <w:rFonts w:ascii="Times New Roman" w:hAnsi="Times New Roman" w:cs="Times New Roman"/>
                      <w:sz w:val="24"/>
                      <w:szCs w:val="24"/>
                      <w:lang w:val="en-US"/>
                    </w:rPr>
                    <w:t>Levier Plus</w:t>
                  </w:r>
                </w:p>
              </w:tc>
              <w:tc>
                <w:tcPr>
                  <w:tcW w:w="1985" w:type="dxa"/>
                  <w:vAlign w:val="center"/>
                </w:tcPr>
                <w:p w14:paraId="4843647C" w14:textId="1F954B44" w:rsidR="00BB20E5" w:rsidRPr="00981894" w:rsidRDefault="00BB20E5" w:rsidP="00BB20E5">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81894">
                    <w:rPr>
                      <w:rFonts w:ascii="Times New Roman" w:hAnsi="Times New Roman" w:cs="Times New Roman"/>
                      <w:sz w:val="24"/>
                      <w:szCs w:val="24"/>
                      <w:lang w:val="en-US"/>
                    </w:rPr>
                    <w:t>Société Civile</w:t>
                  </w:r>
                </w:p>
              </w:tc>
              <w:tc>
                <w:tcPr>
                  <w:tcW w:w="2268" w:type="dxa"/>
                  <w:vAlign w:val="center"/>
                </w:tcPr>
                <w:p w14:paraId="5C72C7FB" w14:textId="437F807D" w:rsidR="001A0F5F" w:rsidRPr="00981894" w:rsidRDefault="001A0F5F" w:rsidP="001A0F5F">
                  <w:pPr>
                    <w:pStyle w:val="Textedebulles"/>
                    <w:numPr>
                      <w:ilvl w:val="12"/>
                      <w:numId w:val="0"/>
                    </w:numPr>
                    <w:tabs>
                      <w:tab w:val="left" w:pos="-720"/>
                      <w:tab w:val="left" w:pos="4500"/>
                    </w:tabs>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193 154 USD</w:t>
                  </w:r>
                </w:p>
              </w:tc>
              <w:tc>
                <w:tcPr>
                  <w:tcW w:w="4221" w:type="dxa"/>
                  <w:vAlign w:val="center"/>
                </w:tcPr>
                <w:p w14:paraId="275CEFCC" w14:textId="297CBD8F" w:rsidR="00BB20E5" w:rsidRPr="00BB20E5" w:rsidRDefault="00BB20E5" w:rsidP="00BB20E5">
                  <w:pPr>
                    <w:jc w:val="both"/>
                    <w:rPr>
                      <w:lang w:val="fr-FR" w:eastAsia="fr-FR"/>
                    </w:rPr>
                  </w:pPr>
                  <w:r w:rsidRPr="00981894">
                    <w:rPr>
                      <w:lang w:val="fr-FR" w:eastAsia="fr-FR"/>
                    </w:rPr>
                    <w:t xml:space="preserve">Levier Plus couvre les villes de </w:t>
                  </w:r>
                  <w:r w:rsidRPr="00981894">
                    <w:rPr>
                      <w:b/>
                      <w:bCs/>
                      <w:i/>
                      <w:iCs/>
                      <w:lang w:val="fr-FR" w:eastAsia="fr-FR"/>
                    </w:rPr>
                    <w:t>Bouar, Berberati, Carnot et Nola</w:t>
                  </w:r>
                  <w:r w:rsidRPr="00981894">
                    <w:rPr>
                      <w:lang w:val="fr-FR" w:eastAsia="fr-FR"/>
                    </w:rPr>
                    <w:t xml:space="preserve"> avec pour principa</w:t>
                  </w:r>
                  <w:r w:rsidR="00BA1EBD" w:rsidRPr="00981894">
                    <w:rPr>
                      <w:lang w:val="fr-FR" w:eastAsia="fr-FR"/>
                    </w:rPr>
                    <w:t>ux produits</w:t>
                  </w:r>
                  <w:r w:rsidRPr="00981894">
                    <w:rPr>
                      <w:lang w:val="fr-FR" w:eastAsia="fr-FR"/>
                    </w:rPr>
                    <w:t> :</w:t>
                  </w:r>
                </w:p>
                <w:p w14:paraId="33681B49" w14:textId="77777777" w:rsidR="00BB20E5" w:rsidRPr="00BB20E5" w:rsidRDefault="00BB20E5" w:rsidP="00BB20E5">
                  <w:pPr>
                    <w:ind w:left="1005" w:hanging="992"/>
                    <w:jc w:val="both"/>
                    <w:rPr>
                      <w:b/>
                      <w:lang w:val="fr-FR" w:eastAsia="fr-FR"/>
                    </w:rPr>
                  </w:pPr>
                </w:p>
                <w:p w14:paraId="3BEB7F82" w14:textId="2C533C18" w:rsidR="00BB20E5" w:rsidRPr="00BB20E5" w:rsidRDefault="00BA1EBD" w:rsidP="00BB20E5">
                  <w:pPr>
                    <w:ind w:left="13"/>
                    <w:jc w:val="both"/>
                    <w:rPr>
                      <w:lang w:val="fr-FR" w:eastAsia="fr-FR"/>
                    </w:rPr>
                  </w:pPr>
                  <w:r w:rsidRPr="00981894">
                    <w:rPr>
                      <w:lang w:val="fr-FR" w:eastAsia="fr-FR"/>
                    </w:rPr>
                    <w:t>Appui au</w:t>
                  </w:r>
                  <w:r w:rsidR="00BB20E5" w:rsidRPr="00BB20E5">
                    <w:rPr>
                      <w:lang w:val="fr-FR" w:eastAsia="fr-FR"/>
                    </w:rPr>
                    <w:t xml:space="preserve"> renforcement du plaidoyer auprès des institutions de l’architecture de la justice transitionnelle sur les questions de genre, des droits et besoins des femmes en matière d’accès à la justice et à la vérité et les acteurs sont formés.</w:t>
                  </w:r>
                </w:p>
                <w:p w14:paraId="54877CB6" w14:textId="77777777" w:rsidR="00BB20E5" w:rsidRPr="00981894" w:rsidRDefault="00BB20E5" w:rsidP="00BA1EBD">
                  <w:pPr>
                    <w:ind w:left="1005" w:hanging="992"/>
                    <w:jc w:val="both"/>
                    <w:rPr>
                      <w:b/>
                      <w:lang w:val="fr-FR" w:eastAsia="fr-FR"/>
                    </w:rPr>
                  </w:pPr>
                </w:p>
                <w:p w14:paraId="611E4894" w14:textId="17D081B2" w:rsidR="00BB20E5" w:rsidRPr="00BB20E5" w:rsidRDefault="00BB20E5" w:rsidP="00BB20E5">
                  <w:pPr>
                    <w:jc w:val="both"/>
                    <w:rPr>
                      <w:lang w:val="fr-FR" w:eastAsia="fr-FR"/>
                    </w:rPr>
                  </w:pPr>
                  <w:r w:rsidRPr="00981894">
                    <w:rPr>
                      <w:lang w:val="fr-FR" w:eastAsia="fr-FR"/>
                    </w:rPr>
                    <w:t xml:space="preserve">Fournitures de </w:t>
                  </w:r>
                  <w:r w:rsidRPr="00BB20E5">
                    <w:rPr>
                      <w:lang w:val="fr-FR" w:eastAsia="fr-FR"/>
                    </w:rPr>
                    <w:t>services de prise en charge psychosociale</w:t>
                  </w:r>
                  <w:r w:rsidRPr="00981894">
                    <w:rPr>
                      <w:lang w:val="fr-FR" w:eastAsia="fr-FR"/>
                    </w:rPr>
                    <w:t xml:space="preserve"> </w:t>
                  </w:r>
                  <w:r w:rsidR="00BA1EBD" w:rsidRPr="00981894">
                    <w:rPr>
                      <w:lang w:val="fr-FR" w:eastAsia="fr-FR"/>
                    </w:rPr>
                    <w:t xml:space="preserve">(y compris les centres d’écoute) </w:t>
                  </w:r>
                  <w:r w:rsidRPr="00981894">
                    <w:rPr>
                      <w:lang w:val="fr-FR" w:eastAsia="fr-FR"/>
                    </w:rPr>
                    <w:t>aux</w:t>
                  </w:r>
                  <w:r w:rsidRPr="00BB20E5">
                    <w:rPr>
                      <w:lang w:val="fr-FR" w:eastAsia="fr-FR"/>
                    </w:rPr>
                    <w:t xml:space="preserve"> femmes et filles victimes des VBG, violences liées aux conflits, déplacées internes et autres femmes vulnérables.</w:t>
                  </w:r>
                </w:p>
                <w:p w14:paraId="61D33453" w14:textId="77777777" w:rsidR="00BB20E5" w:rsidRPr="00BB20E5" w:rsidRDefault="00BB20E5" w:rsidP="00BB20E5">
                  <w:pPr>
                    <w:ind w:left="1276" w:hanging="1276"/>
                    <w:jc w:val="both"/>
                    <w:rPr>
                      <w:lang w:val="fr-FR" w:eastAsia="fr-FR"/>
                    </w:rPr>
                  </w:pPr>
                </w:p>
                <w:p w14:paraId="7E8B36D4" w14:textId="35C3A8BF" w:rsidR="00BB20E5" w:rsidRPr="00BB20E5" w:rsidRDefault="00BA1EBD" w:rsidP="00BA1EBD">
                  <w:pPr>
                    <w:ind w:left="13"/>
                    <w:jc w:val="both"/>
                    <w:rPr>
                      <w:lang w:val="fr-FR" w:eastAsia="fr-FR"/>
                    </w:rPr>
                  </w:pPr>
                  <w:r w:rsidRPr="00981894">
                    <w:rPr>
                      <w:lang w:val="fr-FR" w:eastAsia="fr-FR"/>
                    </w:rPr>
                    <w:t>Opérationnalisation des</w:t>
                  </w:r>
                  <w:r w:rsidR="00BB20E5" w:rsidRPr="00BB20E5">
                    <w:rPr>
                      <w:lang w:val="fr-FR" w:eastAsia="fr-FR"/>
                    </w:rPr>
                    <w:t xml:space="preserve"> mécanisme</w:t>
                  </w:r>
                  <w:r w:rsidRPr="00981894">
                    <w:rPr>
                      <w:lang w:val="fr-FR" w:eastAsia="fr-FR"/>
                    </w:rPr>
                    <w:t>s</w:t>
                  </w:r>
                  <w:r w:rsidR="00BB20E5" w:rsidRPr="00BB20E5">
                    <w:rPr>
                      <w:lang w:val="fr-FR" w:eastAsia="fr-FR"/>
                    </w:rPr>
                    <w:t xml:space="preserve"> d’alerte précoce et de référencement des survivant(e)s des VSBG vers des structures de prise en charge adéquate est opérationnel et la sensibilisation est renforcée.</w:t>
                  </w:r>
                </w:p>
                <w:p w14:paraId="3DC36BAF" w14:textId="77777777" w:rsidR="00BB20E5" w:rsidRPr="00BB20E5" w:rsidRDefault="00BB20E5" w:rsidP="00BB20E5">
                  <w:pPr>
                    <w:ind w:left="1276" w:hanging="1276"/>
                    <w:jc w:val="both"/>
                    <w:rPr>
                      <w:lang w:val="fr-FR" w:eastAsia="fr-FR"/>
                    </w:rPr>
                  </w:pPr>
                </w:p>
                <w:p w14:paraId="3A6EC758" w14:textId="3180F13D" w:rsidR="00BB20E5" w:rsidRPr="00981894" w:rsidRDefault="00BB20E5" w:rsidP="00BA1EBD">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981894">
                    <w:rPr>
                      <w:rFonts w:ascii="Times New Roman" w:hAnsi="Times New Roman" w:cs="Times New Roman"/>
                      <w:sz w:val="24"/>
                      <w:szCs w:val="24"/>
                      <w:lang w:val="fr-FR" w:eastAsia="fr-FR"/>
                    </w:rPr>
                    <w:t>Les acteurs de justice, les leaders communautaires et les femmes elles-mêmes connaissent les concepts de droits humains des femmes, leur contribution et droit d’accès aux mécanismes de justice transitionnelle.</w:t>
                  </w:r>
                </w:p>
              </w:tc>
            </w:tr>
            <w:tr w:rsidR="00BA1EBD" w:rsidRPr="006B0660" w14:paraId="2719DCEF" w14:textId="77777777" w:rsidTr="00BA1EBD">
              <w:trPr>
                <w:trHeight w:val="397"/>
              </w:trPr>
              <w:tc>
                <w:tcPr>
                  <w:tcW w:w="1380" w:type="dxa"/>
                  <w:vAlign w:val="center"/>
                </w:tcPr>
                <w:p w14:paraId="2AF09CCD" w14:textId="4CBB6963" w:rsidR="00BA1EBD" w:rsidRPr="00981894" w:rsidRDefault="00BA1EBD" w:rsidP="00BA1EBD">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81894">
                    <w:rPr>
                      <w:rFonts w:ascii="Times New Roman" w:hAnsi="Times New Roman" w:cs="Times New Roman"/>
                      <w:sz w:val="24"/>
                      <w:szCs w:val="24"/>
                      <w:lang w:val="en-US"/>
                    </w:rPr>
                    <w:t>ONG GEPAD</w:t>
                  </w:r>
                </w:p>
              </w:tc>
              <w:tc>
                <w:tcPr>
                  <w:tcW w:w="1985" w:type="dxa"/>
                  <w:vAlign w:val="center"/>
                </w:tcPr>
                <w:p w14:paraId="6BBC1E8A" w14:textId="3D753A08" w:rsidR="00BA1EBD" w:rsidRPr="00981894" w:rsidRDefault="00BA1EBD" w:rsidP="00BA1EBD">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81894">
                    <w:rPr>
                      <w:rFonts w:ascii="Times New Roman" w:hAnsi="Times New Roman" w:cs="Times New Roman"/>
                      <w:sz w:val="24"/>
                      <w:szCs w:val="24"/>
                      <w:lang w:val="en-US"/>
                    </w:rPr>
                    <w:t>Société Civile</w:t>
                  </w:r>
                </w:p>
              </w:tc>
              <w:tc>
                <w:tcPr>
                  <w:tcW w:w="2268" w:type="dxa"/>
                  <w:vAlign w:val="center"/>
                </w:tcPr>
                <w:p w14:paraId="2AEC8B92" w14:textId="25B0DF76" w:rsidR="001A0F5F" w:rsidRPr="00981894" w:rsidRDefault="001A0F5F" w:rsidP="001A0F5F">
                  <w:pPr>
                    <w:pStyle w:val="Textedebulles"/>
                    <w:numPr>
                      <w:ilvl w:val="12"/>
                      <w:numId w:val="0"/>
                    </w:numPr>
                    <w:tabs>
                      <w:tab w:val="left" w:pos="-720"/>
                      <w:tab w:val="left" w:pos="4500"/>
                    </w:tabs>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129 739 USD</w:t>
                  </w:r>
                </w:p>
              </w:tc>
              <w:tc>
                <w:tcPr>
                  <w:tcW w:w="4221" w:type="dxa"/>
                  <w:vAlign w:val="center"/>
                </w:tcPr>
                <w:p w14:paraId="6781E0F6" w14:textId="2BF5BE9E" w:rsidR="00BA1EBD" w:rsidRPr="00BB20E5" w:rsidRDefault="00BA1EBD" w:rsidP="00BA1EBD">
                  <w:pPr>
                    <w:jc w:val="both"/>
                    <w:rPr>
                      <w:lang w:val="fr-FR" w:eastAsia="fr-FR"/>
                    </w:rPr>
                  </w:pPr>
                  <w:r w:rsidRPr="00981894">
                    <w:rPr>
                      <w:lang w:val="fr-FR" w:eastAsia="fr-FR"/>
                    </w:rPr>
                    <w:t xml:space="preserve">GEPAD couvre les villes de </w:t>
                  </w:r>
                  <w:r w:rsidRPr="00981894">
                    <w:rPr>
                      <w:b/>
                      <w:bCs/>
                      <w:i/>
                      <w:iCs/>
                      <w:lang w:val="fr-FR" w:eastAsia="fr-FR"/>
                    </w:rPr>
                    <w:t xml:space="preserve">Bangui, </w:t>
                  </w:r>
                  <w:proofErr w:type="spellStart"/>
                  <w:r w:rsidRPr="00981894">
                    <w:rPr>
                      <w:b/>
                      <w:bCs/>
                      <w:i/>
                      <w:iCs/>
                      <w:lang w:val="fr-FR" w:eastAsia="fr-FR"/>
                    </w:rPr>
                    <w:t>Boda</w:t>
                  </w:r>
                  <w:proofErr w:type="spellEnd"/>
                  <w:r w:rsidRPr="00981894">
                    <w:rPr>
                      <w:b/>
                      <w:bCs/>
                      <w:i/>
                      <w:iCs/>
                      <w:lang w:val="fr-FR" w:eastAsia="fr-FR"/>
                    </w:rPr>
                    <w:t xml:space="preserve"> et Bossangoa </w:t>
                  </w:r>
                  <w:r w:rsidRPr="00981894">
                    <w:rPr>
                      <w:lang w:val="fr-FR" w:eastAsia="fr-FR"/>
                    </w:rPr>
                    <w:t>avec pour principaux produits :</w:t>
                  </w:r>
                </w:p>
                <w:p w14:paraId="7CA023DE" w14:textId="77777777" w:rsidR="00BA1EBD" w:rsidRPr="00BB20E5" w:rsidRDefault="00BA1EBD" w:rsidP="00BA1EBD">
                  <w:pPr>
                    <w:ind w:left="1005" w:hanging="992"/>
                    <w:jc w:val="both"/>
                    <w:rPr>
                      <w:b/>
                      <w:lang w:val="fr-FR" w:eastAsia="fr-FR"/>
                    </w:rPr>
                  </w:pPr>
                </w:p>
                <w:p w14:paraId="268CE812" w14:textId="77777777" w:rsidR="00BA1EBD" w:rsidRPr="00BB20E5" w:rsidRDefault="00BA1EBD" w:rsidP="00BA1EBD">
                  <w:pPr>
                    <w:ind w:left="13"/>
                    <w:jc w:val="both"/>
                    <w:rPr>
                      <w:lang w:val="fr-FR" w:eastAsia="fr-FR"/>
                    </w:rPr>
                  </w:pPr>
                  <w:r w:rsidRPr="00981894">
                    <w:rPr>
                      <w:lang w:val="fr-FR" w:eastAsia="fr-FR"/>
                    </w:rPr>
                    <w:t>Appui au</w:t>
                  </w:r>
                  <w:r w:rsidRPr="00BB20E5">
                    <w:rPr>
                      <w:lang w:val="fr-FR" w:eastAsia="fr-FR"/>
                    </w:rPr>
                    <w:t xml:space="preserve"> renforcement du plaidoyer auprès des institutions de l’architecture de la justice transitionnelle sur les questions de genre, des droits et besoins des femmes en matière d’accès à la justice et à la vérité et les acteurs sont formés.</w:t>
                  </w:r>
                </w:p>
                <w:p w14:paraId="06AFCE17" w14:textId="77777777" w:rsidR="00BA1EBD" w:rsidRPr="00981894" w:rsidRDefault="00BA1EBD" w:rsidP="00BA1EBD">
                  <w:pPr>
                    <w:ind w:left="1005" w:hanging="992"/>
                    <w:jc w:val="both"/>
                    <w:rPr>
                      <w:b/>
                      <w:lang w:val="fr-FR" w:eastAsia="fr-FR"/>
                    </w:rPr>
                  </w:pPr>
                </w:p>
                <w:p w14:paraId="31C1CD9E" w14:textId="77777777" w:rsidR="00BA1EBD" w:rsidRPr="00BB20E5" w:rsidRDefault="00BA1EBD" w:rsidP="00BA1EBD">
                  <w:pPr>
                    <w:jc w:val="both"/>
                    <w:rPr>
                      <w:lang w:val="fr-FR" w:eastAsia="fr-FR"/>
                    </w:rPr>
                  </w:pPr>
                  <w:r w:rsidRPr="00981894">
                    <w:rPr>
                      <w:lang w:val="fr-FR" w:eastAsia="fr-FR"/>
                    </w:rPr>
                    <w:t xml:space="preserve">Fournitures de </w:t>
                  </w:r>
                  <w:r w:rsidRPr="00BB20E5">
                    <w:rPr>
                      <w:lang w:val="fr-FR" w:eastAsia="fr-FR"/>
                    </w:rPr>
                    <w:t>services de prise en charge psychosociale</w:t>
                  </w:r>
                  <w:r w:rsidRPr="00981894">
                    <w:rPr>
                      <w:lang w:val="fr-FR" w:eastAsia="fr-FR"/>
                    </w:rPr>
                    <w:t xml:space="preserve"> (y compris les centres d’écoute) aux</w:t>
                  </w:r>
                  <w:r w:rsidRPr="00BB20E5">
                    <w:rPr>
                      <w:lang w:val="fr-FR" w:eastAsia="fr-FR"/>
                    </w:rPr>
                    <w:t xml:space="preserve"> femmes et filles victimes des VBG, violences liées aux conflits, déplacées internes et autres femmes vulnérables.</w:t>
                  </w:r>
                </w:p>
                <w:p w14:paraId="0FF22B39" w14:textId="77777777" w:rsidR="00BA1EBD" w:rsidRPr="00BB20E5" w:rsidRDefault="00BA1EBD" w:rsidP="00BA1EBD">
                  <w:pPr>
                    <w:ind w:left="1276" w:hanging="1276"/>
                    <w:jc w:val="both"/>
                    <w:rPr>
                      <w:lang w:val="fr-FR" w:eastAsia="fr-FR"/>
                    </w:rPr>
                  </w:pPr>
                </w:p>
                <w:p w14:paraId="5870D876" w14:textId="77777777" w:rsidR="00BA1EBD" w:rsidRPr="00BB20E5" w:rsidRDefault="00BA1EBD" w:rsidP="00BA1EBD">
                  <w:pPr>
                    <w:ind w:left="13"/>
                    <w:jc w:val="both"/>
                    <w:rPr>
                      <w:lang w:val="fr-FR" w:eastAsia="fr-FR"/>
                    </w:rPr>
                  </w:pPr>
                  <w:r w:rsidRPr="00981894">
                    <w:rPr>
                      <w:lang w:val="fr-FR" w:eastAsia="fr-FR"/>
                    </w:rPr>
                    <w:t>Opérationnalisation des</w:t>
                  </w:r>
                  <w:r w:rsidRPr="00BB20E5">
                    <w:rPr>
                      <w:lang w:val="fr-FR" w:eastAsia="fr-FR"/>
                    </w:rPr>
                    <w:t xml:space="preserve"> mécanisme</w:t>
                  </w:r>
                  <w:r w:rsidRPr="00981894">
                    <w:rPr>
                      <w:lang w:val="fr-FR" w:eastAsia="fr-FR"/>
                    </w:rPr>
                    <w:t>s</w:t>
                  </w:r>
                  <w:r w:rsidRPr="00BB20E5">
                    <w:rPr>
                      <w:lang w:val="fr-FR" w:eastAsia="fr-FR"/>
                    </w:rPr>
                    <w:t xml:space="preserve"> d’alerte précoce et de référencement des survivant(e)s des VSBG vers des structures de prise en charge adéquate est opérationnel et la sensibilisation est renforcée.</w:t>
                  </w:r>
                </w:p>
                <w:p w14:paraId="7C2D0DE4" w14:textId="77777777" w:rsidR="00BA1EBD" w:rsidRPr="00BB20E5" w:rsidRDefault="00BA1EBD" w:rsidP="00BA1EBD">
                  <w:pPr>
                    <w:ind w:left="1276" w:hanging="1276"/>
                    <w:jc w:val="both"/>
                    <w:rPr>
                      <w:lang w:val="fr-FR" w:eastAsia="fr-FR"/>
                    </w:rPr>
                  </w:pPr>
                </w:p>
                <w:p w14:paraId="4FB32832" w14:textId="576D3BBF" w:rsidR="00BA1EBD" w:rsidRPr="00981894" w:rsidRDefault="00BA1EBD" w:rsidP="00BA1EBD">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981894">
                    <w:rPr>
                      <w:rFonts w:ascii="Times New Roman" w:hAnsi="Times New Roman" w:cs="Times New Roman"/>
                      <w:sz w:val="24"/>
                      <w:szCs w:val="24"/>
                      <w:lang w:val="fr-FR" w:eastAsia="fr-FR"/>
                    </w:rPr>
                    <w:t>Les acteurs de justice, les leaders communautaires et les femmes elles-mêmes connaissent les concepts de droits humains des femmes, leur contribution et droit d’accès aux mécanismes de justice transitionnelle.</w:t>
                  </w:r>
                  <w:r w:rsidR="00B83736">
                    <w:rPr>
                      <w:rFonts w:ascii="Times New Roman" w:hAnsi="Times New Roman" w:cs="Times New Roman"/>
                      <w:sz w:val="24"/>
                      <w:szCs w:val="24"/>
                      <w:lang w:val="fr-FR" w:eastAsia="fr-FR"/>
                    </w:rPr>
                    <w:t xml:space="preserve"> Ce résultat inclus l’appui au service de prise en charge psychosociale de l’UMIRR.</w:t>
                  </w:r>
                </w:p>
              </w:tc>
            </w:tr>
            <w:tr w:rsidR="00BA1EBD" w:rsidRPr="006B0660" w14:paraId="4B2A1746" w14:textId="77777777" w:rsidTr="00BA1EBD">
              <w:trPr>
                <w:trHeight w:val="397"/>
              </w:trPr>
              <w:tc>
                <w:tcPr>
                  <w:tcW w:w="1380" w:type="dxa"/>
                  <w:vAlign w:val="center"/>
                </w:tcPr>
                <w:p w14:paraId="49DD4069" w14:textId="0303CF35" w:rsidR="00BA1EBD" w:rsidRPr="00981894" w:rsidRDefault="00BA1EBD" w:rsidP="00BA1EBD">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81894">
                    <w:rPr>
                      <w:rFonts w:ascii="Times New Roman" w:hAnsi="Times New Roman" w:cs="Times New Roman"/>
                      <w:sz w:val="24"/>
                      <w:szCs w:val="24"/>
                      <w:lang w:val="en-US"/>
                    </w:rPr>
                    <w:t>ONG IDD</w:t>
                  </w:r>
                </w:p>
              </w:tc>
              <w:tc>
                <w:tcPr>
                  <w:tcW w:w="1985" w:type="dxa"/>
                  <w:vAlign w:val="center"/>
                </w:tcPr>
                <w:p w14:paraId="47FCCF3D" w14:textId="232E8DF0" w:rsidR="00BA1EBD" w:rsidRPr="00981894" w:rsidRDefault="00BA1EBD" w:rsidP="00BA1EBD">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81894">
                    <w:rPr>
                      <w:rFonts w:ascii="Times New Roman" w:hAnsi="Times New Roman" w:cs="Times New Roman"/>
                      <w:sz w:val="24"/>
                      <w:szCs w:val="24"/>
                      <w:lang w:val="en-US"/>
                    </w:rPr>
                    <w:t>Société Civile</w:t>
                  </w:r>
                </w:p>
              </w:tc>
              <w:tc>
                <w:tcPr>
                  <w:tcW w:w="2268" w:type="dxa"/>
                  <w:vAlign w:val="center"/>
                </w:tcPr>
                <w:p w14:paraId="48A741DC" w14:textId="32119F18" w:rsidR="001A0F5F" w:rsidRPr="00981894" w:rsidRDefault="001A0F5F" w:rsidP="001A0F5F">
                  <w:pPr>
                    <w:pStyle w:val="Textedebulles"/>
                    <w:numPr>
                      <w:ilvl w:val="12"/>
                      <w:numId w:val="0"/>
                    </w:numPr>
                    <w:tabs>
                      <w:tab w:val="left" w:pos="-720"/>
                      <w:tab w:val="left" w:pos="4500"/>
                    </w:tabs>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74 461 USD</w:t>
                  </w:r>
                </w:p>
              </w:tc>
              <w:tc>
                <w:tcPr>
                  <w:tcW w:w="4221" w:type="dxa"/>
                  <w:vAlign w:val="center"/>
                </w:tcPr>
                <w:p w14:paraId="6F2388E4" w14:textId="51842A44" w:rsidR="00BA1EBD" w:rsidRPr="00BB20E5" w:rsidRDefault="00BA1EBD" w:rsidP="00BA1EBD">
                  <w:pPr>
                    <w:jc w:val="both"/>
                    <w:rPr>
                      <w:lang w:val="fr-FR" w:eastAsia="fr-FR"/>
                    </w:rPr>
                  </w:pPr>
                  <w:r w:rsidRPr="00981894">
                    <w:rPr>
                      <w:lang w:val="fr-FR" w:eastAsia="fr-FR"/>
                    </w:rPr>
                    <w:t xml:space="preserve">ONG IDD couvre les villes de </w:t>
                  </w:r>
                  <w:r w:rsidRPr="00981894">
                    <w:rPr>
                      <w:b/>
                      <w:bCs/>
                      <w:i/>
                      <w:iCs/>
                      <w:lang w:val="fr-FR" w:eastAsia="fr-FR"/>
                    </w:rPr>
                    <w:t>Sibut et Bangassou</w:t>
                  </w:r>
                  <w:r w:rsidRPr="00981894">
                    <w:rPr>
                      <w:lang w:val="fr-FR" w:eastAsia="fr-FR"/>
                    </w:rPr>
                    <w:t xml:space="preserve"> avec pour principaux produits :</w:t>
                  </w:r>
                </w:p>
                <w:p w14:paraId="41478A90" w14:textId="77777777" w:rsidR="00BA1EBD" w:rsidRPr="00BB20E5" w:rsidRDefault="00BA1EBD" w:rsidP="00BA1EBD">
                  <w:pPr>
                    <w:ind w:left="1005" w:hanging="992"/>
                    <w:jc w:val="both"/>
                    <w:rPr>
                      <w:b/>
                      <w:lang w:val="fr-FR" w:eastAsia="fr-FR"/>
                    </w:rPr>
                  </w:pPr>
                </w:p>
                <w:p w14:paraId="709B9A57" w14:textId="77777777" w:rsidR="00BA1EBD" w:rsidRPr="00BB20E5" w:rsidRDefault="00BA1EBD" w:rsidP="00BA1EBD">
                  <w:pPr>
                    <w:ind w:left="13"/>
                    <w:jc w:val="both"/>
                    <w:rPr>
                      <w:lang w:val="fr-FR" w:eastAsia="fr-FR"/>
                    </w:rPr>
                  </w:pPr>
                  <w:r w:rsidRPr="00981894">
                    <w:rPr>
                      <w:lang w:val="fr-FR" w:eastAsia="fr-FR"/>
                    </w:rPr>
                    <w:t>Appui au</w:t>
                  </w:r>
                  <w:r w:rsidRPr="00BB20E5">
                    <w:rPr>
                      <w:lang w:val="fr-FR" w:eastAsia="fr-FR"/>
                    </w:rPr>
                    <w:t xml:space="preserve"> renforcement du plaidoyer auprès des institutions de l’architecture de la justice transitionnelle sur les questions de genre, des droits et besoins des femmes en matière d’accès à la justice et à la vérité et les acteurs sont formés.</w:t>
                  </w:r>
                </w:p>
                <w:p w14:paraId="1C7CE841" w14:textId="77777777" w:rsidR="00BA1EBD" w:rsidRPr="00981894" w:rsidRDefault="00BA1EBD" w:rsidP="00BA1EBD">
                  <w:pPr>
                    <w:ind w:left="1005" w:hanging="992"/>
                    <w:jc w:val="both"/>
                    <w:rPr>
                      <w:b/>
                      <w:lang w:val="fr-FR" w:eastAsia="fr-FR"/>
                    </w:rPr>
                  </w:pPr>
                </w:p>
                <w:p w14:paraId="7EE6C7C5" w14:textId="77777777" w:rsidR="00BA1EBD" w:rsidRPr="00BB20E5" w:rsidRDefault="00BA1EBD" w:rsidP="00BA1EBD">
                  <w:pPr>
                    <w:jc w:val="both"/>
                    <w:rPr>
                      <w:lang w:val="fr-FR" w:eastAsia="fr-FR"/>
                    </w:rPr>
                  </w:pPr>
                  <w:r w:rsidRPr="00981894">
                    <w:rPr>
                      <w:lang w:val="fr-FR" w:eastAsia="fr-FR"/>
                    </w:rPr>
                    <w:t xml:space="preserve">Fournitures de </w:t>
                  </w:r>
                  <w:r w:rsidRPr="00BB20E5">
                    <w:rPr>
                      <w:lang w:val="fr-FR" w:eastAsia="fr-FR"/>
                    </w:rPr>
                    <w:t>services de prise en charge psychosociale</w:t>
                  </w:r>
                  <w:r w:rsidRPr="00981894">
                    <w:rPr>
                      <w:lang w:val="fr-FR" w:eastAsia="fr-FR"/>
                    </w:rPr>
                    <w:t xml:space="preserve"> aux</w:t>
                  </w:r>
                  <w:r w:rsidRPr="00BB20E5">
                    <w:rPr>
                      <w:lang w:val="fr-FR" w:eastAsia="fr-FR"/>
                    </w:rPr>
                    <w:t xml:space="preserve"> femmes et filles victimes des VBG, violences liées aux conflits, déplacées internes et autres femmes vulnérables.</w:t>
                  </w:r>
                </w:p>
                <w:p w14:paraId="768ADFAD" w14:textId="77777777" w:rsidR="00BA1EBD" w:rsidRPr="00BB20E5" w:rsidRDefault="00BA1EBD" w:rsidP="00BA1EBD">
                  <w:pPr>
                    <w:ind w:left="1276" w:hanging="1276"/>
                    <w:jc w:val="both"/>
                    <w:rPr>
                      <w:lang w:val="fr-FR" w:eastAsia="fr-FR"/>
                    </w:rPr>
                  </w:pPr>
                </w:p>
                <w:p w14:paraId="48B3EDA7" w14:textId="77777777" w:rsidR="00BA1EBD" w:rsidRPr="00BB20E5" w:rsidRDefault="00BA1EBD" w:rsidP="00BA1EBD">
                  <w:pPr>
                    <w:ind w:left="13"/>
                    <w:jc w:val="both"/>
                    <w:rPr>
                      <w:lang w:val="fr-FR" w:eastAsia="fr-FR"/>
                    </w:rPr>
                  </w:pPr>
                  <w:r w:rsidRPr="00981894">
                    <w:rPr>
                      <w:lang w:val="fr-FR" w:eastAsia="fr-FR"/>
                    </w:rPr>
                    <w:t>Opérationnalisation des</w:t>
                  </w:r>
                  <w:r w:rsidRPr="00BB20E5">
                    <w:rPr>
                      <w:lang w:val="fr-FR" w:eastAsia="fr-FR"/>
                    </w:rPr>
                    <w:t xml:space="preserve"> mécanisme</w:t>
                  </w:r>
                  <w:r w:rsidRPr="00981894">
                    <w:rPr>
                      <w:lang w:val="fr-FR" w:eastAsia="fr-FR"/>
                    </w:rPr>
                    <w:t>s</w:t>
                  </w:r>
                  <w:r w:rsidRPr="00BB20E5">
                    <w:rPr>
                      <w:lang w:val="fr-FR" w:eastAsia="fr-FR"/>
                    </w:rPr>
                    <w:t xml:space="preserve"> d’alerte précoce et de référencement des survivant(e)s des VSBG vers des structures de prise en charge adéquate est opérationnel et la sensibilisation est renforcée.</w:t>
                  </w:r>
                </w:p>
                <w:p w14:paraId="39B0F89C" w14:textId="77777777" w:rsidR="00BA1EBD" w:rsidRPr="00BB20E5" w:rsidRDefault="00BA1EBD" w:rsidP="00BA1EBD">
                  <w:pPr>
                    <w:ind w:left="1276" w:hanging="1276"/>
                    <w:jc w:val="both"/>
                    <w:rPr>
                      <w:lang w:val="fr-FR" w:eastAsia="fr-FR"/>
                    </w:rPr>
                  </w:pPr>
                </w:p>
                <w:p w14:paraId="53966193" w14:textId="553E4373" w:rsidR="00BA1EBD" w:rsidRPr="00981894" w:rsidRDefault="00BA1EBD" w:rsidP="00BA1EBD">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981894">
                    <w:rPr>
                      <w:rFonts w:ascii="Times New Roman" w:hAnsi="Times New Roman" w:cs="Times New Roman"/>
                      <w:sz w:val="24"/>
                      <w:szCs w:val="24"/>
                      <w:lang w:val="fr-FR" w:eastAsia="fr-FR"/>
                    </w:rPr>
                    <w:t>Les acteurs de justice, les leaders communautaires et les femmes elles-mêmes connaissent les concepts de droits humains des femmes, leur contribution et droit d’accès aux mécanismes de justice transitionnelle.</w:t>
                  </w:r>
                </w:p>
              </w:tc>
            </w:tr>
          </w:tbl>
          <w:p w14:paraId="33C6084F" w14:textId="77777777" w:rsidR="00793DE6" w:rsidRPr="00742407"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Pr="00742407"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742407">
              <w:rPr>
                <w:rFonts w:ascii="Times New Roman" w:hAnsi="Times New Roman" w:cs="Times New Roman"/>
                <w:b/>
                <w:bCs/>
                <w:sz w:val="24"/>
                <w:szCs w:val="24"/>
                <w:lang w:val="fr-FR"/>
              </w:rPr>
              <w:t>Budg</w:t>
            </w:r>
            <w:r w:rsidR="008342F5" w:rsidRPr="00742407">
              <w:rPr>
                <w:rFonts w:ascii="Times New Roman" w:hAnsi="Times New Roman" w:cs="Times New Roman"/>
                <w:b/>
                <w:bCs/>
                <w:sz w:val="24"/>
                <w:szCs w:val="24"/>
                <w:lang w:val="fr-FR"/>
              </w:rPr>
              <w:t>é</w:t>
            </w:r>
            <w:r w:rsidRPr="00742407">
              <w:rPr>
                <w:rFonts w:ascii="Times New Roman" w:hAnsi="Times New Roman" w:cs="Times New Roman"/>
                <w:b/>
                <w:bCs/>
                <w:sz w:val="24"/>
                <w:szCs w:val="24"/>
                <w:lang w:val="fr-FR"/>
              </w:rPr>
              <w:t xml:space="preserve">tisation sensible au </w:t>
            </w:r>
            <w:proofErr w:type="gramStart"/>
            <w:r w:rsidRPr="00742407">
              <w:rPr>
                <w:rFonts w:ascii="Times New Roman" w:hAnsi="Times New Roman" w:cs="Times New Roman"/>
                <w:b/>
                <w:bCs/>
                <w:sz w:val="24"/>
                <w:szCs w:val="24"/>
                <w:lang w:val="fr-FR"/>
              </w:rPr>
              <w:t>genre</w:t>
            </w:r>
            <w:r w:rsidR="00006EC0" w:rsidRPr="00742407">
              <w:rPr>
                <w:rFonts w:ascii="Times New Roman" w:hAnsi="Times New Roman" w:cs="Times New Roman"/>
                <w:b/>
                <w:bCs/>
                <w:sz w:val="24"/>
                <w:szCs w:val="24"/>
                <w:lang w:val="fr-FR"/>
              </w:rPr>
              <w:t>:</w:t>
            </w:r>
            <w:proofErr w:type="gramEnd"/>
          </w:p>
          <w:p w14:paraId="77C1BA9F" w14:textId="77777777" w:rsidR="001A2539" w:rsidRPr="00742407"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242DD39" w:rsidR="001A2539" w:rsidRPr="00BA1EBD" w:rsidRDefault="001A2539" w:rsidP="6595E2F0">
            <w:pPr>
              <w:pStyle w:val="Textedebulles"/>
              <w:tabs>
                <w:tab w:val="left" w:pos="4500"/>
              </w:tabs>
              <w:suppressAutoHyphens/>
              <w:rPr>
                <w:rFonts w:ascii="Times New Roman" w:hAnsi="Times New Roman" w:cs="Times New Roman"/>
                <w:sz w:val="24"/>
                <w:szCs w:val="24"/>
                <w:lang w:val="fr-FR"/>
              </w:rPr>
            </w:pPr>
            <w:r w:rsidRPr="00742407">
              <w:rPr>
                <w:rFonts w:ascii="Times New Roman" w:hAnsi="Times New Roman" w:cs="Times New Roman"/>
                <w:sz w:val="24"/>
                <w:szCs w:val="24"/>
                <w:lang w:val="fr-FR"/>
              </w:rPr>
              <w:t xml:space="preserve">Indiquez quel pourcentage (%) du budget contribuant </w:t>
            </w:r>
            <w:r w:rsidR="6595E2F0" w:rsidRPr="00742407">
              <w:rPr>
                <w:rFonts w:ascii="Times New Roman" w:hAnsi="Times New Roman" w:cs="Times New Roman"/>
                <w:sz w:val="24"/>
                <w:szCs w:val="24"/>
                <w:lang w:val="fr-FR"/>
              </w:rPr>
              <w:t>à</w:t>
            </w:r>
            <w:r w:rsidRPr="00742407">
              <w:rPr>
                <w:rFonts w:ascii="Times New Roman" w:hAnsi="Times New Roman" w:cs="Times New Roman"/>
                <w:sz w:val="24"/>
                <w:szCs w:val="24"/>
                <w:lang w:val="fr-FR"/>
              </w:rPr>
              <w:t xml:space="preserve"> l'égalité des sexes ou l'autonomisation des femmes (</w:t>
            </w:r>
            <w:r w:rsidRPr="00BA1EBD">
              <w:rPr>
                <w:rFonts w:ascii="Times New Roman" w:hAnsi="Times New Roman" w:cs="Times New Roman"/>
                <w:sz w:val="24"/>
                <w:szCs w:val="24"/>
                <w:lang w:val="fr-FR"/>
              </w:rPr>
              <w:t>GEWE) ?</w:t>
            </w:r>
            <w:r w:rsidR="00B3227D" w:rsidRPr="00BA1EBD">
              <w:rPr>
                <w:rFonts w:ascii="Times New Roman" w:hAnsi="Times New Roman" w:cs="Times New Roman"/>
                <w:sz w:val="24"/>
                <w:szCs w:val="24"/>
                <w:lang w:val="fr-FR"/>
              </w:rPr>
              <w:t xml:space="preserve"> </w:t>
            </w:r>
            <w:r w:rsidR="00B3227D" w:rsidRPr="00BA1EBD">
              <w:rPr>
                <w:rFonts w:ascii="Times New Roman" w:hAnsi="Times New Roman" w:cs="Times New Roman"/>
                <w:bCs/>
                <w:sz w:val="24"/>
                <w:szCs w:val="24"/>
                <w:lang w:val="fr-FR"/>
              </w:rPr>
              <w:t>37.50%</w:t>
            </w:r>
          </w:p>
          <w:p w14:paraId="3B688265" w14:textId="77777777" w:rsidR="001A2539" w:rsidRPr="00BA1EBD" w:rsidRDefault="001A2539" w:rsidP="001A253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3008135" w14:textId="66EFADAB" w:rsidR="00B3227D" w:rsidRPr="00742407" w:rsidRDefault="000F43A8" w:rsidP="00B3227D">
            <w:pPr>
              <w:pStyle w:val="Textedebulles"/>
              <w:tabs>
                <w:tab w:val="left" w:pos="4500"/>
              </w:tabs>
              <w:suppressAutoHyphens/>
              <w:rPr>
                <w:rFonts w:ascii="Times New Roman" w:hAnsi="Times New Roman" w:cs="Times New Roman"/>
                <w:sz w:val="24"/>
                <w:szCs w:val="24"/>
                <w:lang w:val="fr-FR"/>
              </w:rPr>
            </w:pPr>
            <w:r w:rsidRPr="00BA1EBD">
              <w:rPr>
                <w:rFonts w:ascii="Times New Roman" w:hAnsi="Times New Roman" w:cs="Times New Roman"/>
                <w:sz w:val="24"/>
                <w:szCs w:val="24"/>
                <w:lang w:val="fr-FR"/>
              </w:rPr>
              <w:t xml:space="preserve">Indiquez le montant ($) du budget dans le document de projet </w:t>
            </w:r>
            <w:r w:rsidR="001A2539" w:rsidRPr="00BA1EBD">
              <w:rPr>
                <w:rFonts w:ascii="Times New Roman" w:hAnsi="Times New Roman" w:cs="Times New Roman"/>
                <w:sz w:val="24"/>
                <w:szCs w:val="24"/>
                <w:lang w:val="fr-FR"/>
              </w:rPr>
              <w:t xml:space="preserve">contribuant </w:t>
            </w:r>
            <w:r w:rsidRPr="00BA1EBD">
              <w:rPr>
                <w:rFonts w:ascii="Times New Roman" w:hAnsi="Times New Roman" w:cs="Times New Roman"/>
                <w:sz w:val="24"/>
                <w:szCs w:val="24"/>
                <w:lang w:val="fr-FR"/>
              </w:rPr>
              <w:t xml:space="preserve">à l’égalité des sexes ou à l’autonomisation des </w:t>
            </w:r>
            <w:r w:rsidR="00B3227D" w:rsidRPr="00BA1EBD">
              <w:rPr>
                <w:rFonts w:ascii="Times New Roman" w:hAnsi="Times New Roman" w:cs="Times New Roman"/>
                <w:sz w:val="24"/>
                <w:szCs w:val="24"/>
                <w:lang w:val="fr-FR"/>
              </w:rPr>
              <w:t>femmes :</w:t>
            </w:r>
            <w:r w:rsidR="00970F4C" w:rsidRPr="00BA1EBD">
              <w:rPr>
                <w:rFonts w:ascii="Times New Roman" w:hAnsi="Times New Roman" w:cs="Times New Roman"/>
                <w:sz w:val="24"/>
                <w:szCs w:val="24"/>
                <w:lang w:val="fr-FR"/>
              </w:rPr>
              <w:t xml:space="preserve"> </w:t>
            </w:r>
            <w:r w:rsidR="00B3227D" w:rsidRPr="00BA1EBD">
              <w:rPr>
                <w:rFonts w:ascii="Times New Roman" w:hAnsi="Times New Roman" w:cs="Times New Roman"/>
                <w:bCs/>
                <w:sz w:val="24"/>
                <w:szCs w:val="24"/>
                <w:lang w:val="fr-FR"/>
              </w:rPr>
              <w:t>$ 1,687,448.94</w:t>
            </w:r>
          </w:p>
          <w:p w14:paraId="708C1084" w14:textId="77777777" w:rsidR="001A2539" w:rsidRPr="00742407" w:rsidRDefault="001A2539" w:rsidP="001A253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639EFB0D" w14:textId="07C9E4DE" w:rsidR="00CB7336" w:rsidRPr="00742407" w:rsidRDefault="000F43A8" w:rsidP="00B3227D">
            <w:pPr>
              <w:pStyle w:val="Textedebulles"/>
              <w:tabs>
                <w:tab w:val="left" w:pos="4500"/>
              </w:tabs>
              <w:suppressAutoHyphens/>
              <w:rPr>
                <w:rFonts w:ascii="Times New Roman" w:hAnsi="Times New Roman" w:cs="Times New Roman"/>
                <w:lang w:val="fr-FR"/>
              </w:rPr>
            </w:pPr>
            <w:r w:rsidRPr="00981894">
              <w:rPr>
                <w:rFonts w:ascii="Times New Roman" w:hAnsi="Times New Roman" w:cs="Times New Roman"/>
                <w:sz w:val="24"/>
                <w:szCs w:val="24"/>
                <w:lang w:val="fr-FR"/>
              </w:rPr>
              <w:t xml:space="preserve">Indiquez le montant ($) du budget dépensé jusqu’à maintenant contribuant à l’égalité des sexes ou à l’autonomisation des </w:t>
            </w:r>
            <w:r w:rsidR="00B3227D" w:rsidRPr="00981894">
              <w:rPr>
                <w:rFonts w:ascii="Times New Roman" w:hAnsi="Times New Roman" w:cs="Times New Roman"/>
                <w:sz w:val="24"/>
                <w:szCs w:val="24"/>
                <w:lang w:val="fr-FR"/>
              </w:rPr>
              <w:t>femmes :</w:t>
            </w:r>
            <w:r w:rsidR="00006EC0" w:rsidRPr="00981894">
              <w:rPr>
                <w:rFonts w:ascii="Times New Roman" w:hAnsi="Times New Roman" w:cs="Times New Roman"/>
                <w:lang w:val="fr-FR"/>
              </w:rPr>
              <w:t xml:space="preserve"> </w:t>
            </w:r>
            <w:r w:rsidR="00B3227D" w:rsidRPr="00981894">
              <w:rPr>
                <w:rFonts w:ascii="Times New Roman" w:hAnsi="Times New Roman" w:cs="Times New Roman"/>
                <w:bCs/>
                <w:sz w:val="24"/>
                <w:szCs w:val="24"/>
                <w:lang w:val="fr-FR"/>
              </w:rPr>
              <w:t>$ 1,687,448.94</w:t>
            </w:r>
          </w:p>
        </w:tc>
      </w:tr>
      <w:tr w:rsidR="009B18EB" w:rsidRPr="006B0660" w14:paraId="0DF7F010" w14:textId="77777777" w:rsidTr="6595E2F0">
        <w:trPr>
          <w:trHeight w:val="1124"/>
        </w:trPr>
        <w:tc>
          <w:tcPr>
            <w:tcW w:w="10080" w:type="dxa"/>
            <w:gridSpan w:val="2"/>
          </w:tcPr>
          <w:p w14:paraId="0084A294" w14:textId="32A9F714" w:rsidR="009B18EB" w:rsidRPr="00742407" w:rsidRDefault="000F43A8" w:rsidP="00F23D0F">
            <w:pPr>
              <w:rPr>
                <w:b/>
                <w:bCs/>
                <w:iCs/>
                <w:lang w:val="fr-FR"/>
              </w:rPr>
            </w:pPr>
            <w:r w:rsidRPr="00742407">
              <w:rPr>
                <w:b/>
                <w:bCs/>
                <w:iCs/>
                <w:lang w:val="fr-FR"/>
              </w:rPr>
              <w:lastRenderedPageBreak/>
              <w:t xml:space="preserve">Marquer de genre du </w:t>
            </w:r>
            <w:r w:rsidR="00390E93" w:rsidRPr="00742407">
              <w:rPr>
                <w:b/>
                <w:bCs/>
                <w:iCs/>
                <w:lang w:val="fr-FR"/>
              </w:rPr>
              <w:t>projet :</w:t>
            </w:r>
            <w:r w:rsidR="009B18EB" w:rsidRPr="00742407">
              <w:rPr>
                <w:b/>
                <w:bCs/>
                <w:iCs/>
                <w:lang w:val="fr-FR"/>
              </w:rPr>
              <w:t xml:space="preserve"> </w:t>
            </w:r>
            <w:r w:rsidR="00931671" w:rsidRPr="00742407">
              <w:rPr>
                <w:lang w:val="fr-FR"/>
              </w:rPr>
              <w:fldChar w:fldCharType="begin">
                <w:ffData>
                  <w:name w:val="Text86"/>
                  <w:enabled/>
                  <w:calcOnExit w:val="0"/>
                  <w:textInput/>
                </w:ffData>
              </w:fldChar>
            </w:r>
            <w:r w:rsidR="00931671" w:rsidRPr="00742407">
              <w:rPr>
                <w:lang w:val="fr-FR"/>
              </w:rPr>
              <w:instrText xml:space="preserve"> FORMTEXT </w:instrText>
            </w:r>
            <w:r w:rsidR="00931671" w:rsidRPr="00742407">
              <w:rPr>
                <w:lang w:val="fr-FR"/>
              </w:rPr>
            </w:r>
            <w:r w:rsidR="00931671" w:rsidRPr="00742407">
              <w:rPr>
                <w:lang w:val="fr-FR"/>
              </w:rPr>
              <w:fldChar w:fldCharType="separate"/>
            </w:r>
            <w:r w:rsidR="00931671" w:rsidRPr="00742407">
              <w:rPr>
                <w:noProof/>
                <w:lang w:val="fr-FR"/>
              </w:rPr>
              <w:t> </w:t>
            </w:r>
            <w:r w:rsidR="00931671" w:rsidRPr="00742407">
              <w:rPr>
                <w:b/>
                <w:bCs/>
                <w:noProof/>
                <w:lang w:val="fr-FR"/>
              </w:rPr>
              <w:t>GM2</w:t>
            </w:r>
            <w:r w:rsidR="00931671" w:rsidRPr="00742407">
              <w:rPr>
                <w:noProof/>
                <w:lang w:val="fr-FR"/>
              </w:rPr>
              <w:t> </w:t>
            </w:r>
            <w:r w:rsidR="00931671" w:rsidRPr="00742407">
              <w:rPr>
                <w:lang w:val="fr-FR"/>
              </w:rPr>
              <w:fldChar w:fldCharType="end"/>
            </w:r>
          </w:p>
          <w:p w14:paraId="7B5DB9E4" w14:textId="0D4902E9" w:rsidR="009B18EB" w:rsidRPr="00742407" w:rsidRDefault="000F43A8" w:rsidP="00F23D0F">
            <w:pPr>
              <w:rPr>
                <w:b/>
                <w:bCs/>
                <w:iCs/>
                <w:lang w:val="fr-FR"/>
              </w:rPr>
            </w:pPr>
            <w:r w:rsidRPr="00742407">
              <w:rPr>
                <w:b/>
                <w:bCs/>
                <w:iCs/>
                <w:lang w:val="fr-FR"/>
              </w:rPr>
              <w:t xml:space="preserve">Marquer de risque du </w:t>
            </w:r>
            <w:r w:rsidR="00931671" w:rsidRPr="00742407">
              <w:rPr>
                <w:b/>
                <w:bCs/>
                <w:iCs/>
                <w:lang w:val="fr-FR"/>
              </w:rPr>
              <w:t>projet :</w:t>
            </w:r>
            <w:r w:rsidR="009B18EB" w:rsidRPr="00742407">
              <w:rPr>
                <w:b/>
                <w:bCs/>
                <w:iCs/>
                <w:lang w:val="fr-FR"/>
              </w:rPr>
              <w:t xml:space="preserve"> </w:t>
            </w:r>
            <w:r w:rsidR="00931671" w:rsidRPr="00742407">
              <w:rPr>
                <w:lang w:val="fr-FR"/>
              </w:rPr>
              <w:fldChar w:fldCharType="begin">
                <w:ffData>
                  <w:name w:val="Text86"/>
                  <w:enabled/>
                  <w:calcOnExit w:val="0"/>
                  <w:textInput/>
                </w:ffData>
              </w:fldChar>
            </w:r>
            <w:r w:rsidR="00931671" w:rsidRPr="00742407">
              <w:rPr>
                <w:lang w:val="fr-FR"/>
              </w:rPr>
              <w:instrText xml:space="preserve"> FORMTEXT </w:instrText>
            </w:r>
            <w:r w:rsidR="00931671" w:rsidRPr="00742407">
              <w:rPr>
                <w:lang w:val="fr-FR"/>
              </w:rPr>
            </w:r>
            <w:r w:rsidR="00931671" w:rsidRPr="00742407">
              <w:rPr>
                <w:lang w:val="fr-FR"/>
              </w:rPr>
              <w:fldChar w:fldCharType="separate"/>
            </w:r>
            <w:r w:rsidR="00931671" w:rsidRPr="00742407">
              <w:rPr>
                <w:noProof/>
                <w:lang w:val="fr-FR"/>
              </w:rPr>
              <w:t> </w:t>
            </w:r>
            <w:r w:rsidR="00931671" w:rsidRPr="00742407">
              <w:rPr>
                <w:b/>
                <w:bCs/>
                <w:noProof/>
                <w:lang w:val="fr-FR"/>
              </w:rPr>
              <w:t>Elevé</w:t>
            </w:r>
            <w:r w:rsidR="00931671" w:rsidRPr="00742407">
              <w:rPr>
                <w:noProof/>
                <w:lang w:val="fr-FR"/>
              </w:rPr>
              <w:t> </w:t>
            </w:r>
            <w:r w:rsidR="00931671" w:rsidRPr="00742407">
              <w:rPr>
                <w:lang w:val="fr-FR"/>
              </w:rPr>
              <w:fldChar w:fldCharType="end"/>
            </w:r>
          </w:p>
          <w:p w14:paraId="55B14D86" w14:textId="307C9BBA" w:rsidR="009B18EB" w:rsidRPr="00742407" w:rsidRDefault="000F43A8" w:rsidP="00F23D0F">
            <w:pPr>
              <w:rPr>
                <w:b/>
                <w:bCs/>
                <w:iCs/>
                <w:lang w:val="fr-FR"/>
              </w:rPr>
            </w:pPr>
            <w:r w:rsidRPr="00742407">
              <w:rPr>
                <w:b/>
                <w:bCs/>
                <w:szCs w:val="22"/>
                <w:lang w:val="fr-FR"/>
              </w:rPr>
              <w:t xml:space="preserve">Domaine de priorité de l’intervention PBF (« PBF </w:t>
            </w:r>
            <w:r w:rsidR="009B18EB" w:rsidRPr="00742407">
              <w:rPr>
                <w:b/>
                <w:bCs/>
                <w:iCs/>
                <w:lang w:val="fr-FR"/>
              </w:rPr>
              <w:t>focus area</w:t>
            </w:r>
            <w:r w:rsidRPr="00742407">
              <w:rPr>
                <w:b/>
                <w:bCs/>
                <w:iCs/>
                <w:lang w:val="fr-FR"/>
              </w:rPr>
              <w:t> »</w:t>
            </w:r>
            <w:r w:rsidR="00931671" w:rsidRPr="00742407">
              <w:rPr>
                <w:b/>
                <w:bCs/>
                <w:iCs/>
                <w:lang w:val="fr-FR"/>
              </w:rPr>
              <w:t>) :</w:t>
            </w:r>
            <w:r w:rsidR="009B18EB" w:rsidRPr="00742407">
              <w:rPr>
                <w:b/>
                <w:bCs/>
                <w:iCs/>
                <w:lang w:val="fr-FR"/>
              </w:rPr>
              <w:t xml:space="preserve"> </w:t>
            </w:r>
            <w:r w:rsidR="00931671" w:rsidRPr="00742407">
              <w:rPr>
                <w:b/>
                <w:bCs/>
                <w:iCs/>
              </w:rPr>
              <w:fldChar w:fldCharType="begin">
                <w:ffData>
                  <w:name w:val="focusarea"/>
                  <w:enabled/>
                  <w:calcOnExit w:val="0"/>
                  <w:ddList>
                    <w:listEntry w:val="(1.2) État de droit"/>
                    <w:listEntry w:val="Veuillez sélectionner"/>
                    <w:listEntry w:val="(1.1) Réforme du Secteur de la Sécurité"/>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0" w:name="focusarea"/>
            <w:r w:rsidR="00931671" w:rsidRPr="00742407">
              <w:rPr>
                <w:b/>
                <w:bCs/>
                <w:iCs/>
                <w:lang w:val="fr-FR"/>
              </w:rPr>
              <w:instrText xml:space="preserve"> FORMDROPDOWN </w:instrText>
            </w:r>
            <w:r w:rsidR="00000000">
              <w:rPr>
                <w:b/>
                <w:bCs/>
                <w:iCs/>
              </w:rPr>
            </w:r>
            <w:r w:rsidR="00000000">
              <w:rPr>
                <w:b/>
                <w:bCs/>
                <w:iCs/>
              </w:rPr>
              <w:fldChar w:fldCharType="separate"/>
            </w:r>
            <w:r w:rsidR="00931671" w:rsidRPr="00742407">
              <w:rPr>
                <w:b/>
                <w:bCs/>
                <w:iCs/>
              </w:rPr>
              <w:fldChar w:fldCharType="end"/>
            </w:r>
            <w:bookmarkEnd w:id="10"/>
          </w:p>
        </w:tc>
      </w:tr>
      <w:tr w:rsidR="001C417E" w:rsidRPr="006B0660" w14:paraId="5DBC2EA7" w14:textId="77777777" w:rsidTr="003A0887">
        <w:trPr>
          <w:trHeight w:val="54"/>
        </w:trPr>
        <w:tc>
          <w:tcPr>
            <w:tcW w:w="10080" w:type="dxa"/>
            <w:gridSpan w:val="2"/>
          </w:tcPr>
          <w:p w14:paraId="6B5B72BB" w14:textId="77777777" w:rsidR="009E1697" w:rsidRPr="00742407" w:rsidRDefault="0028605B" w:rsidP="00F23D0F">
            <w:pPr>
              <w:rPr>
                <w:b/>
                <w:bCs/>
                <w:iCs/>
                <w:lang w:val="fr-FR"/>
              </w:rPr>
            </w:pPr>
            <w:r w:rsidRPr="00742407">
              <w:rPr>
                <w:b/>
                <w:bCs/>
                <w:iCs/>
                <w:lang w:val="fr-FR"/>
              </w:rPr>
              <w:t xml:space="preserve">Comité de Pilotage et </w:t>
            </w:r>
            <w:r w:rsidR="009E1697" w:rsidRPr="00742407">
              <w:rPr>
                <w:b/>
                <w:bCs/>
                <w:iCs/>
                <w:lang w:val="fr-FR"/>
              </w:rPr>
              <w:t>Interactions avec le gouvernement</w:t>
            </w:r>
          </w:p>
          <w:p w14:paraId="12B5044F" w14:textId="2B6C716C" w:rsidR="009E1697" w:rsidRPr="00742407" w:rsidRDefault="000A0FD3" w:rsidP="009E1697">
            <w:pPr>
              <w:pStyle w:val="Paragraphedeliste"/>
              <w:ind w:left="0"/>
              <w:rPr>
                <w:lang w:val="fr-FR"/>
              </w:rPr>
            </w:pPr>
            <w:r w:rsidRPr="00742407">
              <w:rPr>
                <w:lang w:val="fr-FR"/>
              </w:rPr>
              <w:t xml:space="preserve">Est-ce qu'un comité de pilotage actif existe pour ce </w:t>
            </w:r>
            <w:r w:rsidR="00AF1DA3" w:rsidRPr="00742407">
              <w:rPr>
                <w:lang w:val="fr-FR"/>
              </w:rPr>
              <w:t>projet ?</w:t>
            </w:r>
          </w:p>
          <w:p w14:paraId="7358E6C6" w14:textId="391C2594" w:rsidR="001C417E" w:rsidRPr="00EC454E" w:rsidRDefault="00000000" w:rsidP="009E1697">
            <w:pPr>
              <w:pStyle w:val="Paragraphedeliste"/>
              <w:ind w:left="0"/>
              <w:rPr>
                <w:lang w:val="fr-FR"/>
              </w:rPr>
            </w:pPr>
            <w:sdt>
              <w:sdtPr>
                <w:rPr>
                  <w:lang w:val="fr-FR"/>
                </w:rPr>
                <w:id w:val="1174919133"/>
                <w:placeholder>
                  <w:docPart w:val="DefaultPlaceholder_-1854013440"/>
                </w:placeholder>
              </w:sdtPr>
              <w:sdtContent>
                <w:r w:rsidR="00931671" w:rsidRPr="00742407">
                  <w:rPr>
                    <w:lang w:val="fr-FR"/>
                  </w:rPr>
                  <w:t>Oui</w:t>
                </w:r>
              </w:sdtContent>
            </w:sdt>
          </w:p>
          <w:p w14:paraId="1AFA2495" w14:textId="77777777" w:rsidR="000A0FD3" w:rsidRPr="00EC454E" w:rsidRDefault="000A0FD3" w:rsidP="009E1697">
            <w:pPr>
              <w:pStyle w:val="Paragraphedeliste"/>
              <w:ind w:left="0"/>
              <w:rPr>
                <w:lang w:val="fr-FR"/>
              </w:rPr>
            </w:pPr>
          </w:p>
          <w:p w14:paraId="5FDFA69B" w14:textId="3EFFB7EA" w:rsidR="009E1697" w:rsidRPr="00B83736" w:rsidRDefault="00C47968" w:rsidP="009E1697">
            <w:pPr>
              <w:pStyle w:val="Paragraphedeliste"/>
              <w:ind w:left="0"/>
              <w:rPr>
                <w:lang w:val="fr-FR"/>
              </w:rPr>
            </w:pPr>
            <w:r w:rsidRPr="00742407">
              <w:rPr>
                <w:lang w:val="fr-FR"/>
              </w:rPr>
              <w:t>Si oui, veuillez indiquer le nombre de rencontres du comité de pilotage de projet au cours des 6 derniers mois</w:t>
            </w:r>
            <w:r w:rsidR="00EC454E">
              <w:rPr>
                <w:lang w:val="fr-FR"/>
              </w:rPr>
              <w:t xml:space="preserve"> : </w:t>
            </w:r>
            <w:sdt>
              <w:sdtPr>
                <w:rPr>
                  <w:lang w:val="fr-FR"/>
                </w:rPr>
                <w:id w:val="1543712925"/>
                <w:placeholder>
                  <w:docPart w:val="DefaultPlaceholder_-1854013440"/>
                </w:placeholder>
              </w:sdtPr>
              <w:sdtContent>
                <w:r w:rsidR="003A0887">
                  <w:rPr>
                    <w:lang w:val="fr-FR"/>
                  </w:rPr>
                  <w:t>1</w:t>
                </w:r>
              </w:sdtContent>
            </w:sdt>
          </w:p>
          <w:p w14:paraId="343E1E9C" w14:textId="77777777" w:rsidR="00C47968" w:rsidRPr="007912B3" w:rsidRDefault="00C47968" w:rsidP="009E1697">
            <w:pPr>
              <w:pStyle w:val="Paragraphedeliste"/>
              <w:ind w:left="0"/>
              <w:rPr>
                <w:sz w:val="12"/>
                <w:szCs w:val="12"/>
                <w:lang w:val="fr-FR"/>
              </w:rPr>
            </w:pPr>
          </w:p>
          <w:p w14:paraId="48566B3D" w14:textId="098EC3AF" w:rsidR="00C47968" w:rsidRPr="00B83736" w:rsidRDefault="00C47968" w:rsidP="00BA1EBD">
            <w:pPr>
              <w:pStyle w:val="Paragraphedeliste"/>
              <w:ind w:left="0"/>
              <w:jc w:val="both"/>
              <w:rPr>
                <w:b/>
                <w:bCs/>
                <w:iCs/>
                <w:lang w:val="fr-FR"/>
              </w:rPr>
            </w:pPr>
            <w:r w:rsidRPr="00BA1EBD">
              <w:rPr>
                <w:color w:val="000000"/>
                <w:lang w:val="fr-FR"/>
              </w:rPr>
              <w:t>Veuillez fournir une brève description des interactions du projet auprès du gouvern</w:t>
            </w:r>
            <w:r w:rsidR="005A404F" w:rsidRPr="00BA1EBD">
              <w:rPr>
                <w:color w:val="000000"/>
                <w:lang w:val="fr-FR"/>
              </w:rPr>
              <w:t>e</w:t>
            </w:r>
            <w:r w:rsidRPr="00BA1EBD">
              <w:rPr>
                <w:color w:val="000000"/>
                <w:lang w:val="fr-FR"/>
              </w:rPr>
              <w:t>ment. Merci de préci</w:t>
            </w:r>
            <w:r w:rsidR="00832774" w:rsidRPr="00BA1EBD">
              <w:rPr>
                <w:color w:val="000000"/>
                <w:lang w:val="fr-FR"/>
              </w:rPr>
              <w:t>s</w:t>
            </w:r>
            <w:r w:rsidRPr="00BA1EBD">
              <w:rPr>
                <w:color w:val="000000"/>
                <w:lang w:val="fr-FR"/>
              </w:rPr>
              <w:t>er les niveaux de gouvern</w:t>
            </w:r>
            <w:r w:rsidR="00832774" w:rsidRPr="00BA1EBD">
              <w:rPr>
                <w:color w:val="000000"/>
                <w:lang w:val="fr-FR"/>
              </w:rPr>
              <w:t>e</w:t>
            </w:r>
            <w:r w:rsidRPr="00BA1EBD">
              <w:rPr>
                <w:color w:val="000000"/>
                <w:lang w:val="fr-FR"/>
              </w:rPr>
              <w:t>ment avec lesquels le projet a interagi. (275 mots max.)</w:t>
            </w:r>
          </w:p>
          <w:p w14:paraId="5A422009" w14:textId="77777777" w:rsidR="007912B3" w:rsidRDefault="007912B3" w:rsidP="007912B3">
            <w:pPr>
              <w:autoSpaceDE w:val="0"/>
              <w:autoSpaceDN w:val="0"/>
              <w:adjustRightInd w:val="0"/>
              <w:jc w:val="both"/>
              <w:rPr>
                <w:rFonts w:eastAsia="Calibri"/>
                <w:color w:val="000000"/>
                <w:lang w:val="fr-FR" w:eastAsia="zh-CN"/>
              </w:rPr>
            </w:pPr>
          </w:p>
          <w:p w14:paraId="377A7B7E" w14:textId="6329EBA6" w:rsidR="00AB0428" w:rsidRDefault="00790A8A" w:rsidP="007912B3">
            <w:pPr>
              <w:autoSpaceDE w:val="0"/>
              <w:autoSpaceDN w:val="0"/>
              <w:adjustRightInd w:val="0"/>
              <w:jc w:val="both"/>
              <w:rPr>
                <w:rFonts w:eastAsia="Calibri"/>
                <w:color w:val="000000"/>
                <w:lang w:val="fr-FR" w:eastAsia="zh-CN"/>
              </w:rPr>
            </w:pPr>
            <w:r>
              <w:rPr>
                <w:rFonts w:eastAsia="Calibri"/>
                <w:color w:val="000000"/>
                <w:lang w:val="fr-FR" w:eastAsia="zh-CN"/>
              </w:rPr>
              <w:t>L</w:t>
            </w:r>
            <w:r w:rsidR="0094536D">
              <w:rPr>
                <w:rFonts w:eastAsia="Calibri"/>
                <w:color w:val="000000"/>
                <w:lang w:val="fr-FR" w:eastAsia="zh-CN"/>
              </w:rPr>
              <w:t xml:space="preserve">e projet a connu plusieurs interactions </w:t>
            </w:r>
            <w:r w:rsidR="00182E9D">
              <w:rPr>
                <w:rFonts w:eastAsia="Calibri"/>
                <w:color w:val="000000"/>
                <w:lang w:val="fr-FR" w:eastAsia="zh-CN"/>
              </w:rPr>
              <w:t>à travers les démembrements du</w:t>
            </w:r>
            <w:r w:rsidR="0094536D">
              <w:rPr>
                <w:rFonts w:eastAsia="Calibri"/>
                <w:color w:val="000000"/>
                <w:lang w:val="fr-FR" w:eastAsia="zh-CN"/>
              </w:rPr>
              <w:t xml:space="preserve"> Gouvernement</w:t>
            </w:r>
            <w:r>
              <w:rPr>
                <w:rFonts w:eastAsia="Calibri"/>
                <w:color w:val="000000"/>
                <w:lang w:val="fr-FR" w:eastAsia="zh-CN"/>
              </w:rPr>
              <w:t>.</w:t>
            </w:r>
            <w:r w:rsidR="0094536D">
              <w:rPr>
                <w:rFonts w:eastAsia="Calibri"/>
                <w:color w:val="000000"/>
                <w:lang w:val="fr-FR" w:eastAsia="zh-CN"/>
              </w:rPr>
              <w:t xml:space="preserve"> En effet, le </w:t>
            </w:r>
            <w:r w:rsidR="00AB0428">
              <w:rPr>
                <w:rFonts w:eastAsia="Calibri"/>
                <w:color w:val="000000"/>
                <w:lang w:val="fr-FR" w:eastAsia="zh-CN"/>
              </w:rPr>
              <w:t>M</w:t>
            </w:r>
            <w:r w:rsidR="0094536D">
              <w:rPr>
                <w:rFonts w:eastAsia="Calibri"/>
                <w:color w:val="000000"/>
                <w:lang w:val="fr-FR" w:eastAsia="zh-CN"/>
              </w:rPr>
              <w:t xml:space="preserve">inistère de la Justice et des Droits de l’homme </w:t>
            </w:r>
            <w:r w:rsidR="00F36607">
              <w:rPr>
                <w:rFonts w:eastAsia="Calibri"/>
                <w:color w:val="000000"/>
                <w:lang w:val="fr-FR" w:eastAsia="zh-CN"/>
              </w:rPr>
              <w:t xml:space="preserve">a piloté </w:t>
            </w:r>
            <w:r w:rsidR="0094536D">
              <w:rPr>
                <w:rFonts w:eastAsia="Calibri"/>
                <w:color w:val="000000"/>
                <w:lang w:val="fr-FR" w:eastAsia="zh-CN"/>
              </w:rPr>
              <w:t>d</w:t>
            </w:r>
            <w:r w:rsidR="00AB0428">
              <w:rPr>
                <w:rFonts w:eastAsia="Calibri"/>
                <w:color w:val="000000"/>
                <w:lang w:val="fr-FR" w:eastAsia="zh-CN"/>
              </w:rPr>
              <w:t xml:space="preserve">es réunions de coordination et </w:t>
            </w:r>
            <w:r w:rsidR="0094536D">
              <w:rPr>
                <w:rFonts w:eastAsia="Calibri"/>
                <w:color w:val="000000"/>
                <w:lang w:val="fr-FR" w:eastAsia="zh-CN"/>
              </w:rPr>
              <w:t xml:space="preserve">de </w:t>
            </w:r>
            <w:r w:rsidR="00AB0428">
              <w:rPr>
                <w:rFonts w:eastAsia="Calibri"/>
                <w:color w:val="000000"/>
                <w:lang w:val="fr-FR" w:eastAsia="zh-CN"/>
              </w:rPr>
              <w:t>concertation</w:t>
            </w:r>
            <w:r w:rsidR="0094536D">
              <w:rPr>
                <w:rFonts w:eastAsia="Calibri"/>
                <w:color w:val="000000"/>
                <w:lang w:val="fr-FR" w:eastAsia="zh-CN"/>
              </w:rPr>
              <w:t>s</w:t>
            </w:r>
            <w:r w:rsidR="00AB0428">
              <w:rPr>
                <w:rFonts w:eastAsia="Calibri"/>
                <w:color w:val="000000"/>
                <w:lang w:val="fr-FR" w:eastAsia="zh-CN"/>
              </w:rPr>
              <w:t xml:space="preserve"> </w:t>
            </w:r>
            <w:r w:rsidR="0094536D">
              <w:rPr>
                <w:rFonts w:eastAsia="Calibri"/>
                <w:color w:val="000000"/>
                <w:lang w:val="fr-FR" w:eastAsia="zh-CN"/>
              </w:rPr>
              <w:t>qui ont nécessité l’appui des</w:t>
            </w:r>
            <w:r w:rsidR="00AB0428">
              <w:rPr>
                <w:rFonts w:eastAsia="Calibri"/>
                <w:color w:val="000000"/>
                <w:lang w:val="fr-FR" w:eastAsia="zh-CN"/>
              </w:rPr>
              <w:t xml:space="preserve"> Procureurs et Présidents des neuf (9) tribunaux de grande instance (TGI) dans les </w:t>
            </w:r>
            <w:r w:rsidR="0094536D">
              <w:rPr>
                <w:rFonts w:eastAsia="Calibri"/>
                <w:color w:val="000000"/>
                <w:lang w:val="fr-FR" w:eastAsia="zh-CN"/>
              </w:rPr>
              <w:t>zones du</w:t>
            </w:r>
            <w:r w:rsidR="00AB0428">
              <w:rPr>
                <w:rFonts w:eastAsia="Calibri"/>
                <w:color w:val="000000"/>
                <w:lang w:val="fr-FR" w:eastAsia="zh-CN"/>
              </w:rPr>
              <w:t xml:space="preserve"> projet</w:t>
            </w:r>
            <w:r w:rsidR="0094536D">
              <w:rPr>
                <w:rFonts w:eastAsia="Calibri"/>
                <w:color w:val="000000"/>
                <w:lang w:val="fr-FR" w:eastAsia="zh-CN"/>
              </w:rPr>
              <w:t xml:space="preserve">. </w:t>
            </w:r>
            <w:r>
              <w:rPr>
                <w:rFonts w:eastAsia="Calibri"/>
                <w:color w:val="000000"/>
                <w:lang w:val="fr-FR" w:eastAsia="zh-CN"/>
              </w:rPr>
              <w:t xml:space="preserve">Cet appui a été élargi aux institutions comme la CPS et la CVJRR. </w:t>
            </w:r>
            <w:r w:rsidR="00F36607">
              <w:rPr>
                <w:rFonts w:eastAsia="Calibri"/>
                <w:color w:val="000000"/>
                <w:lang w:val="fr-FR" w:eastAsia="zh-CN"/>
              </w:rPr>
              <w:t>L</w:t>
            </w:r>
            <w:r w:rsidR="0094536D">
              <w:rPr>
                <w:rFonts w:eastAsia="Calibri"/>
                <w:color w:val="000000"/>
                <w:lang w:val="fr-FR" w:eastAsia="zh-CN"/>
              </w:rPr>
              <w:t>e Ministère de l’</w:t>
            </w:r>
            <w:r w:rsidR="00F36607">
              <w:rPr>
                <w:rFonts w:eastAsia="Calibri"/>
                <w:color w:val="000000"/>
                <w:lang w:val="fr-FR" w:eastAsia="zh-CN"/>
              </w:rPr>
              <w:t>i</w:t>
            </w:r>
            <w:r w:rsidR="0094536D">
              <w:rPr>
                <w:rFonts w:eastAsia="Calibri"/>
                <w:color w:val="000000"/>
                <w:lang w:val="fr-FR" w:eastAsia="zh-CN"/>
              </w:rPr>
              <w:t xml:space="preserve">ntérieur et de la sécurisé publique </w:t>
            </w:r>
            <w:r>
              <w:rPr>
                <w:rFonts w:eastAsia="Calibri"/>
                <w:color w:val="000000"/>
                <w:lang w:val="fr-FR" w:eastAsia="zh-CN"/>
              </w:rPr>
              <w:t>a été</w:t>
            </w:r>
            <w:r w:rsidR="0094536D">
              <w:rPr>
                <w:rFonts w:eastAsia="Calibri"/>
                <w:color w:val="000000"/>
                <w:lang w:val="fr-FR" w:eastAsia="zh-CN"/>
              </w:rPr>
              <w:t xml:space="preserve"> accompagné </w:t>
            </w:r>
            <w:r w:rsidR="00AB0428">
              <w:rPr>
                <w:rFonts w:eastAsia="Calibri"/>
                <w:color w:val="000000"/>
                <w:lang w:val="fr-FR" w:eastAsia="zh-CN"/>
              </w:rPr>
              <w:t xml:space="preserve">à travers l’UMIRR et </w:t>
            </w:r>
            <w:r w:rsidR="0094536D">
              <w:rPr>
                <w:rFonts w:eastAsia="Calibri"/>
                <w:color w:val="000000"/>
                <w:lang w:val="fr-FR" w:eastAsia="zh-CN"/>
              </w:rPr>
              <w:t xml:space="preserve">les </w:t>
            </w:r>
            <w:r w:rsidR="000B0BB5">
              <w:rPr>
                <w:rFonts w:eastAsia="Calibri"/>
                <w:color w:val="000000"/>
                <w:lang w:val="fr-FR" w:eastAsia="zh-CN"/>
              </w:rPr>
              <w:t xml:space="preserve">forces de sécurité intérieure. Il en est de même pour les </w:t>
            </w:r>
            <w:r>
              <w:rPr>
                <w:rFonts w:eastAsia="Calibri"/>
                <w:color w:val="000000"/>
                <w:lang w:val="fr-FR" w:eastAsia="zh-CN"/>
              </w:rPr>
              <w:t xml:space="preserve">autorités </w:t>
            </w:r>
            <w:r w:rsidR="000B0BB5">
              <w:rPr>
                <w:rFonts w:eastAsia="Calibri"/>
                <w:color w:val="000000"/>
                <w:lang w:val="fr-FR" w:eastAsia="zh-CN"/>
              </w:rPr>
              <w:t xml:space="preserve">administratives et locales qui ont travaillé en étroite collaboration </w:t>
            </w:r>
            <w:r>
              <w:rPr>
                <w:rFonts w:eastAsia="Calibri"/>
                <w:color w:val="000000"/>
                <w:lang w:val="fr-FR" w:eastAsia="zh-CN"/>
              </w:rPr>
              <w:t>pour l’effectivité des actions</w:t>
            </w:r>
            <w:r w:rsidR="000B0BB5">
              <w:rPr>
                <w:rFonts w:eastAsia="Calibri"/>
                <w:color w:val="000000"/>
                <w:lang w:val="fr-FR" w:eastAsia="zh-CN"/>
              </w:rPr>
              <w:t xml:space="preserve"> menées par les cliniques juridiques. Quant au </w:t>
            </w:r>
            <w:r w:rsidR="00AB0428">
              <w:rPr>
                <w:rFonts w:eastAsia="Calibri"/>
                <w:color w:val="000000"/>
                <w:lang w:val="fr-FR" w:eastAsia="zh-CN"/>
              </w:rPr>
              <w:t>Ministère de la promotion du Genre</w:t>
            </w:r>
            <w:r w:rsidR="000B0BB5">
              <w:rPr>
                <w:rFonts w:eastAsia="Calibri"/>
                <w:color w:val="000000"/>
                <w:lang w:val="fr-FR" w:eastAsia="zh-CN"/>
              </w:rPr>
              <w:t>,</w:t>
            </w:r>
            <w:r w:rsidR="00AB0428">
              <w:rPr>
                <w:rFonts w:eastAsia="Calibri"/>
                <w:color w:val="000000"/>
                <w:lang w:val="fr-FR" w:eastAsia="zh-CN"/>
              </w:rPr>
              <w:t xml:space="preserve"> </w:t>
            </w:r>
            <w:r w:rsidR="000B0BB5">
              <w:rPr>
                <w:rFonts w:eastAsia="Calibri"/>
                <w:color w:val="000000"/>
                <w:lang w:val="fr-FR" w:eastAsia="zh-CN"/>
              </w:rPr>
              <w:t xml:space="preserve">au-delà de l’appui dans la réalisation d’une étude relative aux défis de l’accès des populations à la justice, </w:t>
            </w:r>
            <w:r w:rsidR="00AB0428">
              <w:rPr>
                <w:rFonts w:eastAsia="Calibri"/>
                <w:color w:val="000000"/>
                <w:lang w:val="fr-FR" w:eastAsia="zh-CN"/>
              </w:rPr>
              <w:t xml:space="preserve">les chefs des secteurs sociaux </w:t>
            </w:r>
            <w:r w:rsidR="00B47F3D">
              <w:rPr>
                <w:rFonts w:eastAsia="Calibri"/>
                <w:color w:val="000000"/>
                <w:lang w:val="fr-FR" w:eastAsia="zh-CN"/>
              </w:rPr>
              <w:t xml:space="preserve">au </w:t>
            </w:r>
            <w:r>
              <w:rPr>
                <w:rFonts w:eastAsia="Calibri"/>
                <w:color w:val="000000"/>
                <w:lang w:val="fr-FR" w:eastAsia="zh-CN"/>
              </w:rPr>
              <w:t xml:space="preserve">niveau local </w:t>
            </w:r>
            <w:r w:rsidR="00AB0428">
              <w:rPr>
                <w:rFonts w:eastAsia="Calibri"/>
                <w:color w:val="000000"/>
                <w:lang w:val="fr-FR" w:eastAsia="zh-CN"/>
              </w:rPr>
              <w:t xml:space="preserve">ont </w:t>
            </w:r>
            <w:r>
              <w:rPr>
                <w:rFonts w:eastAsia="Calibri"/>
                <w:color w:val="000000"/>
                <w:lang w:val="fr-FR" w:eastAsia="zh-CN"/>
              </w:rPr>
              <w:t>assuré la</w:t>
            </w:r>
            <w:r w:rsidR="00AB0428">
              <w:rPr>
                <w:rFonts w:eastAsia="Calibri"/>
                <w:color w:val="000000"/>
                <w:lang w:val="fr-FR" w:eastAsia="zh-CN"/>
              </w:rPr>
              <w:t xml:space="preserve"> coordination des act</w:t>
            </w:r>
            <w:r w:rsidR="00B47F3D">
              <w:rPr>
                <w:rFonts w:eastAsia="Calibri"/>
                <w:color w:val="000000"/>
                <w:lang w:val="fr-FR" w:eastAsia="zh-CN"/>
              </w:rPr>
              <w:t>ion</w:t>
            </w:r>
            <w:r w:rsidR="00AB0428">
              <w:rPr>
                <w:rFonts w:eastAsia="Calibri"/>
                <w:color w:val="000000"/>
                <w:lang w:val="fr-FR" w:eastAsia="zh-CN"/>
              </w:rPr>
              <w:t xml:space="preserve">s </w:t>
            </w:r>
            <w:r w:rsidR="00B47F3D">
              <w:rPr>
                <w:rFonts w:eastAsia="Calibri"/>
                <w:color w:val="000000"/>
                <w:lang w:val="fr-FR" w:eastAsia="zh-CN"/>
              </w:rPr>
              <w:t>dans</w:t>
            </w:r>
            <w:r w:rsidR="00AB0428">
              <w:rPr>
                <w:rFonts w:eastAsia="Calibri"/>
                <w:color w:val="000000"/>
                <w:lang w:val="fr-FR" w:eastAsia="zh-CN"/>
              </w:rPr>
              <w:t xml:space="preserve"> la prise</w:t>
            </w:r>
            <w:r w:rsidR="00B47F3D">
              <w:rPr>
                <w:rFonts w:eastAsia="Calibri"/>
                <w:color w:val="000000"/>
                <w:lang w:val="fr-FR" w:eastAsia="zh-CN"/>
              </w:rPr>
              <w:t xml:space="preserve"> en charge</w:t>
            </w:r>
            <w:r w:rsidR="00AB0428">
              <w:rPr>
                <w:rFonts w:eastAsia="Calibri"/>
                <w:color w:val="000000"/>
                <w:lang w:val="fr-FR" w:eastAsia="zh-CN"/>
              </w:rPr>
              <w:t xml:space="preserve"> des victimes des VBG</w:t>
            </w:r>
            <w:r w:rsidR="000B0BB5">
              <w:rPr>
                <w:rFonts w:eastAsia="Calibri"/>
                <w:color w:val="000000"/>
                <w:lang w:val="fr-FR" w:eastAsia="zh-CN"/>
              </w:rPr>
              <w:t>.</w:t>
            </w:r>
          </w:p>
          <w:p w14:paraId="6EF8E6D3" w14:textId="68A92F53" w:rsidR="003A0887" w:rsidRPr="003A0887" w:rsidRDefault="00B47F3D" w:rsidP="00BA1EBD">
            <w:pPr>
              <w:autoSpaceDE w:val="0"/>
              <w:autoSpaceDN w:val="0"/>
              <w:adjustRightInd w:val="0"/>
              <w:jc w:val="both"/>
              <w:rPr>
                <w:rFonts w:eastAsia="Calibri"/>
                <w:color w:val="000000"/>
                <w:sz w:val="23"/>
                <w:szCs w:val="23"/>
                <w:lang w:val="fr-CF" w:eastAsia="zh-CN"/>
              </w:rPr>
            </w:pPr>
            <w:r>
              <w:rPr>
                <w:rFonts w:eastAsia="Calibri"/>
                <w:color w:val="000000"/>
                <w:sz w:val="23"/>
                <w:szCs w:val="23"/>
                <w:lang w:val="fr-FR" w:eastAsia="zh-CN"/>
              </w:rPr>
              <w:t xml:space="preserve">Ainsi, </w:t>
            </w:r>
            <w:r w:rsidR="003A0887" w:rsidRPr="007530A1">
              <w:rPr>
                <w:rFonts w:eastAsia="Calibri"/>
                <w:color w:val="000000"/>
                <w:sz w:val="23"/>
                <w:szCs w:val="23"/>
                <w:lang w:val="fr-CF" w:eastAsia="zh-CN"/>
              </w:rPr>
              <w:t xml:space="preserve">il se dégage les bonnes pratiques et leçons </w:t>
            </w:r>
            <w:r w:rsidR="00F36607">
              <w:rPr>
                <w:rFonts w:eastAsia="Calibri"/>
                <w:color w:val="000000"/>
                <w:sz w:val="23"/>
                <w:szCs w:val="23"/>
                <w:lang w:val="fr-FR" w:eastAsia="zh-CN"/>
              </w:rPr>
              <w:t xml:space="preserve">à partir de </w:t>
            </w:r>
            <w:r w:rsidR="00182E9D">
              <w:rPr>
                <w:rFonts w:eastAsia="Calibri"/>
                <w:color w:val="000000"/>
                <w:sz w:val="23"/>
                <w:szCs w:val="23"/>
                <w:lang w:val="fr-FR" w:eastAsia="zh-CN"/>
              </w:rPr>
              <w:t xml:space="preserve">cette </w:t>
            </w:r>
            <w:r w:rsidR="00BA1EBD" w:rsidRPr="007530A1">
              <w:rPr>
                <w:rFonts w:eastAsia="Calibri"/>
                <w:color w:val="000000"/>
                <w:sz w:val="23"/>
                <w:szCs w:val="23"/>
                <w:lang w:val="fr-CF" w:eastAsia="zh-CN"/>
              </w:rPr>
              <w:t xml:space="preserve">synergie du </w:t>
            </w:r>
            <w:r w:rsidR="00F36607">
              <w:rPr>
                <w:rFonts w:eastAsia="Calibri"/>
                <w:color w:val="000000"/>
                <w:sz w:val="23"/>
                <w:szCs w:val="23"/>
                <w:lang w:val="fr-FR" w:eastAsia="zh-CN"/>
              </w:rPr>
              <w:t>Gouvernement,</w:t>
            </w:r>
            <w:r w:rsidR="00BA1EBD" w:rsidRPr="007530A1">
              <w:rPr>
                <w:rFonts w:eastAsia="Calibri"/>
                <w:color w:val="000000"/>
                <w:sz w:val="23"/>
                <w:szCs w:val="23"/>
                <w:lang w:val="fr-CF" w:eastAsia="zh-CN"/>
              </w:rPr>
              <w:t xml:space="preserve"> du PNUD, de l’ONU Femmes et de la MINUSCA en faveur des victimes. </w:t>
            </w:r>
            <w:r w:rsidR="00182E9D">
              <w:rPr>
                <w:rFonts w:eastAsia="Calibri"/>
                <w:color w:val="000000"/>
                <w:sz w:val="23"/>
                <w:szCs w:val="23"/>
                <w:lang w:val="fr-FR" w:eastAsia="zh-CN"/>
              </w:rPr>
              <w:t>Enfin, l</w:t>
            </w:r>
            <w:r w:rsidR="00BA1EBD" w:rsidRPr="00182E9D">
              <w:rPr>
                <w:rFonts w:eastAsia="Calibri"/>
                <w:color w:val="000000"/>
                <w:sz w:val="23"/>
                <w:szCs w:val="23"/>
                <w:lang w:val="fr-CF" w:eastAsia="zh-CN"/>
              </w:rPr>
              <w:t>a</w:t>
            </w:r>
            <w:r w:rsidR="003A0887" w:rsidRPr="007530A1">
              <w:rPr>
                <w:rFonts w:eastAsia="Calibri"/>
                <w:color w:val="000000"/>
                <w:sz w:val="23"/>
                <w:szCs w:val="23"/>
                <w:lang w:val="fr-CF" w:eastAsia="zh-CN"/>
              </w:rPr>
              <w:t xml:space="preserve"> mise en </w:t>
            </w:r>
            <w:r w:rsidR="00FF44A9" w:rsidRPr="007530A1">
              <w:rPr>
                <w:rFonts w:eastAsia="Calibri"/>
                <w:color w:val="000000"/>
                <w:sz w:val="23"/>
                <w:szCs w:val="23"/>
                <w:lang w:val="fr-CF" w:eastAsia="zh-CN"/>
              </w:rPr>
              <w:t>œuvre</w:t>
            </w:r>
            <w:r w:rsidR="003A0887" w:rsidRPr="007530A1">
              <w:rPr>
                <w:rFonts w:eastAsia="Calibri"/>
                <w:color w:val="000000"/>
                <w:sz w:val="23"/>
                <w:szCs w:val="23"/>
                <w:lang w:val="fr-CF" w:eastAsia="zh-CN"/>
              </w:rPr>
              <w:t xml:space="preserve"> du projet par des OSC nationales</w:t>
            </w:r>
            <w:r>
              <w:rPr>
                <w:rFonts w:eastAsia="Calibri"/>
                <w:color w:val="000000"/>
                <w:sz w:val="23"/>
                <w:szCs w:val="23"/>
                <w:lang w:val="fr-FR" w:eastAsia="zh-CN"/>
              </w:rPr>
              <w:t xml:space="preserve"> </w:t>
            </w:r>
            <w:r w:rsidR="00F36607">
              <w:rPr>
                <w:rFonts w:eastAsia="Calibri"/>
                <w:color w:val="000000"/>
                <w:sz w:val="23"/>
                <w:szCs w:val="23"/>
                <w:lang w:val="fr-FR" w:eastAsia="zh-CN"/>
              </w:rPr>
              <w:t xml:space="preserve">dont les actions ont été relayées par des </w:t>
            </w:r>
            <w:r>
              <w:rPr>
                <w:rFonts w:eastAsia="Calibri"/>
                <w:color w:val="000000"/>
                <w:sz w:val="23"/>
                <w:szCs w:val="23"/>
                <w:lang w:val="fr-FR" w:eastAsia="zh-CN"/>
              </w:rPr>
              <w:t>structures</w:t>
            </w:r>
            <w:r w:rsidRPr="007530A1">
              <w:rPr>
                <w:rFonts w:eastAsia="Calibri"/>
                <w:color w:val="000000"/>
                <w:sz w:val="23"/>
                <w:szCs w:val="23"/>
                <w:lang w:val="fr-CF" w:eastAsia="zh-CN"/>
              </w:rPr>
              <w:t xml:space="preserve"> </w:t>
            </w:r>
            <w:r w:rsidR="003A0887" w:rsidRPr="007530A1">
              <w:rPr>
                <w:rFonts w:eastAsia="Calibri"/>
                <w:color w:val="000000"/>
                <w:sz w:val="23"/>
                <w:szCs w:val="23"/>
                <w:lang w:val="fr-CF" w:eastAsia="zh-CN"/>
              </w:rPr>
              <w:t xml:space="preserve">locales </w:t>
            </w:r>
            <w:r>
              <w:rPr>
                <w:rFonts w:eastAsia="Calibri"/>
                <w:color w:val="000000"/>
                <w:sz w:val="23"/>
                <w:szCs w:val="23"/>
                <w:lang w:val="fr-FR" w:eastAsia="zh-CN"/>
              </w:rPr>
              <w:t>et</w:t>
            </w:r>
            <w:r w:rsidR="003A0887" w:rsidRPr="007530A1">
              <w:rPr>
                <w:rFonts w:eastAsia="Calibri"/>
                <w:color w:val="000000"/>
                <w:sz w:val="23"/>
                <w:szCs w:val="23"/>
                <w:lang w:val="fr-CF" w:eastAsia="zh-CN"/>
              </w:rPr>
              <w:t xml:space="preserve"> communautaires, </w:t>
            </w:r>
            <w:r>
              <w:rPr>
                <w:rFonts w:eastAsia="Calibri"/>
                <w:color w:val="000000"/>
                <w:sz w:val="23"/>
                <w:szCs w:val="23"/>
                <w:lang w:val="fr-FR" w:eastAsia="zh-CN"/>
              </w:rPr>
              <w:t>et</w:t>
            </w:r>
            <w:r w:rsidR="003A0887" w:rsidRPr="007530A1">
              <w:rPr>
                <w:rFonts w:eastAsia="Calibri"/>
                <w:color w:val="000000"/>
                <w:sz w:val="23"/>
                <w:szCs w:val="23"/>
                <w:lang w:val="fr-CF" w:eastAsia="zh-CN"/>
              </w:rPr>
              <w:t xml:space="preserve"> </w:t>
            </w:r>
            <w:r w:rsidR="00182E9D">
              <w:rPr>
                <w:rFonts w:eastAsia="Calibri"/>
                <w:color w:val="000000"/>
                <w:sz w:val="23"/>
                <w:szCs w:val="23"/>
                <w:lang w:val="fr-FR" w:eastAsia="zh-CN"/>
              </w:rPr>
              <w:t xml:space="preserve">les médias de proximité </w:t>
            </w:r>
            <w:r>
              <w:rPr>
                <w:rFonts w:eastAsia="Calibri"/>
                <w:color w:val="000000"/>
                <w:sz w:val="23"/>
                <w:szCs w:val="23"/>
                <w:lang w:val="fr-FR" w:eastAsia="zh-CN"/>
              </w:rPr>
              <w:t>a facilité</w:t>
            </w:r>
            <w:r w:rsidR="003A0887" w:rsidRPr="007530A1">
              <w:rPr>
                <w:rFonts w:eastAsia="Calibri"/>
                <w:color w:val="000000"/>
                <w:sz w:val="23"/>
                <w:szCs w:val="23"/>
                <w:lang w:val="fr-CF" w:eastAsia="zh-CN"/>
              </w:rPr>
              <w:t xml:space="preserve"> l’exécution des activités </w:t>
            </w:r>
            <w:r>
              <w:rPr>
                <w:rFonts w:eastAsia="Calibri"/>
                <w:color w:val="000000"/>
                <w:sz w:val="23"/>
                <w:szCs w:val="23"/>
                <w:lang w:val="fr-FR" w:eastAsia="zh-CN"/>
              </w:rPr>
              <w:t>et</w:t>
            </w:r>
            <w:r w:rsidR="003A0887" w:rsidRPr="007530A1">
              <w:rPr>
                <w:rFonts w:eastAsia="Calibri"/>
                <w:color w:val="000000"/>
                <w:sz w:val="23"/>
                <w:szCs w:val="23"/>
                <w:lang w:val="fr-CF" w:eastAsia="zh-CN"/>
              </w:rPr>
              <w:t xml:space="preserve"> </w:t>
            </w:r>
            <w:r w:rsidR="00F36607">
              <w:rPr>
                <w:rFonts w:eastAsia="Calibri"/>
                <w:color w:val="000000"/>
                <w:sz w:val="23"/>
                <w:szCs w:val="23"/>
                <w:lang w:val="fr-FR" w:eastAsia="zh-CN"/>
              </w:rPr>
              <w:t>permis de</w:t>
            </w:r>
            <w:r w:rsidR="003A0887" w:rsidRPr="007530A1">
              <w:rPr>
                <w:rFonts w:eastAsia="Calibri"/>
                <w:color w:val="000000"/>
                <w:sz w:val="23"/>
                <w:szCs w:val="23"/>
                <w:lang w:val="fr-CF" w:eastAsia="zh-CN"/>
              </w:rPr>
              <w:t xml:space="preserve"> bris</w:t>
            </w:r>
            <w:r w:rsidR="00F36607">
              <w:rPr>
                <w:rFonts w:eastAsia="Calibri"/>
                <w:color w:val="000000"/>
                <w:sz w:val="23"/>
                <w:szCs w:val="23"/>
                <w:lang w:val="fr-FR" w:eastAsia="zh-CN"/>
              </w:rPr>
              <w:t>er</w:t>
            </w:r>
            <w:r w:rsidR="003A0887" w:rsidRPr="007530A1">
              <w:rPr>
                <w:rFonts w:eastAsia="Calibri"/>
                <w:color w:val="000000"/>
                <w:sz w:val="23"/>
                <w:szCs w:val="23"/>
                <w:lang w:val="fr-CF" w:eastAsia="zh-CN"/>
              </w:rPr>
              <w:t xml:space="preserve"> les réticences</w:t>
            </w:r>
            <w:r w:rsidR="00F36607">
              <w:rPr>
                <w:rFonts w:eastAsia="Calibri"/>
                <w:color w:val="000000"/>
                <w:sz w:val="23"/>
                <w:szCs w:val="23"/>
                <w:lang w:val="fr-FR" w:eastAsia="zh-CN"/>
              </w:rPr>
              <w:t xml:space="preserve"> de </w:t>
            </w:r>
            <w:r w:rsidR="003A0887" w:rsidRPr="007530A1">
              <w:rPr>
                <w:rFonts w:eastAsia="Calibri"/>
                <w:color w:val="000000"/>
                <w:sz w:val="23"/>
                <w:szCs w:val="23"/>
                <w:lang w:val="fr-CF" w:eastAsia="zh-CN"/>
              </w:rPr>
              <w:t xml:space="preserve">certaines </w:t>
            </w:r>
            <w:r w:rsidR="003A0887" w:rsidRPr="003A0887">
              <w:rPr>
                <w:rFonts w:eastAsia="Calibri"/>
                <w:color w:val="000000"/>
                <w:sz w:val="23"/>
                <w:szCs w:val="23"/>
                <w:lang w:val="fr-CF" w:eastAsia="zh-CN"/>
              </w:rPr>
              <w:t>victimes</w:t>
            </w:r>
            <w:r w:rsidR="00182E9D">
              <w:rPr>
                <w:rFonts w:eastAsia="Calibri"/>
                <w:color w:val="000000"/>
                <w:sz w:val="23"/>
                <w:szCs w:val="23"/>
                <w:lang w:val="fr-FR" w:eastAsia="zh-CN"/>
              </w:rPr>
              <w:t xml:space="preserve"> et réduit</w:t>
            </w:r>
            <w:r w:rsidR="00182E9D" w:rsidRPr="003A0887">
              <w:rPr>
                <w:rFonts w:eastAsia="Calibri"/>
                <w:color w:val="000000"/>
                <w:sz w:val="23"/>
                <w:szCs w:val="23"/>
                <w:lang w:val="fr-CF" w:eastAsia="zh-CN"/>
              </w:rPr>
              <w:t xml:space="preserve"> </w:t>
            </w:r>
            <w:r w:rsidR="003A0887" w:rsidRPr="003A0887">
              <w:rPr>
                <w:rFonts w:eastAsia="Calibri"/>
                <w:color w:val="000000"/>
                <w:sz w:val="23"/>
                <w:szCs w:val="23"/>
                <w:lang w:val="fr-CF" w:eastAsia="zh-CN"/>
              </w:rPr>
              <w:t xml:space="preserve">les risques liés à l’insécurité pour les acteurs locaux. </w:t>
            </w:r>
          </w:p>
        </w:tc>
      </w:tr>
      <w:tr w:rsidR="00793DE6" w:rsidRPr="006B0660" w14:paraId="27192C5C" w14:textId="77777777" w:rsidTr="6595E2F0">
        <w:trPr>
          <w:trHeight w:val="1124"/>
        </w:trPr>
        <w:tc>
          <w:tcPr>
            <w:tcW w:w="10080" w:type="dxa"/>
            <w:gridSpan w:val="2"/>
          </w:tcPr>
          <w:p w14:paraId="7BC15C3E" w14:textId="439E25EE" w:rsidR="000F43A8" w:rsidRPr="00742407" w:rsidRDefault="000F43A8" w:rsidP="000F43A8">
            <w:pPr>
              <w:rPr>
                <w:b/>
                <w:bCs/>
                <w:sz w:val="22"/>
                <w:lang w:val="fr-FR"/>
              </w:rPr>
            </w:pPr>
            <w:r w:rsidRPr="00742407">
              <w:rPr>
                <w:b/>
                <w:bCs/>
                <w:sz w:val="22"/>
                <w:lang w:val="fr-FR"/>
              </w:rPr>
              <w:t xml:space="preserve">Préparation du </w:t>
            </w:r>
            <w:r w:rsidR="00B83736" w:rsidRPr="00742407">
              <w:rPr>
                <w:b/>
                <w:bCs/>
                <w:sz w:val="22"/>
                <w:lang w:val="fr-FR"/>
              </w:rPr>
              <w:t>rapport :</w:t>
            </w:r>
          </w:p>
          <w:p w14:paraId="43FCACD6" w14:textId="4B090808" w:rsidR="000F43A8" w:rsidRPr="00742407" w:rsidRDefault="000F43A8" w:rsidP="000F43A8">
            <w:pPr>
              <w:rPr>
                <w:lang w:val="fr-FR"/>
              </w:rPr>
            </w:pPr>
            <w:r w:rsidRPr="00742407">
              <w:rPr>
                <w:lang w:val="fr-FR"/>
              </w:rPr>
              <w:t xml:space="preserve">Rapport préparé </w:t>
            </w:r>
            <w:r w:rsidR="00931671" w:rsidRPr="00742407">
              <w:rPr>
                <w:lang w:val="fr-FR"/>
              </w:rPr>
              <w:t>par :</w:t>
            </w:r>
            <w:r w:rsidRPr="00742407">
              <w:rPr>
                <w:lang w:val="fr-FR"/>
              </w:rPr>
              <w:t xml:space="preserve"> </w:t>
            </w:r>
            <w:r w:rsidR="00DE794D">
              <w:rPr>
                <w:lang w:val="fr-FR"/>
              </w:rPr>
              <w:t xml:space="preserve">Lucien Fidèle TOLOU, Conseiller Gouvernance et Etat de Droit PNUD, </w:t>
            </w:r>
            <w:r w:rsidR="00931671" w:rsidRPr="00742407">
              <w:rPr>
                <w:lang w:val="fr-FR"/>
              </w:rPr>
              <w:t>Ulrich S</w:t>
            </w:r>
            <w:r w:rsidR="007B4069">
              <w:rPr>
                <w:lang w:val="fr-FR"/>
              </w:rPr>
              <w:t>ANDY</w:t>
            </w:r>
            <w:r w:rsidR="00931671" w:rsidRPr="00742407">
              <w:rPr>
                <w:lang w:val="fr-FR"/>
              </w:rPr>
              <w:t>, Chargé de Programme ONU Femmes</w:t>
            </w:r>
            <w:r w:rsidR="00DE794D">
              <w:rPr>
                <w:lang w:val="fr-FR"/>
              </w:rPr>
              <w:t xml:space="preserve"> et Joseph </w:t>
            </w:r>
            <w:r w:rsidR="007912B3">
              <w:rPr>
                <w:lang w:val="fr-FR"/>
              </w:rPr>
              <w:t xml:space="preserve">Aristide </w:t>
            </w:r>
            <w:r w:rsidR="00DE794D">
              <w:rPr>
                <w:lang w:val="fr-FR"/>
              </w:rPr>
              <w:t>KADOUNO, Spécialiste Sécurité communautaire PNUD</w:t>
            </w:r>
            <w:r w:rsidR="00DE794D" w:rsidRPr="00742407">
              <w:rPr>
                <w:lang w:val="fr-FR"/>
              </w:rPr>
              <w:t xml:space="preserve"> ;</w:t>
            </w:r>
          </w:p>
          <w:p w14:paraId="4F7F6063" w14:textId="7EDA98AB" w:rsidR="000F43A8" w:rsidRPr="00BA1EBD" w:rsidRDefault="000F43A8" w:rsidP="000F43A8">
            <w:pPr>
              <w:rPr>
                <w:lang w:val="fr-FR"/>
              </w:rPr>
            </w:pPr>
            <w:r w:rsidRPr="00742407">
              <w:rPr>
                <w:lang w:val="fr-FR"/>
              </w:rPr>
              <w:t xml:space="preserve">Rapport approuvé </w:t>
            </w:r>
            <w:r w:rsidR="00931671" w:rsidRPr="00742407">
              <w:rPr>
                <w:lang w:val="fr-FR"/>
              </w:rPr>
              <w:t>par :</w:t>
            </w:r>
            <w:r w:rsidRPr="00742407">
              <w:rPr>
                <w:lang w:val="fr-FR"/>
              </w:rPr>
              <w:t xml:space="preserve"> </w:t>
            </w:r>
            <w:r w:rsidR="00931671" w:rsidRPr="00742407">
              <w:rPr>
                <w:lang w:val="fr-FR"/>
              </w:rPr>
              <w:t xml:space="preserve">Laurent </w:t>
            </w:r>
            <w:r w:rsidR="007B4069" w:rsidRPr="00BA1EBD">
              <w:rPr>
                <w:lang w:val="fr-FR"/>
              </w:rPr>
              <w:t>R</w:t>
            </w:r>
            <w:r w:rsidR="007B4069">
              <w:rPr>
                <w:lang w:val="fr-FR"/>
              </w:rPr>
              <w:t>UDASINGWA</w:t>
            </w:r>
            <w:r w:rsidR="00931671" w:rsidRPr="00BA1EBD">
              <w:rPr>
                <w:lang w:val="fr-FR"/>
              </w:rPr>
              <w:t xml:space="preserve">, </w:t>
            </w:r>
            <w:r w:rsidR="00DE794D">
              <w:rPr>
                <w:lang w:val="fr-FR"/>
              </w:rPr>
              <w:t>RRAP</w:t>
            </w:r>
            <w:r w:rsidR="00931671" w:rsidRPr="00BA1EBD">
              <w:rPr>
                <w:lang w:val="fr-FR"/>
              </w:rPr>
              <w:t>- PNUD</w:t>
            </w:r>
          </w:p>
          <w:p w14:paraId="64A19D37" w14:textId="47ECA0D9" w:rsidR="000F43A8" w:rsidRPr="00742407" w:rsidRDefault="000F43A8" w:rsidP="000F43A8">
            <w:pPr>
              <w:rPr>
                <w:lang w:val="fr-FR"/>
              </w:rPr>
            </w:pPr>
            <w:r w:rsidRPr="00BA1EBD">
              <w:rPr>
                <w:lang w:val="fr-FR"/>
              </w:rPr>
              <w:t xml:space="preserve">Le Secrétariat PBF a-t-il revu le </w:t>
            </w:r>
            <w:r w:rsidR="00931671" w:rsidRPr="00BA1EBD">
              <w:rPr>
                <w:lang w:val="fr-FR"/>
              </w:rPr>
              <w:t>rapport</w:t>
            </w:r>
            <w:r w:rsidR="00931671" w:rsidRPr="00BA1EBD">
              <w:rPr>
                <w:sz w:val="22"/>
                <w:lang w:val="fr-FR"/>
              </w:rPr>
              <w:t xml:space="preserve"> :</w:t>
            </w:r>
            <w:r w:rsidRPr="00BA1EBD">
              <w:rPr>
                <w:sz w:val="22"/>
                <w:lang w:val="fr-FR"/>
              </w:rPr>
              <w:t xml:space="preserve"> </w:t>
            </w:r>
            <w:r w:rsidR="00931671" w:rsidRPr="00BA1EBD">
              <w:rPr>
                <w:b/>
                <w:bCs/>
                <w:lang w:val="fr-FR"/>
              </w:rPr>
              <w:t>Oui</w:t>
            </w:r>
          </w:p>
        </w:tc>
      </w:tr>
    </w:tbl>
    <w:p w14:paraId="4E1255AA" w14:textId="77777777" w:rsidR="00895870" w:rsidRPr="00742407" w:rsidRDefault="00895870" w:rsidP="00895870">
      <w:pPr>
        <w:ind w:hanging="360"/>
        <w:jc w:val="both"/>
        <w:rPr>
          <w:b/>
          <w:i/>
          <w:iCs/>
          <w:lang w:val="fr-FR"/>
        </w:rPr>
      </w:pPr>
    </w:p>
    <w:p w14:paraId="67655050" w14:textId="77777777" w:rsidR="00895870" w:rsidRPr="00742407" w:rsidRDefault="00895870" w:rsidP="00895870">
      <w:pPr>
        <w:ind w:hanging="360"/>
        <w:jc w:val="both"/>
        <w:rPr>
          <w:b/>
          <w:i/>
          <w:iCs/>
          <w:lang w:val="fr-FR"/>
        </w:rPr>
      </w:pPr>
    </w:p>
    <w:p w14:paraId="107A9A2F" w14:textId="77777777" w:rsidR="00E36380" w:rsidRPr="00742407" w:rsidRDefault="00E36380" w:rsidP="00895870">
      <w:pPr>
        <w:ind w:hanging="360"/>
        <w:jc w:val="both"/>
        <w:rPr>
          <w:b/>
          <w:i/>
          <w:iCs/>
          <w:lang w:val="fr-FR"/>
        </w:rPr>
      </w:pPr>
    </w:p>
    <w:p w14:paraId="02D40EEC" w14:textId="7A39A4F7" w:rsidR="00F778A1" w:rsidRPr="00742407" w:rsidRDefault="00F778A1" w:rsidP="00895870">
      <w:pPr>
        <w:ind w:hanging="360"/>
        <w:jc w:val="both"/>
        <w:rPr>
          <w:b/>
          <w:i/>
          <w:iCs/>
          <w:lang w:val="fr-FR"/>
        </w:rPr>
      </w:pPr>
      <w:r w:rsidRPr="00742407">
        <w:rPr>
          <w:b/>
          <w:i/>
          <w:iCs/>
          <w:lang w:val="fr-FR"/>
        </w:rPr>
        <w:t xml:space="preserve">NOTES POUR REMPLIR LE </w:t>
      </w:r>
      <w:proofErr w:type="gramStart"/>
      <w:r w:rsidRPr="00742407">
        <w:rPr>
          <w:b/>
          <w:i/>
          <w:iCs/>
          <w:lang w:val="fr-FR"/>
        </w:rPr>
        <w:t>RAPPORT:</w:t>
      </w:r>
      <w:proofErr w:type="gramEnd"/>
    </w:p>
    <w:p w14:paraId="7BFE8C1B" w14:textId="77777777" w:rsidR="00B80C2F" w:rsidRPr="00742407" w:rsidRDefault="00B80C2F" w:rsidP="003B73E2">
      <w:pPr>
        <w:ind w:left="-90" w:hanging="180"/>
        <w:jc w:val="both"/>
        <w:rPr>
          <w:i/>
          <w:iCs/>
          <w:lang w:val="fr-FR"/>
        </w:rPr>
      </w:pPr>
      <w:r w:rsidRPr="00742407">
        <w:rPr>
          <w:i/>
          <w:iCs/>
          <w:lang w:val="fr-FR"/>
        </w:rPr>
        <w:t>- Évitez les acronymes et le jargon des Nations Unies, utilisez un langage général / commun.</w:t>
      </w:r>
    </w:p>
    <w:p w14:paraId="6F51D62D" w14:textId="77777777" w:rsidR="00B80C2F" w:rsidRPr="00742407" w:rsidRDefault="00B80C2F" w:rsidP="003B73E2">
      <w:pPr>
        <w:ind w:left="-90" w:hanging="180"/>
        <w:jc w:val="both"/>
        <w:rPr>
          <w:i/>
          <w:iCs/>
          <w:lang w:val="fr-FR"/>
        </w:rPr>
      </w:pPr>
      <w:r w:rsidRPr="00742407">
        <w:rPr>
          <w:i/>
          <w:iCs/>
          <w:lang w:val="fr-FR"/>
        </w:rPr>
        <w:t>- Décrivez ce que le projet a fait dans la période de rapport, plutôt que les intentions du projet.</w:t>
      </w:r>
    </w:p>
    <w:p w14:paraId="31926B9E" w14:textId="77777777" w:rsidR="00B80C2F" w:rsidRPr="00742407" w:rsidRDefault="00B80C2F" w:rsidP="003B73E2">
      <w:pPr>
        <w:ind w:left="-90" w:hanging="180"/>
        <w:jc w:val="both"/>
        <w:rPr>
          <w:i/>
          <w:iCs/>
          <w:lang w:val="fr-FR"/>
        </w:rPr>
      </w:pPr>
      <w:r w:rsidRPr="00742407">
        <w:rPr>
          <w:i/>
          <w:iCs/>
          <w:lang w:val="fr-FR"/>
        </w:rPr>
        <w:t>- Soyez aussi concret que possible. Évitez les discours théoriques, vagues ou conceptuels.</w:t>
      </w:r>
    </w:p>
    <w:p w14:paraId="59375C32" w14:textId="6EF90F29" w:rsidR="00B80C2F" w:rsidRPr="00742407" w:rsidRDefault="00B80C2F" w:rsidP="003B73E2">
      <w:pPr>
        <w:ind w:left="-90" w:hanging="180"/>
        <w:jc w:val="both"/>
        <w:rPr>
          <w:i/>
          <w:iCs/>
          <w:lang w:val="fr-FR"/>
        </w:rPr>
      </w:pPr>
      <w:r w:rsidRPr="00742407">
        <w:rPr>
          <w:i/>
          <w:iCs/>
          <w:lang w:val="fr-FR"/>
        </w:rPr>
        <w:t>- Veillez à ce que l'analyse et l'évaluation des progrès du projet tiennent compte des spécificités</w:t>
      </w:r>
      <w:r w:rsidR="003B73E2" w:rsidRPr="00742407">
        <w:rPr>
          <w:i/>
          <w:iCs/>
          <w:lang w:val="fr-FR"/>
        </w:rPr>
        <w:t xml:space="preserve"> </w:t>
      </w:r>
      <w:r w:rsidRPr="00742407">
        <w:rPr>
          <w:i/>
          <w:iCs/>
          <w:lang w:val="fr-FR"/>
        </w:rPr>
        <w:t>du sexe et de l'âge.</w:t>
      </w:r>
    </w:p>
    <w:p w14:paraId="423F5F52" w14:textId="43BD29D0" w:rsidR="00117EE7" w:rsidRPr="00742407" w:rsidRDefault="00B80C2F" w:rsidP="003B73E2">
      <w:pPr>
        <w:ind w:left="-90" w:hanging="180"/>
        <w:jc w:val="both"/>
        <w:rPr>
          <w:i/>
          <w:iCs/>
          <w:lang w:val="fr-FR"/>
        </w:rPr>
      </w:pPr>
      <w:r w:rsidRPr="00742407">
        <w:rPr>
          <w:i/>
          <w:iCs/>
          <w:lang w:val="fr-FR"/>
        </w:rPr>
        <w:t>- Dans le tableau de r</w:t>
      </w:r>
      <w:r w:rsidR="00176D49" w:rsidRPr="00742407">
        <w:rPr>
          <w:i/>
          <w:iCs/>
          <w:lang w:val="fr-FR"/>
        </w:rPr>
        <w:t>é</w:t>
      </w:r>
      <w:r w:rsidRPr="00742407">
        <w:rPr>
          <w:i/>
          <w:iCs/>
          <w:lang w:val="fr-FR"/>
        </w:rPr>
        <w:t xml:space="preserve">sultats, soyez </w:t>
      </w:r>
      <w:proofErr w:type="gramStart"/>
      <w:r w:rsidRPr="00742407">
        <w:rPr>
          <w:i/>
          <w:iCs/>
          <w:lang w:val="fr-FR"/>
        </w:rPr>
        <w:t>concis:</w:t>
      </w:r>
      <w:proofErr w:type="gramEnd"/>
      <w:r w:rsidRPr="00742407">
        <w:rPr>
          <w:i/>
          <w:iCs/>
          <w:lang w:val="fr-FR"/>
        </w:rPr>
        <w:t xml:space="preserve"> vous avez 3000 caractères, incluant les espaces pour vos réponses.</w:t>
      </w:r>
    </w:p>
    <w:p w14:paraId="54D65ADB" w14:textId="77777777" w:rsidR="009B368A" w:rsidRPr="00742407" w:rsidRDefault="009B368A" w:rsidP="00895870">
      <w:pPr>
        <w:ind w:hanging="360"/>
        <w:jc w:val="both"/>
        <w:rPr>
          <w:i/>
          <w:iCs/>
          <w:lang w:val="fr-FR"/>
        </w:rPr>
      </w:pPr>
    </w:p>
    <w:p w14:paraId="7949AC07" w14:textId="39B4C33B" w:rsidR="00116E27" w:rsidRPr="00742407" w:rsidRDefault="00F778A1" w:rsidP="00895870">
      <w:pPr>
        <w:ind w:hanging="360"/>
        <w:jc w:val="both"/>
        <w:rPr>
          <w:b/>
          <w:bCs/>
          <w:color w:val="212121"/>
          <w:u w:val="single"/>
          <w:lang w:val="fr-FR"/>
        </w:rPr>
      </w:pPr>
      <w:r w:rsidRPr="00742407">
        <w:rPr>
          <w:b/>
          <w:u w:val="single"/>
          <w:lang w:val="fr-FR"/>
        </w:rPr>
        <w:t xml:space="preserve">Partie 1 : </w:t>
      </w:r>
      <w:r w:rsidRPr="00742407">
        <w:rPr>
          <w:b/>
          <w:bCs/>
          <w:color w:val="212121"/>
          <w:u w:val="single"/>
          <w:lang w:val="fr-FR"/>
        </w:rPr>
        <w:t xml:space="preserve">Progrès global du projet </w:t>
      </w:r>
    </w:p>
    <w:p w14:paraId="66B28B6B" w14:textId="6A9B71AB" w:rsidR="00B3106D" w:rsidRPr="00742407" w:rsidRDefault="00B3106D" w:rsidP="00895870">
      <w:pPr>
        <w:ind w:hanging="360"/>
        <w:jc w:val="both"/>
        <w:rPr>
          <w:i/>
          <w:iCs/>
          <w:lang w:val="fr-FR"/>
        </w:rPr>
      </w:pPr>
    </w:p>
    <w:p w14:paraId="6864993E" w14:textId="797498B1" w:rsidR="00B3106D" w:rsidRPr="00742407" w:rsidRDefault="001545F2" w:rsidP="00895870">
      <w:pPr>
        <w:ind w:left="-360"/>
        <w:jc w:val="both"/>
        <w:rPr>
          <w:b/>
          <w:bCs/>
          <w:i/>
          <w:iCs/>
          <w:lang w:val="fr-FR"/>
        </w:rPr>
      </w:pPr>
      <w:r w:rsidRPr="00742407">
        <w:rPr>
          <w:b/>
          <w:bCs/>
          <w:i/>
          <w:iCs/>
          <w:lang w:val="fr-FR"/>
        </w:rPr>
        <w:t xml:space="preserve">Veuillez évaluer l'état d'avancement de la mise en œuvre des éléments </w:t>
      </w:r>
      <w:r w:rsidR="00CF626E" w:rsidRPr="00742407">
        <w:rPr>
          <w:b/>
          <w:bCs/>
          <w:i/>
          <w:iCs/>
          <w:lang w:val="fr-FR"/>
        </w:rPr>
        <w:t>suivant :</w:t>
      </w:r>
      <w:r w:rsidR="00875A34" w:rsidRPr="00742407">
        <w:rPr>
          <w:b/>
          <w:bCs/>
          <w:i/>
          <w:iCs/>
          <w:lang w:val="fr-FR"/>
        </w:rPr>
        <w:t xml:space="preserve"> (indiquez si l’activité est : ‘Pas commencé’, ‘commencé’, </w:t>
      </w:r>
      <w:r w:rsidR="00537C36" w:rsidRPr="00742407">
        <w:rPr>
          <w:b/>
          <w:bCs/>
          <w:i/>
          <w:iCs/>
          <w:lang w:val="fr-FR"/>
        </w:rPr>
        <w:t>‘partiellement complet’, ‘complété’, ‘pas applicable’)</w:t>
      </w:r>
    </w:p>
    <w:p w14:paraId="4FB25AF4" w14:textId="77777777" w:rsidR="00D925BD" w:rsidRPr="00742407" w:rsidRDefault="00D925BD" w:rsidP="00895870">
      <w:pPr>
        <w:ind w:left="-360"/>
        <w:jc w:val="both"/>
        <w:rPr>
          <w:b/>
          <w:bCs/>
          <w:i/>
          <w:iCs/>
          <w:lang w:val="fr-FR"/>
        </w:rPr>
      </w:pPr>
    </w:p>
    <w:p w14:paraId="05CCCA42" w14:textId="66C118C5" w:rsidR="00CF626E" w:rsidRPr="00742407" w:rsidRDefault="00CF626E" w:rsidP="00D925BD">
      <w:pPr>
        <w:ind w:left="-360"/>
        <w:jc w:val="both"/>
        <w:rPr>
          <w:lang w:val="fr-FR"/>
        </w:rPr>
      </w:pPr>
      <w:r w:rsidRPr="00742407">
        <w:rPr>
          <w:lang w:val="fr-FR"/>
        </w:rPr>
        <w:t>Le projet a entièrement intégré l’égalité des sexes dans sa mise en œuvre. Les victimes de violences basées sur le genre (hommes comme femmes) ont été assisté</w:t>
      </w:r>
      <w:r w:rsidR="00326298">
        <w:rPr>
          <w:lang w:val="fr-FR"/>
        </w:rPr>
        <w:t>e</w:t>
      </w:r>
      <w:r w:rsidRPr="00742407">
        <w:rPr>
          <w:lang w:val="fr-FR"/>
        </w:rPr>
        <w:t>s de manière équitable. Le plaidoyer mené à travers le projet a permis de rendre sensible au genre les mécanismes de la justice transitionnelle. Cela s’est fait ressentir à travers des a</w:t>
      </w:r>
      <w:r w:rsidR="00326298">
        <w:rPr>
          <w:lang w:val="fr-FR"/>
        </w:rPr>
        <w:t>c</w:t>
      </w:r>
      <w:r w:rsidRPr="00742407">
        <w:rPr>
          <w:lang w:val="fr-FR"/>
        </w:rPr>
        <w:t>tions concrète</w:t>
      </w:r>
      <w:r w:rsidR="00364080">
        <w:rPr>
          <w:lang w:val="fr-FR"/>
        </w:rPr>
        <w:t>s</w:t>
      </w:r>
      <w:r w:rsidRPr="00742407">
        <w:rPr>
          <w:lang w:val="fr-FR"/>
        </w:rPr>
        <w:t xml:space="preserve"> comme le recrutement et </w:t>
      </w:r>
      <w:r w:rsidR="00326298">
        <w:rPr>
          <w:lang w:val="fr-FR"/>
        </w:rPr>
        <w:t xml:space="preserve">la </w:t>
      </w:r>
      <w:r w:rsidRPr="00742407">
        <w:rPr>
          <w:lang w:val="fr-FR"/>
        </w:rPr>
        <w:t xml:space="preserve">nomination des membres de la CVJRR (5 femmes sur 11 commissaires) et l’élaboration du manuel </w:t>
      </w:r>
      <w:r w:rsidR="00ED15F7">
        <w:rPr>
          <w:lang w:val="fr-FR"/>
        </w:rPr>
        <w:t>‘’</w:t>
      </w:r>
      <w:r w:rsidR="00326298">
        <w:rPr>
          <w:lang w:val="fr-FR"/>
        </w:rPr>
        <w:t>G</w:t>
      </w:r>
      <w:r w:rsidRPr="00742407">
        <w:rPr>
          <w:lang w:val="fr-FR"/>
        </w:rPr>
        <w:t>enre et CVJRR</w:t>
      </w:r>
      <w:r w:rsidR="00ED15F7">
        <w:rPr>
          <w:lang w:val="fr-FR"/>
        </w:rPr>
        <w:t>’’</w:t>
      </w:r>
      <w:r w:rsidRPr="00742407">
        <w:rPr>
          <w:lang w:val="fr-FR"/>
        </w:rPr>
        <w:t>. Il a notamment permis d’apporter une réponse holistique aux victimes de violence</w:t>
      </w:r>
      <w:r w:rsidR="00364080">
        <w:rPr>
          <w:lang w:val="fr-FR"/>
        </w:rPr>
        <w:t>s</w:t>
      </w:r>
      <w:r w:rsidRPr="00742407">
        <w:rPr>
          <w:lang w:val="fr-FR"/>
        </w:rPr>
        <w:t xml:space="preserve"> sexuelle</w:t>
      </w:r>
      <w:r w:rsidR="00364080">
        <w:rPr>
          <w:lang w:val="fr-FR"/>
        </w:rPr>
        <w:t>s</w:t>
      </w:r>
      <w:r w:rsidRPr="00742407">
        <w:rPr>
          <w:lang w:val="fr-FR"/>
        </w:rPr>
        <w:t xml:space="preserve"> basées sur le genre à travers les cliniques juridiques et le</w:t>
      </w:r>
      <w:r w:rsidR="00326298">
        <w:rPr>
          <w:lang w:val="fr-FR"/>
        </w:rPr>
        <w:t>s</w:t>
      </w:r>
      <w:r w:rsidRPr="00742407">
        <w:rPr>
          <w:lang w:val="fr-FR"/>
        </w:rPr>
        <w:t xml:space="preserve"> centres d’écoute. Par exemple, de janvier 2020 à octobre 2021, 420 personnes (190 femmes et 230 hommes) ont été formées sur les approches genre ainsi </w:t>
      </w:r>
      <w:r w:rsidR="00326298" w:rsidRPr="00742407">
        <w:rPr>
          <w:lang w:val="fr-FR"/>
        </w:rPr>
        <w:t>qu’</w:t>
      </w:r>
      <w:r w:rsidR="00326298">
        <w:rPr>
          <w:lang w:val="fr-FR"/>
        </w:rPr>
        <w:t>à la violence</w:t>
      </w:r>
      <w:r w:rsidRPr="00742407">
        <w:rPr>
          <w:lang w:val="fr-FR"/>
        </w:rPr>
        <w:t xml:space="preserve"> basée sur le genre (VBG) par les cliniques juridiques (PBF, 2022)</w:t>
      </w:r>
      <w:r w:rsidRPr="00742407">
        <w:rPr>
          <w:rStyle w:val="Appelnotedebasdep"/>
          <w:lang w:val="fr-FR"/>
        </w:rPr>
        <w:footnoteReference w:id="2"/>
      </w:r>
      <w:r w:rsidRPr="00742407">
        <w:rPr>
          <w:lang w:val="fr-FR"/>
        </w:rPr>
        <w:t>.</w:t>
      </w:r>
    </w:p>
    <w:p w14:paraId="32DED813" w14:textId="18574719" w:rsidR="00D925BD" w:rsidRPr="00742407" w:rsidRDefault="00D925BD" w:rsidP="00D925BD">
      <w:pPr>
        <w:ind w:left="-360"/>
        <w:jc w:val="both"/>
        <w:rPr>
          <w:lang w:val="fr-FR"/>
        </w:rPr>
      </w:pPr>
      <w:r w:rsidRPr="00742407">
        <w:rPr>
          <w:lang w:val="fr-FR"/>
        </w:rPr>
        <w:t xml:space="preserve">Le projet appuie techniquement et opérationnellement la CVJRR, notamment via l’organisation de 2 retraites pour assurer une compréhension commune du mandat et définir les étapes </w:t>
      </w:r>
      <w:r w:rsidR="00CF626E" w:rsidRPr="00742407">
        <w:rPr>
          <w:lang w:val="fr-FR"/>
        </w:rPr>
        <w:t>clés</w:t>
      </w:r>
      <w:r w:rsidRPr="00742407">
        <w:rPr>
          <w:lang w:val="fr-FR"/>
        </w:rPr>
        <w:t xml:space="preserve"> de son opérationnalisation. Via un contrat avec le Centre International pour la Justice Transitionnelle (ICTJ), des Commissaires et experts sont déployés pour accompagner la CVJRR dans ses réflexions et l’élaboration de sa stratégie d’intervention, de communication et d’investigation. L’étude sur les modalités de réparations présentée à la retraite stratégique permet d’initier des réflexions pour la définition d’un programme national de réparation</w:t>
      </w:r>
      <w:r w:rsidR="00326298">
        <w:rPr>
          <w:lang w:val="fr-FR"/>
        </w:rPr>
        <w:t>s</w:t>
      </w:r>
      <w:r w:rsidRPr="00742407">
        <w:rPr>
          <w:lang w:val="fr-FR"/>
        </w:rPr>
        <w:t>.</w:t>
      </w:r>
    </w:p>
    <w:p w14:paraId="2A141071" w14:textId="77777777" w:rsidR="00D925BD" w:rsidRPr="00742407" w:rsidRDefault="00D925BD" w:rsidP="00D925BD">
      <w:pPr>
        <w:jc w:val="both"/>
        <w:rPr>
          <w:lang w:val="fr-FR"/>
        </w:rPr>
      </w:pPr>
    </w:p>
    <w:p w14:paraId="5EC79A16" w14:textId="3D27B023" w:rsidR="00D925BD" w:rsidRPr="00742407" w:rsidRDefault="00D925BD" w:rsidP="00D925BD">
      <w:pPr>
        <w:ind w:left="-360"/>
        <w:jc w:val="both"/>
        <w:rPr>
          <w:lang w:val="fr-FR"/>
        </w:rPr>
      </w:pPr>
      <w:r w:rsidRPr="00742407">
        <w:rPr>
          <w:lang w:val="fr-FR"/>
        </w:rPr>
        <w:t>Le 6</w:t>
      </w:r>
      <w:r w:rsidRPr="00742407">
        <w:rPr>
          <w:vertAlign w:val="superscript"/>
          <w:lang w:val="fr-FR"/>
        </w:rPr>
        <w:t>ème</w:t>
      </w:r>
      <w:r w:rsidRPr="00742407">
        <w:rPr>
          <w:lang w:val="fr-FR"/>
        </w:rPr>
        <w:t xml:space="preserve"> sondage de perception sur la paix, la justice et la sécurité (publiée en ao</w:t>
      </w:r>
      <w:r w:rsidR="00326298">
        <w:rPr>
          <w:lang w:val="fr-FR"/>
        </w:rPr>
        <w:t>û</w:t>
      </w:r>
      <w:r w:rsidRPr="00742407">
        <w:rPr>
          <w:lang w:val="fr-FR"/>
        </w:rPr>
        <w:t xml:space="preserve">t 2021) montre une forte demande de la population pour la justice. 57% veulent que les responsables des violences soient jugés et condamnés et 70% estiment que l’établissement de la vérité contribue à la consolidation de la paix. </w:t>
      </w:r>
      <w:r w:rsidR="00326298">
        <w:rPr>
          <w:lang w:val="fr-FR"/>
        </w:rPr>
        <w:t xml:space="preserve">Il en est de même </w:t>
      </w:r>
      <w:r w:rsidRPr="00742407">
        <w:rPr>
          <w:lang w:val="fr-FR"/>
        </w:rPr>
        <w:t>à la Cour Pénale Spéciale (CPS) (45%) et aux juridictions ordinaires (47%), 40% déclare avoir confiance dans la CVJRR et même 71% parmi les personnes ayant une bonne connaissance de la</w:t>
      </w:r>
      <w:r w:rsidR="00ED15F7">
        <w:rPr>
          <w:lang w:val="fr-FR"/>
        </w:rPr>
        <w:t xml:space="preserve">dite </w:t>
      </w:r>
      <w:r w:rsidR="00ED15F7" w:rsidRPr="00742407">
        <w:rPr>
          <w:lang w:val="fr-FR"/>
        </w:rPr>
        <w:t>C</w:t>
      </w:r>
      <w:r w:rsidR="00ED15F7">
        <w:rPr>
          <w:lang w:val="fr-FR"/>
        </w:rPr>
        <w:t>ommission</w:t>
      </w:r>
      <w:r w:rsidRPr="00742407">
        <w:rPr>
          <w:lang w:val="fr-FR"/>
        </w:rPr>
        <w:t>.</w:t>
      </w:r>
    </w:p>
    <w:p w14:paraId="21F1DEE4" w14:textId="77777777" w:rsidR="00D925BD" w:rsidRPr="00742407" w:rsidRDefault="00D925BD" w:rsidP="00D925BD">
      <w:pPr>
        <w:ind w:left="-360"/>
        <w:jc w:val="both"/>
        <w:rPr>
          <w:lang w:val="fr-FR"/>
        </w:rPr>
      </w:pPr>
    </w:p>
    <w:p w14:paraId="3D885983" w14:textId="7AE5FF32" w:rsidR="00D925BD" w:rsidRPr="00742407" w:rsidRDefault="00D925BD" w:rsidP="00D925BD">
      <w:pPr>
        <w:ind w:left="-360"/>
        <w:jc w:val="both"/>
        <w:rPr>
          <w:lang w:val="fr-FR"/>
        </w:rPr>
      </w:pPr>
      <w:r w:rsidRPr="00742407">
        <w:rPr>
          <w:lang w:val="fr-FR"/>
        </w:rPr>
        <w:t xml:space="preserve">L’opérationnalisation de la CVJRR a permis de lancer le processus d’élaboration du manuel </w:t>
      </w:r>
      <w:r w:rsidR="00ED15F7">
        <w:rPr>
          <w:lang w:val="fr-FR"/>
        </w:rPr>
        <w:t>‘’G</w:t>
      </w:r>
      <w:r w:rsidRPr="00742407">
        <w:rPr>
          <w:lang w:val="fr-FR"/>
        </w:rPr>
        <w:t>enre et CVJRR</w:t>
      </w:r>
      <w:r w:rsidR="00ED15F7">
        <w:rPr>
          <w:lang w:val="fr-FR"/>
        </w:rPr>
        <w:t>’’</w:t>
      </w:r>
      <w:r w:rsidRPr="00742407">
        <w:rPr>
          <w:lang w:val="fr-FR"/>
        </w:rPr>
        <w:t xml:space="preserve"> qui est en cours de finalisation. Malgré le contexte sécuritaire </w:t>
      </w:r>
      <w:r w:rsidR="00ED15F7">
        <w:rPr>
          <w:lang w:val="fr-FR"/>
        </w:rPr>
        <w:t xml:space="preserve">instable </w:t>
      </w:r>
      <w:r w:rsidRPr="00742407">
        <w:rPr>
          <w:lang w:val="fr-FR"/>
        </w:rPr>
        <w:t>et le décès de la présidente de l’Association des Femmes Juristes (AFJC), les 9 cliniques juridiques et centres d’écoute ont permis à 11431 personnes (dont 9602 femmes et filles pour la période de janvier à octobre 2021) de bénéficier de services d’aide légale, grâce à un appui spécifique sur la gestion du traumatisme et la planification.</w:t>
      </w:r>
    </w:p>
    <w:p w14:paraId="6F7925F8" w14:textId="77777777" w:rsidR="00D925BD" w:rsidRPr="00742407" w:rsidRDefault="00D925BD" w:rsidP="00D925BD">
      <w:pPr>
        <w:ind w:left="-360"/>
        <w:jc w:val="both"/>
        <w:rPr>
          <w:lang w:val="fr-FR"/>
        </w:rPr>
      </w:pPr>
    </w:p>
    <w:p w14:paraId="7FA9282E" w14:textId="6EB1FD76" w:rsidR="00D925BD" w:rsidRPr="00742407" w:rsidRDefault="00D925BD" w:rsidP="00D925BD">
      <w:pPr>
        <w:ind w:left="-360"/>
        <w:jc w:val="both"/>
        <w:rPr>
          <w:lang w:val="fr-FR"/>
        </w:rPr>
      </w:pPr>
      <w:r w:rsidRPr="00742407">
        <w:rPr>
          <w:lang w:val="fr-FR"/>
        </w:rPr>
        <w:t>Dans le cadre de l’exécution de la Politique Sectorielle de la Justice (PSJ), la complémentarité entre les mécanismes et l’offre de justice, via l’appui à 8 audiences foraines, sont renforcées pour une meilleure réponse à la demande de justice des populations.</w:t>
      </w:r>
    </w:p>
    <w:p w14:paraId="28672C14" w14:textId="77777777" w:rsidR="00895870" w:rsidRPr="00742407" w:rsidRDefault="00895870" w:rsidP="00E36380">
      <w:pPr>
        <w:jc w:val="both"/>
        <w:rPr>
          <w:lang w:val="fr-FR"/>
        </w:rPr>
      </w:pPr>
    </w:p>
    <w:p w14:paraId="5E25EE25" w14:textId="2E4B06D1" w:rsidR="00F778A1" w:rsidRPr="00B83736" w:rsidRDefault="00456874" w:rsidP="00742407">
      <w:pPr>
        <w:ind w:left="-360"/>
        <w:jc w:val="both"/>
        <w:rPr>
          <w:b/>
          <w:i/>
          <w:sz w:val="22"/>
          <w:szCs w:val="22"/>
          <w:lang w:val="fr-FR"/>
        </w:rPr>
      </w:pPr>
      <w:r w:rsidRPr="00981894">
        <w:rPr>
          <w:b/>
          <w:bCs/>
          <w:lang w:val="fr-FR"/>
        </w:rPr>
        <w:t xml:space="preserve">Fournissez toute information descriptive supplémentaire relative </w:t>
      </w:r>
      <w:r w:rsidR="00D925BD" w:rsidRPr="00981894">
        <w:rPr>
          <w:b/>
          <w:bCs/>
          <w:lang w:val="fr-FR"/>
        </w:rPr>
        <w:t>à *</w:t>
      </w:r>
      <w:r w:rsidRPr="00981894">
        <w:rPr>
          <w:b/>
          <w:bCs/>
          <w:lang w:val="fr-FR"/>
        </w:rPr>
        <w:t>*</w:t>
      </w:r>
      <w:r w:rsidR="00D925BD" w:rsidRPr="00981894">
        <w:rPr>
          <w:b/>
          <w:bCs/>
          <w:lang w:val="fr-FR"/>
        </w:rPr>
        <w:t xml:space="preserve"> </w:t>
      </w:r>
      <w:r w:rsidRPr="00981894">
        <w:rPr>
          <w:b/>
          <w:bCs/>
          <w:lang w:val="fr-FR"/>
        </w:rPr>
        <w:t xml:space="preserve">l'état global de mise en œuvre** du projet en termes de cycle de mise en œuvre, y compris si toutes les activités préparatoires ont été achevées (par exemple, contractualisation des partenaires, recrutement du personnel etc.) </w:t>
      </w:r>
      <w:r w:rsidR="00F778A1" w:rsidRPr="00981894">
        <w:rPr>
          <w:b/>
          <w:bCs/>
          <w:lang w:val="fr-FR"/>
        </w:rPr>
        <w:t xml:space="preserve">(limite de </w:t>
      </w:r>
      <w:r w:rsidRPr="00981894">
        <w:rPr>
          <w:b/>
          <w:bCs/>
          <w:lang w:val="fr-FR"/>
        </w:rPr>
        <w:t>250 mots</w:t>
      </w:r>
      <w:r w:rsidR="00742407" w:rsidRPr="00981894">
        <w:rPr>
          <w:b/>
          <w:bCs/>
          <w:lang w:val="fr-FR"/>
        </w:rPr>
        <w:t>) :</w:t>
      </w:r>
      <w:r w:rsidR="00F778A1" w:rsidRPr="00981894">
        <w:rPr>
          <w:b/>
          <w:bCs/>
          <w:lang w:val="fr-FR"/>
        </w:rPr>
        <w:t xml:space="preserve"> </w:t>
      </w:r>
    </w:p>
    <w:p w14:paraId="20FA9EBD" w14:textId="77777777" w:rsidR="00161D02" w:rsidRPr="00981894" w:rsidRDefault="00161D02" w:rsidP="00895870">
      <w:pPr>
        <w:ind w:right="-154" w:hanging="360"/>
        <w:rPr>
          <w:lang w:val="fr-FR"/>
        </w:rPr>
      </w:pPr>
    </w:p>
    <w:p w14:paraId="49A86CE3" w14:textId="77777777" w:rsidR="00F778A1" w:rsidRPr="00981894" w:rsidRDefault="00F778A1" w:rsidP="00895870">
      <w:pPr>
        <w:ind w:right="-154" w:hanging="360"/>
        <w:rPr>
          <w:lang w:val="fr-FR"/>
        </w:rPr>
      </w:pPr>
      <w:r w:rsidRPr="00981894">
        <w:rPr>
          <w:lang w:val="fr-FR"/>
        </w:rPr>
        <w:t>POUR LES PROJETS DANS LES SIX DERNIERS MOIS DE MISE EN ŒUVRE :</w:t>
      </w:r>
    </w:p>
    <w:p w14:paraId="5D660B18" w14:textId="14B0C37A" w:rsidR="008C782A" w:rsidRPr="00B83736" w:rsidRDefault="00476758" w:rsidP="00895870">
      <w:pPr>
        <w:ind w:left="-360" w:right="-154"/>
        <w:rPr>
          <w:lang w:val="fr-FR"/>
        </w:rPr>
      </w:pPr>
      <w:r w:rsidRPr="00981894">
        <w:rPr>
          <w:lang w:val="fr-FR"/>
        </w:rPr>
        <w:t>Résumez</w:t>
      </w:r>
      <w:r w:rsidR="00F778A1" w:rsidRPr="00981894">
        <w:rPr>
          <w:lang w:val="fr-FR"/>
        </w:rPr>
        <w:t xml:space="preserve"> </w:t>
      </w:r>
      <w:r w:rsidRPr="00981894">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981894">
        <w:rPr>
          <w:lang w:val="fr-FR"/>
        </w:rPr>
        <w:t xml:space="preserve"> </w:t>
      </w:r>
      <w:r w:rsidR="008C782A" w:rsidRPr="00B83736">
        <w:rPr>
          <w:lang w:val="fr-FR"/>
        </w:rPr>
        <w:t>(</w:t>
      </w:r>
      <w:proofErr w:type="gramStart"/>
      <w:r w:rsidR="008C782A" w:rsidRPr="00B83736">
        <w:rPr>
          <w:lang w:val="fr-FR"/>
        </w:rPr>
        <w:t>limit</w:t>
      </w:r>
      <w:r w:rsidRPr="00B83736">
        <w:rPr>
          <w:lang w:val="fr-FR"/>
        </w:rPr>
        <w:t>e</w:t>
      </w:r>
      <w:proofErr w:type="gramEnd"/>
      <w:r w:rsidRPr="00B83736">
        <w:rPr>
          <w:lang w:val="fr-FR"/>
        </w:rPr>
        <w:t xml:space="preserve"> de </w:t>
      </w:r>
      <w:r w:rsidR="009A0338" w:rsidRPr="00B83736">
        <w:rPr>
          <w:lang w:val="fr-FR"/>
        </w:rPr>
        <w:t>550 mots</w:t>
      </w:r>
      <w:r w:rsidR="008C782A" w:rsidRPr="00B83736">
        <w:rPr>
          <w:lang w:val="fr-FR"/>
        </w:rPr>
        <w:t xml:space="preserve">): </w:t>
      </w:r>
    </w:p>
    <w:p w14:paraId="20D0A200" w14:textId="77777777" w:rsidR="00117EE7" w:rsidRPr="00B83736" w:rsidRDefault="00117EE7" w:rsidP="00895870">
      <w:pPr>
        <w:ind w:hanging="360"/>
        <w:rPr>
          <w:lang w:val="fr-FR"/>
        </w:rPr>
      </w:pPr>
    </w:p>
    <w:p w14:paraId="3F68F7E7" w14:textId="23D0B860" w:rsidR="00D925BD" w:rsidRPr="00742407" w:rsidRDefault="00D925BD" w:rsidP="00841D4B">
      <w:pPr>
        <w:ind w:left="-284"/>
        <w:jc w:val="both"/>
        <w:rPr>
          <w:lang w:val="fr-FR"/>
        </w:rPr>
      </w:pPr>
      <w:r w:rsidRPr="00981894">
        <w:rPr>
          <w:lang w:val="fr-FR"/>
        </w:rPr>
        <w:t>Les résultats du 6ème sondage de perception confortent les efforts entrepris en matière de mise en place et opérationnalisation des mécanismes de justice transitionnelle et de renforcement du</w:t>
      </w:r>
      <w:r w:rsidRPr="00742407">
        <w:rPr>
          <w:lang w:val="fr-FR"/>
        </w:rPr>
        <w:t xml:space="preserve"> système judiciaire. En effet, plus de 70% de la population déclare que le jugement et la condamnation des responsables </w:t>
      </w:r>
      <w:r w:rsidR="00841D4B" w:rsidRPr="00742407">
        <w:rPr>
          <w:lang w:val="fr-FR"/>
        </w:rPr>
        <w:t>des violences</w:t>
      </w:r>
      <w:r w:rsidRPr="00742407">
        <w:rPr>
          <w:lang w:val="fr-FR"/>
        </w:rPr>
        <w:t xml:space="preserve"> constitue un pilier fondamental pour l’établissement d’une paix durable. Seulement 25% des Centrafricains (es) estiment qu’il est possible d’avoir la paix si les responsables des violences de 2002-2003 restent impunis ; et seulement 22% estime possible d’avoir la paix si les responsables des violences depuis 2013 restent impunis. </w:t>
      </w:r>
    </w:p>
    <w:p w14:paraId="38FB3F58" w14:textId="77777777" w:rsidR="00D925BD" w:rsidRPr="00742407" w:rsidRDefault="00D925BD" w:rsidP="00841D4B">
      <w:pPr>
        <w:ind w:left="-284"/>
        <w:jc w:val="both"/>
        <w:rPr>
          <w:lang w:val="fr-FR"/>
        </w:rPr>
      </w:pPr>
    </w:p>
    <w:p w14:paraId="4AB76B74" w14:textId="7CA25069" w:rsidR="00D925BD" w:rsidRPr="00742407" w:rsidRDefault="00D925BD" w:rsidP="00841D4B">
      <w:pPr>
        <w:ind w:left="-284"/>
        <w:jc w:val="both"/>
        <w:rPr>
          <w:lang w:val="fr-FR"/>
        </w:rPr>
      </w:pPr>
      <w:r w:rsidRPr="00742407">
        <w:rPr>
          <w:lang w:val="fr-FR"/>
        </w:rPr>
        <w:t>De manière concrète, l’organisation de 8 audiences foraines des Tribunaux de Grande Instance (TGI) de Berberati, Nola et Carnot dans différentes localités ont permis de matérialiser la lutte contre l’impunité à travers le traitement de 95</w:t>
      </w:r>
      <w:r w:rsidR="00F7113C">
        <w:rPr>
          <w:lang w:val="fr-FR"/>
        </w:rPr>
        <w:t xml:space="preserve"> </w:t>
      </w:r>
      <w:r w:rsidRPr="00742407">
        <w:rPr>
          <w:lang w:val="fr-FR"/>
        </w:rPr>
        <w:t xml:space="preserve">dossiers et le prononcé de 55 décisions judiciaires. Elles contribuent à rapprocher la justice des justiciables et à renforcer la confiance des populations dans le système judiciaire par une meilleure connaissance et </w:t>
      </w:r>
      <w:r w:rsidR="00F7113C">
        <w:rPr>
          <w:lang w:val="fr-FR"/>
        </w:rPr>
        <w:t xml:space="preserve">une </w:t>
      </w:r>
      <w:r w:rsidRPr="00742407">
        <w:rPr>
          <w:lang w:val="fr-FR"/>
        </w:rPr>
        <w:t>compréhension des procédures. La prestation de serment des 11 Commissaires de la CVJRR est une avancée majeure pour la justice transitionnelle en RCA, commission qui s’inscrit dans la complémentarité de la CPS et des juridictions ordinaires, et dans la mise en œuvre de l’Accord Politique pour la Paix et la Réconciliation (APPR). La population Centrafricaine exprime de fortes attentes en matière de justice qui, pour 70% d’entre eux, constitue un élément essentiel pour la construction d’une paix durable. Alors que 88% de la population se considère</w:t>
      </w:r>
      <w:r w:rsidR="00F7113C">
        <w:rPr>
          <w:lang w:val="fr-FR"/>
        </w:rPr>
        <w:t>nt</w:t>
      </w:r>
      <w:r w:rsidRPr="00742407">
        <w:rPr>
          <w:lang w:val="fr-FR"/>
        </w:rPr>
        <w:t xml:space="preserve"> comme victime</w:t>
      </w:r>
      <w:r w:rsidR="00F7113C">
        <w:rPr>
          <w:lang w:val="fr-FR"/>
        </w:rPr>
        <w:t>s</w:t>
      </w:r>
      <w:r w:rsidRPr="00742407">
        <w:rPr>
          <w:lang w:val="fr-FR"/>
        </w:rPr>
        <w:t xml:space="preserve"> des différents épisodes violents, les attentes vis-à-vis des mécanismes de justice transitionnelle sont particulièrement élevés.</w:t>
      </w:r>
    </w:p>
    <w:p w14:paraId="79A22312" w14:textId="77777777" w:rsidR="00D925BD" w:rsidRPr="00742407" w:rsidRDefault="00D925BD" w:rsidP="00841D4B">
      <w:pPr>
        <w:ind w:left="-284"/>
        <w:jc w:val="both"/>
        <w:rPr>
          <w:lang w:val="fr-FR"/>
        </w:rPr>
      </w:pPr>
    </w:p>
    <w:p w14:paraId="5C2852E3" w14:textId="462016F1" w:rsidR="00D925BD" w:rsidRPr="00742407" w:rsidRDefault="00D925BD" w:rsidP="00841D4B">
      <w:pPr>
        <w:ind w:left="-284"/>
        <w:jc w:val="both"/>
        <w:rPr>
          <w:lang w:val="fr-FR"/>
        </w:rPr>
      </w:pPr>
      <w:r w:rsidRPr="00742407">
        <w:rPr>
          <w:lang w:val="fr-FR"/>
        </w:rPr>
        <w:t>La consolidation de la réforme du secteur de la justice à travers la PSJ, ainsi que l’accès à la justice facilité directement par le projet avec l’offre de services des cliniques juridiques et la tenue d’audiences foraines, sont des évènements visibles à un impact au-delà que sur les victimes immédiates, en renforçant la confiance dans la justice, la paix et l’Etat plus largement.</w:t>
      </w:r>
    </w:p>
    <w:p w14:paraId="1200B74B" w14:textId="77777777" w:rsidR="00D925BD" w:rsidRPr="00742407" w:rsidRDefault="00D925BD" w:rsidP="00841D4B">
      <w:pPr>
        <w:ind w:left="-284"/>
        <w:jc w:val="both"/>
        <w:rPr>
          <w:lang w:val="fr-FR"/>
        </w:rPr>
      </w:pPr>
    </w:p>
    <w:p w14:paraId="40847025" w14:textId="13303150" w:rsidR="00D925BD" w:rsidRPr="00742407" w:rsidRDefault="00D925BD" w:rsidP="00841D4B">
      <w:pPr>
        <w:ind w:left="-284"/>
        <w:jc w:val="both"/>
        <w:rPr>
          <w:lang w:val="fr-FR"/>
        </w:rPr>
      </w:pPr>
      <w:r w:rsidRPr="00742407">
        <w:rPr>
          <w:lang w:val="fr-FR"/>
        </w:rPr>
        <w:t xml:space="preserve">L’étude sur les modalités de réparations, qui a été conduite selon une approche participative et inclusive auprès de nombreuses associations de victimes, déplacés et retournés ainsi que </w:t>
      </w:r>
      <w:r w:rsidR="00822354">
        <w:rPr>
          <w:lang w:val="fr-FR"/>
        </w:rPr>
        <w:t xml:space="preserve">les </w:t>
      </w:r>
      <w:r w:rsidRPr="00742407">
        <w:rPr>
          <w:lang w:val="fr-FR"/>
        </w:rPr>
        <w:t xml:space="preserve">autorités nationales, a été présentée lors de la retraite de la CVJRR. Ces données complétées par les résultats du sondage de perception quant aux aspirations des victimes en matière de réparation, permettront d’enrichir les réflexions pour la définition d’un programme national de réparation répondant aux attentes et </w:t>
      </w:r>
      <w:r w:rsidR="00822354">
        <w:rPr>
          <w:lang w:val="fr-FR"/>
        </w:rPr>
        <w:t xml:space="preserve">aux </w:t>
      </w:r>
      <w:r w:rsidRPr="00742407">
        <w:rPr>
          <w:lang w:val="fr-FR"/>
        </w:rPr>
        <w:t>besoins des communautés.</w:t>
      </w:r>
    </w:p>
    <w:p w14:paraId="33CF0240" w14:textId="77777777" w:rsidR="00D925BD" w:rsidRPr="00742407" w:rsidRDefault="00D925BD" w:rsidP="00841D4B">
      <w:pPr>
        <w:ind w:left="-284"/>
        <w:jc w:val="both"/>
        <w:rPr>
          <w:lang w:val="fr-FR"/>
        </w:rPr>
      </w:pPr>
    </w:p>
    <w:p w14:paraId="27961DAE" w14:textId="77777777" w:rsidR="00D925BD" w:rsidRPr="00742407" w:rsidRDefault="00D925BD" w:rsidP="00841D4B">
      <w:pPr>
        <w:ind w:left="-284"/>
        <w:jc w:val="both"/>
        <w:rPr>
          <w:lang w:val="fr-FR"/>
        </w:rPr>
      </w:pPr>
      <w:r w:rsidRPr="00742407">
        <w:rPr>
          <w:lang w:val="fr-FR"/>
        </w:rPr>
        <w:t>En outre, l’accès à la justice de 11 431 victimes, y compris 9 602 femmes, a été facilité grâce à l’appui aux cliniques juridiques et aux centres d’écoute.</w:t>
      </w:r>
    </w:p>
    <w:p w14:paraId="1BB37880" w14:textId="77777777" w:rsidR="00D925BD" w:rsidRPr="00742407" w:rsidRDefault="00D925BD" w:rsidP="00895870">
      <w:pPr>
        <w:ind w:hanging="360"/>
        <w:rPr>
          <w:lang w:val="fr-FR"/>
        </w:rPr>
      </w:pPr>
    </w:p>
    <w:p w14:paraId="759DFF00" w14:textId="77777777" w:rsidR="00D925BD" w:rsidRPr="00742407" w:rsidRDefault="00D925BD" w:rsidP="00895870">
      <w:pPr>
        <w:ind w:hanging="360"/>
        <w:rPr>
          <w:lang w:val="fr-FR"/>
        </w:rPr>
      </w:pPr>
    </w:p>
    <w:p w14:paraId="793C9A94" w14:textId="7A2C278F" w:rsidR="00F5504F" w:rsidRPr="00742407" w:rsidRDefault="00F536DD" w:rsidP="00895870">
      <w:pPr>
        <w:ind w:hanging="360"/>
        <w:rPr>
          <w:b/>
          <w:u w:val="single"/>
          <w:lang w:val="fr-FR"/>
        </w:rPr>
      </w:pPr>
      <w:r w:rsidRPr="00742407">
        <w:rPr>
          <w:b/>
          <w:u w:val="single"/>
          <w:lang w:val="fr-FR"/>
        </w:rPr>
        <w:t xml:space="preserve">PARTIE </w:t>
      </w:r>
      <w:proofErr w:type="gramStart"/>
      <w:r w:rsidRPr="00742407">
        <w:rPr>
          <w:b/>
          <w:u w:val="single"/>
          <w:lang w:val="fr-FR"/>
        </w:rPr>
        <w:t>II:</w:t>
      </w:r>
      <w:proofErr w:type="gramEnd"/>
      <w:r w:rsidRPr="00742407">
        <w:rPr>
          <w:b/>
          <w:u w:val="single"/>
          <w:lang w:val="fr-FR"/>
        </w:rPr>
        <w:t xml:space="preserve"> PROGRES PAR RESULTAT DU PROJET</w:t>
      </w:r>
    </w:p>
    <w:p w14:paraId="1CB6D9D2" w14:textId="77777777" w:rsidR="00F536DD" w:rsidRPr="00742407" w:rsidRDefault="00F536DD" w:rsidP="00895870">
      <w:pPr>
        <w:ind w:hanging="360"/>
        <w:rPr>
          <w:lang w:val="fr-FR"/>
        </w:rPr>
      </w:pPr>
    </w:p>
    <w:p w14:paraId="36786833" w14:textId="29CA1335" w:rsidR="00287878" w:rsidRPr="00742407" w:rsidRDefault="005D15A3" w:rsidP="00895870">
      <w:pPr>
        <w:ind w:left="-360"/>
        <w:rPr>
          <w:i/>
          <w:lang w:val="fr-FR"/>
        </w:rPr>
      </w:pPr>
      <w:r w:rsidRPr="00742407">
        <w:rPr>
          <w:i/>
          <w:lang w:val="fr-FR"/>
        </w:rPr>
        <w:t xml:space="preserve">Décrire les principaux progrès réalisés au cours de la période considérée (pour les rapports de </w:t>
      </w:r>
      <w:proofErr w:type="gramStart"/>
      <w:r w:rsidRPr="00742407">
        <w:rPr>
          <w:i/>
          <w:lang w:val="fr-FR"/>
        </w:rPr>
        <w:t>juin:</w:t>
      </w:r>
      <w:proofErr w:type="gramEnd"/>
      <w:r w:rsidRPr="00742407">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742407" w:rsidRDefault="008364E5" w:rsidP="00895870">
      <w:pPr>
        <w:numPr>
          <w:ilvl w:val="0"/>
          <w:numId w:val="1"/>
        </w:numPr>
        <w:ind w:left="0"/>
        <w:rPr>
          <w:i/>
          <w:lang w:val="fr-FR"/>
        </w:rPr>
      </w:pPr>
      <w:r w:rsidRPr="00742407">
        <w:rPr>
          <w:i/>
          <w:lang w:val="fr-FR"/>
        </w:rPr>
        <w:t xml:space="preserve">“On </w:t>
      </w:r>
      <w:proofErr w:type="spellStart"/>
      <w:r w:rsidRPr="00742407">
        <w:rPr>
          <w:i/>
          <w:lang w:val="fr-FR"/>
        </w:rPr>
        <w:t>track</w:t>
      </w:r>
      <w:proofErr w:type="spellEnd"/>
      <w:r w:rsidRPr="00742407">
        <w:rPr>
          <w:i/>
          <w:lang w:val="fr-FR"/>
        </w:rPr>
        <w:t xml:space="preserve">” </w:t>
      </w:r>
      <w:r w:rsidR="005D15A3" w:rsidRPr="00742407">
        <w:rPr>
          <w:i/>
          <w:lang w:val="fr-FR"/>
        </w:rPr>
        <w:t>– il s’agit de l'achèvement en temps voulu des produits du projet, comme indiqué dans le plan de travail annuel ;</w:t>
      </w:r>
    </w:p>
    <w:p w14:paraId="3B143288" w14:textId="77777777" w:rsidR="007118F5" w:rsidRPr="00742407" w:rsidRDefault="005D15A3" w:rsidP="00895870">
      <w:pPr>
        <w:numPr>
          <w:ilvl w:val="0"/>
          <w:numId w:val="1"/>
        </w:numPr>
        <w:ind w:left="0"/>
        <w:rPr>
          <w:i/>
          <w:lang w:val="fr-FR"/>
        </w:rPr>
      </w:pPr>
      <w:r w:rsidRPr="00742407">
        <w:rPr>
          <w:i/>
          <w:lang w:val="fr-FR"/>
        </w:rPr>
        <w:t xml:space="preserve"> </w:t>
      </w:r>
      <w:r w:rsidR="007118F5" w:rsidRPr="00742407">
        <w:rPr>
          <w:i/>
          <w:lang w:val="fr-FR"/>
        </w:rPr>
        <w:t xml:space="preserve">“On </w:t>
      </w:r>
      <w:proofErr w:type="spellStart"/>
      <w:r w:rsidR="007118F5" w:rsidRPr="00742407">
        <w:rPr>
          <w:i/>
          <w:lang w:val="fr-FR"/>
        </w:rPr>
        <w:t>track</w:t>
      </w:r>
      <w:proofErr w:type="spellEnd"/>
      <w:r w:rsidR="007118F5" w:rsidRPr="00742407">
        <w:rPr>
          <w:i/>
          <w:lang w:val="fr-FR"/>
        </w:rPr>
        <w:t xml:space="preserve"> </w:t>
      </w:r>
      <w:proofErr w:type="spellStart"/>
      <w:r w:rsidR="007118F5" w:rsidRPr="00742407">
        <w:rPr>
          <w:i/>
          <w:lang w:val="fr-FR"/>
        </w:rPr>
        <w:t>with</w:t>
      </w:r>
      <w:proofErr w:type="spellEnd"/>
      <w:r w:rsidR="007118F5" w:rsidRPr="00742407">
        <w:rPr>
          <w:i/>
          <w:lang w:val="fr-FR"/>
        </w:rPr>
        <w:t xml:space="preserve"> </w:t>
      </w:r>
      <w:proofErr w:type="spellStart"/>
      <w:r w:rsidR="007118F5" w:rsidRPr="00742407">
        <w:rPr>
          <w:i/>
          <w:lang w:val="fr-FR"/>
        </w:rPr>
        <w:t>peacebuilding</w:t>
      </w:r>
      <w:proofErr w:type="spellEnd"/>
      <w:r w:rsidR="007118F5" w:rsidRPr="00742407">
        <w:rPr>
          <w:i/>
          <w:lang w:val="fr-FR"/>
        </w:rPr>
        <w:t xml:space="preserve"> </w:t>
      </w:r>
      <w:proofErr w:type="spellStart"/>
      <w:r w:rsidR="007118F5" w:rsidRPr="00742407">
        <w:rPr>
          <w:i/>
          <w:lang w:val="fr-FR"/>
        </w:rPr>
        <w:t>results</w:t>
      </w:r>
      <w:proofErr w:type="spellEnd"/>
      <w:r w:rsidR="007118F5" w:rsidRPr="00742407">
        <w:rPr>
          <w:i/>
          <w:lang w:val="fr-FR"/>
        </w:rPr>
        <w:t xml:space="preserve">” </w:t>
      </w:r>
      <w:r w:rsidRPr="00742407">
        <w:rPr>
          <w:i/>
          <w:lang w:val="fr-FR"/>
        </w:rPr>
        <w:t>-</w:t>
      </w:r>
      <w:r w:rsidRPr="00742407">
        <w:rPr>
          <w:lang w:val="fr-FR"/>
        </w:rPr>
        <w:t xml:space="preserve"> </w:t>
      </w:r>
      <w:r w:rsidRPr="00742407">
        <w:rPr>
          <w:i/>
          <w:iCs/>
          <w:lang w:val="fr-FR"/>
        </w:rPr>
        <w:t>f</w:t>
      </w:r>
      <w:r w:rsidRPr="00742407">
        <w:rPr>
          <w:i/>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742407" w:rsidRDefault="008A0324" w:rsidP="00895870">
      <w:pPr>
        <w:ind w:hanging="360"/>
        <w:rPr>
          <w:i/>
          <w:lang w:val="fr-FR"/>
        </w:rPr>
      </w:pPr>
    </w:p>
    <w:p w14:paraId="67047EE5" w14:textId="362A9F0E" w:rsidR="008A0324" w:rsidRPr="00B87913" w:rsidRDefault="00984110" w:rsidP="00EC3126">
      <w:pPr>
        <w:ind w:hanging="360"/>
        <w:rPr>
          <w:b/>
          <w:bCs/>
          <w:lang w:val="fr-FR"/>
        </w:rPr>
      </w:pPr>
      <w:r w:rsidRPr="00742407">
        <w:rPr>
          <w:b/>
          <w:bCs/>
          <w:lang w:val="fr-FR"/>
        </w:rPr>
        <w:t>Combien de RESULTATS ce projet a-t-il ?</w:t>
      </w:r>
      <w:r w:rsidR="00EC3126" w:rsidRPr="00742407">
        <w:rPr>
          <w:b/>
          <w:bCs/>
          <w:lang w:val="fr-FR"/>
        </w:rPr>
        <w:t xml:space="preserve"> </w:t>
      </w:r>
      <w:r w:rsidR="00EC3126" w:rsidRPr="00B87913">
        <w:rPr>
          <w:b/>
          <w:bCs/>
          <w:lang w:val="fr-FR"/>
        </w:rPr>
        <w:t>4</w:t>
      </w:r>
    </w:p>
    <w:p w14:paraId="4345263B" w14:textId="77777777" w:rsidR="00EC3126" w:rsidRPr="00B87913" w:rsidRDefault="00EC3126" w:rsidP="00EC3126">
      <w:pPr>
        <w:ind w:hanging="360"/>
        <w:rPr>
          <w:b/>
          <w:bCs/>
          <w:lang w:val="fr-FR"/>
        </w:rPr>
      </w:pPr>
    </w:p>
    <w:p w14:paraId="6A528501" w14:textId="0003D648" w:rsidR="005D15A3" w:rsidRPr="00742407" w:rsidRDefault="005D15A3" w:rsidP="00D925BD">
      <w:pPr>
        <w:ind w:left="-284"/>
        <w:jc w:val="both"/>
        <w:rPr>
          <w:b/>
          <w:bCs/>
          <w:lang w:val="fr-FR"/>
        </w:rPr>
      </w:pPr>
      <w:r w:rsidRPr="00742407">
        <w:rPr>
          <w:b/>
          <w:u w:val="single"/>
          <w:lang w:val="fr-FR"/>
        </w:rPr>
        <w:t xml:space="preserve">Résultat </w:t>
      </w:r>
      <w:proofErr w:type="gramStart"/>
      <w:r w:rsidRPr="00742407">
        <w:rPr>
          <w:b/>
          <w:u w:val="single"/>
          <w:lang w:val="fr-FR"/>
        </w:rPr>
        <w:t>1:</w:t>
      </w:r>
      <w:proofErr w:type="gramEnd"/>
      <w:r w:rsidRPr="00742407">
        <w:rPr>
          <w:b/>
          <w:lang w:val="fr-FR"/>
        </w:rPr>
        <w:t xml:space="preserve"> </w:t>
      </w:r>
      <w:r w:rsidR="00D925BD" w:rsidRPr="00742407">
        <w:rPr>
          <w:b/>
          <w:bCs/>
          <w:lang w:val="fr-FR"/>
        </w:rPr>
        <w:t>Les institutions du secteur de la justice et les mécanismes de justice transitionnelle sont capables de fournir des services de qualité répondant aux besoins des populations, en particulier des victimes.</w:t>
      </w:r>
    </w:p>
    <w:p w14:paraId="26741843" w14:textId="77777777" w:rsidR="00D925BD" w:rsidRPr="00AF1DA3" w:rsidRDefault="00D925BD" w:rsidP="00AF1DA3">
      <w:pPr>
        <w:jc w:val="both"/>
        <w:rPr>
          <w:b/>
          <w:sz w:val="22"/>
          <w:szCs w:val="22"/>
          <w:lang w:val="fr-FR"/>
        </w:rPr>
      </w:pPr>
    </w:p>
    <w:p w14:paraId="7AC56A13" w14:textId="4AC13659" w:rsidR="005D15A3" w:rsidRPr="00742407"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742407">
        <w:rPr>
          <w:b/>
          <w:bCs/>
          <w:color w:val="212121"/>
          <w:lang w:val="fr-FR"/>
        </w:rPr>
        <w:t xml:space="preserve">Veuillez évaluer l'état actuel des progrès du </w:t>
      </w:r>
      <w:r w:rsidR="00D925BD" w:rsidRPr="00742407">
        <w:rPr>
          <w:b/>
          <w:bCs/>
          <w:color w:val="212121"/>
          <w:lang w:val="fr-FR"/>
        </w:rPr>
        <w:t>résultat</w:t>
      </w:r>
      <w:r w:rsidR="00D925BD" w:rsidRPr="00742407">
        <w:rPr>
          <w:color w:val="212121"/>
          <w:lang w:val="fr-FR"/>
        </w:rPr>
        <w:t xml:space="preserve"> :</w:t>
      </w:r>
      <w:r w:rsidRPr="00742407">
        <w:rPr>
          <w:b/>
          <w:lang w:val="fr-FR"/>
        </w:rPr>
        <w:t xml:space="preserve"> </w:t>
      </w:r>
      <w:bookmarkStart w:id="11" w:name="_Hlk140794643"/>
      <w:r w:rsidR="00D925BD" w:rsidRPr="00742407">
        <w:rPr>
          <w:b/>
          <w:bCs/>
          <w:lang w:val="fr-FR"/>
        </w:rPr>
        <w:t>ON TRACK</w:t>
      </w:r>
      <w:bookmarkEnd w:id="11"/>
    </w:p>
    <w:p w14:paraId="02835EA1" w14:textId="77777777" w:rsidR="002E1CED" w:rsidRPr="00742407" w:rsidRDefault="002E1CED" w:rsidP="00895870">
      <w:pPr>
        <w:ind w:hanging="360"/>
        <w:jc w:val="both"/>
        <w:rPr>
          <w:b/>
          <w:lang w:val="fr-FR"/>
        </w:rPr>
      </w:pPr>
    </w:p>
    <w:p w14:paraId="04D2068E" w14:textId="5455175D" w:rsidR="005216B2" w:rsidRPr="00742407" w:rsidRDefault="005D15A3" w:rsidP="00895870">
      <w:pPr>
        <w:ind w:hanging="360"/>
        <w:jc w:val="both"/>
        <w:rPr>
          <w:i/>
          <w:lang w:val="fr-FR"/>
        </w:rPr>
      </w:pPr>
      <w:r w:rsidRPr="00742407">
        <w:rPr>
          <w:b/>
          <w:lang w:val="fr-FR"/>
        </w:rPr>
        <w:t>R</w:t>
      </w:r>
      <w:r w:rsidR="008A0324" w:rsidRPr="00742407">
        <w:rPr>
          <w:b/>
          <w:lang w:val="fr-FR"/>
        </w:rPr>
        <w:t>é</w:t>
      </w:r>
      <w:r w:rsidRPr="00742407">
        <w:rPr>
          <w:b/>
          <w:lang w:val="fr-FR"/>
        </w:rPr>
        <w:t xml:space="preserve">sumé de </w:t>
      </w:r>
      <w:r w:rsidR="00AF1DA3" w:rsidRPr="00742407">
        <w:rPr>
          <w:b/>
          <w:bCs/>
          <w:color w:val="212121"/>
          <w:lang w:val="fr-FR"/>
        </w:rPr>
        <w:t>progrès</w:t>
      </w:r>
      <w:r w:rsidR="00AF1DA3" w:rsidRPr="00742407">
        <w:rPr>
          <w:b/>
          <w:lang w:val="fr-FR"/>
        </w:rPr>
        <w:t xml:space="preserve"> :</w:t>
      </w:r>
      <w:r w:rsidR="003235DF" w:rsidRPr="00742407">
        <w:rPr>
          <w:b/>
          <w:lang w:val="fr-FR"/>
        </w:rPr>
        <w:t xml:space="preserve"> </w:t>
      </w:r>
      <w:r w:rsidRPr="00742407">
        <w:rPr>
          <w:color w:val="212121"/>
          <w:lang w:val="fr-FR"/>
        </w:rPr>
        <w:t xml:space="preserve">(Limite de </w:t>
      </w:r>
      <w:r w:rsidR="00305147" w:rsidRPr="00742407">
        <w:rPr>
          <w:color w:val="212121"/>
          <w:lang w:val="fr-FR"/>
        </w:rPr>
        <w:t>350 mots</w:t>
      </w:r>
      <w:r w:rsidRPr="00742407">
        <w:rPr>
          <w:color w:val="212121"/>
          <w:lang w:val="fr-FR"/>
        </w:rPr>
        <w:t>)</w:t>
      </w:r>
    </w:p>
    <w:p w14:paraId="54BBBF6E" w14:textId="77777777" w:rsidR="00627A1C" w:rsidRPr="00AF1DA3" w:rsidRDefault="00627A1C" w:rsidP="00895870">
      <w:pPr>
        <w:ind w:hanging="360"/>
        <w:rPr>
          <w:b/>
          <w:sz w:val="14"/>
          <w:szCs w:val="14"/>
          <w:lang w:val="fr-FR"/>
        </w:rPr>
      </w:pPr>
    </w:p>
    <w:p w14:paraId="5D48D904" w14:textId="0AFAAE94" w:rsidR="00435A87" w:rsidRPr="00742407" w:rsidRDefault="00435A87" w:rsidP="004B6D84">
      <w:pPr>
        <w:ind w:left="-284"/>
        <w:jc w:val="both"/>
        <w:rPr>
          <w:lang w:val="fr-FR"/>
        </w:rPr>
      </w:pPr>
      <w:r w:rsidRPr="00742407">
        <w:rPr>
          <w:lang w:val="fr-FR"/>
        </w:rPr>
        <w:t>Les meilleures performances du résultat 1 sont i) la mise en place d’un mécanisme de coordination entre la CVJRR, la justice ordinaire et la CPS ; ii) l’élaboration de la Politique Sectorielle de la Justice (PSJ) 2020-2024 et de son plan d’action, iii) la Loi n° 20-005 du 14 janvier 2020 portant organisation de l’aide légale en RCA ; iv) la Loi N°20.009 du 07 avril 2020, portant création, organisation et fonctionnement de la CVJRR; v</w:t>
      </w:r>
      <w:r w:rsidR="003F5999">
        <w:rPr>
          <w:lang w:val="fr-FR"/>
        </w:rPr>
        <w:t>)</w:t>
      </w:r>
      <w:r w:rsidRPr="00742407">
        <w:rPr>
          <w:lang w:val="fr-FR"/>
        </w:rPr>
        <w:t xml:space="preserve"> la réalisation de deux sondages d’opinion et vi) une étude comparative sur les options de réparation des victimes est réalisée.</w:t>
      </w:r>
    </w:p>
    <w:p w14:paraId="39629DAC" w14:textId="38F523AB" w:rsidR="001914EC" w:rsidRPr="00742407" w:rsidRDefault="002627EC" w:rsidP="001914EC">
      <w:pPr>
        <w:ind w:left="-284"/>
        <w:jc w:val="both"/>
        <w:rPr>
          <w:lang w:val="fr-FR"/>
        </w:rPr>
      </w:pPr>
      <w:r>
        <w:rPr>
          <w:lang w:val="fr-FR"/>
        </w:rPr>
        <w:t>Les travaux de coordination et de suivi de la</w:t>
      </w:r>
      <w:r w:rsidR="001914EC" w:rsidRPr="00742407">
        <w:rPr>
          <w:lang w:val="fr-FR"/>
        </w:rPr>
        <w:t xml:space="preserve"> Politique Sectorielle de la Justice (PSJ)</w:t>
      </w:r>
      <w:r>
        <w:rPr>
          <w:lang w:val="fr-FR"/>
        </w:rPr>
        <w:t>,</w:t>
      </w:r>
      <w:r w:rsidR="001914EC" w:rsidRPr="00742407">
        <w:rPr>
          <w:lang w:val="fr-FR"/>
        </w:rPr>
        <w:t xml:space="preserve"> cadre d’intervention stratégique pour répondre aux demandes de justice des populations, </w:t>
      </w:r>
      <w:r>
        <w:rPr>
          <w:lang w:val="fr-FR"/>
        </w:rPr>
        <w:t>ont été réalisés dans</w:t>
      </w:r>
      <w:r w:rsidR="001914EC" w:rsidRPr="00742407">
        <w:rPr>
          <w:lang w:val="fr-FR"/>
        </w:rPr>
        <w:t xml:space="preserve"> les différents groupes thématiques. Cependant plusieurs avancées sont à noter :</w:t>
      </w:r>
    </w:p>
    <w:p w14:paraId="174799F7" w14:textId="3AAAD525" w:rsidR="001914EC" w:rsidRPr="00742407" w:rsidRDefault="001914EC" w:rsidP="001914EC">
      <w:pPr>
        <w:pStyle w:val="Notedebasdepage"/>
        <w:numPr>
          <w:ilvl w:val="0"/>
          <w:numId w:val="7"/>
        </w:numPr>
        <w:ind w:left="284" w:hanging="568"/>
        <w:jc w:val="both"/>
        <w:rPr>
          <w:sz w:val="24"/>
          <w:szCs w:val="24"/>
          <w:lang w:val="fr-FR"/>
        </w:rPr>
      </w:pPr>
      <w:r w:rsidRPr="00742407">
        <w:rPr>
          <w:sz w:val="24"/>
          <w:szCs w:val="24"/>
          <w:lang w:val="fr-FR"/>
        </w:rPr>
        <w:t xml:space="preserve">Après la signature de l’arrêté interministériel portant </w:t>
      </w:r>
      <w:r w:rsidRPr="00742407">
        <w:rPr>
          <w:bCs/>
          <w:i/>
          <w:iCs/>
          <w:sz w:val="24"/>
          <w:szCs w:val="24"/>
          <w:lang w:val="fr-FR"/>
        </w:rPr>
        <w:t xml:space="preserve">Création, organisation et fonctionnement des comités de coordination des acteurs de la chaine pénale au sein de chaque Tribunal de grande instance, </w:t>
      </w:r>
      <w:r w:rsidRPr="00742407">
        <w:rPr>
          <w:bCs/>
          <w:sz w:val="24"/>
          <w:szCs w:val="24"/>
          <w:lang w:val="fr-FR"/>
        </w:rPr>
        <w:t>le projet a appuyé leur mise en place en régions, où ils jouent un rôle crucial pour renforcer la coordination et résoudre des dysfonctionnements de la chaine pénale</w:t>
      </w:r>
      <w:r w:rsidR="004B6D84">
        <w:rPr>
          <w:bCs/>
          <w:sz w:val="24"/>
          <w:szCs w:val="24"/>
          <w:lang w:val="fr-FR"/>
        </w:rPr>
        <w:t> ;</w:t>
      </w:r>
      <w:r w:rsidRPr="00742407">
        <w:rPr>
          <w:bCs/>
          <w:sz w:val="24"/>
          <w:szCs w:val="24"/>
          <w:lang w:val="fr-FR"/>
        </w:rPr>
        <w:t xml:space="preserve"> </w:t>
      </w:r>
    </w:p>
    <w:p w14:paraId="30EA6156" w14:textId="65C8B898" w:rsidR="001914EC" w:rsidRPr="00742407" w:rsidRDefault="001914EC" w:rsidP="001914EC">
      <w:pPr>
        <w:pStyle w:val="Notedebasdepage"/>
        <w:numPr>
          <w:ilvl w:val="0"/>
          <w:numId w:val="7"/>
        </w:numPr>
        <w:ind w:left="284" w:hanging="568"/>
        <w:jc w:val="both"/>
        <w:rPr>
          <w:bCs/>
          <w:sz w:val="24"/>
          <w:szCs w:val="24"/>
          <w:lang w:val="fr-FR"/>
        </w:rPr>
      </w:pPr>
      <w:r w:rsidRPr="00742407">
        <w:rPr>
          <w:bCs/>
          <w:sz w:val="24"/>
          <w:szCs w:val="24"/>
          <w:lang w:val="fr-FR"/>
        </w:rPr>
        <w:t xml:space="preserve">8 </w:t>
      </w:r>
      <w:r w:rsidRPr="00742407">
        <w:rPr>
          <w:sz w:val="24"/>
          <w:szCs w:val="24"/>
          <w:lang w:val="fr-FR"/>
        </w:rPr>
        <w:t>audiences</w:t>
      </w:r>
      <w:r w:rsidRPr="00742407">
        <w:rPr>
          <w:bCs/>
          <w:sz w:val="24"/>
          <w:szCs w:val="24"/>
          <w:lang w:val="fr-FR"/>
        </w:rPr>
        <w:t xml:space="preserve"> foraines </w:t>
      </w:r>
      <w:r w:rsidR="007A11A0">
        <w:rPr>
          <w:bCs/>
          <w:sz w:val="24"/>
          <w:szCs w:val="24"/>
          <w:lang w:val="fr-FR"/>
        </w:rPr>
        <w:t xml:space="preserve">ont été organisées </w:t>
      </w:r>
      <w:r w:rsidRPr="00742407">
        <w:rPr>
          <w:bCs/>
          <w:sz w:val="24"/>
          <w:szCs w:val="24"/>
          <w:lang w:val="fr-FR"/>
        </w:rPr>
        <w:t xml:space="preserve">dans les ressorts des TGI de Berberati, Nola et </w:t>
      </w:r>
      <w:r w:rsidR="007A11A0" w:rsidRPr="00742407">
        <w:rPr>
          <w:bCs/>
          <w:sz w:val="24"/>
          <w:szCs w:val="24"/>
          <w:lang w:val="fr-FR"/>
        </w:rPr>
        <w:t>Carnot</w:t>
      </w:r>
      <w:r w:rsidR="007A11A0">
        <w:rPr>
          <w:bCs/>
          <w:sz w:val="24"/>
          <w:szCs w:val="24"/>
          <w:lang w:val="fr-FR"/>
        </w:rPr>
        <w:t>, localités qui bénéficient également des activités</w:t>
      </w:r>
      <w:r w:rsidRPr="00742407">
        <w:rPr>
          <w:sz w:val="24"/>
          <w:szCs w:val="24"/>
          <w:lang w:val="fr-CD"/>
        </w:rPr>
        <w:t xml:space="preserve"> des cliniques juridiques </w:t>
      </w:r>
      <w:r w:rsidR="007A11A0">
        <w:rPr>
          <w:sz w:val="24"/>
          <w:szCs w:val="24"/>
          <w:lang w:val="fr-CD"/>
        </w:rPr>
        <w:t>dans le cadre du</w:t>
      </w:r>
      <w:r w:rsidRPr="00742407">
        <w:rPr>
          <w:sz w:val="24"/>
          <w:szCs w:val="24"/>
          <w:lang w:val="fr-CD"/>
        </w:rPr>
        <w:t xml:space="preserve"> projet</w:t>
      </w:r>
      <w:r w:rsidR="004B6D84">
        <w:rPr>
          <w:sz w:val="24"/>
          <w:szCs w:val="24"/>
          <w:lang w:val="fr-CD"/>
        </w:rPr>
        <w:t> ;</w:t>
      </w:r>
      <w:r w:rsidR="007A11A0">
        <w:rPr>
          <w:sz w:val="24"/>
          <w:szCs w:val="24"/>
          <w:lang w:val="fr-CD"/>
        </w:rPr>
        <w:t xml:space="preserve"> </w:t>
      </w:r>
    </w:p>
    <w:p w14:paraId="162928A8" w14:textId="5F6E316F" w:rsidR="001914EC" w:rsidRPr="00AF1DA3" w:rsidRDefault="001914EC" w:rsidP="004B6D84">
      <w:pPr>
        <w:pStyle w:val="Notedebasdepage"/>
        <w:numPr>
          <w:ilvl w:val="0"/>
          <w:numId w:val="7"/>
        </w:numPr>
        <w:ind w:left="284" w:hanging="568"/>
        <w:jc w:val="both"/>
        <w:rPr>
          <w:bCs/>
          <w:lang w:val="fr-FR"/>
        </w:rPr>
      </w:pPr>
      <w:proofErr w:type="gramStart"/>
      <w:r w:rsidRPr="00742407">
        <w:rPr>
          <w:sz w:val="24"/>
          <w:szCs w:val="24"/>
          <w:lang w:val="fr-FR"/>
        </w:rPr>
        <w:t>Suite</w:t>
      </w:r>
      <w:r w:rsidRPr="00742407">
        <w:rPr>
          <w:bCs/>
          <w:sz w:val="24"/>
          <w:szCs w:val="24"/>
          <w:lang w:val="fr-FR"/>
        </w:rPr>
        <w:t xml:space="preserve"> aux</w:t>
      </w:r>
      <w:proofErr w:type="gramEnd"/>
      <w:r w:rsidRPr="00742407">
        <w:rPr>
          <w:bCs/>
          <w:sz w:val="24"/>
          <w:szCs w:val="24"/>
          <w:lang w:val="fr-FR"/>
        </w:rPr>
        <w:t xml:space="preserve"> violences électorales </w:t>
      </w:r>
      <w:r w:rsidR="007A11A0">
        <w:rPr>
          <w:bCs/>
          <w:sz w:val="24"/>
          <w:szCs w:val="24"/>
          <w:lang w:val="fr-FR"/>
        </w:rPr>
        <w:t>ayant conduit à la</w:t>
      </w:r>
      <w:r w:rsidRPr="00742407">
        <w:rPr>
          <w:bCs/>
          <w:sz w:val="24"/>
          <w:szCs w:val="24"/>
          <w:lang w:val="fr-FR"/>
        </w:rPr>
        <w:t xml:space="preserve"> destruction de plusieurs juridictions - des exemplaires du Code de procédure pénale</w:t>
      </w:r>
      <w:r w:rsidR="0078387C">
        <w:rPr>
          <w:bCs/>
          <w:sz w:val="24"/>
          <w:szCs w:val="24"/>
          <w:lang w:val="fr-FR"/>
        </w:rPr>
        <w:t xml:space="preserve"> ainsi que des équipements et </w:t>
      </w:r>
      <w:r w:rsidR="007A11A0">
        <w:rPr>
          <w:bCs/>
          <w:sz w:val="24"/>
          <w:szCs w:val="24"/>
          <w:lang w:val="fr-FR"/>
        </w:rPr>
        <w:t>fournitures</w:t>
      </w:r>
      <w:r w:rsidR="007A11A0" w:rsidRPr="00742407">
        <w:rPr>
          <w:bCs/>
          <w:sz w:val="24"/>
          <w:szCs w:val="24"/>
          <w:lang w:val="fr-FR"/>
        </w:rPr>
        <w:t xml:space="preserve"> </w:t>
      </w:r>
      <w:r w:rsidR="007A11A0">
        <w:rPr>
          <w:bCs/>
          <w:sz w:val="24"/>
          <w:szCs w:val="24"/>
          <w:lang w:val="fr-FR"/>
        </w:rPr>
        <w:t xml:space="preserve">de </w:t>
      </w:r>
      <w:r w:rsidRPr="00742407">
        <w:rPr>
          <w:bCs/>
          <w:sz w:val="24"/>
          <w:szCs w:val="24"/>
          <w:lang w:val="fr-FR"/>
        </w:rPr>
        <w:t xml:space="preserve">bureau ont été remis </w:t>
      </w:r>
      <w:r w:rsidR="002627EC">
        <w:rPr>
          <w:bCs/>
          <w:sz w:val="24"/>
          <w:szCs w:val="24"/>
          <w:lang w:val="fr-FR"/>
        </w:rPr>
        <w:t>aux</w:t>
      </w:r>
      <w:r w:rsidRPr="00742407">
        <w:rPr>
          <w:bCs/>
          <w:sz w:val="24"/>
          <w:szCs w:val="24"/>
          <w:lang w:val="fr-FR"/>
        </w:rPr>
        <w:t xml:space="preserve"> tribunaux. </w:t>
      </w:r>
    </w:p>
    <w:p w14:paraId="216B69AF" w14:textId="77777777" w:rsidR="00AF1DA3" w:rsidRPr="00AF1DA3" w:rsidRDefault="00AF1DA3" w:rsidP="00AF1DA3">
      <w:pPr>
        <w:pStyle w:val="Notedebasdepage"/>
        <w:ind w:left="284"/>
        <w:jc w:val="both"/>
        <w:rPr>
          <w:bCs/>
          <w:sz w:val="4"/>
          <w:szCs w:val="4"/>
          <w:lang w:val="fr-FR"/>
        </w:rPr>
      </w:pPr>
    </w:p>
    <w:p w14:paraId="37E721B0" w14:textId="046C8E8A" w:rsidR="001914EC" w:rsidRPr="00742407" w:rsidRDefault="001914EC" w:rsidP="004B6D84">
      <w:pPr>
        <w:ind w:left="-284"/>
        <w:jc w:val="both"/>
        <w:rPr>
          <w:lang w:val="fr-FR"/>
        </w:rPr>
      </w:pPr>
      <w:r w:rsidRPr="00742407">
        <w:rPr>
          <w:bCs/>
          <w:lang w:val="fr-FR"/>
        </w:rPr>
        <w:t>Les efforts pour renforcer la complémentarité entre la CPS, la CVJRR et le système judiciaire ordinaire se poursuivent</w:t>
      </w:r>
      <w:r w:rsidR="002627EC">
        <w:rPr>
          <w:bCs/>
          <w:lang w:val="fr-FR"/>
        </w:rPr>
        <w:t>.</w:t>
      </w:r>
      <w:r w:rsidRPr="00742407">
        <w:rPr>
          <w:bCs/>
          <w:lang w:val="fr-FR"/>
        </w:rPr>
        <w:t> Sur le plan de la protection, des réunions de coordination entre l’Unité Spéciale de Protection des Victimes et Témoins de la CPS et les acteurs judiciaires impliqués dans l’organisation des sessions criminelles de la Cour d’appel de Bouar ont été facilitées</w:t>
      </w:r>
      <w:r w:rsidR="004B6D84">
        <w:rPr>
          <w:bCs/>
          <w:lang w:val="fr-FR"/>
        </w:rPr>
        <w:t>.</w:t>
      </w:r>
      <w:r w:rsidRPr="00742407">
        <w:rPr>
          <w:bCs/>
          <w:lang w:val="fr-FR"/>
        </w:rPr>
        <w:t xml:space="preserve"> </w:t>
      </w:r>
    </w:p>
    <w:p w14:paraId="6612979B" w14:textId="0BF72237" w:rsidR="001914EC" w:rsidRPr="00742407" w:rsidRDefault="001914EC" w:rsidP="001914EC">
      <w:pPr>
        <w:ind w:left="-284"/>
        <w:jc w:val="both"/>
        <w:rPr>
          <w:b/>
          <w:lang w:val="fr-FR"/>
        </w:rPr>
      </w:pPr>
      <w:r w:rsidRPr="00742407">
        <w:rPr>
          <w:lang w:val="fr-FR"/>
        </w:rPr>
        <w:t xml:space="preserve">A l’issue d’un processus </w:t>
      </w:r>
      <w:r w:rsidR="004B6D84">
        <w:rPr>
          <w:lang w:val="fr-FR"/>
        </w:rPr>
        <w:t xml:space="preserve">de </w:t>
      </w:r>
      <w:r w:rsidRPr="00742407">
        <w:rPr>
          <w:lang w:val="fr-FR"/>
        </w:rPr>
        <w:t xml:space="preserve">consultations, l’étude sur les modalités et options de </w:t>
      </w:r>
      <w:r w:rsidRPr="00742407">
        <w:rPr>
          <w:bCs/>
          <w:lang w:val="fr-FR"/>
        </w:rPr>
        <w:t>réparations</w:t>
      </w:r>
      <w:r w:rsidRPr="00742407">
        <w:rPr>
          <w:lang w:val="fr-FR"/>
        </w:rPr>
        <w:t xml:space="preserve"> a été finalisée et présentée à la retraite stratégique de la CVJRR. </w:t>
      </w:r>
    </w:p>
    <w:p w14:paraId="5E3B5CCC" w14:textId="77777777" w:rsidR="001914EC" w:rsidRPr="00742407" w:rsidRDefault="001914EC" w:rsidP="00895870">
      <w:pPr>
        <w:ind w:hanging="360"/>
        <w:rPr>
          <w:b/>
          <w:lang w:val="fr-FR"/>
        </w:rPr>
      </w:pPr>
    </w:p>
    <w:p w14:paraId="5070F225" w14:textId="0BE12BB9" w:rsidR="001914EC" w:rsidRPr="00742407" w:rsidRDefault="005D15A3" w:rsidP="001914EC">
      <w:pPr>
        <w:ind w:left="-360"/>
        <w:jc w:val="both"/>
        <w:rPr>
          <w:iCs/>
          <w:lang w:val="fr-FR"/>
        </w:rPr>
      </w:pPr>
      <w:r w:rsidRPr="00742407">
        <w:rPr>
          <w:b/>
          <w:bCs/>
          <w:color w:val="000000"/>
          <w:lang w:val="fr-FR" w:eastAsia="en-US"/>
        </w:rPr>
        <w:t>Indiquez toute analyse supplémentaire sur la manière dont l'égalité entre les sexes et l'autonomisation des femmes et / ou l'inclusion</w:t>
      </w:r>
      <w:r w:rsidR="00675507" w:rsidRPr="00742407">
        <w:rPr>
          <w:b/>
          <w:bCs/>
          <w:color w:val="000000"/>
          <w:lang w:val="fr-FR" w:eastAsia="en-US"/>
        </w:rPr>
        <w:t xml:space="preserve"> </w:t>
      </w:r>
      <w:r w:rsidRPr="00742407">
        <w:rPr>
          <w:b/>
          <w:bCs/>
          <w:color w:val="000000"/>
          <w:lang w:val="fr-FR" w:eastAsia="en-US"/>
        </w:rPr>
        <w:t xml:space="preserve">et la réactivité </w:t>
      </w:r>
      <w:r w:rsidR="00675507" w:rsidRPr="00742407">
        <w:rPr>
          <w:b/>
          <w:bCs/>
          <w:color w:val="000000"/>
          <w:lang w:val="fr-FR" w:eastAsia="en-US"/>
        </w:rPr>
        <w:t>aux besoins des</w:t>
      </w:r>
      <w:r w:rsidRPr="00742407">
        <w:rPr>
          <w:b/>
          <w:bCs/>
          <w:color w:val="000000"/>
          <w:lang w:val="fr-FR" w:eastAsia="en-US"/>
        </w:rPr>
        <w:t xml:space="preserve"> jeunes ont été assurées dans le cadre de ce </w:t>
      </w:r>
      <w:r w:rsidR="001914EC" w:rsidRPr="00742407">
        <w:rPr>
          <w:b/>
          <w:bCs/>
          <w:color w:val="000000"/>
          <w:lang w:val="fr-FR" w:eastAsia="en-US"/>
        </w:rPr>
        <w:t>résultat</w:t>
      </w:r>
      <w:r w:rsidR="001914EC" w:rsidRPr="00742407">
        <w:rPr>
          <w:b/>
          <w:lang w:val="fr-FR"/>
        </w:rPr>
        <w:t xml:space="preserve"> :</w:t>
      </w:r>
      <w:r w:rsidR="00161D02" w:rsidRPr="00742407">
        <w:rPr>
          <w:b/>
          <w:lang w:val="fr-FR"/>
        </w:rPr>
        <w:t xml:space="preserve"> </w:t>
      </w:r>
      <w:r w:rsidR="00161D02" w:rsidRPr="00742407">
        <w:rPr>
          <w:i/>
          <w:lang w:val="fr-FR"/>
        </w:rPr>
        <w:t>(</w:t>
      </w:r>
      <w:r w:rsidR="00675507" w:rsidRPr="00742407">
        <w:rPr>
          <w:color w:val="212121"/>
          <w:lang w:val="fr-FR"/>
        </w:rPr>
        <w:t xml:space="preserve">Limite de </w:t>
      </w:r>
      <w:r w:rsidR="00305147" w:rsidRPr="00742407">
        <w:rPr>
          <w:color w:val="212121"/>
          <w:lang w:val="fr-FR"/>
        </w:rPr>
        <w:t>350 mots</w:t>
      </w:r>
      <w:r w:rsidR="00161D02" w:rsidRPr="00742407">
        <w:rPr>
          <w:i/>
          <w:lang w:val="fr-FR"/>
        </w:rPr>
        <w:t>)</w:t>
      </w:r>
      <w:r w:rsidR="001914EC" w:rsidRPr="00742407">
        <w:rPr>
          <w:i/>
          <w:lang w:val="fr-FR"/>
        </w:rPr>
        <w:t>.</w:t>
      </w:r>
    </w:p>
    <w:p w14:paraId="46C89B8F" w14:textId="77777777" w:rsidR="001914EC" w:rsidRPr="00742407" w:rsidRDefault="001914EC" w:rsidP="001914EC">
      <w:pPr>
        <w:ind w:left="-360"/>
        <w:jc w:val="both"/>
        <w:rPr>
          <w:iCs/>
          <w:lang w:val="fr-FR"/>
        </w:rPr>
      </w:pPr>
    </w:p>
    <w:p w14:paraId="5304CCB3" w14:textId="1899697F" w:rsidR="001914EC" w:rsidRPr="00742407" w:rsidRDefault="001914EC" w:rsidP="001914EC">
      <w:pPr>
        <w:ind w:left="-360"/>
        <w:jc w:val="both"/>
        <w:rPr>
          <w:i/>
          <w:lang w:val="fr-FR"/>
        </w:rPr>
      </w:pPr>
      <w:r w:rsidRPr="00742407">
        <w:rPr>
          <w:lang w:val="fr-FR"/>
        </w:rPr>
        <w:t xml:space="preserve">Les interventions du projet sont alignées sur les principes de la Résolution 1325 à travers la promotion de la participation des femmes et de leurs rôles dans la consolidation de la paix. Les sondages de perception et l’étude sur les modalités de réparation ont accordé une attention particulière aux </w:t>
      </w:r>
      <w:r w:rsidRPr="00742407">
        <w:rPr>
          <w:bCs/>
          <w:lang w:val="fr-FR"/>
        </w:rPr>
        <w:t>femmes</w:t>
      </w:r>
      <w:r w:rsidRPr="00742407">
        <w:rPr>
          <w:lang w:val="fr-FR"/>
        </w:rPr>
        <w:t xml:space="preserve"> dans la collecte des données afin d’assurer l’identification de leurs besoins spécifiques et leur prise en compte lors de la définition des interventions futures et dans le cadre du pilotage des mécanismes de justice transitionnelle. </w:t>
      </w:r>
    </w:p>
    <w:p w14:paraId="76A17EEF" w14:textId="77777777" w:rsidR="002A4292" w:rsidRPr="00742407" w:rsidRDefault="002A4292" w:rsidP="00895870">
      <w:pPr>
        <w:ind w:hanging="360"/>
        <w:rPr>
          <w:b/>
          <w:lang w:val="fr-FR"/>
        </w:rPr>
      </w:pPr>
    </w:p>
    <w:p w14:paraId="55C9C22D" w14:textId="023A084A" w:rsidR="00352332" w:rsidRPr="00742407" w:rsidRDefault="00352332" w:rsidP="00E0176A">
      <w:pPr>
        <w:autoSpaceDE w:val="0"/>
        <w:autoSpaceDN w:val="0"/>
        <w:adjustRightInd w:val="0"/>
        <w:ind w:left="-360"/>
        <w:rPr>
          <w:rFonts w:eastAsia="Calibri"/>
          <w:b/>
          <w:bCs/>
          <w:lang w:val="fr-FR" w:eastAsia="zh-CN"/>
        </w:rPr>
      </w:pPr>
      <w:r w:rsidRPr="00742407">
        <w:rPr>
          <w:rFonts w:eastAsia="Calibri"/>
          <w:b/>
          <w:bCs/>
          <w:lang w:val="fr-FR" w:eastAsia="zh-CN"/>
        </w:rPr>
        <w:t>En utilisant le cadre de résultats du projet conformément au document de projet approuvé ou à toute</w:t>
      </w:r>
      <w:r w:rsidR="002A4292" w:rsidRPr="00742407">
        <w:rPr>
          <w:rFonts w:eastAsia="Calibri"/>
          <w:b/>
          <w:bCs/>
          <w:lang w:val="fr-FR" w:eastAsia="zh-CN"/>
        </w:rPr>
        <w:t xml:space="preserve"> </w:t>
      </w:r>
      <w:r w:rsidRPr="00742407">
        <w:rPr>
          <w:rFonts w:eastAsia="Calibri"/>
          <w:b/>
          <w:bCs/>
          <w:lang w:val="fr-FR" w:eastAsia="zh-CN"/>
        </w:rPr>
        <w:t>modification, fournissez une mise à jour de la réalisation des indicateurs clés au niveau du Résultat</w:t>
      </w:r>
      <w:r w:rsidR="00347B59">
        <w:rPr>
          <w:rFonts w:eastAsia="Calibri"/>
          <w:b/>
          <w:bCs/>
          <w:lang w:val="fr-FR" w:eastAsia="zh-CN"/>
        </w:rPr>
        <w:t xml:space="preserve"> </w:t>
      </w:r>
      <w:r w:rsidR="003712C1" w:rsidRPr="00742407">
        <w:rPr>
          <w:rFonts w:eastAsia="Calibri"/>
          <w:b/>
          <w:bCs/>
          <w:lang w:val="fr-FR" w:eastAsia="zh-CN"/>
        </w:rPr>
        <w:t xml:space="preserve">1 </w:t>
      </w:r>
      <w:r w:rsidRPr="00742407">
        <w:rPr>
          <w:rFonts w:eastAsia="Calibri"/>
          <w:b/>
          <w:bCs/>
          <w:lang w:val="fr-FR" w:eastAsia="zh-CN"/>
        </w:rPr>
        <w:t>dans le tableau ci-dessous</w:t>
      </w:r>
    </w:p>
    <w:p w14:paraId="64F7EEAF" w14:textId="77777777" w:rsidR="00352332" w:rsidRPr="00742407"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671"/>
        <w:gridCol w:w="1418"/>
        <w:gridCol w:w="1701"/>
        <w:gridCol w:w="2130"/>
      </w:tblGrid>
      <w:tr w:rsidR="00352332" w:rsidRPr="006B0660" w14:paraId="0CC7CF37" w14:textId="77777777" w:rsidTr="00E0176A">
        <w:trPr>
          <w:tblHeader/>
        </w:trPr>
        <w:tc>
          <w:tcPr>
            <w:tcW w:w="1800" w:type="dxa"/>
            <w:shd w:val="clear" w:color="auto" w:fill="EEECE1"/>
          </w:tcPr>
          <w:p w14:paraId="36D2DB04" w14:textId="6B5397F2" w:rsidR="00352332" w:rsidRPr="00742407" w:rsidRDefault="005F23DE" w:rsidP="003F1977">
            <w:pPr>
              <w:jc w:val="center"/>
              <w:rPr>
                <w:b/>
                <w:sz w:val="22"/>
                <w:szCs w:val="22"/>
                <w:lang w:val="en-US" w:eastAsia="en-US"/>
              </w:rPr>
            </w:pPr>
            <w:proofErr w:type="spellStart"/>
            <w:r w:rsidRPr="00742407">
              <w:rPr>
                <w:b/>
                <w:sz w:val="22"/>
                <w:szCs w:val="22"/>
                <w:lang w:val="en-US" w:eastAsia="en-US"/>
              </w:rPr>
              <w:t>Indicateurs</w:t>
            </w:r>
            <w:proofErr w:type="spellEnd"/>
            <w:r w:rsidRPr="00742407">
              <w:rPr>
                <w:b/>
                <w:sz w:val="22"/>
                <w:szCs w:val="22"/>
                <w:lang w:val="en-US" w:eastAsia="en-US"/>
              </w:rPr>
              <w:t xml:space="preserve"> de </w:t>
            </w:r>
            <w:proofErr w:type="spellStart"/>
            <w:r w:rsidRPr="00742407">
              <w:rPr>
                <w:b/>
                <w:sz w:val="22"/>
                <w:szCs w:val="22"/>
                <w:lang w:val="en-US" w:eastAsia="en-US"/>
              </w:rPr>
              <w:t>résultat</w:t>
            </w:r>
            <w:proofErr w:type="spellEnd"/>
          </w:p>
        </w:tc>
        <w:tc>
          <w:tcPr>
            <w:tcW w:w="2671" w:type="dxa"/>
            <w:shd w:val="clear" w:color="auto" w:fill="EEECE1"/>
          </w:tcPr>
          <w:p w14:paraId="07474B52" w14:textId="77777777" w:rsidR="00B15785" w:rsidRPr="00742407" w:rsidRDefault="00B15785" w:rsidP="00B15785">
            <w:pPr>
              <w:jc w:val="center"/>
              <w:rPr>
                <w:b/>
                <w:color w:val="000000"/>
                <w:sz w:val="22"/>
                <w:szCs w:val="22"/>
              </w:rPr>
            </w:pPr>
            <w:proofErr w:type="spellStart"/>
            <w:r w:rsidRPr="00742407">
              <w:rPr>
                <w:b/>
                <w:color w:val="000000"/>
                <w:sz w:val="22"/>
                <w:szCs w:val="22"/>
              </w:rPr>
              <w:t>Indicateur</w:t>
            </w:r>
            <w:proofErr w:type="spellEnd"/>
            <w:r w:rsidRPr="00742407">
              <w:rPr>
                <w:b/>
                <w:color w:val="000000"/>
                <w:sz w:val="22"/>
                <w:szCs w:val="22"/>
              </w:rPr>
              <w:t xml:space="preserve"> de base</w:t>
            </w:r>
          </w:p>
          <w:p w14:paraId="5228E73E" w14:textId="57D22F9A" w:rsidR="00352332" w:rsidRPr="00742407" w:rsidRDefault="00352332" w:rsidP="003F1977">
            <w:pPr>
              <w:jc w:val="center"/>
              <w:rPr>
                <w:b/>
                <w:sz w:val="22"/>
                <w:szCs w:val="22"/>
                <w:lang w:val="en-US" w:eastAsia="en-US"/>
              </w:rPr>
            </w:pPr>
          </w:p>
        </w:tc>
        <w:tc>
          <w:tcPr>
            <w:tcW w:w="1418" w:type="dxa"/>
            <w:shd w:val="clear" w:color="auto" w:fill="EEECE1"/>
          </w:tcPr>
          <w:p w14:paraId="063C179C" w14:textId="670E54AC" w:rsidR="00352332" w:rsidRPr="00742407" w:rsidRDefault="00B15785" w:rsidP="003F1977">
            <w:pPr>
              <w:jc w:val="center"/>
              <w:rPr>
                <w:b/>
                <w:sz w:val="22"/>
                <w:szCs w:val="22"/>
                <w:lang w:val="fr-FR" w:eastAsia="en-US"/>
              </w:rPr>
            </w:pPr>
            <w:r w:rsidRPr="00742407">
              <w:rPr>
                <w:b/>
                <w:sz w:val="22"/>
                <w:szCs w:val="22"/>
                <w:lang w:val="fr-FR" w:eastAsia="en-US"/>
              </w:rPr>
              <w:t>Cible de fin de projet</w:t>
            </w:r>
          </w:p>
        </w:tc>
        <w:tc>
          <w:tcPr>
            <w:tcW w:w="1701" w:type="dxa"/>
          </w:tcPr>
          <w:p w14:paraId="4A62663B" w14:textId="49B34D55" w:rsidR="00352332" w:rsidRPr="00742407" w:rsidRDefault="00B15785" w:rsidP="003F1977">
            <w:pPr>
              <w:jc w:val="center"/>
              <w:rPr>
                <w:b/>
                <w:sz w:val="22"/>
                <w:szCs w:val="22"/>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130" w:type="dxa"/>
          </w:tcPr>
          <w:p w14:paraId="51CBA6B8" w14:textId="2BD4597B" w:rsidR="00352332" w:rsidRPr="00742407" w:rsidRDefault="00B15785" w:rsidP="003F1977">
            <w:pPr>
              <w:jc w:val="center"/>
              <w:rPr>
                <w:b/>
                <w:sz w:val="22"/>
                <w:szCs w:val="22"/>
                <w:lang w:val="fr-FR" w:eastAsia="en-US"/>
              </w:rPr>
            </w:pPr>
            <w:r w:rsidRPr="00742407">
              <w:rPr>
                <w:b/>
                <w:sz w:val="22"/>
                <w:szCs w:val="22"/>
                <w:lang w:val="fr-FR" w:eastAsia="en-US"/>
              </w:rPr>
              <w:t>Raisons pour les retards ou changements (s'il y en a)</w:t>
            </w:r>
          </w:p>
        </w:tc>
      </w:tr>
      <w:tr w:rsidR="00352332" w:rsidRPr="00742407" w14:paraId="3E3593B1" w14:textId="77777777" w:rsidTr="00E0176A">
        <w:trPr>
          <w:trHeight w:val="548"/>
        </w:trPr>
        <w:tc>
          <w:tcPr>
            <w:tcW w:w="1800" w:type="dxa"/>
            <w:shd w:val="clear" w:color="auto" w:fill="EEECE1"/>
          </w:tcPr>
          <w:p w14:paraId="686539CF" w14:textId="72CFF494" w:rsidR="00352332" w:rsidRPr="00742407" w:rsidRDefault="00B15785" w:rsidP="003F1977">
            <w:pPr>
              <w:jc w:val="both"/>
              <w:rPr>
                <w:lang w:val="en-US" w:eastAsia="en-US"/>
              </w:rPr>
            </w:pPr>
            <w:proofErr w:type="spellStart"/>
            <w:r w:rsidRPr="00742407">
              <w:rPr>
                <w:b/>
                <w:lang w:val="en-US" w:eastAsia="en-US"/>
              </w:rPr>
              <w:t>Indicateur</w:t>
            </w:r>
            <w:proofErr w:type="spellEnd"/>
            <w:r w:rsidR="00352332" w:rsidRPr="00742407">
              <w:rPr>
                <w:lang w:val="en-US" w:eastAsia="en-US"/>
              </w:rPr>
              <w:t xml:space="preserve"> 1.1</w:t>
            </w:r>
          </w:p>
          <w:p w14:paraId="0E67A952" w14:textId="77777777" w:rsidR="00352332" w:rsidRPr="00742407" w:rsidRDefault="00352332"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39D77094" w14:textId="265E04B8" w:rsidR="00352332" w:rsidRPr="00742407" w:rsidRDefault="0094333D" w:rsidP="00570AD4">
            <w:pPr>
              <w:autoSpaceDE w:val="0"/>
              <w:autoSpaceDN w:val="0"/>
              <w:adjustRightInd w:val="0"/>
              <w:rPr>
                <w:bCs/>
                <w:lang w:val="fr-FR"/>
              </w:rPr>
            </w:pPr>
            <w:r w:rsidRPr="00742407">
              <w:rPr>
                <w:bCs/>
                <w:lang w:val="fr-FR"/>
              </w:rPr>
              <w:t>Confiance accrue de la population dans la justice formelle</w:t>
            </w:r>
          </w:p>
        </w:tc>
        <w:tc>
          <w:tcPr>
            <w:tcW w:w="1418" w:type="dxa"/>
            <w:shd w:val="clear" w:color="auto" w:fill="EEECE1"/>
          </w:tcPr>
          <w:p w14:paraId="4B31E446" w14:textId="77777777" w:rsidR="004A3338" w:rsidRPr="00742407" w:rsidRDefault="004A3338" w:rsidP="004A3338">
            <w:pPr>
              <w:jc w:val="center"/>
              <w:rPr>
                <w:lang w:val="en-US" w:eastAsia="en-US"/>
              </w:rPr>
            </w:pPr>
            <w:r w:rsidRPr="00742407">
              <w:rPr>
                <w:lang w:val="en-US" w:eastAsia="en-US"/>
              </w:rPr>
              <w:t>58%</w:t>
            </w:r>
          </w:p>
          <w:p w14:paraId="540F3A54" w14:textId="77777777" w:rsidR="004A3338" w:rsidRPr="00742407" w:rsidRDefault="004A3338" w:rsidP="004A3338">
            <w:pPr>
              <w:jc w:val="center"/>
              <w:rPr>
                <w:lang w:val="en-US" w:eastAsia="en-US"/>
              </w:rPr>
            </w:pPr>
            <w:r w:rsidRPr="00742407">
              <w:rPr>
                <w:lang w:val="en-US" w:eastAsia="en-US"/>
              </w:rPr>
              <w:t>66% H</w:t>
            </w:r>
          </w:p>
          <w:p w14:paraId="1906A3AD" w14:textId="673D8DBE" w:rsidR="00352332" w:rsidRPr="00742407" w:rsidRDefault="004A3338" w:rsidP="004A3338">
            <w:pPr>
              <w:jc w:val="center"/>
              <w:rPr>
                <w:lang w:val="en-US" w:eastAsia="en-US"/>
              </w:rPr>
            </w:pPr>
            <w:r w:rsidRPr="00742407">
              <w:rPr>
                <w:lang w:val="en-US" w:eastAsia="en-US"/>
              </w:rPr>
              <w:t>50% F</w:t>
            </w:r>
          </w:p>
        </w:tc>
        <w:tc>
          <w:tcPr>
            <w:tcW w:w="1701" w:type="dxa"/>
          </w:tcPr>
          <w:p w14:paraId="5B45D1DF" w14:textId="77777777" w:rsidR="0094333D" w:rsidRPr="00742407" w:rsidRDefault="0094333D" w:rsidP="0094333D">
            <w:pPr>
              <w:jc w:val="center"/>
              <w:rPr>
                <w:lang w:val="en-US" w:eastAsia="en-US"/>
              </w:rPr>
            </w:pPr>
            <w:r w:rsidRPr="00742407">
              <w:rPr>
                <w:lang w:val="en-US" w:eastAsia="en-US"/>
              </w:rPr>
              <w:t>47%</w:t>
            </w:r>
          </w:p>
          <w:p w14:paraId="20914542" w14:textId="77777777" w:rsidR="0094333D" w:rsidRPr="00742407" w:rsidRDefault="0094333D" w:rsidP="0094333D">
            <w:pPr>
              <w:jc w:val="center"/>
              <w:rPr>
                <w:lang w:val="en-US" w:eastAsia="en-US"/>
              </w:rPr>
            </w:pPr>
            <w:r w:rsidRPr="00742407">
              <w:rPr>
                <w:lang w:val="en-US" w:eastAsia="en-US"/>
              </w:rPr>
              <w:t>54% H</w:t>
            </w:r>
          </w:p>
          <w:p w14:paraId="2EC1E962" w14:textId="73D9797D" w:rsidR="00352332" w:rsidRPr="00742407" w:rsidRDefault="0094333D" w:rsidP="0094333D">
            <w:pPr>
              <w:jc w:val="center"/>
              <w:rPr>
                <w:lang w:val="en-US" w:eastAsia="en-US"/>
              </w:rPr>
            </w:pPr>
            <w:r w:rsidRPr="00742407">
              <w:rPr>
                <w:lang w:val="en-US" w:eastAsia="en-US"/>
              </w:rPr>
              <w:t>41% F</w:t>
            </w:r>
          </w:p>
        </w:tc>
        <w:tc>
          <w:tcPr>
            <w:tcW w:w="2130" w:type="dxa"/>
          </w:tcPr>
          <w:p w14:paraId="60231DA8" w14:textId="77777777" w:rsidR="00352332" w:rsidRPr="00742407" w:rsidRDefault="00352332"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352332" w:rsidRPr="00742407" w14:paraId="165A3EC8" w14:textId="77777777" w:rsidTr="00E0176A">
        <w:trPr>
          <w:trHeight w:val="548"/>
        </w:trPr>
        <w:tc>
          <w:tcPr>
            <w:tcW w:w="1800" w:type="dxa"/>
            <w:shd w:val="clear" w:color="auto" w:fill="EEECE1"/>
          </w:tcPr>
          <w:p w14:paraId="286FC917" w14:textId="662675F5" w:rsidR="00352332" w:rsidRPr="00742407" w:rsidRDefault="00B15785" w:rsidP="003F1977">
            <w:pPr>
              <w:jc w:val="both"/>
              <w:rPr>
                <w:lang w:val="en-US" w:eastAsia="en-US"/>
              </w:rPr>
            </w:pPr>
            <w:proofErr w:type="spellStart"/>
            <w:r w:rsidRPr="00742407">
              <w:rPr>
                <w:b/>
                <w:lang w:val="en-US" w:eastAsia="en-US"/>
              </w:rPr>
              <w:t>Indicateur</w:t>
            </w:r>
            <w:proofErr w:type="spellEnd"/>
            <w:r w:rsidR="00352332" w:rsidRPr="00742407">
              <w:rPr>
                <w:lang w:val="en-US" w:eastAsia="en-US"/>
              </w:rPr>
              <w:t xml:space="preserve"> 1.2</w:t>
            </w:r>
          </w:p>
          <w:p w14:paraId="63823E63" w14:textId="77777777" w:rsidR="00352332" w:rsidRPr="00742407" w:rsidRDefault="00352332"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16A03D4D" w14:textId="40EC1963" w:rsidR="00352332" w:rsidRPr="00742407" w:rsidRDefault="0094333D" w:rsidP="00570AD4">
            <w:pPr>
              <w:autoSpaceDE w:val="0"/>
              <w:autoSpaceDN w:val="0"/>
              <w:adjustRightInd w:val="0"/>
              <w:rPr>
                <w:bCs/>
                <w:lang w:val="fr-FR"/>
              </w:rPr>
            </w:pPr>
            <w:r w:rsidRPr="00742407">
              <w:rPr>
                <w:bCs/>
                <w:lang w:val="fr-FR"/>
              </w:rPr>
              <w:t>Existence d’un mécanisme de coordination/ complémentarité entre la CVJRR, la justice ordinaire et la CPS</w:t>
            </w:r>
          </w:p>
        </w:tc>
        <w:tc>
          <w:tcPr>
            <w:tcW w:w="1418" w:type="dxa"/>
            <w:shd w:val="clear" w:color="auto" w:fill="EEECE1"/>
          </w:tcPr>
          <w:p w14:paraId="1C5C6494" w14:textId="02511B1B" w:rsidR="00352332" w:rsidRPr="00742407" w:rsidRDefault="004A3338" w:rsidP="0094333D">
            <w:pPr>
              <w:jc w:val="center"/>
              <w:rPr>
                <w:lang w:val="en-US" w:eastAsia="en-US"/>
              </w:rPr>
            </w:pPr>
            <w:r w:rsidRPr="00742407">
              <w:rPr>
                <w:lang w:val="en-US" w:eastAsia="en-US"/>
              </w:rPr>
              <w:t>1</w:t>
            </w:r>
          </w:p>
        </w:tc>
        <w:tc>
          <w:tcPr>
            <w:tcW w:w="1701" w:type="dxa"/>
          </w:tcPr>
          <w:p w14:paraId="1F8B3EAF" w14:textId="53801675" w:rsidR="00352332" w:rsidRPr="00742407" w:rsidRDefault="00570AD4" w:rsidP="0094333D">
            <w:pPr>
              <w:jc w:val="center"/>
              <w:rPr>
                <w:lang w:val="en-US" w:eastAsia="en-US"/>
              </w:rPr>
            </w:pPr>
            <w:r w:rsidRPr="00742407">
              <w:rPr>
                <w:lang w:val="en-US" w:eastAsia="en-US"/>
              </w:rPr>
              <w:t>1</w:t>
            </w:r>
          </w:p>
        </w:tc>
        <w:tc>
          <w:tcPr>
            <w:tcW w:w="2130" w:type="dxa"/>
          </w:tcPr>
          <w:p w14:paraId="3BF08CE7" w14:textId="77777777" w:rsidR="00352332" w:rsidRPr="00742407" w:rsidRDefault="00352332"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4333D" w:rsidRPr="00742407" w14:paraId="690CD350" w14:textId="77777777" w:rsidTr="00E0176A">
        <w:trPr>
          <w:trHeight w:val="548"/>
        </w:trPr>
        <w:tc>
          <w:tcPr>
            <w:tcW w:w="1800" w:type="dxa"/>
            <w:shd w:val="clear" w:color="auto" w:fill="EEECE1"/>
          </w:tcPr>
          <w:p w14:paraId="1F272F5D" w14:textId="3CDEE918" w:rsidR="0094333D" w:rsidRPr="00742407" w:rsidRDefault="0094333D" w:rsidP="0094333D">
            <w:pPr>
              <w:jc w:val="both"/>
              <w:rPr>
                <w:lang w:val="en-US" w:eastAsia="en-US"/>
              </w:rPr>
            </w:pPr>
            <w:proofErr w:type="spellStart"/>
            <w:r w:rsidRPr="00742407">
              <w:rPr>
                <w:b/>
                <w:lang w:val="en-US" w:eastAsia="en-US"/>
              </w:rPr>
              <w:t>Indicateur</w:t>
            </w:r>
            <w:proofErr w:type="spellEnd"/>
            <w:r w:rsidRPr="00742407">
              <w:rPr>
                <w:lang w:val="en-US" w:eastAsia="en-US"/>
              </w:rPr>
              <w:t xml:space="preserve"> 1.3</w:t>
            </w:r>
          </w:p>
          <w:p w14:paraId="3D50B8CF" w14:textId="77777777" w:rsidR="0094333D" w:rsidRPr="00742407" w:rsidRDefault="0094333D" w:rsidP="0094333D">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5CCEB59D" w14:textId="33FE46D3" w:rsidR="0094333D" w:rsidRPr="00742407" w:rsidRDefault="0094333D" w:rsidP="0094333D">
            <w:pPr>
              <w:autoSpaceDE w:val="0"/>
              <w:autoSpaceDN w:val="0"/>
              <w:adjustRightInd w:val="0"/>
              <w:rPr>
                <w:rFonts w:eastAsia="Calibri"/>
                <w:i/>
                <w:iCs/>
                <w:color w:val="000000"/>
                <w:sz w:val="17"/>
                <w:szCs w:val="17"/>
                <w:lang w:val="fr-FR" w:eastAsia="zh-CN"/>
              </w:rPr>
            </w:pPr>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18" w:type="dxa"/>
            <w:shd w:val="clear" w:color="auto" w:fill="EEECE1"/>
          </w:tcPr>
          <w:p w14:paraId="011A2EC4" w14:textId="3CEFCDFE" w:rsidR="0094333D" w:rsidRPr="00742407" w:rsidRDefault="0094333D" w:rsidP="0094333D">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701" w:type="dxa"/>
          </w:tcPr>
          <w:p w14:paraId="6480C9CD" w14:textId="56BE4BBC" w:rsidR="0094333D" w:rsidRPr="00742407" w:rsidRDefault="0094333D" w:rsidP="0094333D">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130" w:type="dxa"/>
          </w:tcPr>
          <w:p w14:paraId="3BCAAAF2" w14:textId="77777777" w:rsidR="0094333D" w:rsidRPr="00742407" w:rsidRDefault="0094333D" w:rsidP="0094333D">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05C6CDD3" w14:textId="77777777" w:rsidR="00352332" w:rsidRPr="00742407" w:rsidRDefault="00352332" w:rsidP="007E4FA1">
      <w:pPr>
        <w:rPr>
          <w:b/>
        </w:rPr>
      </w:pPr>
    </w:p>
    <w:p w14:paraId="1ED08B8D" w14:textId="10A62893" w:rsidR="00316C40" w:rsidRPr="00742407" w:rsidRDefault="00316C40" w:rsidP="00C06BF8">
      <w:pPr>
        <w:ind w:left="-360"/>
        <w:rPr>
          <w:bCs/>
          <w:lang w:val="fr-FR"/>
        </w:rPr>
      </w:pPr>
      <w:r w:rsidRPr="00742407">
        <w:rPr>
          <w:bCs/>
          <w:lang w:val="fr-FR"/>
        </w:rPr>
        <w:t>Combien de produits sont définis sous le résultat 1</w:t>
      </w:r>
      <w:r w:rsidR="006B28BE" w:rsidRPr="00742407">
        <w:rPr>
          <w:bCs/>
          <w:lang w:val="fr-FR"/>
        </w:rPr>
        <w:t xml:space="preserve"> </w:t>
      </w:r>
      <w:r w:rsidRPr="00742407">
        <w:rPr>
          <w:bCs/>
          <w:lang w:val="fr-FR"/>
        </w:rPr>
        <w:t>?</w:t>
      </w:r>
      <w:r w:rsidR="00EB1988" w:rsidRPr="00742407">
        <w:rPr>
          <w:bCs/>
          <w:lang w:val="fr-FR"/>
        </w:rPr>
        <w:t xml:space="preserve"> </w:t>
      </w:r>
      <w:r w:rsidR="004D2003" w:rsidRPr="00742407">
        <w:rPr>
          <w:bCs/>
          <w:lang w:val="fr-FR"/>
        </w:rPr>
        <w:t>3</w:t>
      </w:r>
    </w:p>
    <w:p w14:paraId="0F1DF6FC" w14:textId="0B98DEEB" w:rsidR="00316C40" w:rsidRPr="00742407" w:rsidRDefault="00316C40" w:rsidP="00C06BF8">
      <w:pPr>
        <w:ind w:left="-360"/>
        <w:rPr>
          <w:bCs/>
          <w:lang w:val="fr-FR"/>
        </w:rPr>
      </w:pPr>
    </w:p>
    <w:p w14:paraId="2D34A04E" w14:textId="77777777" w:rsidR="00E0176A" w:rsidRPr="00742407" w:rsidRDefault="00316C40" w:rsidP="00E0176A">
      <w:pPr>
        <w:ind w:left="-360"/>
        <w:rPr>
          <w:bCs/>
          <w:lang w:val="fr-FR"/>
        </w:rPr>
      </w:pPr>
      <w:r w:rsidRPr="00742407">
        <w:rPr>
          <w:bCs/>
          <w:lang w:val="fr-FR"/>
        </w:rPr>
        <w:t xml:space="preserve">Veuillez </w:t>
      </w:r>
      <w:r w:rsidR="000B1E6F" w:rsidRPr="00742407">
        <w:rPr>
          <w:bCs/>
          <w:lang w:val="fr-FR"/>
        </w:rPr>
        <w:t>é</w:t>
      </w:r>
      <w:r w:rsidRPr="00742407">
        <w:rPr>
          <w:bCs/>
          <w:lang w:val="fr-FR"/>
        </w:rPr>
        <w:t>num</w:t>
      </w:r>
      <w:r w:rsidR="00D20BD9" w:rsidRPr="00742407">
        <w:rPr>
          <w:bCs/>
          <w:lang w:val="fr-FR"/>
        </w:rPr>
        <w:t>é</w:t>
      </w:r>
      <w:r w:rsidRPr="00742407">
        <w:rPr>
          <w:bCs/>
          <w:lang w:val="fr-FR"/>
        </w:rPr>
        <w:t>rer au plus 5 produits les plus pertin</w:t>
      </w:r>
      <w:r w:rsidR="00D20BD9" w:rsidRPr="00742407">
        <w:rPr>
          <w:bCs/>
          <w:lang w:val="fr-FR"/>
        </w:rPr>
        <w:t>e</w:t>
      </w:r>
      <w:r w:rsidRPr="00742407">
        <w:rPr>
          <w:bCs/>
          <w:lang w:val="fr-FR"/>
        </w:rPr>
        <w:t xml:space="preserve">nts pour le </w:t>
      </w:r>
      <w:r w:rsidR="00D20BD9" w:rsidRPr="00742407">
        <w:rPr>
          <w:bCs/>
          <w:lang w:val="fr-FR"/>
        </w:rPr>
        <w:t>Résultat</w:t>
      </w:r>
      <w:r w:rsidRPr="00742407">
        <w:rPr>
          <w:bCs/>
          <w:lang w:val="fr-FR"/>
        </w:rPr>
        <w:t xml:space="preserve"> 1</w:t>
      </w:r>
      <w:r w:rsidR="000B1E6F" w:rsidRPr="00742407">
        <w:rPr>
          <w:bCs/>
          <w:lang w:val="fr-FR"/>
        </w:rPr>
        <w:t xml:space="preserve"> </w:t>
      </w:r>
      <w:r w:rsidR="00770CBF" w:rsidRPr="00742407">
        <w:rPr>
          <w:bCs/>
          <w:lang w:val="fr-FR"/>
        </w:rPr>
        <w:fldChar w:fldCharType="begin">
          <w:ffData>
            <w:name w:val="Text88"/>
            <w:enabled/>
            <w:calcOnExit w:val="0"/>
            <w:textInput/>
          </w:ffData>
        </w:fldChar>
      </w:r>
      <w:bookmarkStart w:id="12" w:name="Text88"/>
      <w:r w:rsidR="00770CBF" w:rsidRPr="00742407">
        <w:rPr>
          <w:bCs/>
          <w:lang w:val="fr-FR"/>
        </w:rPr>
        <w:instrText xml:space="preserve"> FORMTEXT </w:instrText>
      </w:r>
      <w:r w:rsidR="00770CBF" w:rsidRPr="00742407">
        <w:rPr>
          <w:bCs/>
          <w:lang w:val="fr-FR"/>
        </w:rPr>
      </w:r>
      <w:r w:rsidR="00770CBF" w:rsidRPr="00742407">
        <w:rPr>
          <w:bCs/>
          <w:lang w:val="fr-FR"/>
        </w:rPr>
        <w:fldChar w:fldCharType="separate"/>
      </w:r>
      <w:r w:rsidR="00770CBF" w:rsidRPr="00742407">
        <w:rPr>
          <w:bCs/>
          <w:noProof/>
          <w:lang w:val="fr-FR"/>
        </w:rPr>
        <w:t> </w:t>
      </w:r>
      <w:r w:rsidR="00770CBF" w:rsidRPr="00742407">
        <w:rPr>
          <w:bCs/>
          <w:noProof/>
          <w:lang w:val="fr-FR"/>
        </w:rPr>
        <w:t> </w:t>
      </w:r>
      <w:r w:rsidR="00770CBF" w:rsidRPr="00742407">
        <w:rPr>
          <w:bCs/>
          <w:noProof/>
          <w:lang w:val="fr-FR"/>
        </w:rPr>
        <w:t> </w:t>
      </w:r>
      <w:r w:rsidR="00770CBF" w:rsidRPr="00742407">
        <w:rPr>
          <w:bCs/>
          <w:noProof/>
          <w:lang w:val="fr-FR"/>
        </w:rPr>
        <w:t> </w:t>
      </w:r>
      <w:r w:rsidR="00770CBF" w:rsidRPr="00742407">
        <w:rPr>
          <w:bCs/>
          <w:noProof/>
          <w:lang w:val="fr-FR"/>
        </w:rPr>
        <w:t> </w:t>
      </w:r>
      <w:r w:rsidR="00770CBF" w:rsidRPr="00742407">
        <w:rPr>
          <w:bCs/>
          <w:lang w:val="fr-FR"/>
        </w:rPr>
        <w:fldChar w:fldCharType="end"/>
      </w:r>
      <w:bookmarkEnd w:id="12"/>
    </w:p>
    <w:p w14:paraId="4CBAF6BF" w14:textId="77777777" w:rsidR="00E0176A" w:rsidRPr="00742407" w:rsidRDefault="00E0176A" w:rsidP="00E0176A">
      <w:pPr>
        <w:ind w:left="-360"/>
        <w:rPr>
          <w:bCs/>
          <w:lang w:val="fr-FR"/>
        </w:rPr>
      </w:pPr>
    </w:p>
    <w:p w14:paraId="216DBBCD" w14:textId="6F6C2001" w:rsidR="00E0176A" w:rsidRPr="00742407" w:rsidRDefault="007912B3" w:rsidP="00E0176A">
      <w:pPr>
        <w:pStyle w:val="Paragraphedeliste"/>
        <w:numPr>
          <w:ilvl w:val="1"/>
          <w:numId w:val="8"/>
        </w:numPr>
        <w:rPr>
          <w:bCs/>
          <w:lang w:val="fr-FR"/>
        </w:rPr>
      </w:pPr>
      <w:r>
        <w:rPr>
          <w:bCs/>
          <w:lang w:val="fr-FR"/>
        </w:rPr>
        <w:t xml:space="preserve"> Les r</w:t>
      </w:r>
      <w:r w:rsidR="00E0176A" w:rsidRPr="00742407">
        <w:rPr>
          <w:bCs/>
          <w:lang w:val="fr-FR"/>
        </w:rPr>
        <w:t>éformes et mécanismes pour une architecture de justice transitionnelle mises en œuvre et communiquées au centrafricains ;</w:t>
      </w:r>
    </w:p>
    <w:p w14:paraId="28338575" w14:textId="77BFC2A6" w:rsidR="00E0176A" w:rsidRPr="00742407" w:rsidRDefault="00E0176A" w:rsidP="00E0176A">
      <w:pPr>
        <w:pStyle w:val="Paragraphedeliste"/>
        <w:numPr>
          <w:ilvl w:val="1"/>
          <w:numId w:val="8"/>
        </w:numPr>
        <w:rPr>
          <w:bCs/>
          <w:lang w:val="fr-FR"/>
        </w:rPr>
      </w:pPr>
      <w:r w:rsidRPr="00742407">
        <w:rPr>
          <w:bCs/>
          <w:lang w:val="fr-FR"/>
        </w:rPr>
        <w:t xml:space="preserve"> </w:t>
      </w:r>
      <w:r w:rsidR="007912B3">
        <w:rPr>
          <w:bCs/>
          <w:lang w:val="fr-FR"/>
        </w:rPr>
        <w:t>Les é</w:t>
      </w:r>
      <w:r w:rsidRPr="00742407">
        <w:rPr>
          <w:bCs/>
          <w:lang w:val="fr-FR"/>
        </w:rPr>
        <w:t>tudes de perception sur la paix, justice, vérité et sécurité produites à travers 3 sondages ;</w:t>
      </w:r>
    </w:p>
    <w:p w14:paraId="22CEA305" w14:textId="4744B63D" w:rsidR="00E0176A" w:rsidRPr="00742407" w:rsidRDefault="00E0176A" w:rsidP="00E0176A">
      <w:pPr>
        <w:pStyle w:val="Paragraphedeliste"/>
        <w:numPr>
          <w:ilvl w:val="1"/>
          <w:numId w:val="8"/>
        </w:numPr>
        <w:rPr>
          <w:bCs/>
          <w:lang w:val="fr-FR"/>
        </w:rPr>
      </w:pPr>
      <w:r w:rsidRPr="00742407">
        <w:rPr>
          <w:bCs/>
          <w:lang w:val="fr-FR"/>
        </w:rPr>
        <w:t xml:space="preserve"> Les options et modalités d’offre de réparations et d’établissement d’un fonds fiduciaire pour les réparations sont proposées</w:t>
      </w:r>
    </w:p>
    <w:p w14:paraId="0FA06B54" w14:textId="77777777" w:rsidR="00415060" w:rsidRPr="00742407" w:rsidRDefault="00415060" w:rsidP="00C06BF8">
      <w:pPr>
        <w:ind w:left="-360"/>
        <w:rPr>
          <w:bCs/>
          <w:lang w:val="fr-CF"/>
        </w:rPr>
      </w:pPr>
    </w:p>
    <w:p w14:paraId="5E9EAA92" w14:textId="42E8AB25" w:rsidR="00B931AF" w:rsidRPr="00742407" w:rsidRDefault="00415060" w:rsidP="00C06BF8">
      <w:pPr>
        <w:ind w:left="-360"/>
        <w:rPr>
          <w:bCs/>
          <w:lang w:val="fr-FR"/>
        </w:rPr>
      </w:pPr>
      <w:r w:rsidRPr="00742407">
        <w:rPr>
          <w:bCs/>
          <w:lang w:val="fr-FR"/>
        </w:rPr>
        <w:t>P</w:t>
      </w:r>
      <w:r w:rsidR="00B931AF" w:rsidRPr="00742407">
        <w:rPr>
          <w:bCs/>
          <w:lang w:val="fr-FR"/>
        </w:rPr>
        <w:t xml:space="preserve">our chaque produit, et en vous basant sur le cadre de résultats du projet, indiquez l'état d'avancement relatif aux 3 indicateurs de produit les plus </w:t>
      </w:r>
      <w:r w:rsidR="00D20BD9" w:rsidRPr="00742407">
        <w:rPr>
          <w:bCs/>
          <w:lang w:val="fr-FR"/>
        </w:rPr>
        <w:t>pertinents</w:t>
      </w:r>
      <w:r w:rsidR="00B931AF" w:rsidRPr="00742407">
        <w:rPr>
          <w:bCs/>
          <w:lang w:val="fr-FR"/>
        </w:rPr>
        <w:t>.</w:t>
      </w:r>
      <w:r w:rsidR="00770CBF" w:rsidRPr="00742407">
        <w:rPr>
          <w:bCs/>
          <w:lang w:val="fr-FR"/>
        </w:rPr>
        <w:t xml:space="preserve"> </w:t>
      </w:r>
      <w:r w:rsidR="00770CBF" w:rsidRPr="00742407">
        <w:rPr>
          <w:bCs/>
          <w:lang w:val="fr-FR"/>
        </w:rPr>
        <w:fldChar w:fldCharType="begin">
          <w:ffData>
            <w:name w:val="Text89"/>
            <w:enabled/>
            <w:calcOnExit w:val="0"/>
            <w:textInput/>
          </w:ffData>
        </w:fldChar>
      </w:r>
      <w:bookmarkStart w:id="13" w:name="Text89"/>
      <w:r w:rsidR="00770CBF" w:rsidRPr="00742407">
        <w:rPr>
          <w:bCs/>
          <w:lang w:val="fr-FR"/>
        </w:rPr>
        <w:instrText xml:space="preserve"> FORMTEXT </w:instrText>
      </w:r>
      <w:r w:rsidR="00770CBF" w:rsidRPr="00742407">
        <w:rPr>
          <w:bCs/>
          <w:lang w:val="fr-FR"/>
        </w:rPr>
      </w:r>
      <w:r w:rsidR="00770CBF" w:rsidRPr="00742407">
        <w:rPr>
          <w:bCs/>
          <w:lang w:val="fr-FR"/>
        </w:rPr>
        <w:fldChar w:fldCharType="separate"/>
      </w:r>
      <w:r w:rsidR="00770CBF" w:rsidRPr="00742407">
        <w:rPr>
          <w:bCs/>
          <w:noProof/>
          <w:lang w:val="fr-FR"/>
        </w:rPr>
        <w:t> </w:t>
      </w:r>
      <w:r w:rsidR="00770CBF" w:rsidRPr="00742407">
        <w:rPr>
          <w:bCs/>
          <w:noProof/>
          <w:lang w:val="fr-FR"/>
        </w:rPr>
        <w:t> </w:t>
      </w:r>
      <w:r w:rsidR="00770CBF" w:rsidRPr="00742407">
        <w:rPr>
          <w:bCs/>
          <w:noProof/>
          <w:lang w:val="fr-FR"/>
        </w:rPr>
        <w:t> </w:t>
      </w:r>
      <w:r w:rsidR="00770CBF" w:rsidRPr="00742407">
        <w:rPr>
          <w:bCs/>
          <w:noProof/>
          <w:lang w:val="fr-FR"/>
        </w:rPr>
        <w:t> </w:t>
      </w:r>
      <w:r w:rsidR="00770CBF" w:rsidRPr="00742407">
        <w:rPr>
          <w:bCs/>
          <w:noProof/>
          <w:lang w:val="fr-FR"/>
        </w:rPr>
        <w:t> </w:t>
      </w:r>
      <w:r w:rsidR="00770CBF" w:rsidRPr="00742407">
        <w:rPr>
          <w:bCs/>
          <w:lang w:val="fr-FR"/>
        </w:rPr>
        <w:fldChar w:fldCharType="end"/>
      </w:r>
      <w:bookmarkEnd w:id="13"/>
    </w:p>
    <w:p w14:paraId="1E074009" w14:textId="072B51A9" w:rsidR="00B931AF" w:rsidRPr="00742407" w:rsidRDefault="00B931AF" w:rsidP="00675507">
      <w:pPr>
        <w:ind w:left="-720"/>
        <w:rPr>
          <w:b/>
          <w:u w:val="single"/>
          <w:lang w:val="fr-FR"/>
        </w:rPr>
      </w:pPr>
    </w:p>
    <w:p w14:paraId="501D4199" w14:textId="7011EBE2" w:rsidR="005B4331" w:rsidRPr="00742407" w:rsidRDefault="00B931AF" w:rsidP="00E0176A">
      <w:pPr>
        <w:pStyle w:val="Default"/>
        <w:rPr>
          <w:rFonts w:ascii="Times New Roman" w:eastAsia="Times New Roman" w:hAnsi="Times New Roman" w:cs="Times New Roman"/>
          <w:bCs/>
          <w:color w:val="auto"/>
          <w:lang w:val="fr-FR" w:eastAsia="en-GB"/>
        </w:rPr>
      </w:pPr>
      <w:r w:rsidRPr="00742407">
        <w:rPr>
          <w:rFonts w:ascii="Times New Roman" w:hAnsi="Times New Roman" w:cs="Times New Roman"/>
          <w:b/>
          <w:u w:val="single"/>
          <w:lang w:val="fr-FR"/>
        </w:rPr>
        <w:t>Produit 1.1 </w:t>
      </w:r>
      <w:r w:rsidRPr="00742407">
        <w:rPr>
          <w:rFonts w:ascii="Times New Roman" w:hAnsi="Times New Roman" w:cs="Times New Roman"/>
          <w:b/>
          <w:lang w:val="fr-FR"/>
        </w:rPr>
        <w:t xml:space="preserve">: </w:t>
      </w:r>
      <w:r w:rsidR="00770CBF" w:rsidRPr="00742407">
        <w:rPr>
          <w:rFonts w:ascii="Times New Roman" w:hAnsi="Times New Roman" w:cs="Times New Roman"/>
          <w:b/>
          <w:lang w:val="fr-FR"/>
        </w:rPr>
        <w:t xml:space="preserve"> </w:t>
      </w:r>
      <w:r w:rsidR="00347B59" w:rsidRPr="00347B59">
        <w:rPr>
          <w:rFonts w:ascii="Times New Roman" w:hAnsi="Times New Roman" w:cs="Times New Roman"/>
          <w:bCs/>
          <w:lang w:val="fr-FR"/>
        </w:rPr>
        <w:t xml:space="preserve">les </w:t>
      </w:r>
      <w:r w:rsidR="00347B59">
        <w:rPr>
          <w:rFonts w:ascii="Times New Roman" w:eastAsia="Times New Roman" w:hAnsi="Times New Roman" w:cs="Times New Roman"/>
          <w:bCs/>
          <w:color w:val="auto"/>
          <w:lang w:val="fr-FR" w:eastAsia="en-GB"/>
        </w:rPr>
        <w:t>r</w:t>
      </w:r>
      <w:r w:rsidR="00E0176A" w:rsidRPr="00E0176A">
        <w:rPr>
          <w:rFonts w:ascii="Times New Roman" w:eastAsia="Times New Roman" w:hAnsi="Times New Roman" w:cs="Times New Roman"/>
          <w:bCs/>
          <w:color w:val="auto"/>
          <w:lang w:val="fr-FR" w:eastAsia="en-GB"/>
        </w:rPr>
        <w:t xml:space="preserve">éformes et mécanismes pour une architecture de justice transitionnelle mises en </w:t>
      </w:r>
      <w:r w:rsidR="007912B3" w:rsidRPr="00E0176A">
        <w:rPr>
          <w:rFonts w:ascii="Times New Roman" w:eastAsia="Times New Roman" w:hAnsi="Times New Roman" w:cs="Times New Roman"/>
          <w:bCs/>
          <w:color w:val="auto"/>
          <w:lang w:val="fr-FR" w:eastAsia="en-GB"/>
        </w:rPr>
        <w:t>œuvre</w:t>
      </w:r>
      <w:r w:rsidR="00E0176A" w:rsidRPr="00E0176A">
        <w:rPr>
          <w:rFonts w:ascii="Times New Roman" w:eastAsia="Times New Roman" w:hAnsi="Times New Roman" w:cs="Times New Roman"/>
          <w:bCs/>
          <w:color w:val="auto"/>
          <w:lang w:val="fr-FR" w:eastAsia="en-GB"/>
        </w:rPr>
        <w:t xml:space="preserve"> et communiquées au</w:t>
      </w:r>
      <w:r w:rsidR="00347B59">
        <w:rPr>
          <w:rFonts w:ascii="Times New Roman" w:eastAsia="Times New Roman" w:hAnsi="Times New Roman" w:cs="Times New Roman"/>
          <w:bCs/>
          <w:color w:val="auto"/>
          <w:lang w:val="fr-FR" w:eastAsia="en-GB"/>
        </w:rPr>
        <w:t>x</w:t>
      </w:r>
      <w:r w:rsidR="00E0176A" w:rsidRPr="00E0176A">
        <w:rPr>
          <w:rFonts w:ascii="Times New Roman" w:eastAsia="Times New Roman" w:hAnsi="Times New Roman" w:cs="Times New Roman"/>
          <w:bCs/>
          <w:color w:val="auto"/>
          <w:lang w:val="fr-FR" w:eastAsia="en-GB"/>
        </w:rPr>
        <w:t xml:space="preserve"> centrafricains</w:t>
      </w:r>
      <w:r w:rsidR="00E0176A" w:rsidRPr="00742407">
        <w:rPr>
          <w:rFonts w:ascii="Times New Roman" w:eastAsia="Times New Roman" w:hAnsi="Times New Roman" w:cs="Times New Roman"/>
          <w:bCs/>
          <w:color w:val="auto"/>
          <w:lang w:val="fr-FR" w:eastAsia="en-GB"/>
        </w:rPr>
        <w:t>.</w:t>
      </w:r>
    </w:p>
    <w:p w14:paraId="362F7373" w14:textId="77777777" w:rsidR="003B73E2" w:rsidRPr="00742407" w:rsidRDefault="003B73E2" w:rsidP="00E36380">
      <w:pPr>
        <w:ind w:left="-360"/>
        <w:rPr>
          <w:b/>
          <w:u w:val="single"/>
          <w:lang w:val="fr-FR"/>
        </w:rPr>
      </w:pPr>
    </w:p>
    <w:tbl>
      <w:tblPr>
        <w:tblW w:w="999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581"/>
        <w:gridCol w:w="1440"/>
        <w:gridCol w:w="1710"/>
        <w:gridCol w:w="2378"/>
      </w:tblGrid>
      <w:tr w:rsidR="00655D6A" w:rsidRPr="006B0660" w14:paraId="4B0360F7" w14:textId="77777777" w:rsidTr="00E0176A">
        <w:trPr>
          <w:tblHeader/>
        </w:trPr>
        <w:tc>
          <w:tcPr>
            <w:tcW w:w="1890" w:type="dxa"/>
            <w:shd w:val="clear" w:color="auto" w:fill="EEECE1"/>
          </w:tcPr>
          <w:p w14:paraId="0D89E5C8" w14:textId="4F839D03" w:rsidR="00655D6A" w:rsidRPr="00742407" w:rsidRDefault="00655D6A" w:rsidP="00655D6A">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581" w:type="dxa"/>
            <w:shd w:val="clear" w:color="auto" w:fill="EEECE1"/>
          </w:tcPr>
          <w:p w14:paraId="19DA8E3E" w14:textId="0E2F7BC8" w:rsidR="00655D6A" w:rsidRPr="00742407" w:rsidRDefault="00655D6A" w:rsidP="00655D6A">
            <w:pPr>
              <w:jc w:val="center"/>
              <w:rPr>
                <w:b/>
                <w:color w:val="000000"/>
                <w:sz w:val="22"/>
                <w:szCs w:val="22"/>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708F9499" w14:textId="0B6EFE5A" w:rsidR="00655D6A" w:rsidRPr="00742407" w:rsidRDefault="00655D6A" w:rsidP="00655D6A">
            <w:pPr>
              <w:jc w:val="center"/>
              <w:rPr>
                <w:b/>
                <w:lang w:val="fr-FR" w:eastAsia="en-US"/>
              </w:rPr>
            </w:pPr>
            <w:r w:rsidRPr="00742407">
              <w:rPr>
                <w:b/>
                <w:sz w:val="22"/>
                <w:szCs w:val="22"/>
                <w:lang w:val="fr-FR" w:eastAsia="en-US"/>
              </w:rPr>
              <w:t>Cible de fin de projet</w:t>
            </w:r>
          </w:p>
        </w:tc>
        <w:tc>
          <w:tcPr>
            <w:tcW w:w="1710" w:type="dxa"/>
          </w:tcPr>
          <w:p w14:paraId="4F4494A3" w14:textId="423A607D" w:rsidR="00655D6A" w:rsidRPr="00742407" w:rsidRDefault="00655D6A" w:rsidP="00655D6A">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378" w:type="dxa"/>
          </w:tcPr>
          <w:p w14:paraId="15071027" w14:textId="5C29C387" w:rsidR="00655D6A" w:rsidRPr="00742407" w:rsidRDefault="00655D6A" w:rsidP="00655D6A">
            <w:pPr>
              <w:jc w:val="center"/>
              <w:rPr>
                <w:b/>
                <w:lang w:val="fr-FR" w:eastAsia="en-US"/>
              </w:rPr>
            </w:pPr>
            <w:r w:rsidRPr="00742407">
              <w:rPr>
                <w:b/>
                <w:sz w:val="22"/>
                <w:szCs w:val="22"/>
                <w:lang w:val="fr-FR" w:eastAsia="en-US"/>
              </w:rPr>
              <w:t>Raisons pour les retards ou changements (s'il y en a)</w:t>
            </w:r>
          </w:p>
        </w:tc>
      </w:tr>
      <w:tr w:rsidR="00B931AF" w:rsidRPr="00742407" w14:paraId="1B57927C" w14:textId="77777777" w:rsidTr="00E0176A">
        <w:trPr>
          <w:trHeight w:val="548"/>
        </w:trPr>
        <w:tc>
          <w:tcPr>
            <w:tcW w:w="1890" w:type="dxa"/>
            <w:shd w:val="clear" w:color="auto" w:fill="EEECE1"/>
          </w:tcPr>
          <w:p w14:paraId="5BABB16E" w14:textId="4D7FF586" w:rsidR="00B931AF" w:rsidRPr="00742407" w:rsidRDefault="00B931AF"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1.1.1</w:t>
            </w:r>
          </w:p>
          <w:p w14:paraId="64C2B0A9" w14:textId="77777777" w:rsidR="00B931AF" w:rsidRPr="00742407" w:rsidRDefault="00B931AF"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81" w:type="dxa"/>
            <w:shd w:val="clear" w:color="auto" w:fill="EEECE1"/>
          </w:tcPr>
          <w:p w14:paraId="1C002C39" w14:textId="10A9EB96" w:rsidR="00B931AF" w:rsidRPr="00742407" w:rsidRDefault="00EB1988" w:rsidP="00EB1988">
            <w:pPr>
              <w:autoSpaceDE w:val="0"/>
              <w:autoSpaceDN w:val="0"/>
              <w:adjustRightInd w:val="0"/>
              <w:rPr>
                <w:bCs/>
                <w:lang w:val="fr-FR"/>
              </w:rPr>
            </w:pPr>
            <w:r w:rsidRPr="00742407">
              <w:rPr>
                <w:bCs/>
                <w:lang w:val="fr-FR"/>
              </w:rPr>
              <w:t>La politique sectorielle de la justice est élaborée et validée.</w:t>
            </w:r>
          </w:p>
        </w:tc>
        <w:tc>
          <w:tcPr>
            <w:tcW w:w="1440" w:type="dxa"/>
            <w:shd w:val="clear" w:color="auto" w:fill="EEECE1"/>
          </w:tcPr>
          <w:p w14:paraId="4DAD3E9A" w14:textId="050FE9D5" w:rsidR="00B931AF" w:rsidRPr="00742407" w:rsidRDefault="004A3338" w:rsidP="00742407">
            <w:pPr>
              <w:jc w:val="center"/>
              <w:rPr>
                <w:bCs/>
              </w:rPr>
            </w:pPr>
            <w:r w:rsidRPr="00742407">
              <w:rPr>
                <w:bCs/>
                <w:lang w:val="en-US" w:eastAsia="en-US"/>
              </w:rPr>
              <w:t>1</w:t>
            </w:r>
          </w:p>
        </w:tc>
        <w:tc>
          <w:tcPr>
            <w:tcW w:w="1710" w:type="dxa"/>
          </w:tcPr>
          <w:p w14:paraId="0A47871F" w14:textId="0BDA7BF5" w:rsidR="00B931AF" w:rsidRPr="00742407" w:rsidRDefault="00EB1988" w:rsidP="00742407">
            <w:pPr>
              <w:jc w:val="center"/>
              <w:rPr>
                <w:bCs/>
              </w:rPr>
            </w:pPr>
            <w:r w:rsidRPr="00742407">
              <w:rPr>
                <w:bCs/>
                <w:lang w:val="en-US" w:eastAsia="en-US"/>
              </w:rPr>
              <w:t>1</w:t>
            </w:r>
          </w:p>
        </w:tc>
        <w:tc>
          <w:tcPr>
            <w:tcW w:w="2378" w:type="dxa"/>
          </w:tcPr>
          <w:p w14:paraId="75175653" w14:textId="77777777" w:rsidR="00B931AF" w:rsidRPr="00742407" w:rsidRDefault="00B931AF"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B931AF" w:rsidRPr="00742407" w14:paraId="4FBD08A2" w14:textId="77777777" w:rsidTr="00E0176A">
        <w:trPr>
          <w:trHeight w:val="548"/>
        </w:trPr>
        <w:tc>
          <w:tcPr>
            <w:tcW w:w="1890" w:type="dxa"/>
            <w:shd w:val="clear" w:color="auto" w:fill="EEECE1"/>
          </w:tcPr>
          <w:p w14:paraId="099B5AEB" w14:textId="6935B0F3" w:rsidR="00B931AF" w:rsidRPr="00742407" w:rsidRDefault="00B931AF"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1.1.2</w:t>
            </w:r>
          </w:p>
          <w:p w14:paraId="27FBA1DE" w14:textId="77777777" w:rsidR="00B931AF" w:rsidRPr="00742407" w:rsidRDefault="00B931AF"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81" w:type="dxa"/>
            <w:shd w:val="clear" w:color="auto" w:fill="EEECE1"/>
          </w:tcPr>
          <w:p w14:paraId="7B7D99D6" w14:textId="04B73E28" w:rsidR="00B931AF" w:rsidRPr="00742407" w:rsidRDefault="00EB1988" w:rsidP="00EB1988">
            <w:pPr>
              <w:autoSpaceDE w:val="0"/>
              <w:autoSpaceDN w:val="0"/>
              <w:adjustRightInd w:val="0"/>
              <w:rPr>
                <w:bCs/>
                <w:lang w:val="fr-FR"/>
              </w:rPr>
            </w:pPr>
            <w:r w:rsidRPr="00742407">
              <w:rPr>
                <w:bCs/>
                <w:lang w:val="fr-FR"/>
              </w:rPr>
              <w:t>Un cadre de coordination et de consultation des secteurs de la justice et de la JT installé et fonctionnel</w:t>
            </w:r>
          </w:p>
        </w:tc>
        <w:tc>
          <w:tcPr>
            <w:tcW w:w="1440" w:type="dxa"/>
            <w:shd w:val="clear" w:color="auto" w:fill="EEECE1"/>
          </w:tcPr>
          <w:p w14:paraId="1C839EEE" w14:textId="27DE8B4E" w:rsidR="00B931AF" w:rsidRPr="00742407" w:rsidRDefault="004A3338" w:rsidP="00742407">
            <w:pPr>
              <w:jc w:val="center"/>
              <w:rPr>
                <w:bCs/>
              </w:rPr>
            </w:pPr>
            <w:r w:rsidRPr="00742407">
              <w:rPr>
                <w:bCs/>
                <w:lang w:val="en-US" w:eastAsia="en-US"/>
              </w:rPr>
              <w:t>1</w:t>
            </w:r>
          </w:p>
        </w:tc>
        <w:tc>
          <w:tcPr>
            <w:tcW w:w="1710" w:type="dxa"/>
          </w:tcPr>
          <w:p w14:paraId="0074D16E" w14:textId="4698FF98" w:rsidR="00B931AF" w:rsidRPr="00742407" w:rsidRDefault="00EB1988" w:rsidP="00742407">
            <w:pPr>
              <w:jc w:val="center"/>
              <w:rPr>
                <w:bCs/>
              </w:rPr>
            </w:pPr>
            <w:r w:rsidRPr="00742407">
              <w:rPr>
                <w:bCs/>
                <w:lang w:val="en-US" w:eastAsia="en-US"/>
              </w:rPr>
              <w:t>1</w:t>
            </w:r>
          </w:p>
        </w:tc>
        <w:tc>
          <w:tcPr>
            <w:tcW w:w="2378" w:type="dxa"/>
          </w:tcPr>
          <w:p w14:paraId="1C930895" w14:textId="77777777" w:rsidR="00B931AF" w:rsidRPr="00742407" w:rsidRDefault="00B931AF"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B931AF" w:rsidRPr="00742407" w14:paraId="6A125CB1" w14:textId="77777777" w:rsidTr="00E0176A">
        <w:trPr>
          <w:trHeight w:val="548"/>
        </w:trPr>
        <w:tc>
          <w:tcPr>
            <w:tcW w:w="1890" w:type="dxa"/>
            <w:shd w:val="clear" w:color="auto" w:fill="EEECE1"/>
          </w:tcPr>
          <w:p w14:paraId="2200FF4A" w14:textId="581CC6E5" w:rsidR="00B931AF" w:rsidRPr="00742407" w:rsidRDefault="00B931AF"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1.1.3</w:t>
            </w:r>
          </w:p>
          <w:p w14:paraId="1B4E802B" w14:textId="77777777" w:rsidR="00B931AF" w:rsidRPr="00742407" w:rsidRDefault="00B931AF"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81" w:type="dxa"/>
            <w:shd w:val="clear" w:color="auto" w:fill="EEECE1"/>
          </w:tcPr>
          <w:p w14:paraId="2D97B3A2" w14:textId="067134A3" w:rsidR="00B931AF" w:rsidRPr="00742407" w:rsidRDefault="00EB1988" w:rsidP="00EB1988">
            <w:pPr>
              <w:autoSpaceDE w:val="0"/>
              <w:autoSpaceDN w:val="0"/>
              <w:adjustRightInd w:val="0"/>
              <w:rPr>
                <w:bCs/>
                <w:lang w:val="fr-FR"/>
              </w:rPr>
            </w:pPr>
            <w:r w:rsidRPr="00742407">
              <w:rPr>
                <w:bCs/>
                <w:lang w:val="fr-FR"/>
              </w:rPr>
              <w:t>Nombre d’initiatives de communication organisées sur la justice transitionnelle et les réformes (campagnes, dialogues)</w:t>
            </w:r>
          </w:p>
        </w:tc>
        <w:tc>
          <w:tcPr>
            <w:tcW w:w="1440" w:type="dxa"/>
            <w:shd w:val="clear" w:color="auto" w:fill="EEECE1"/>
          </w:tcPr>
          <w:p w14:paraId="2FD328AA" w14:textId="620B4C1C" w:rsidR="00B931AF" w:rsidRPr="00742407" w:rsidRDefault="004A3338" w:rsidP="00742407">
            <w:pPr>
              <w:jc w:val="center"/>
              <w:rPr>
                <w:bCs/>
              </w:rPr>
            </w:pPr>
            <w:r w:rsidRPr="00742407">
              <w:rPr>
                <w:bCs/>
                <w:lang w:val="en-US" w:eastAsia="en-US"/>
              </w:rPr>
              <w:t>4</w:t>
            </w:r>
          </w:p>
        </w:tc>
        <w:tc>
          <w:tcPr>
            <w:tcW w:w="1710" w:type="dxa"/>
          </w:tcPr>
          <w:p w14:paraId="52CBE14A" w14:textId="2C2E5787" w:rsidR="00B931AF" w:rsidRPr="00742407" w:rsidRDefault="00EB1988" w:rsidP="00742407">
            <w:pPr>
              <w:jc w:val="center"/>
              <w:rPr>
                <w:bCs/>
              </w:rPr>
            </w:pPr>
            <w:r w:rsidRPr="00742407">
              <w:rPr>
                <w:bCs/>
                <w:lang w:val="en-US" w:eastAsia="en-US"/>
              </w:rPr>
              <w:t>4</w:t>
            </w:r>
          </w:p>
        </w:tc>
        <w:tc>
          <w:tcPr>
            <w:tcW w:w="2378" w:type="dxa"/>
          </w:tcPr>
          <w:p w14:paraId="728EC46C" w14:textId="77777777" w:rsidR="00B931AF" w:rsidRPr="00742407" w:rsidRDefault="00B931AF"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628F5440" w14:textId="77777777" w:rsidR="00E36380" w:rsidRPr="00742407" w:rsidRDefault="00E36380" w:rsidP="00E36380">
      <w:pPr>
        <w:rPr>
          <w:b/>
          <w:u w:val="single"/>
          <w:lang w:val="fr-FR"/>
        </w:rPr>
      </w:pPr>
    </w:p>
    <w:p w14:paraId="5350D134" w14:textId="2C7C6D20" w:rsidR="00E0176A" w:rsidRPr="00742407" w:rsidRDefault="00415060" w:rsidP="00E0176A">
      <w:pPr>
        <w:pStyle w:val="Default"/>
        <w:ind w:right="-613"/>
        <w:rPr>
          <w:rFonts w:ascii="Times New Roman" w:eastAsia="Times New Roman" w:hAnsi="Times New Roman" w:cs="Times New Roman"/>
          <w:bCs/>
          <w:color w:val="auto"/>
          <w:lang w:val="fr-FR" w:eastAsia="en-GB"/>
        </w:rPr>
      </w:pPr>
      <w:r w:rsidRPr="00742407">
        <w:rPr>
          <w:rFonts w:ascii="Times New Roman" w:hAnsi="Times New Roman" w:cs="Times New Roman"/>
          <w:b/>
          <w:u w:val="single"/>
          <w:lang w:val="fr-FR"/>
        </w:rPr>
        <w:t>Produit 1.2 :</w:t>
      </w:r>
      <w:r w:rsidR="00E0176A" w:rsidRPr="00742407">
        <w:rPr>
          <w:rFonts w:ascii="Times New Roman" w:hAnsi="Times New Roman" w:cs="Times New Roman"/>
          <w:bCs/>
          <w:lang w:val="fr-FR"/>
        </w:rPr>
        <w:t xml:space="preserve"> </w:t>
      </w:r>
      <w:r w:rsidR="00347B59">
        <w:rPr>
          <w:rFonts w:ascii="Times New Roman" w:hAnsi="Times New Roman" w:cs="Times New Roman"/>
          <w:bCs/>
          <w:lang w:val="fr-FR"/>
        </w:rPr>
        <w:t xml:space="preserve">les </w:t>
      </w:r>
      <w:r w:rsidR="00347B59">
        <w:rPr>
          <w:rFonts w:ascii="Times New Roman" w:eastAsia="Times New Roman" w:hAnsi="Times New Roman" w:cs="Times New Roman"/>
          <w:bCs/>
          <w:color w:val="auto"/>
          <w:lang w:val="fr-FR" w:eastAsia="en-GB"/>
        </w:rPr>
        <w:t>é</w:t>
      </w:r>
      <w:r w:rsidR="00E0176A" w:rsidRPr="00E0176A">
        <w:rPr>
          <w:rFonts w:ascii="Times New Roman" w:eastAsia="Times New Roman" w:hAnsi="Times New Roman" w:cs="Times New Roman"/>
          <w:bCs/>
          <w:color w:val="auto"/>
          <w:lang w:val="fr-FR" w:eastAsia="en-GB"/>
        </w:rPr>
        <w:t>tudes de perception sur la paix, justice, vérité et sécurité produites à travers 3 sondages</w:t>
      </w:r>
      <w:r w:rsidR="00E0176A" w:rsidRPr="00742407">
        <w:rPr>
          <w:rFonts w:ascii="Times New Roman" w:eastAsia="Times New Roman" w:hAnsi="Times New Roman" w:cs="Times New Roman"/>
          <w:bCs/>
          <w:color w:val="auto"/>
          <w:lang w:val="fr-FR" w:eastAsia="en-GB"/>
        </w:rPr>
        <w:t>.</w:t>
      </w:r>
    </w:p>
    <w:p w14:paraId="7894673C" w14:textId="02A0A68F" w:rsidR="00415060" w:rsidRPr="00742407" w:rsidRDefault="00415060" w:rsidP="00E36380">
      <w:pPr>
        <w:ind w:left="-360"/>
        <w:rPr>
          <w:bCs/>
          <w:u w:val="single"/>
          <w:lang w:val="fr-FR"/>
        </w:rPr>
      </w:pPr>
    </w:p>
    <w:tbl>
      <w:tblPr>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11"/>
        <w:gridCol w:w="1440"/>
        <w:gridCol w:w="1620"/>
        <w:gridCol w:w="2468"/>
      </w:tblGrid>
      <w:tr w:rsidR="005B4331" w:rsidRPr="006B0660" w14:paraId="05F5C453" w14:textId="77777777" w:rsidTr="00E0176A">
        <w:trPr>
          <w:tblHeader/>
        </w:trPr>
        <w:tc>
          <w:tcPr>
            <w:tcW w:w="1980" w:type="dxa"/>
            <w:shd w:val="clear" w:color="auto" w:fill="EEECE1"/>
          </w:tcPr>
          <w:p w14:paraId="704959DC" w14:textId="31CD80E5" w:rsidR="005B4331" w:rsidRPr="00742407" w:rsidRDefault="005B4331" w:rsidP="005B4331">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311" w:type="dxa"/>
            <w:shd w:val="clear" w:color="auto" w:fill="EEECE1"/>
          </w:tcPr>
          <w:p w14:paraId="05704FE9" w14:textId="33D6AACF" w:rsidR="005B4331" w:rsidRPr="00742407" w:rsidRDefault="005B4331" w:rsidP="005B4331">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40B64967" w14:textId="013CF8C9" w:rsidR="005B4331" w:rsidRPr="00742407" w:rsidRDefault="005B4331" w:rsidP="005B4331">
            <w:pPr>
              <w:jc w:val="center"/>
              <w:rPr>
                <w:b/>
                <w:lang w:val="fr-FR" w:eastAsia="en-US"/>
              </w:rPr>
            </w:pPr>
            <w:r w:rsidRPr="00742407">
              <w:rPr>
                <w:b/>
                <w:sz w:val="22"/>
                <w:szCs w:val="22"/>
                <w:lang w:val="fr-FR" w:eastAsia="en-US"/>
              </w:rPr>
              <w:t>Cible de fin de projet</w:t>
            </w:r>
          </w:p>
        </w:tc>
        <w:tc>
          <w:tcPr>
            <w:tcW w:w="1620" w:type="dxa"/>
          </w:tcPr>
          <w:p w14:paraId="2C2AD141" w14:textId="5707D05F" w:rsidR="005B4331" w:rsidRPr="00742407" w:rsidRDefault="005B4331" w:rsidP="005B4331">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468" w:type="dxa"/>
          </w:tcPr>
          <w:p w14:paraId="01AA867B" w14:textId="450573F4" w:rsidR="005B4331" w:rsidRPr="00742407" w:rsidRDefault="005B4331" w:rsidP="005B4331">
            <w:pPr>
              <w:jc w:val="center"/>
              <w:rPr>
                <w:b/>
                <w:lang w:val="fr-FR" w:eastAsia="en-US"/>
              </w:rPr>
            </w:pPr>
            <w:r w:rsidRPr="00742407">
              <w:rPr>
                <w:b/>
                <w:sz w:val="22"/>
                <w:szCs w:val="22"/>
                <w:lang w:val="fr-FR" w:eastAsia="en-US"/>
              </w:rPr>
              <w:t>Raisons pour les retards ou changements (s'il y en a)</w:t>
            </w:r>
          </w:p>
        </w:tc>
      </w:tr>
      <w:tr w:rsidR="00415060" w:rsidRPr="00742407" w14:paraId="0B4630F2" w14:textId="77777777" w:rsidTr="00E0176A">
        <w:trPr>
          <w:trHeight w:val="548"/>
        </w:trPr>
        <w:tc>
          <w:tcPr>
            <w:tcW w:w="1980" w:type="dxa"/>
            <w:shd w:val="clear" w:color="auto" w:fill="EEECE1"/>
          </w:tcPr>
          <w:p w14:paraId="40795B01" w14:textId="4EF5B931" w:rsidR="00415060" w:rsidRPr="00742407" w:rsidRDefault="00415060"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1.2.1</w:t>
            </w:r>
          </w:p>
          <w:p w14:paraId="0AA4FE56" w14:textId="77777777" w:rsidR="00415060" w:rsidRPr="00742407" w:rsidRDefault="00415060"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76BDF0A5" w14:textId="0D4CF56D" w:rsidR="00415060" w:rsidRPr="00742407" w:rsidRDefault="00E0176A" w:rsidP="00E0176A">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de sondages mises en œuvre</w:t>
            </w:r>
          </w:p>
        </w:tc>
        <w:tc>
          <w:tcPr>
            <w:tcW w:w="1440" w:type="dxa"/>
            <w:shd w:val="clear" w:color="auto" w:fill="EEECE1"/>
          </w:tcPr>
          <w:p w14:paraId="6FC5EE1D" w14:textId="69B32BF8" w:rsidR="00415060" w:rsidRPr="00742407" w:rsidRDefault="004A3338" w:rsidP="004A3338">
            <w:pPr>
              <w:jc w:val="center"/>
              <w:rPr>
                <w:bCs/>
                <w:lang w:val="fr-FR"/>
              </w:rPr>
            </w:pPr>
            <w:r w:rsidRPr="00742407">
              <w:rPr>
                <w:bCs/>
                <w:lang w:val="fr-FR"/>
              </w:rPr>
              <w:t>7</w:t>
            </w:r>
          </w:p>
        </w:tc>
        <w:tc>
          <w:tcPr>
            <w:tcW w:w="1620" w:type="dxa"/>
          </w:tcPr>
          <w:p w14:paraId="174CB843" w14:textId="5A7994F3" w:rsidR="00415060" w:rsidRPr="00742407" w:rsidRDefault="004A3338" w:rsidP="004A3338">
            <w:pPr>
              <w:jc w:val="center"/>
              <w:rPr>
                <w:bCs/>
                <w:lang w:val="fr-FR"/>
              </w:rPr>
            </w:pPr>
            <w:r w:rsidRPr="00742407">
              <w:rPr>
                <w:bCs/>
                <w:lang w:val="fr-FR"/>
              </w:rPr>
              <w:t>6 (2 sondages sur 3)</w:t>
            </w:r>
          </w:p>
        </w:tc>
        <w:tc>
          <w:tcPr>
            <w:tcW w:w="2468" w:type="dxa"/>
          </w:tcPr>
          <w:p w14:paraId="7545A134" w14:textId="77777777" w:rsidR="00415060" w:rsidRPr="00742407" w:rsidRDefault="00415060" w:rsidP="003F1977">
            <w:pPr>
              <w:rPr>
                <w:bCs/>
                <w:lang w:val="fr-FR"/>
              </w:rPr>
            </w:pPr>
            <w:r w:rsidRPr="00742407">
              <w:rPr>
                <w:bCs/>
                <w:lang w:val="fr-FR"/>
              </w:rPr>
              <w:fldChar w:fldCharType="begin">
                <w:ffData>
                  <w:name w:val=""/>
                  <w:enabled/>
                  <w:calcOnExit w:val="0"/>
                  <w:textInput>
                    <w:maxLength w:val="30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fldChar w:fldCharType="end"/>
            </w:r>
          </w:p>
        </w:tc>
      </w:tr>
      <w:tr w:rsidR="00415060" w:rsidRPr="00742407" w14:paraId="37342651" w14:textId="77777777" w:rsidTr="00E0176A">
        <w:trPr>
          <w:trHeight w:val="548"/>
        </w:trPr>
        <w:tc>
          <w:tcPr>
            <w:tcW w:w="1980" w:type="dxa"/>
            <w:shd w:val="clear" w:color="auto" w:fill="EEECE1"/>
          </w:tcPr>
          <w:p w14:paraId="1ED05A81" w14:textId="634C9055" w:rsidR="00415060" w:rsidRPr="00742407" w:rsidRDefault="00415060"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1.2.2</w:t>
            </w:r>
          </w:p>
          <w:p w14:paraId="3A2CCF3F" w14:textId="77777777" w:rsidR="00415060" w:rsidRPr="00742407" w:rsidRDefault="00415060"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64176932"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712B7DAD"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2C813FDF"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757C28BF"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415060" w:rsidRPr="00742407" w14:paraId="718082B4" w14:textId="77777777" w:rsidTr="00E0176A">
        <w:trPr>
          <w:trHeight w:val="548"/>
        </w:trPr>
        <w:tc>
          <w:tcPr>
            <w:tcW w:w="1980" w:type="dxa"/>
            <w:shd w:val="clear" w:color="auto" w:fill="EEECE1"/>
          </w:tcPr>
          <w:p w14:paraId="66AEBFE0" w14:textId="2D0DF38D" w:rsidR="00415060" w:rsidRPr="00742407" w:rsidRDefault="00415060"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1.2.3</w:t>
            </w:r>
          </w:p>
          <w:p w14:paraId="5903D508" w14:textId="77777777" w:rsidR="00415060" w:rsidRPr="00742407" w:rsidRDefault="00415060"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031079E3"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2A20B51C"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43D0BD21"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39F4702F"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6A23261B" w14:textId="77777777" w:rsidR="00415060" w:rsidRPr="00742407" w:rsidRDefault="00415060" w:rsidP="00415060">
      <w:pPr>
        <w:ind w:left="-720"/>
        <w:rPr>
          <w:b/>
          <w:u w:val="single"/>
          <w:lang w:val="fr-FR"/>
        </w:rPr>
      </w:pPr>
    </w:p>
    <w:p w14:paraId="2F68115E" w14:textId="47B77304" w:rsidR="00435A87" w:rsidRPr="00435A87" w:rsidRDefault="00415060" w:rsidP="00435A87">
      <w:pPr>
        <w:pStyle w:val="Default"/>
        <w:rPr>
          <w:rFonts w:ascii="Times New Roman" w:hAnsi="Times New Roman" w:cs="Times New Roman"/>
          <w:sz w:val="20"/>
          <w:szCs w:val="20"/>
          <w:lang w:val="fr-CF"/>
        </w:rPr>
      </w:pPr>
      <w:r w:rsidRPr="00742407">
        <w:rPr>
          <w:rFonts w:ascii="Times New Roman" w:hAnsi="Times New Roman" w:cs="Times New Roman"/>
          <w:b/>
          <w:u w:val="single"/>
          <w:lang w:val="fr-FR"/>
        </w:rPr>
        <w:t>Produit 1.3</w:t>
      </w:r>
      <w:r w:rsidR="00435A87" w:rsidRPr="00742407">
        <w:rPr>
          <w:rFonts w:ascii="Times New Roman" w:hAnsi="Times New Roman" w:cs="Times New Roman"/>
          <w:bCs/>
          <w:lang w:val="fr-FR"/>
        </w:rPr>
        <w:t xml:space="preserve"> </w:t>
      </w:r>
      <w:r w:rsidRPr="00742407">
        <w:rPr>
          <w:rFonts w:ascii="Times New Roman" w:hAnsi="Times New Roman" w:cs="Times New Roman"/>
          <w:bCs/>
          <w:lang w:val="fr-FR"/>
        </w:rPr>
        <w:t>:</w:t>
      </w:r>
      <w:r w:rsidR="00435A87" w:rsidRPr="00742407">
        <w:rPr>
          <w:rFonts w:ascii="Times New Roman" w:hAnsi="Times New Roman" w:cs="Times New Roman"/>
          <w:bCs/>
          <w:lang w:val="fr-FR"/>
        </w:rPr>
        <w:t xml:space="preserve"> </w:t>
      </w:r>
      <w:r w:rsidR="00347B59">
        <w:rPr>
          <w:rFonts w:ascii="Times New Roman" w:eastAsia="Times New Roman" w:hAnsi="Times New Roman" w:cs="Times New Roman"/>
          <w:bCs/>
          <w:color w:val="auto"/>
          <w:lang w:val="fr-FR" w:eastAsia="en-GB"/>
        </w:rPr>
        <w:t>l</w:t>
      </w:r>
      <w:r w:rsidR="00435A87" w:rsidRPr="00435A87">
        <w:rPr>
          <w:rFonts w:ascii="Times New Roman" w:eastAsia="Times New Roman" w:hAnsi="Times New Roman" w:cs="Times New Roman"/>
          <w:bCs/>
          <w:color w:val="auto"/>
          <w:lang w:val="fr-FR" w:eastAsia="en-GB"/>
        </w:rPr>
        <w:t>es options et modalités d’offre de réparations et d’établissement d’un fonds fiduciaire pour les réparations sont proposées</w:t>
      </w:r>
      <w:r w:rsidR="00435A87" w:rsidRPr="00435A87">
        <w:rPr>
          <w:rFonts w:ascii="Times New Roman" w:hAnsi="Times New Roman" w:cs="Times New Roman"/>
          <w:i/>
          <w:iCs/>
          <w:sz w:val="20"/>
          <w:szCs w:val="20"/>
          <w:lang w:val="fr-CF"/>
        </w:rPr>
        <w:t xml:space="preserve"> </w:t>
      </w:r>
    </w:p>
    <w:p w14:paraId="03604A40" w14:textId="3DDDE503" w:rsidR="00415060" w:rsidRPr="00B83736" w:rsidRDefault="00415060" w:rsidP="00435A87">
      <w:pPr>
        <w:rPr>
          <w:b/>
          <w:u w:val="single"/>
          <w:lang w:val="fr-FR"/>
        </w:rPr>
      </w:pPr>
    </w:p>
    <w:tbl>
      <w:tblPr>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11"/>
        <w:gridCol w:w="1440"/>
        <w:gridCol w:w="1620"/>
        <w:gridCol w:w="2468"/>
      </w:tblGrid>
      <w:tr w:rsidR="005B4331" w:rsidRPr="006B0660" w14:paraId="7D2E176D" w14:textId="77777777" w:rsidTr="00601809">
        <w:trPr>
          <w:tblHeader/>
        </w:trPr>
        <w:tc>
          <w:tcPr>
            <w:tcW w:w="1980" w:type="dxa"/>
            <w:shd w:val="clear" w:color="auto" w:fill="EEECE1"/>
          </w:tcPr>
          <w:p w14:paraId="200D3040" w14:textId="6B1ABFE8" w:rsidR="005B4331" w:rsidRPr="00742407" w:rsidRDefault="005B4331" w:rsidP="005B4331">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311" w:type="dxa"/>
            <w:shd w:val="clear" w:color="auto" w:fill="EEECE1"/>
          </w:tcPr>
          <w:p w14:paraId="79E56DC5" w14:textId="7C41277B" w:rsidR="005B4331" w:rsidRPr="00742407" w:rsidRDefault="005B4331" w:rsidP="005B4331">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71B124C3" w14:textId="60A9F92D" w:rsidR="005B4331" w:rsidRPr="00742407" w:rsidRDefault="005B4331" w:rsidP="005B4331">
            <w:pPr>
              <w:jc w:val="center"/>
              <w:rPr>
                <w:b/>
                <w:lang w:val="fr-FR" w:eastAsia="en-US"/>
              </w:rPr>
            </w:pPr>
            <w:r w:rsidRPr="00742407">
              <w:rPr>
                <w:b/>
                <w:sz w:val="22"/>
                <w:szCs w:val="22"/>
                <w:lang w:val="fr-FR" w:eastAsia="en-US"/>
              </w:rPr>
              <w:t>Cible de fin de projet</w:t>
            </w:r>
          </w:p>
        </w:tc>
        <w:tc>
          <w:tcPr>
            <w:tcW w:w="1620" w:type="dxa"/>
          </w:tcPr>
          <w:p w14:paraId="33DC32F8" w14:textId="077B2908" w:rsidR="005B4331" w:rsidRPr="00742407" w:rsidRDefault="005B4331" w:rsidP="005B4331">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468" w:type="dxa"/>
          </w:tcPr>
          <w:p w14:paraId="219C1DC0" w14:textId="60BA9D80" w:rsidR="005B4331" w:rsidRPr="00742407" w:rsidRDefault="005B4331" w:rsidP="005B4331">
            <w:pPr>
              <w:jc w:val="center"/>
              <w:rPr>
                <w:b/>
                <w:lang w:val="fr-FR" w:eastAsia="en-US"/>
              </w:rPr>
            </w:pPr>
            <w:r w:rsidRPr="00742407">
              <w:rPr>
                <w:b/>
                <w:sz w:val="22"/>
                <w:szCs w:val="22"/>
                <w:lang w:val="fr-FR" w:eastAsia="en-US"/>
              </w:rPr>
              <w:t>Raisons pour les retards ou changements (s'il y en a)</w:t>
            </w:r>
          </w:p>
        </w:tc>
      </w:tr>
      <w:tr w:rsidR="00415060" w:rsidRPr="00742407" w14:paraId="01C4658D" w14:textId="77777777" w:rsidTr="00601809">
        <w:trPr>
          <w:trHeight w:val="548"/>
        </w:trPr>
        <w:tc>
          <w:tcPr>
            <w:tcW w:w="1980" w:type="dxa"/>
            <w:shd w:val="clear" w:color="auto" w:fill="EEECE1"/>
          </w:tcPr>
          <w:p w14:paraId="6C45B824" w14:textId="20530491" w:rsidR="00415060" w:rsidRPr="00742407" w:rsidRDefault="00415060"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w:t>
            </w:r>
            <w:r w:rsidR="00066E25" w:rsidRPr="00742407">
              <w:rPr>
                <w:lang w:val="en-US" w:eastAsia="en-US"/>
              </w:rPr>
              <w:t>3</w:t>
            </w:r>
            <w:r w:rsidRPr="00742407">
              <w:rPr>
                <w:lang w:val="en-US" w:eastAsia="en-US"/>
              </w:rPr>
              <w:t>.1</w:t>
            </w:r>
          </w:p>
          <w:p w14:paraId="49B62D8C" w14:textId="77777777" w:rsidR="00415060" w:rsidRPr="00742407" w:rsidRDefault="00415060"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6CFE200F" w14:textId="5127CD9E" w:rsidR="00415060" w:rsidRPr="00742407" w:rsidRDefault="00601809" w:rsidP="00601809">
            <w:pPr>
              <w:autoSpaceDE w:val="0"/>
              <w:autoSpaceDN w:val="0"/>
              <w:adjustRightInd w:val="0"/>
              <w:rPr>
                <w:bCs/>
                <w:lang w:val="fr-FR"/>
              </w:rPr>
            </w:pPr>
            <w:r w:rsidRPr="00601809">
              <w:rPr>
                <w:bCs/>
                <w:lang w:val="fr-FR"/>
              </w:rPr>
              <w:t>Les options et modalités d’offre de réparations et d’établissement d’un fonds fiduciaire pour les réparations sont proposées</w:t>
            </w:r>
            <w:r w:rsidRPr="00742407">
              <w:rPr>
                <w:bCs/>
                <w:lang w:val="fr-FR"/>
              </w:rPr>
              <w:t>.</w:t>
            </w:r>
          </w:p>
        </w:tc>
        <w:tc>
          <w:tcPr>
            <w:tcW w:w="1440" w:type="dxa"/>
            <w:shd w:val="clear" w:color="auto" w:fill="EEECE1"/>
          </w:tcPr>
          <w:p w14:paraId="6C20D53C" w14:textId="773F834E" w:rsidR="00415060" w:rsidRPr="00742407" w:rsidRDefault="004A3338" w:rsidP="004A3338">
            <w:pPr>
              <w:jc w:val="center"/>
              <w:rPr>
                <w:bCs/>
                <w:lang w:val="fr-FR"/>
              </w:rPr>
            </w:pPr>
            <w:r w:rsidRPr="00742407">
              <w:rPr>
                <w:bCs/>
                <w:lang w:val="fr-FR"/>
              </w:rPr>
              <w:t>1</w:t>
            </w:r>
          </w:p>
        </w:tc>
        <w:tc>
          <w:tcPr>
            <w:tcW w:w="1620" w:type="dxa"/>
          </w:tcPr>
          <w:p w14:paraId="531C8295" w14:textId="2F6061EF" w:rsidR="004A3338" w:rsidRPr="00742407" w:rsidRDefault="004A3338" w:rsidP="004A3338">
            <w:pPr>
              <w:jc w:val="center"/>
              <w:rPr>
                <w:bCs/>
                <w:lang w:val="fr-FR"/>
              </w:rPr>
            </w:pPr>
            <w:r w:rsidRPr="00742407">
              <w:rPr>
                <w:bCs/>
                <w:lang w:val="fr-FR"/>
              </w:rPr>
              <w:t>1 (version non publiée)</w:t>
            </w:r>
          </w:p>
          <w:p w14:paraId="42A14D51" w14:textId="05FFA408" w:rsidR="00415060" w:rsidRPr="00742407" w:rsidRDefault="00415060" w:rsidP="004A3338">
            <w:pPr>
              <w:jc w:val="center"/>
              <w:rPr>
                <w:bCs/>
                <w:lang w:val="fr-FR"/>
              </w:rPr>
            </w:pPr>
          </w:p>
        </w:tc>
        <w:tc>
          <w:tcPr>
            <w:tcW w:w="2468" w:type="dxa"/>
          </w:tcPr>
          <w:p w14:paraId="411FF345"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601809" w:rsidRPr="00742407" w14:paraId="58F0638F" w14:textId="77777777" w:rsidTr="00601809">
        <w:trPr>
          <w:trHeight w:val="548"/>
        </w:trPr>
        <w:tc>
          <w:tcPr>
            <w:tcW w:w="1980" w:type="dxa"/>
            <w:shd w:val="clear" w:color="auto" w:fill="EEECE1"/>
          </w:tcPr>
          <w:p w14:paraId="667890A3" w14:textId="3E3AF39A" w:rsidR="00601809" w:rsidRPr="00742407" w:rsidRDefault="00601809" w:rsidP="00601809">
            <w:pPr>
              <w:jc w:val="both"/>
              <w:rPr>
                <w:lang w:val="en-US" w:eastAsia="en-US"/>
              </w:rPr>
            </w:pPr>
            <w:proofErr w:type="spellStart"/>
            <w:r w:rsidRPr="00742407">
              <w:rPr>
                <w:b/>
                <w:lang w:val="en-US" w:eastAsia="en-US"/>
              </w:rPr>
              <w:t>Indicateur</w:t>
            </w:r>
            <w:proofErr w:type="spellEnd"/>
            <w:r w:rsidRPr="00742407">
              <w:rPr>
                <w:lang w:val="en-US" w:eastAsia="en-US"/>
              </w:rPr>
              <w:t xml:space="preserve"> 1.3.2</w:t>
            </w:r>
          </w:p>
          <w:p w14:paraId="3A51A2D2" w14:textId="77777777" w:rsidR="00601809" w:rsidRPr="00742407" w:rsidRDefault="00601809" w:rsidP="0060180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68E02874" w14:textId="66DAAB1E" w:rsidR="00601809" w:rsidRPr="00742407" w:rsidRDefault="00347B59" w:rsidP="00601809">
            <w:pPr>
              <w:pStyle w:val="Default"/>
              <w:rPr>
                <w:rFonts w:ascii="Times New Roman" w:eastAsia="Times New Roman" w:hAnsi="Times New Roman" w:cs="Times New Roman"/>
                <w:bCs/>
                <w:color w:val="auto"/>
                <w:lang w:val="fr-FR" w:eastAsia="en-GB"/>
              </w:rPr>
            </w:pPr>
            <w:r>
              <w:rPr>
                <w:rFonts w:ascii="Times New Roman" w:eastAsia="Times New Roman" w:hAnsi="Times New Roman" w:cs="Times New Roman"/>
                <w:bCs/>
                <w:color w:val="auto"/>
                <w:lang w:val="fr-FR" w:eastAsia="en-GB"/>
              </w:rPr>
              <w:t>La</w:t>
            </w:r>
            <w:r w:rsidR="00601809" w:rsidRPr="00742407">
              <w:rPr>
                <w:rFonts w:ascii="Times New Roman" w:eastAsia="Times New Roman" w:hAnsi="Times New Roman" w:cs="Times New Roman"/>
                <w:bCs/>
                <w:color w:val="auto"/>
                <w:lang w:val="fr-FR" w:eastAsia="en-GB"/>
              </w:rPr>
              <w:t xml:space="preserve"> stratégie de mobilisation des ressources pour le Trust Fund disponible et validée par le </w:t>
            </w:r>
            <w:proofErr w:type="spellStart"/>
            <w:r w:rsidR="00601809" w:rsidRPr="00742407">
              <w:rPr>
                <w:rFonts w:ascii="Times New Roman" w:eastAsia="Times New Roman" w:hAnsi="Times New Roman" w:cs="Times New Roman"/>
                <w:bCs/>
                <w:color w:val="auto"/>
                <w:lang w:val="fr-FR" w:eastAsia="en-GB"/>
              </w:rPr>
              <w:t>GoCAR</w:t>
            </w:r>
            <w:proofErr w:type="spellEnd"/>
            <w:r w:rsidR="00601809" w:rsidRPr="00742407">
              <w:rPr>
                <w:rFonts w:ascii="Times New Roman" w:eastAsia="Times New Roman" w:hAnsi="Times New Roman" w:cs="Times New Roman"/>
                <w:bCs/>
                <w:color w:val="auto"/>
                <w:lang w:val="fr-FR" w:eastAsia="en-GB"/>
              </w:rPr>
              <w:t>.</w:t>
            </w:r>
          </w:p>
        </w:tc>
        <w:tc>
          <w:tcPr>
            <w:tcW w:w="1440" w:type="dxa"/>
            <w:shd w:val="clear" w:color="auto" w:fill="EEECE1"/>
          </w:tcPr>
          <w:p w14:paraId="7A7CE5FE" w14:textId="2ABBBA63" w:rsidR="00601809" w:rsidRPr="00742407" w:rsidRDefault="004A3338" w:rsidP="004A3338">
            <w:pPr>
              <w:jc w:val="center"/>
            </w:pPr>
            <w:r w:rsidRPr="00742407">
              <w:rPr>
                <w:bCs/>
                <w:lang w:val="fr-FR"/>
              </w:rPr>
              <w:t>1</w:t>
            </w:r>
          </w:p>
        </w:tc>
        <w:tc>
          <w:tcPr>
            <w:tcW w:w="1620" w:type="dxa"/>
          </w:tcPr>
          <w:p w14:paraId="24904B25" w14:textId="6E351A55" w:rsidR="00601809" w:rsidRPr="00742407" w:rsidRDefault="00601809" w:rsidP="004A3338">
            <w:pPr>
              <w:jc w:val="center"/>
            </w:pPr>
            <w:r w:rsidRPr="00742407">
              <w:rPr>
                <w:bCs/>
                <w:lang w:val="fr-FR"/>
              </w:rPr>
              <w:t>1</w:t>
            </w:r>
          </w:p>
        </w:tc>
        <w:tc>
          <w:tcPr>
            <w:tcW w:w="2468" w:type="dxa"/>
          </w:tcPr>
          <w:p w14:paraId="4E9F864F" w14:textId="77777777" w:rsidR="00601809" w:rsidRPr="00742407" w:rsidRDefault="00601809" w:rsidP="0060180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415060" w:rsidRPr="00742407" w14:paraId="56EEC693" w14:textId="77777777" w:rsidTr="00601809">
        <w:trPr>
          <w:trHeight w:val="548"/>
        </w:trPr>
        <w:tc>
          <w:tcPr>
            <w:tcW w:w="1980" w:type="dxa"/>
            <w:shd w:val="clear" w:color="auto" w:fill="EEECE1"/>
          </w:tcPr>
          <w:p w14:paraId="19283D24" w14:textId="7A9FF9FE" w:rsidR="00415060" w:rsidRPr="00742407" w:rsidRDefault="00415060"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1.</w:t>
            </w:r>
            <w:r w:rsidR="00066E25" w:rsidRPr="00742407">
              <w:rPr>
                <w:lang w:val="en-US" w:eastAsia="en-US"/>
              </w:rPr>
              <w:t>3</w:t>
            </w:r>
            <w:r w:rsidRPr="00742407">
              <w:rPr>
                <w:lang w:val="en-US" w:eastAsia="en-US"/>
              </w:rPr>
              <w:t>.3</w:t>
            </w:r>
          </w:p>
          <w:p w14:paraId="37BE5FE7" w14:textId="77777777" w:rsidR="00415060" w:rsidRPr="00742407" w:rsidRDefault="00415060"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1D71E1E2"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34F36116"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77E0557E"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743CAE11" w14:textId="77777777" w:rsidR="00415060" w:rsidRPr="00742407" w:rsidRDefault="00415060"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4826F940" w14:textId="0CB47251" w:rsidR="00415060" w:rsidRPr="00742407" w:rsidRDefault="00415060" w:rsidP="00675507">
      <w:pPr>
        <w:ind w:left="-720"/>
        <w:rPr>
          <w:b/>
          <w:u w:val="single"/>
          <w:lang w:val="fr-FR"/>
        </w:rPr>
      </w:pPr>
    </w:p>
    <w:p w14:paraId="3F301F0A" w14:textId="198A962C" w:rsidR="00141A6C" w:rsidRPr="00347B59" w:rsidRDefault="00141A6C" w:rsidP="00EC3126">
      <w:pPr>
        <w:autoSpaceDE w:val="0"/>
        <w:autoSpaceDN w:val="0"/>
        <w:adjustRightInd w:val="0"/>
        <w:ind w:left="-360"/>
        <w:rPr>
          <w:b/>
          <w:bCs/>
          <w:lang w:val="fr-FR"/>
        </w:rPr>
      </w:pPr>
      <w:r w:rsidRPr="00347B59">
        <w:rPr>
          <w:b/>
          <w:bCs/>
          <w:u w:val="single"/>
          <w:lang w:val="fr-FR"/>
        </w:rPr>
        <w:t xml:space="preserve">Résultat </w:t>
      </w:r>
      <w:r w:rsidR="00347B59" w:rsidRPr="00347B59">
        <w:rPr>
          <w:b/>
          <w:bCs/>
          <w:u w:val="single"/>
          <w:lang w:val="fr-FR"/>
        </w:rPr>
        <w:t>2</w:t>
      </w:r>
      <w:r w:rsidR="00347B59" w:rsidRPr="00347B59">
        <w:rPr>
          <w:b/>
          <w:bCs/>
          <w:lang w:val="fr-FR"/>
        </w:rPr>
        <w:t xml:space="preserve"> :</w:t>
      </w:r>
      <w:r w:rsidRPr="00347B59">
        <w:rPr>
          <w:b/>
          <w:bCs/>
          <w:lang w:val="fr-FR"/>
        </w:rPr>
        <w:t xml:space="preserve"> </w:t>
      </w:r>
      <w:r w:rsidR="00EC3126" w:rsidRPr="00347B59">
        <w:rPr>
          <w:b/>
          <w:bCs/>
          <w:lang w:val="fr-FR"/>
        </w:rPr>
        <w:t xml:space="preserve">A travers une société civile bénéficiant d’une capacité technique et opérationnelle accrue, les victimes et témoins ont un meilleur accès à la justice, incluant l’aide légale et la protection </w:t>
      </w:r>
    </w:p>
    <w:p w14:paraId="34239774" w14:textId="77777777" w:rsidR="00141A6C" w:rsidRPr="00742407" w:rsidRDefault="00141A6C" w:rsidP="00141A6C">
      <w:pPr>
        <w:ind w:left="-720"/>
        <w:rPr>
          <w:b/>
          <w:lang w:val="fr-FR"/>
        </w:rPr>
      </w:pPr>
    </w:p>
    <w:p w14:paraId="5476084B" w14:textId="42A34255" w:rsidR="00141A6C" w:rsidRPr="00742407"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742407">
        <w:rPr>
          <w:color w:val="212121"/>
          <w:lang w:val="fr-FR"/>
        </w:rPr>
        <w:t>Veuillez évaluer l'état actuel des progrès du résultat</w:t>
      </w:r>
      <w:r w:rsidR="00EC3126" w:rsidRPr="00742407">
        <w:rPr>
          <w:color w:val="212121"/>
          <w:lang w:val="fr-FR"/>
        </w:rPr>
        <w:t xml:space="preserve"> </w:t>
      </w:r>
      <w:r w:rsidRPr="00742407">
        <w:rPr>
          <w:color w:val="212121"/>
          <w:lang w:val="fr-FR"/>
        </w:rPr>
        <w:t>:</w:t>
      </w:r>
      <w:r w:rsidR="00EC3126" w:rsidRPr="00742407">
        <w:rPr>
          <w:color w:val="212121"/>
          <w:lang w:val="fr-FR"/>
        </w:rPr>
        <w:t xml:space="preserve"> </w:t>
      </w:r>
      <w:r w:rsidR="00EC3126" w:rsidRPr="00742407">
        <w:rPr>
          <w:b/>
          <w:bCs/>
          <w:lang w:val="fr-FR"/>
        </w:rPr>
        <w:t>ON TRACK</w:t>
      </w:r>
    </w:p>
    <w:p w14:paraId="4F290634" w14:textId="77777777" w:rsidR="00141A6C" w:rsidRPr="00742407" w:rsidRDefault="00141A6C" w:rsidP="00141A6C">
      <w:pPr>
        <w:ind w:left="-720"/>
        <w:jc w:val="both"/>
        <w:rPr>
          <w:b/>
          <w:lang w:val="fr-FR"/>
        </w:rPr>
      </w:pPr>
    </w:p>
    <w:p w14:paraId="69B72A4A" w14:textId="6DBAB3E7" w:rsidR="00141A6C" w:rsidRPr="00742407" w:rsidRDefault="00141A6C" w:rsidP="009F7BE9">
      <w:pPr>
        <w:ind w:left="-720" w:firstLine="720"/>
        <w:jc w:val="both"/>
        <w:rPr>
          <w:i/>
          <w:lang w:val="fr-FR"/>
        </w:rPr>
      </w:pPr>
      <w:r w:rsidRPr="00742407">
        <w:rPr>
          <w:b/>
          <w:lang w:val="fr-FR"/>
        </w:rPr>
        <w:t>R</w:t>
      </w:r>
      <w:r w:rsidR="00ED4F8D" w:rsidRPr="00742407">
        <w:rPr>
          <w:b/>
          <w:lang w:val="fr-FR"/>
        </w:rPr>
        <w:t>é</w:t>
      </w:r>
      <w:r w:rsidRPr="00742407">
        <w:rPr>
          <w:b/>
          <w:lang w:val="fr-FR"/>
        </w:rPr>
        <w:t xml:space="preserve">sumé de </w:t>
      </w:r>
      <w:proofErr w:type="gramStart"/>
      <w:r w:rsidRPr="00742407">
        <w:rPr>
          <w:b/>
          <w:bCs/>
          <w:color w:val="212121"/>
          <w:lang w:val="fr-FR"/>
        </w:rPr>
        <w:t>progrès</w:t>
      </w:r>
      <w:r w:rsidRPr="00742407">
        <w:rPr>
          <w:b/>
          <w:lang w:val="fr-FR"/>
        </w:rPr>
        <w:t>:</w:t>
      </w:r>
      <w:proofErr w:type="gramEnd"/>
      <w:r w:rsidRPr="00742407">
        <w:rPr>
          <w:b/>
          <w:lang w:val="fr-FR"/>
        </w:rPr>
        <w:t xml:space="preserve"> </w:t>
      </w:r>
      <w:r w:rsidRPr="00742407">
        <w:rPr>
          <w:color w:val="212121"/>
          <w:lang w:val="fr-FR"/>
        </w:rPr>
        <w:t>(Limite de 350 mots)</w:t>
      </w:r>
      <w:r w:rsidR="0075039D" w:rsidRPr="00742407">
        <w:rPr>
          <w:i/>
          <w:lang w:val="fr-FR"/>
        </w:rPr>
        <w:t xml:space="preserve"> </w:t>
      </w:r>
      <w:r w:rsidRPr="00742407">
        <w:rPr>
          <w:b/>
        </w:rPr>
        <w:fldChar w:fldCharType="begin">
          <w:ffData>
            <w:name w:val="Text38"/>
            <w:enabled/>
            <w:calcOnExit w:val="0"/>
            <w:textInput>
              <w:maxLength w:val="3000"/>
              <w:format w:val="Première majuscule"/>
            </w:textInput>
          </w:ffData>
        </w:fldChar>
      </w:r>
      <w:r w:rsidRPr="00742407">
        <w:rPr>
          <w:b/>
          <w:lang w:val="fr-FR"/>
        </w:rPr>
        <w:instrText xml:space="preserve"> FORMTEXT </w:instrText>
      </w:r>
      <w:r w:rsidRPr="00742407">
        <w:rPr>
          <w:b/>
        </w:rPr>
      </w:r>
      <w:r w:rsidRPr="00742407">
        <w:rPr>
          <w:b/>
        </w:rPr>
        <w:fldChar w:fldCharType="separate"/>
      </w:r>
      <w:r w:rsidRPr="00742407">
        <w:rPr>
          <w:b/>
          <w:noProof/>
        </w:rPr>
        <w:t> </w:t>
      </w:r>
      <w:r w:rsidRPr="00742407">
        <w:rPr>
          <w:b/>
          <w:noProof/>
        </w:rPr>
        <w:t> </w:t>
      </w:r>
      <w:r w:rsidRPr="00742407">
        <w:rPr>
          <w:b/>
          <w:noProof/>
        </w:rPr>
        <w:t> </w:t>
      </w:r>
      <w:r w:rsidRPr="00742407">
        <w:rPr>
          <w:b/>
          <w:noProof/>
        </w:rPr>
        <w:t> </w:t>
      </w:r>
      <w:r w:rsidRPr="00742407">
        <w:rPr>
          <w:b/>
          <w:noProof/>
        </w:rPr>
        <w:t> </w:t>
      </w:r>
      <w:r w:rsidRPr="00742407">
        <w:rPr>
          <w:b/>
        </w:rPr>
        <w:fldChar w:fldCharType="end"/>
      </w:r>
    </w:p>
    <w:p w14:paraId="0946348D" w14:textId="77777777" w:rsidR="00841D4B" w:rsidRPr="00742407" w:rsidRDefault="00841D4B" w:rsidP="00841D4B">
      <w:pPr>
        <w:ind w:left="-360"/>
        <w:jc w:val="both"/>
        <w:rPr>
          <w:b/>
          <w:bCs/>
          <w:color w:val="000000"/>
          <w:lang w:val="fr-CF" w:eastAsia="en-US"/>
        </w:rPr>
      </w:pPr>
    </w:p>
    <w:p w14:paraId="6182563E" w14:textId="150662CF" w:rsidR="00841D4B" w:rsidRPr="00742407" w:rsidRDefault="00841D4B" w:rsidP="00841D4B">
      <w:pPr>
        <w:ind w:left="-360"/>
        <w:jc w:val="both"/>
        <w:rPr>
          <w:lang w:val="fr-FR"/>
        </w:rPr>
      </w:pPr>
      <w:bookmarkStart w:id="14" w:name="_Hlk76051633"/>
      <w:r w:rsidRPr="00742407">
        <w:rPr>
          <w:lang w:val="fr-FR"/>
        </w:rPr>
        <w:t xml:space="preserve">L’accès à la justice demeure un défi majeur en RCA en raison de la faible présence des institutions judiciaires. </w:t>
      </w:r>
      <w:r w:rsidR="006B0660" w:rsidRPr="00742407">
        <w:rPr>
          <w:lang w:val="fr-FR"/>
        </w:rPr>
        <w:t xml:space="preserve">Les cliniques juridiques </w:t>
      </w:r>
      <w:r w:rsidR="006B0660">
        <w:rPr>
          <w:lang w:val="fr-FR"/>
        </w:rPr>
        <w:t xml:space="preserve">ont été le seul service </w:t>
      </w:r>
      <w:r w:rsidR="006B0660" w:rsidRPr="00681DC1">
        <w:rPr>
          <w:lang w:val="fr-FR"/>
        </w:rPr>
        <w:t xml:space="preserve">de justice disponible </w:t>
      </w:r>
      <w:r w:rsidR="006B0660" w:rsidRPr="00742407">
        <w:rPr>
          <w:lang w:val="fr-FR"/>
        </w:rPr>
        <w:t>pour les populations</w:t>
      </w:r>
      <w:r w:rsidR="006B0660">
        <w:rPr>
          <w:lang w:val="fr-FR"/>
        </w:rPr>
        <w:t xml:space="preserve"> pendant la récente crise de 2020</w:t>
      </w:r>
      <w:r w:rsidR="006B0660" w:rsidRPr="00742407">
        <w:rPr>
          <w:lang w:val="fr-FR"/>
        </w:rPr>
        <w:t xml:space="preserve">. </w:t>
      </w:r>
      <w:r w:rsidR="006B0660">
        <w:rPr>
          <w:lang w:val="fr-FR"/>
        </w:rPr>
        <w:t xml:space="preserve">Ainsi, </w:t>
      </w:r>
      <w:r w:rsidR="006B0660" w:rsidRPr="00742407">
        <w:rPr>
          <w:lang w:val="fr-FR"/>
        </w:rPr>
        <w:t xml:space="preserve">9 cliniques juridiques et 9 centres d’écoute </w:t>
      </w:r>
      <w:r w:rsidR="006B0660">
        <w:rPr>
          <w:lang w:val="fr-FR"/>
        </w:rPr>
        <w:t>ont été</w:t>
      </w:r>
      <w:r w:rsidR="006B0660" w:rsidRPr="00742407">
        <w:rPr>
          <w:lang w:val="fr-FR"/>
        </w:rPr>
        <w:t xml:space="preserve"> soutenus par le projet pour fournir une aide légale, un accompagnement psychosocial et documenter les violations des droits humains</w:t>
      </w:r>
      <w:r w:rsidRPr="00742407">
        <w:rPr>
          <w:lang w:val="fr-FR"/>
        </w:rPr>
        <w:t xml:space="preserve">. Les membres de l’AFJC ont bénéficié d’un accompagnement psychologique pour gérer le traumatisme et faciliter la planification des activités en souffrance. </w:t>
      </w:r>
    </w:p>
    <w:p w14:paraId="603372C5" w14:textId="77777777" w:rsidR="00841D4B" w:rsidRPr="00AF1DA3" w:rsidRDefault="00841D4B" w:rsidP="00841D4B">
      <w:pPr>
        <w:jc w:val="both"/>
        <w:rPr>
          <w:sz w:val="4"/>
          <w:szCs w:val="4"/>
          <w:lang w:val="fr-FR"/>
        </w:rPr>
      </w:pPr>
    </w:p>
    <w:p w14:paraId="30C6DF23" w14:textId="126774A0" w:rsidR="00841D4B" w:rsidRPr="00742407" w:rsidRDefault="00841D4B" w:rsidP="00841D4B">
      <w:pPr>
        <w:ind w:left="-360"/>
        <w:jc w:val="both"/>
        <w:rPr>
          <w:lang w:val="fr-FR"/>
        </w:rPr>
      </w:pPr>
      <w:r w:rsidRPr="00742407">
        <w:rPr>
          <w:lang w:val="fr-FR"/>
        </w:rPr>
        <w:t xml:space="preserve">Entre </w:t>
      </w:r>
      <w:r w:rsidR="001849B1">
        <w:rPr>
          <w:lang w:val="fr-FR"/>
        </w:rPr>
        <w:t>j</w:t>
      </w:r>
      <w:r w:rsidRPr="00742407">
        <w:rPr>
          <w:lang w:val="fr-FR"/>
        </w:rPr>
        <w:t xml:space="preserve">anvier et </w:t>
      </w:r>
      <w:r w:rsidR="001849B1">
        <w:rPr>
          <w:lang w:val="fr-FR"/>
        </w:rPr>
        <w:t>n</w:t>
      </w:r>
      <w:r w:rsidRPr="00742407">
        <w:rPr>
          <w:lang w:val="fr-FR"/>
        </w:rPr>
        <w:t>ovembre 2021, 11431 personnes ont bénéficié des services des cliniques juridiques, dont 6451 bénéficiaires d’assistance psychosociale, 4980 d’assistance juridique et judiciaire et 261 décisions judiciaires ont été rendues. Depuis 2020, 17579 personnes dont 14594 femmes ont bénéficié des services des cliniques juridiques. De même, 24 formations ont été réalisées dans 8 localités auprès de 420 leaders communautaires (dont 190 femmes) quant à l’accès à la justice. Parallèlement, l’accent a été mis sur le renforcement de l’impact judiciaire des cliniques.</w:t>
      </w:r>
    </w:p>
    <w:p w14:paraId="586B06F3" w14:textId="77777777" w:rsidR="00841D4B" w:rsidRPr="00AF1DA3" w:rsidRDefault="00841D4B" w:rsidP="00841D4B">
      <w:pPr>
        <w:jc w:val="both"/>
        <w:rPr>
          <w:sz w:val="10"/>
          <w:szCs w:val="10"/>
          <w:lang w:val="fr-FR"/>
        </w:rPr>
      </w:pPr>
    </w:p>
    <w:p w14:paraId="51D49527" w14:textId="1249A138" w:rsidR="00841D4B" w:rsidRPr="00742407" w:rsidRDefault="00841D4B" w:rsidP="00AF1DA3">
      <w:pPr>
        <w:ind w:left="-360"/>
        <w:jc w:val="both"/>
        <w:rPr>
          <w:lang w:val="fr-FR"/>
        </w:rPr>
      </w:pPr>
      <w:r w:rsidRPr="00742407">
        <w:rPr>
          <w:lang w:val="fr-FR"/>
        </w:rPr>
        <w:t xml:space="preserve">Les missions d’évaluation des cliniques ont relevé une grande satisfaction des populations et des bénéficiaires et une bonne coordination régionale entre tous les acteurs, y compris ceux informels. Pour améliorer la qualité de l’aide légale et harmoniser les approches, une expertise internationale est déployée auprès des 9 cliniques juridiques pour renforcer leurs capacités techniques sur la gestion opérationnelle et le traitement des dossiers. </w:t>
      </w:r>
    </w:p>
    <w:bookmarkEnd w:id="14"/>
    <w:p w14:paraId="2418ABC4" w14:textId="0B5EBD37" w:rsidR="00841D4B" w:rsidRPr="00742407" w:rsidRDefault="00841D4B" w:rsidP="00841D4B">
      <w:pPr>
        <w:ind w:left="-360"/>
        <w:jc w:val="both"/>
        <w:rPr>
          <w:lang w:val="fr-FR"/>
        </w:rPr>
      </w:pPr>
      <w:r w:rsidRPr="00742407">
        <w:rPr>
          <w:lang w:val="fr-FR"/>
        </w:rPr>
        <w:t>Afin de réduire le gap entre le nombre de victimes de violences sexuelles basées sur le genre (VSBG) qui bénéficient exclusivement d’une prise en charge médicale ou psychos</w:t>
      </w:r>
      <w:r w:rsidR="004A3338" w:rsidRPr="00742407">
        <w:rPr>
          <w:lang w:val="fr-FR"/>
        </w:rPr>
        <w:t>oc</w:t>
      </w:r>
      <w:r w:rsidRPr="00742407">
        <w:rPr>
          <w:lang w:val="fr-FR"/>
        </w:rPr>
        <w:t xml:space="preserve">iale et le nombre de procès-verbaux de faits constitutifs de VSBG établis par l’UMIRR, le projet a contribué au lancement de la mise en fonction du service médical à l’UMIRR jusqu’ici inopérant. Garantir une première prise en charge médicale à l’UMIRR pour toutes les victimes, et non seulement celles en besoin urgent, favorisera l’accès à la justice en préservant sa volonté d’initier une démarche judiciaire et renforçant les éléments de preuves </w:t>
      </w:r>
      <w:r w:rsidR="00457F26" w:rsidRPr="00742407">
        <w:rPr>
          <w:lang w:val="fr-FR"/>
        </w:rPr>
        <w:t>médic</w:t>
      </w:r>
      <w:r w:rsidR="00457F26">
        <w:rPr>
          <w:lang w:val="fr-FR"/>
        </w:rPr>
        <w:t>o</w:t>
      </w:r>
      <w:r w:rsidRPr="00742407">
        <w:rPr>
          <w:lang w:val="fr-FR"/>
        </w:rPr>
        <w:t>-légales des violences subies.</w:t>
      </w:r>
    </w:p>
    <w:p w14:paraId="3C43D119" w14:textId="77777777" w:rsidR="00841D4B" w:rsidRPr="00742407" w:rsidRDefault="00841D4B" w:rsidP="00841D4B">
      <w:pPr>
        <w:ind w:left="-360"/>
        <w:rPr>
          <w:b/>
          <w:bCs/>
          <w:color w:val="000000"/>
          <w:lang w:val="fr-FR" w:eastAsia="en-US"/>
        </w:rPr>
      </w:pPr>
    </w:p>
    <w:p w14:paraId="168DF85B" w14:textId="64AFA391" w:rsidR="00141A6C" w:rsidRPr="00742407" w:rsidRDefault="00141A6C" w:rsidP="00E36380">
      <w:pPr>
        <w:rPr>
          <w:b/>
          <w:lang w:val="fr-FR"/>
        </w:rPr>
      </w:pPr>
      <w:r w:rsidRPr="00742407">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841D4B" w:rsidRPr="00742407">
        <w:rPr>
          <w:b/>
          <w:bCs/>
          <w:color w:val="000000"/>
          <w:lang w:val="fr-FR" w:eastAsia="en-US"/>
        </w:rPr>
        <w:t>résultat</w:t>
      </w:r>
      <w:r w:rsidR="00841D4B" w:rsidRPr="00742407">
        <w:rPr>
          <w:b/>
          <w:lang w:val="fr-FR"/>
        </w:rPr>
        <w:t xml:space="preserve"> :</w:t>
      </w:r>
      <w:r w:rsidRPr="00742407">
        <w:rPr>
          <w:b/>
          <w:lang w:val="fr-FR"/>
        </w:rPr>
        <w:t xml:space="preserve"> </w:t>
      </w:r>
      <w:r w:rsidRPr="00742407">
        <w:rPr>
          <w:i/>
          <w:lang w:val="fr-FR"/>
        </w:rPr>
        <w:t>(</w:t>
      </w:r>
      <w:r w:rsidRPr="00742407">
        <w:rPr>
          <w:color w:val="212121"/>
          <w:lang w:val="fr-FR"/>
        </w:rPr>
        <w:t>Limite de 350 mots</w:t>
      </w:r>
      <w:r w:rsidRPr="00742407">
        <w:rPr>
          <w:i/>
          <w:lang w:val="fr-FR"/>
        </w:rPr>
        <w:t>)</w:t>
      </w:r>
      <w:r w:rsidR="00E36380" w:rsidRPr="00742407">
        <w:rPr>
          <w:b/>
          <w:lang w:val="fr-FR"/>
        </w:rPr>
        <w:t xml:space="preserve"> </w:t>
      </w:r>
      <w:r w:rsidRPr="00742407">
        <w:rPr>
          <w:b/>
        </w:rPr>
        <w:fldChar w:fldCharType="begin">
          <w:ffData>
            <w:name w:val=""/>
            <w:enabled/>
            <w:calcOnExit w:val="0"/>
            <w:textInput>
              <w:maxLength w:val="1000"/>
              <w:format w:val="Première majuscule"/>
            </w:textInput>
          </w:ffData>
        </w:fldChar>
      </w:r>
      <w:r w:rsidRPr="00742407">
        <w:rPr>
          <w:b/>
          <w:lang w:val="fr-FR"/>
        </w:rPr>
        <w:instrText xml:space="preserve"> FORMTEXT </w:instrText>
      </w:r>
      <w:r w:rsidRPr="00742407">
        <w:rPr>
          <w:b/>
        </w:rPr>
      </w:r>
      <w:r w:rsidRPr="00742407">
        <w:rPr>
          <w:b/>
        </w:rPr>
        <w:fldChar w:fldCharType="separate"/>
      </w:r>
      <w:r w:rsidRPr="00742407">
        <w:rPr>
          <w:b/>
          <w:noProof/>
        </w:rPr>
        <w:t> </w:t>
      </w:r>
      <w:r w:rsidRPr="00742407">
        <w:rPr>
          <w:b/>
          <w:noProof/>
        </w:rPr>
        <w:t> </w:t>
      </w:r>
      <w:r w:rsidRPr="00742407">
        <w:rPr>
          <w:b/>
          <w:noProof/>
        </w:rPr>
        <w:t> </w:t>
      </w:r>
      <w:r w:rsidRPr="00742407">
        <w:rPr>
          <w:b/>
          <w:noProof/>
        </w:rPr>
        <w:t> </w:t>
      </w:r>
      <w:r w:rsidRPr="00742407">
        <w:rPr>
          <w:b/>
          <w:noProof/>
        </w:rPr>
        <w:t> </w:t>
      </w:r>
      <w:r w:rsidRPr="00742407">
        <w:rPr>
          <w:b/>
        </w:rPr>
        <w:fldChar w:fldCharType="end"/>
      </w:r>
    </w:p>
    <w:p w14:paraId="6E22601B" w14:textId="77777777" w:rsidR="00141A6C" w:rsidRPr="00742407" w:rsidRDefault="00141A6C" w:rsidP="0075039D">
      <w:pPr>
        <w:autoSpaceDE w:val="0"/>
        <w:autoSpaceDN w:val="0"/>
        <w:adjustRightInd w:val="0"/>
        <w:ind w:left="-360"/>
        <w:rPr>
          <w:rFonts w:eastAsia="Calibri"/>
          <w:b/>
          <w:bCs/>
          <w:lang w:val="fr-FR" w:eastAsia="zh-CN"/>
        </w:rPr>
      </w:pPr>
    </w:p>
    <w:p w14:paraId="569EEDA9" w14:textId="39842592" w:rsidR="00841D4B" w:rsidRPr="00742407" w:rsidRDefault="00841D4B" w:rsidP="004A3338">
      <w:pPr>
        <w:ind w:left="-360"/>
        <w:jc w:val="both"/>
        <w:rPr>
          <w:lang w:val="fr-FR"/>
        </w:rPr>
      </w:pPr>
      <w:r w:rsidRPr="00742407">
        <w:rPr>
          <w:lang w:val="fr-FR"/>
        </w:rPr>
        <w:t xml:space="preserve">Les femmes et les filles </w:t>
      </w:r>
      <w:r w:rsidR="00E40C1B">
        <w:rPr>
          <w:lang w:val="fr-FR"/>
        </w:rPr>
        <w:t>constituent</w:t>
      </w:r>
      <w:r w:rsidRPr="00742407">
        <w:rPr>
          <w:lang w:val="fr-FR"/>
        </w:rPr>
        <w:t xml:space="preserve"> les principales victimes des violations des droits humains, en</w:t>
      </w:r>
      <w:r w:rsidR="00AF1DA3">
        <w:rPr>
          <w:lang w:val="fr-FR"/>
        </w:rPr>
        <w:t xml:space="preserve"> </w:t>
      </w:r>
      <w:r w:rsidRPr="00742407">
        <w:rPr>
          <w:lang w:val="fr-FR"/>
        </w:rPr>
        <w:t>particulier de violences sexuelles et basées sur le genre</w:t>
      </w:r>
      <w:r w:rsidR="00E40C1B">
        <w:rPr>
          <w:lang w:val="fr-FR"/>
        </w:rPr>
        <w:t xml:space="preserve"> en RCA</w:t>
      </w:r>
      <w:r w:rsidRPr="00742407">
        <w:rPr>
          <w:lang w:val="fr-FR"/>
        </w:rPr>
        <w:t xml:space="preserve">. Le projet </w:t>
      </w:r>
      <w:r w:rsidR="00E40C1B">
        <w:rPr>
          <w:lang w:val="fr-FR"/>
        </w:rPr>
        <w:t xml:space="preserve">a </w:t>
      </w:r>
      <w:r w:rsidRPr="00742407">
        <w:rPr>
          <w:lang w:val="fr-FR"/>
        </w:rPr>
        <w:t>contribu</w:t>
      </w:r>
      <w:r w:rsidR="00E40C1B">
        <w:rPr>
          <w:lang w:val="fr-FR"/>
        </w:rPr>
        <w:t>é</w:t>
      </w:r>
      <w:r w:rsidRPr="00742407">
        <w:rPr>
          <w:lang w:val="fr-FR"/>
        </w:rPr>
        <w:t xml:space="preserve"> </w:t>
      </w:r>
      <w:r w:rsidR="00E40C1B">
        <w:rPr>
          <w:lang w:val="fr-FR"/>
        </w:rPr>
        <w:t xml:space="preserve">à </w:t>
      </w:r>
      <w:r w:rsidRPr="00742407">
        <w:rPr>
          <w:lang w:val="fr-FR"/>
        </w:rPr>
        <w:t xml:space="preserve">leur prise en charge holistique, notamment au niveau judiciaire et psychosocial, mais aussi médical </w:t>
      </w:r>
      <w:r w:rsidR="00E40C1B">
        <w:rPr>
          <w:lang w:val="fr-FR"/>
        </w:rPr>
        <w:t xml:space="preserve">afin d’apporter un accompagnement, des </w:t>
      </w:r>
      <w:r w:rsidRPr="00742407">
        <w:rPr>
          <w:lang w:val="fr-FR"/>
        </w:rPr>
        <w:t>appui</w:t>
      </w:r>
      <w:r w:rsidR="00E40C1B">
        <w:rPr>
          <w:lang w:val="fr-FR"/>
        </w:rPr>
        <w:t>s</w:t>
      </w:r>
      <w:r w:rsidRPr="00742407">
        <w:rPr>
          <w:lang w:val="fr-FR"/>
        </w:rPr>
        <w:t xml:space="preserve"> immédiat</w:t>
      </w:r>
      <w:r w:rsidR="00E40C1B">
        <w:rPr>
          <w:lang w:val="fr-FR"/>
        </w:rPr>
        <w:t>s</w:t>
      </w:r>
      <w:r w:rsidRPr="00742407">
        <w:rPr>
          <w:lang w:val="fr-FR"/>
        </w:rPr>
        <w:t xml:space="preserve"> </w:t>
      </w:r>
      <w:r w:rsidR="00E40C1B">
        <w:rPr>
          <w:lang w:val="fr-FR"/>
        </w:rPr>
        <w:t xml:space="preserve">aux </w:t>
      </w:r>
      <w:r w:rsidRPr="00742407">
        <w:rPr>
          <w:lang w:val="fr-FR"/>
        </w:rPr>
        <w:t>victime</w:t>
      </w:r>
      <w:r w:rsidR="00E40C1B">
        <w:rPr>
          <w:lang w:val="fr-FR"/>
        </w:rPr>
        <w:t>s</w:t>
      </w:r>
      <w:r w:rsidRPr="00742407">
        <w:rPr>
          <w:lang w:val="fr-FR"/>
        </w:rPr>
        <w:t xml:space="preserve"> et la facilitation du suivi de</w:t>
      </w:r>
      <w:r w:rsidR="00E40C1B">
        <w:rPr>
          <w:lang w:val="fr-FR"/>
        </w:rPr>
        <w:t xml:space="preserve"> leurs</w:t>
      </w:r>
      <w:r w:rsidRPr="00742407">
        <w:rPr>
          <w:lang w:val="fr-FR"/>
        </w:rPr>
        <w:t xml:space="preserve"> dossiers </w:t>
      </w:r>
      <w:r w:rsidR="00457F26">
        <w:rPr>
          <w:lang w:val="fr-FR"/>
        </w:rPr>
        <w:t xml:space="preserve">au niveau de la </w:t>
      </w:r>
      <w:r w:rsidRPr="00742407">
        <w:rPr>
          <w:lang w:val="fr-FR"/>
        </w:rPr>
        <w:t>justice</w:t>
      </w:r>
      <w:r w:rsidR="00457F26">
        <w:rPr>
          <w:lang w:val="fr-FR"/>
        </w:rPr>
        <w:t>. Ces actions ont été menées à</w:t>
      </w:r>
      <w:r w:rsidRPr="00742407">
        <w:rPr>
          <w:lang w:val="fr-FR"/>
        </w:rPr>
        <w:t xml:space="preserve"> travers le renforcement des mécanismes de coordination et de référencement entre les services ainsi que l’appui aux cliniques juridiques pour leurs conseils. Ainsi, 9602 femmes ont bénéficié de service d’aide légale</w:t>
      </w:r>
      <w:r w:rsidR="00E40C1B">
        <w:rPr>
          <w:lang w:val="fr-FR"/>
        </w:rPr>
        <w:t> ;</w:t>
      </w:r>
      <w:r w:rsidRPr="00742407">
        <w:rPr>
          <w:lang w:val="fr-FR"/>
        </w:rPr>
        <w:t xml:space="preserve"> ce qui contribue à promouvoir le respect des droits humains et </w:t>
      </w:r>
      <w:r w:rsidR="00E40C1B">
        <w:rPr>
          <w:lang w:val="fr-FR"/>
        </w:rPr>
        <w:t xml:space="preserve">à </w:t>
      </w:r>
      <w:r w:rsidRPr="00742407">
        <w:rPr>
          <w:lang w:val="fr-FR"/>
        </w:rPr>
        <w:t>la réparation immédiate des victimes.</w:t>
      </w:r>
    </w:p>
    <w:p w14:paraId="4C2FAB4E" w14:textId="77777777" w:rsidR="00841D4B" w:rsidRPr="00742407" w:rsidRDefault="00841D4B" w:rsidP="0075039D">
      <w:pPr>
        <w:autoSpaceDE w:val="0"/>
        <w:autoSpaceDN w:val="0"/>
        <w:adjustRightInd w:val="0"/>
        <w:ind w:left="-360"/>
        <w:rPr>
          <w:rFonts w:eastAsia="Calibri"/>
          <w:b/>
          <w:bCs/>
          <w:lang w:val="fr-FR" w:eastAsia="zh-CN"/>
        </w:rPr>
      </w:pPr>
    </w:p>
    <w:p w14:paraId="008063D6" w14:textId="22511F99" w:rsidR="00141A6C" w:rsidRPr="00742407" w:rsidRDefault="00141A6C" w:rsidP="0075039D">
      <w:pPr>
        <w:autoSpaceDE w:val="0"/>
        <w:autoSpaceDN w:val="0"/>
        <w:adjustRightInd w:val="0"/>
        <w:ind w:left="-360"/>
        <w:rPr>
          <w:rFonts w:eastAsia="Calibri"/>
          <w:b/>
          <w:bCs/>
          <w:lang w:val="fr-FR" w:eastAsia="zh-CN"/>
        </w:rPr>
      </w:pPr>
      <w:r w:rsidRPr="00742407">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742407">
        <w:rPr>
          <w:rFonts w:eastAsia="Calibri"/>
          <w:b/>
          <w:bCs/>
          <w:lang w:val="fr-FR" w:eastAsia="zh-CN"/>
        </w:rPr>
        <w:t xml:space="preserve"> 2</w:t>
      </w:r>
      <w:r w:rsidRPr="00742407">
        <w:rPr>
          <w:rFonts w:eastAsia="Calibri"/>
          <w:b/>
          <w:bCs/>
          <w:lang w:val="fr-FR" w:eastAsia="zh-CN"/>
        </w:rPr>
        <w:t xml:space="preserve"> dans le tableau ci-dessous</w:t>
      </w:r>
    </w:p>
    <w:p w14:paraId="47AA58E6" w14:textId="77777777" w:rsidR="00141A6C" w:rsidRPr="00742407" w:rsidRDefault="00141A6C" w:rsidP="00141A6C">
      <w:pPr>
        <w:rPr>
          <w:b/>
          <w:lang w:val="fr-FR"/>
        </w:rPr>
      </w:pPr>
    </w:p>
    <w:tbl>
      <w:tblPr>
        <w:tblW w:w="982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284"/>
        <w:gridCol w:w="1418"/>
        <w:gridCol w:w="1800"/>
        <w:gridCol w:w="2617"/>
      </w:tblGrid>
      <w:tr w:rsidR="00EC6777" w:rsidRPr="006B0660" w14:paraId="45ADF806" w14:textId="77777777" w:rsidTr="00DE71B1">
        <w:trPr>
          <w:tblHeader/>
        </w:trPr>
        <w:tc>
          <w:tcPr>
            <w:tcW w:w="1710" w:type="dxa"/>
            <w:shd w:val="clear" w:color="auto" w:fill="EEECE1"/>
          </w:tcPr>
          <w:p w14:paraId="6D214C63" w14:textId="77777777" w:rsidR="00EC6777" w:rsidRPr="00742407" w:rsidRDefault="00EC6777" w:rsidP="00EC6777">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résultat</w:t>
            </w:r>
            <w:proofErr w:type="spellEnd"/>
          </w:p>
        </w:tc>
        <w:tc>
          <w:tcPr>
            <w:tcW w:w="2284" w:type="dxa"/>
            <w:shd w:val="clear" w:color="auto" w:fill="EEECE1"/>
          </w:tcPr>
          <w:p w14:paraId="0E8249F4" w14:textId="0A015BB9" w:rsidR="00EC6777" w:rsidRPr="00742407" w:rsidRDefault="00EC6777" w:rsidP="00EC6777">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18" w:type="dxa"/>
            <w:shd w:val="clear" w:color="auto" w:fill="EEECE1"/>
          </w:tcPr>
          <w:p w14:paraId="375BDA6D" w14:textId="393D58D3" w:rsidR="00EC6777" w:rsidRPr="00742407" w:rsidRDefault="00EC6777" w:rsidP="00EC6777">
            <w:pPr>
              <w:jc w:val="center"/>
              <w:rPr>
                <w:b/>
                <w:lang w:val="fr-FR" w:eastAsia="en-US"/>
              </w:rPr>
            </w:pPr>
            <w:r w:rsidRPr="00742407">
              <w:rPr>
                <w:b/>
                <w:sz w:val="22"/>
                <w:szCs w:val="22"/>
                <w:lang w:val="fr-FR" w:eastAsia="en-US"/>
              </w:rPr>
              <w:t>Cible de fin de projet</w:t>
            </w:r>
          </w:p>
        </w:tc>
        <w:tc>
          <w:tcPr>
            <w:tcW w:w="1800" w:type="dxa"/>
          </w:tcPr>
          <w:p w14:paraId="59D757B2" w14:textId="761FB01E" w:rsidR="00EC6777" w:rsidRPr="00742407" w:rsidRDefault="00EC6777" w:rsidP="00EC6777">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617" w:type="dxa"/>
          </w:tcPr>
          <w:p w14:paraId="354C282C" w14:textId="7A4E35CD" w:rsidR="00EC6777" w:rsidRPr="00742407" w:rsidRDefault="00EC6777" w:rsidP="00EC6777">
            <w:pPr>
              <w:jc w:val="center"/>
              <w:rPr>
                <w:b/>
                <w:lang w:val="fr-FR" w:eastAsia="en-US"/>
              </w:rPr>
            </w:pPr>
            <w:r w:rsidRPr="00742407">
              <w:rPr>
                <w:b/>
                <w:sz w:val="22"/>
                <w:szCs w:val="22"/>
                <w:lang w:val="fr-FR" w:eastAsia="en-US"/>
              </w:rPr>
              <w:t>Raisons pour les retards ou changements (s'il y en a)</w:t>
            </w:r>
          </w:p>
        </w:tc>
      </w:tr>
      <w:tr w:rsidR="00141A6C" w:rsidRPr="00742407" w14:paraId="6C55928F" w14:textId="77777777" w:rsidTr="00DE71B1">
        <w:trPr>
          <w:trHeight w:val="548"/>
        </w:trPr>
        <w:tc>
          <w:tcPr>
            <w:tcW w:w="1710" w:type="dxa"/>
            <w:shd w:val="clear" w:color="auto" w:fill="EEECE1"/>
          </w:tcPr>
          <w:p w14:paraId="3E10E86E" w14:textId="385DFAE8"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175657" w:rsidRPr="00742407">
              <w:rPr>
                <w:lang w:val="en-US" w:eastAsia="en-US"/>
              </w:rPr>
              <w:t>2</w:t>
            </w:r>
            <w:r w:rsidRPr="00742407">
              <w:rPr>
                <w:lang w:val="en-US" w:eastAsia="en-US"/>
              </w:rPr>
              <w:t>.1</w:t>
            </w:r>
          </w:p>
          <w:p w14:paraId="29B18D2B"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284" w:type="dxa"/>
            <w:shd w:val="clear" w:color="auto" w:fill="EEECE1"/>
          </w:tcPr>
          <w:p w14:paraId="1B816FDB" w14:textId="41376A2A" w:rsidR="00141A6C" w:rsidRPr="00742407" w:rsidRDefault="00DE71B1" w:rsidP="00DE71B1">
            <w:pPr>
              <w:pStyle w:val="Default"/>
              <w:rPr>
                <w:rFonts w:ascii="Times New Roman" w:eastAsia="Times New Roman" w:hAnsi="Times New Roman" w:cs="Times New Roman"/>
                <w:color w:val="auto"/>
                <w:lang w:val="fr-FR" w:eastAsia="en-GB"/>
              </w:rPr>
            </w:pPr>
            <w:r w:rsidRPr="00742407">
              <w:rPr>
                <w:rFonts w:ascii="Times New Roman" w:eastAsia="Times New Roman" w:hAnsi="Times New Roman" w:cs="Times New Roman"/>
                <w:color w:val="auto"/>
                <w:lang w:val="fr-FR" w:eastAsia="en-GB"/>
              </w:rPr>
              <w:t>2 a Nombre de personnes ayant eu accès à l’aide légale et informés sur leur accès à la justice.</w:t>
            </w:r>
          </w:p>
        </w:tc>
        <w:tc>
          <w:tcPr>
            <w:tcW w:w="1418" w:type="dxa"/>
            <w:shd w:val="clear" w:color="auto" w:fill="EEECE1"/>
          </w:tcPr>
          <w:p w14:paraId="196264E3" w14:textId="77777777" w:rsidR="004A3338" w:rsidRPr="00742407" w:rsidRDefault="004A3338" w:rsidP="004A3338">
            <w:pPr>
              <w:pStyle w:val="Default"/>
              <w:jc w:val="center"/>
              <w:rPr>
                <w:rFonts w:ascii="Times New Roman" w:eastAsia="Times New Roman" w:hAnsi="Times New Roman" w:cs="Times New Roman"/>
                <w:color w:val="auto"/>
                <w:lang w:val="fr-FR" w:eastAsia="en-GB"/>
              </w:rPr>
            </w:pPr>
            <w:r w:rsidRPr="00742407">
              <w:rPr>
                <w:rFonts w:ascii="Times New Roman" w:eastAsia="Times New Roman" w:hAnsi="Times New Roman" w:cs="Times New Roman"/>
                <w:color w:val="auto"/>
                <w:lang w:val="fr-FR" w:eastAsia="en-GB"/>
              </w:rPr>
              <w:t>27 000 H</w:t>
            </w:r>
          </w:p>
          <w:p w14:paraId="4FACF81A" w14:textId="6EC519E0" w:rsidR="00141A6C" w:rsidRPr="00742407" w:rsidRDefault="004A3338" w:rsidP="004A3338">
            <w:pPr>
              <w:jc w:val="center"/>
              <w:rPr>
                <w:lang w:val="fr-FR"/>
              </w:rPr>
            </w:pPr>
            <w:r w:rsidRPr="00742407">
              <w:rPr>
                <w:lang w:val="fr-FR"/>
              </w:rPr>
              <w:t>20 000 F</w:t>
            </w:r>
          </w:p>
        </w:tc>
        <w:tc>
          <w:tcPr>
            <w:tcW w:w="1800" w:type="dxa"/>
          </w:tcPr>
          <w:p w14:paraId="18BBB55A" w14:textId="77777777" w:rsidR="004A3338" w:rsidRPr="00742407" w:rsidRDefault="004A3338" w:rsidP="004A3338">
            <w:pPr>
              <w:pStyle w:val="Default"/>
              <w:jc w:val="center"/>
              <w:rPr>
                <w:rFonts w:ascii="Times New Roman" w:eastAsia="Times New Roman" w:hAnsi="Times New Roman" w:cs="Times New Roman"/>
                <w:color w:val="auto"/>
                <w:lang w:val="fr-FR" w:eastAsia="en-GB"/>
              </w:rPr>
            </w:pPr>
            <w:r w:rsidRPr="00742407">
              <w:rPr>
                <w:rFonts w:ascii="Times New Roman" w:eastAsia="Times New Roman" w:hAnsi="Times New Roman" w:cs="Times New Roman"/>
                <w:color w:val="auto"/>
                <w:lang w:val="fr-FR" w:eastAsia="en-GB"/>
              </w:rPr>
              <w:t>23 000</w:t>
            </w:r>
          </w:p>
          <w:p w14:paraId="7428FF41" w14:textId="77777777" w:rsidR="004A3338" w:rsidRPr="00742407" w:rsidRDefault="004A3338" w:rsidP="004A3338">
            <w:pPr>
              <w:pStyle w:val="Default"/>
              <w:jc w:val="center"/>
              <w:rPr>
                <w:rFonts w:ascii="Times New Roman" w:eastAsia="Times New Roman" w:hAnsi="Times New Roman" w:cs="Times New Roman"/>
                <w:color w:val="auto"/>
                <w:lang w:val="fr-FR" w:eastAsia="en-GB"/>
              </w:rPr>
            </w:pPr>
            <w:r w:rsidRPr="00742407">
              <w:rPr>
                <w:rFonts w:ascii="Times New Roman" w:eastAsia="Times New Roman" w:hAnsi="Times New Roman" w:cs="Times New Roman"/>
                <w:color w:val="auto"/>
                <w:lang w:val="fr-FR" w:eastAsia="en-GB"/>
              </w:rPr>
              <w:t>6000 H</w:t>
            </w:r>
          </w:p>
          <w:p w14:paraId="39B6EB97" w14:textId="63D55E57" w:rsidR="00141A6C" w:rsidRPr="00742407" w:rsidRDefault="004A3338" w:rsidP="004A3338">
            <w:pPr>
              <w:jc w:val="center"/>
              <w:rPr>
                <w:lang w:val="fr-FR"/>
              </w:rPr>
            </w:pPr>
            <w:r w:rsidRPr="00742407">
              <w:rPr>
                <w:lang w:val="fr-FR"/>
              </w:rPr>
              <w:t>17 000 F</w:t>
            </w:r>
          </w:p>
        </w:tc>
        <w:tc>
          <w:tcPr>
            <w:tcW w:w="2617" w:type="dxa"/>
          </w:tcPr>
          <w:p w14:paraId="3978DA25"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141A6C" w:rsidRPr="00742407" w14:paraId="222F8311" w14:textId="77777777" w:rsidTr="00DE71B1">
        <w:trPr>
          <w:trHeight w:val="548"/>
        </w:trPr>
        <w:tc>
          <w:tcPr>
            <w:tcW w:w="1710" w:type="dxa"/>
            <w:shd w:val="clear" w:color="auto" w:fill="EEECE1"/>
          </w:tcPr>
          <w:p w14:paraId="29E45EFA" w14:textId="335027EA"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175657" w:rsidRPr="00742407">
              <w:rPr>
                <w:lang w:val="en-US" w:eastAsia="en-US"/>
              </w:rPr>
              <w:t>2</w:t>
            </w:r>
            <w:r w:rsidRPr="00742407">
              <w:rPr>
                <w:lang w:val="en-US" w:eastAsia="en-US"/>
              </w:rPr>
              <w:t>.2</w:t>
            </w:r>
          </w:p>
          <w:p w14:paraId="391C6D5E"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284" w:type="dxa"/>
            <w:shd w:val="clear" w:color="auto" w:fill="EEECE1"/>
          </w:tcPr>
          <w:p w14:paraId="129C931B" w14:textId="3829EC89" w:rsidR="00141A6C" w:rsidRPr="00742407" w:rsidRDefault="00DE71B1" w:rsidP="003F1977">
            <w:pPr>
              <w:rPr>
                <w:lang w:val="fr-FR"/>
              </w:rPr>
            </w:pPr>
            <w:r w:rsidRPr="00742407">
              <w:rPr>
                <w:lang w:val="fr-FR"/>
              </w:rPr>
              <w:t>2 b Nombre de victimes et témoins ayant eu accès à la protection</w:t>
            </w:r>
          </w:p>
        </w:tc>
        <w:tc>
          <w:tcPr>
            <w:tcW w:w="1418" w:type="dxa"/>
            <w:shd w:val="clear" w:color="auto" w:fill="EEECE1"/>
          </w:tcPr>
          <w:p w14:paraId="1BC43220" w14:textId="0B912805" w:rsidR="00141A6C" w:rsidRPr="00742407" w:rsidRDefault="00DE71B1" w:rsidP="004A3338">
            <w:pPr>
              <w:pStyle w:val="Default"/>
              <w:jc w:val="center"/>
              <w:rPr>
                <w:rFonts w:ascii="Times New Roman" w:eastAsia="Times New Roman" w:hAnsi="Times New Roman" w:cs="Times New Roman"/>
                <w:color w:val="auto"/>
                <w:lang w:val="fr-FR" w:eastAsia="en-GB"/>
              </w:rPr>
            </w:pPr>
            <w:r w:rsidRPr="00742407">
              <w:rPr>
                <w:rFonts w:ascii="Times New Roman" w:eastAsia="Times New Roman" w:hAnsi="Times New Roman" w:cs="Times New Roman"/>
                <w:color w:val="auto"/>
                <w:lang w:val="fr-FR" w:eastAsia="en-GB"/>
              </w:rPr>
              <w:t>Non déterminé</w:t>
            </w:r>
          </w:p>
        </w:tc>
        <w:tc>
          <w:tcPr>
            <w:tcW w:w="1800" w:type="dxa"/>
          </w:tcPr>
          <w:p w14:paraId="1C6BA917" w14:textId="5AB8F752" w:rsidR="00DE71B1" w:rsidRPr="00742407" w:rsidRDefault="00DE71B1" w:rsidP="004A3338">
            <w:pPr>
              <w:pStyle w:val="Default"/>
              <w:jc w:val="center"/>
              <w:rPr>
                <w:rFonts w:ascii="Times New Roman" w:eastAsia="Times New Roman" w:hAnsi="Times New Roman" w:cs="Times New Roman"/>
                <w:color w:val="auto"/>
                <w:lang w:val="fr-FR" w:eastAsia="en-GB"/>
              </w:rPr>
            </w:pPr>
            <w:r w:rsidRPr="00742407">
              <w:rPr>
                <w:rFonts w:ascii="Times New Roman" w:eastAsia="Times New Roman" w:hAnsi="Times New Roman" w:cs="Times New Roman"/>
                <w:color w:val="auto"/>
                <w:lang w:val="fr-FR" w:eastAsia="en-GB"/>
              </w:rPr>
              <w:t>Non déterminé</w:t>
            </w:r>
          </w:p>
          <w:p w14:paraId="50C3BBC2" w14:textId="3106CE40" w:rsidR="00141A6C" w:rsidRPr="00742407" w:rsidRDefault="00141A6C" w:rsidP="004A3338">
            <w:pPr>
              <w:jc w:val="center"/>
              <w:rPr>
                <w:lang w:val="fr-FR"/>
              </w:rPr>
            </w:pPr>
          </w:p>
        </w:tc>
        <w:tc>
          <w:tcPr>
            <w:tcW w:w="2617" w:type="dxa"/>
          </w:tcPr>
          <w:p w14:paraId="0006DBEB"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141A6C" w:rsidRPr="00742407" w14:paraId="052AC9E0" w14:textId="77777777" w:rsidTr="00DE71B1">
        <w:trPr>
          <w:trHeight w:val="548"/>
        </w:trPr>
        <w:tc>
          <w:tcPr>
            <w:tcW w:w="1710" w:type="dxa"/>
            <w:shd w:val="clear" w:color="auto" w:fill="EEECE1"/>
          </w:tcPr>
          <w:p w14:paraId="13C3DB9A" w14:textId="247BC081"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175657" w:rsidRPr="00742407">
              <w:rPr>
                <w:lang w:val="en-US" w:eastAsia="en-US"/>
              </w:rPr>
              <w:t>2</w:t>
            </w:r>
            <w:r w:rsidRPr="00742407">
              <w:rPr>
                <w:lang w:val="en-US" w:eastAsia="en-US"/>
              </w:rPr>
              <w:t>.3</w:t>
            </w:r>
          </w:p>
          <w:p w14:paraId="5BCC5B71"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284" w:type="dxa"/>
            <w:shd w:val="clear" w:color="auto" w:fill="EEECE1"/>
          </w:tcPr>
          <w:p w14:paraId="49DCD63E"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18" w:type="dxa"/>
            <w:shd w:val="clear" w:color="auto" w:fill="EEECE1"/>
          </w:tcPr>
          <w:p w14:paraId="3813DA59"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800" w:type="dxa"/>
          </w:tcPr>
          <w:p w14:paraId="6CAC494B"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17" w:type="dxa"/>
          </w:tcPr>
          <w:p w14:paraId="2884AE98"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558F42E2" w14:textId="77777777" w:rsidR="00141A6C" w:rsidRPr="00742407" w:rsidRDefault="00141A6C" w:rsidP="00996479">
      <w:pPr>
        <w:ind w:left="-360"/>
        <w:rPr>
          <w:b/>
        </w:rPr>
      </w:pPr>
    </w:p>
    <w:p w14:paraId="7405ADE4" w14:textId="46B48566" w:rsidR="00141A6C" w:rsidRPr="00742407" w:rsidRDefault="00141A6C" w:rsidP="00996479">
      <w:pPr>
        <w:ind w:left="-360"/>
        <w:rPr>
          <w:bCs/>
          <w:lang w:val="fr-FR"/>
        </w:rPr>
      </w:pPr>
      <w:r w:rsidRPr="00742407">
        <w:rPr>
          <w:bCs/>
          <w:lang w:val="fr-FR"/>
        </w:rPr>
        <w:t>Combien de produits sont définis sous le résultat</w:t>
      </w:r>
      <w:r w:rsidR="00FB55F4" w:rsidRPr="00742407">
        <w:rPr>
          <w:bCs/>
          <w:lang w:val="fr-FR"/>
        </w:rPr>
        <w:t xml:space="preserve"> </w:t>
      </w:r>
      <w:r w:rsidR="00EF4134" w:rsidRPr="00742407">
        <w:rPr>
          <w:bCs/>
          <w:lang w:val="fr-FR"/>
        </w:rPr>
        <w:t>2</w:t>
      </w:r>
      <w:r w:rsidR="007530A1">
        <w:rPr>
          <w:bCs/>
          <w:lang w:val="fr-FR"/>
        </w:rPr>
        <w:t> ?</w:t>
      </w:r>
    </w:p>
    <w:p w14:paraId="18ED0335" w14:textId="77777777" w:rsidR="00141A6C" w:rsidRPr="00742407" w:rsidRDefault="00141A6C" w:rsidP="00996479">
      <w:pPr>
        <w:ind w:left="-360"/>
        <w:rPr>
          <w:bCs/>
          <w:lang w:val="fr-FR"/>
        </w:rPr>
      </w:pPr>
    </w:p>
    <w:p w14:paraId="57A0DA00" w14:textId="7D1CECA0" w:rsidR="00141A6C" w:rsidRPr="00742407" w:rsidRDefault="00141A6C" w:rsidP="00996479">
      <w:pPr>
        <w:ind w:left="-360"/>
        <w:rPr>
          <w:bCs/>
          <w:lang w:val="fr-FR"/>
        </w:rPr>
      </w:pPr>
      <w:r w:rsidRPr="00742407">
        <w:rPr>
          <w:bCs/>
          <w:lang w:val="fr-FR"/>
        </w:rPr>
        <w:t>Veuillez énum</w:t>
      </w:r>
      <w:r w:rsidR="00E02DCD" w:rsidRPr="00742407">
        <w:rPr>
          <w:bCs/>
          <w:lang w:val="fr-FR"/>
        </w:rPr>
        <w:t>é</w:t>
      </w:r>
      <w:r w:rsidRPr="00742407">
        <w:rPr>
          <w:bCs/>
          <w:lang w:val="fr-FR"/>
        </w:rPr>
        <w:t>rer au plus 5 produits les plus pertin</w:t>
      </w:r>
      <w:r w:rsidR="00E02DCD" w:rsidRPr="00742407">
        <w:rPr>
          <w:bCs/>
          <w:lang w:val="fr-FR"/>
        </w:rPr>
        <w:t>e</w:t>
      </w:r>
      <w:r w:rsidRPr="00742407">
        <w:rPr>
          <w:bCs/>
          <w:lang w:val="fr-FR"/>
        </w:rPr>
        <w:t>nts pour le R</w:t>
      </w:r>
      <w:r w:rsidR="00E02DCD" w:rsidRPr="00742407">
        <w:rPr>
          <w:bCs/>
          <w:lang w:val="fr-FR"/>
        </w:rPr>
        <w:t>é</w:t>
      </w:r>
      <w:r w:rsidRPr="00742407">
        <w:rPr>
          <w:bCs/>
          <w:lang w:val="fr-FR"/>
        </w:rPr>
        <w:t xml:space="preserve">sultat </w:t>
      </w:r>
      <w:r w:rsidR="00FB55F4" w:rsidRPr="00742407">
        <w:rPr>
          <w:bCs/>
          <w:lang w:val="fr-FR"/>
        </w:rPr>
        <w:t>2</w:t>
      </w:r>
      <w:r w:rsidRPr="00742407">
        <w:rPr>
          <w:bCs/>
          <w:lang w:val="fr-FR"/>
        </w:rPr>
        <w:t xml:space="preserve"> </w:t>
      </w:r>
      <w:r w:rsidRPr="00742407">
        <w:rPr>
          <w:bCs/>
          <w:lang w:val="fr-FR"/>
        </w:rPr>
        <w:fldChar w:fldCharType="begin">
          <w:ffData>
            <w:name w:val="Text88"/>
            <w:enabled/>
            <w:calcOnExit w:val="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lang w:val="fr-FR"/>
        </w:rPr>
        <w:fldChar w:fldCharType="end"/>
      </w:r>
    </w:p>
    <w:p w14:paraId="50D8125B" w14:textId="77777777" w:rsidR="00141A6C" w:rsidRPr="00742407" w:rsidRDefault="00141A6C" w:rsidP="00996479">
      <w:pPr>
        <w:ind w:left="-360"/>
        <w:rPr>
          <w:bCs/>
          <w:lang w:val="fr-FR"/>
        </w:rPr>
      </w:pPr>
    </w:p>
    <w:p w14:paraId="2B23375B" w14:textId="77777777" w:rsidR="00EF4134" w:rsidRPr="00742407" w:rsidRDefault="00EF4134" w:rsidP="00EF4134">
      <w:pPr>
        <w:pStyle w:val="Paragraphedeliste"/>
        <w:numPr>
          <w:ilvl w:val="1"/>
          <w:numId w:val="9"/>
        </w:numPr>
        <w:rPr>
          <w:bCs/>
          <w:lang w:val="fr-FR"/>
        </w:rPr>
      </w:pPr>
      <w:r w:rsidRPr="00742407">
        <w:rPr>
          <w:bCs/>
          <w:lang w:val="fr-FR"/>
        </w:rPr>
        <w:t xml:space="preserve"> Au moins 10 000 centrafricains (avec au moins 50% femmes) dans au moins 7 localités ont bénéficié de services d’aide légale ;</w:t>
      </w:r>
    </w:p>
    <w:p w14:paraId="3DC599CF" w14:textId="69D821A4" w:rsidR="00EF4134" w:rsidRPr="00742407" w:rsidRDefault="00EF4134" w:rsidP="00EF4134">
      <w:pPr>
        <w:pStyle w:val="Paragraphedeliste"/>
        <w:numPr>
          <w:ilvl w:val="1"/>
          <w:numId w:val="9"/>
        </w:numPr>
        <w:rPr>
          <w:bCs/>
          <w:lang w:val="fr-FR"/>
        </w:rPr>
      </w:pPr>
      <w:r w:rsidRPr="00742407">
        <w:rPr>
          <w:bCs/>
          <w:lang w:val="fr-FR"/>
        </w:rPr>
        <w:t>Les victimes et témoins ont accès aux mécanismes de protection en accédant aux juridictions ordinaires, la CPS et/ou la CVJRR</w:t>
      </w:r>
    </w:p>
    <w:p w14:paraId="419A0D2D" w14:textId="77777777" w:rsidR="00EF4134" w:rsidRPr="00742407" w:rsidRDefault="00EF4134" w:rsidP="00996479">
      <w:pPr>
        <w:ind w:left="-360"/>
        <w:rPr>
          <w:bCs/>
          <w:lang w:val="fr-FR"/>
        </w:rPr>
      </w:pPr>
    </w:p>
    <w:p w14:paraId="0C451D88" w14:textId="755F4C0E" w:rsidR="00141A6C" w:rsidRPr="00742407" w:rsidRDefault="00141A6C" w:rsidP="00996479">
      <w:pPr>
        <w:ind w:left="-360"/>
        <w:rPr>
          <w:bCs/>
          <w:lang w:val="fr-FR"/>
        </w:rPr>
      </w:pPr>
      <w:r w:rsidRPr="00742407">
        <w:rPr>
          <w:bCs/>
          <w:lang w:val="fr-FR"/>
        </w:rPr>
        <w:t xml:space="preserve">Pour chaque produit, et en vous basant sur le cadre de résultats du projet, indiquez l'état d'avancement relatif aux 3 indicateurs de produit les plus </w:t>
      </w:r>
      <w:r w:rsidR="00734F0B" w:rsidRPr="00742407">
        <w:rPr>
          <w:bCs/>
          <w:lang w:val="fr-FR"/>
        </w:rPr>
        <w:t>pertinents</w:t>
      </w:r>
      <w:r w:rsidRPr="00742407">
        <w:rPr>
          <w:bCs/>
          <w:lang w:val="fr-FR"/>
        </w:rPr>
        <w:t xml:space="preserve">. </w:t>
      </w:r>
      <w:r w:rsidRPr="00742407">
        <w:rPr>
          <w:bCs/>
          <w:lang w:val="fr-FR"/>
        </w:rPr>
        <w:fldChar w:fldCharType="begin">
          <w:ffData>
            <w:name w:val="Text89"/>
            <w:enabled/>
            <w:calcOnExit w:val="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lang w:val="fr-FR"/>
        </w:rPr>
        <w:fldChar w:fldCharType="end"/>
      </w:r>
    </w:p>
    <w:p w14:paraId="528A902B" w14:textId="77777777" w:rsidR="00141A6C" w:rsidRPr="00742407" w:rsidRDefault="00141A6C" w:rsidP="00141A6C">
      <w:pPr>
        <w:ind w:left="-720"/>
        <w:rPr>
          <w:b/>
          <w:u w:val="single"/>
          <w:lang w:val="fr-FR"/>
        </w:rPr>
      </w:pPr>
    </w:p>
    <w:p w14:paraId="7BE6C0C3" w14:textId="09BF1FAF" w:rsidR="00EF4134" w:rsidRPr="00EF4134" w:rsidRDefault="00141A6C" w:rsidP="00EF4134">
      <w:pPr>
        <w:pStyle w:val="Default"/>
        <w:rPr>
          <w:rFonts w:ascii="Times New Roman" w:hAnsi="Times New Roman" w:cs="Times New Roman"/>
          <w:lang w:val="fr-CF"/>
        </w:rPr>
      </w:pPr>
      <w:r w:rsidRPr="00742407">
        <w:rPr>
          <w:rFonts w:ascii="Times New Roman" w:hAnsi="Times New Roman" w:cs="Times New Roman"/>
          <w:b/>
          <w:u w:val="single"/>
          <w:lang w:val="fr-FR"/>
        </w:rPr>
        <w:t xml:space="preserve">Produit </w:t>
      </w:r>
      <w:r w:rsidR="00495C66" w:rsidRPr="00742407">
        <w:rPr>
          <w:rFonts w:ascii="Times New Roman" w:hAnsi="Times New Roman" w:cs="Times New Roman"/>
          <w:b/>
          <w:u w:val="single"/>
          <w:lang w:val="fr-FR"/>
        </w:rPr>
        <w:t>2</w:t>
      </w:r>
      <w:r w:rsidRPr="00742407">
        <w:rPr>
          <w:rFonts w:ascii="Times New Roman" w:hAnsi="Times New Roman" w:cs="Times New Roman"/>
          <w:b/>
          <w:u w:val="single"/>
          <w:lang w:val="fr-FR"/>
        </w:rPr>
        <w:t>.1 </w:t>
      </w:r>
      <w:r w:rsidRPr="00742407">
        <w:rPr>
          <w:rFonts w:ascii="Times New Roman" w:hAnsi="Times New Roman" w:cs="Times New Roman"/>
          <w:bCs/>
          <w:lang w:val="fr-FR"/>
        </w:rPr>
        <w:t>:</w:t>
      </w:r>
      <w:r w:rsidR="00EF4134" w:rsidRPr="00742407">
        <w:rPr>
          <w:rFonts w:ascii="Times New Roman" w:eastAsia="Times New Roman" w:hAnsi="Times New Roman" w:cs="Times New Roman"/>
          <w:bCs/>
          <w:color w:val="auto"/>
          <w:lang w:val="fr-FR" w:eastAsia="en-GB"/>
        </w:rPr>
        <w:t xml:space="preserve"> </w:t>
      </w:r>
      <w:r w:rsidR="00E40C1B">
        <w:rPr>
          <w:rFonts w:ascii="Times New Roman" w:eastAsia="Times New Roman" w:hAnsi="Times New Roman" w:cs="Times New Roman"/>
          <w:bCs/>
          <w:color w:val="auto"/>
          <w:lang w:val="fr-FR" w:eastAsia="en-GB"/>
        </w:rPr>
        <w:t>a</w:t>
      </w:r>
      <w:r w:rsidR="00E40C1B" w:rsidRPr="00EF4134">
        <w:rPr>
          <w:rFonts w:ascii="Times New Roman" w:eastAsia="Times New Roman" w:hAnsi="Times New Roman" w:cs="Times New Roman"/>
          <w:bCs/>
          <w:color w:val="auto"/>
          <w:lang w:val="fr-FR" w:eastAsia="en-GB"/>
        </w:rPr>
        <w:t xml:space="preserve">u </w:t>
      </w:r>
      <w:r w:rsidR="00EF4134" w:rsidRPr="00EF4134">
        <w:rPr>
          <w:rFonts w:ascii="Times New Roman" w:eastAsia="Times New Roman" w:hAnsi="Times New Roman" w:cs="Times New Roman"/>
          <w:bCs/>
          <w:color w:val="auto"/>
          <w:lang w:val="fr-FR" w:eastAsia="en-GB"/>
        </w:rPr>
        <w:t xml:space="preserve">moins 10 000 centrafricains (avec au moins 50% femmes) dans au moins 7 localités ont bénéficié de services d’aide légale </w:t>
      </w:r>
    </w:p>
    <w:p w14:paraId="57BC0C04" w14:textId="77777777" w:rsidR="00E36380" w:rsidRPr="00742407" w:rsidRDefault="00E36380" w:rsidP="009F32CC">
      <w:pPr>
        <w:rPr>
          <w:b/>
          <w:u w:val="single"/>
          <w:lang w:val="fr-FR"/>
        </w:rPr>
      </w:pPr>
    </w:p>
    <w:tbl>
      <w:tblPr>
        <w:tblW w:w="994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955"/>
        <w:gridCol w:w="1710"/>
        <w:gridCol w:w="1692"/>
        <w:gridCol w:w="1701"/>
      </w:tblGrid>
      <w:tr w:rsidR="005B4331" w:rsidRPr="006B0660" w14:paraId="2BA550E6" w14:textId="77777777" w:rsidTr="00EF4134">
        <w:trPr>
          <w:tblHeader/>
        </w:trPr>
        <w:tc>
          <w:tcPr>
            <w:tcW w:w="1890" w:type="dxa"/>
            <w:shd w:val="clear" w:color="auto" w:fill="EEECE1"/>
          </w:tcPr>
          <w:p w14:paraId="1BF38BE9" w14:textId="0BACD155" w:rsidR="005B4331" w:rsidRPr="00742407" w:rsidRDefault="005B4331" w:rsidP="005B4331">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955" w:type="dxa"/>
            <w:shd w:val="clear" w:color="auto" w:fill="EEECE1"/>
          </w:tcPr>
          <w:p w14:paraId="0424435B" w14:textId="7FE75DBA" w:rsidR="005B4331" w:rsidRPr="00742407" w:rsidRDefault="005B4331" w:rsidP="005B4331">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710" w:type="dxa"/>
            <w:shd w:val="clear" w:color="auto" w:fill="EEECE1"/>
          </w:tcPr>
          <w:p w14:paraId="7E38B70C" w14:textId="27AE19DA" w:rsidR="005B4331" w:rsidRPr="00742407" w:rsidRDefault="005B4331" w:rsidP="005B4331">
            <w:pPr>
              <w:jc w:val="center"/>
              <w:rPr>
                <w:b/>
                <w:lang w:val="fr-FR" w:eastAsia="en-US"/>
              </w:rPr>
            </w:pPr>
            <w:r w:rsidRPr="00742407">
              <w:rPr>
                <w:b/>
                <w:sz w:val="22"/>
                <w:szCs w:val="22"/>
                <w:lang w:val="fr-FR" w:eastAsia="en-US"/>
              </w:rPr>
              <w:t>Cible de fin de projet</w:t>
            </w:r>
          </w:p>
        </w:tc>
        <w:tc>
          <w:tcPr>
            <w:tcW w:w="1692" w:type="dxa"/>
          </w:tcPr>
          <w:p w14:paraId="60D34204" w14:textId="1311C1BB" w:rsidR="005B4331" w:rsidRPr="00742407" w:rsidRDefault="005B4331" w:rsidP="005B4331">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1701" w:type="dxa"/>
          </w:tcPr>
          <w:p w14:paraId="23987AA2" w14:textId="1794AE47" w:rsidR="005B4331" w:rsidRPr="00742407" w:rsidRDefault="005B4331" w:rsidP="005B4331">
            <w:pPr>
              <w:jc w:val="center"/>
              <w:rPr>
                <w:b/>
                <w:lang w:val="fr-FR" w:eastAsia="en-US"/>
              </w:rPr>
            </w:pPr>
            <w:r w:rsidRPr="00742407">
              <w:rPr>
                <w:b/>
                <w:sz w:val="22"/>
                <w:szCs w:val="22"/>
                <w:lang w:val="fr-FR" w:eastAsia="en-US"/>
              </w:rPr>
              <w:t>Raisons pour les retards ou changements (s'il y en a)</w:t>
            </w:r>
          </w:p>
        </w:tc>
      </w:tr>
      <w:tr w:rsidR="00141A6C" w:rsidRPr="00742407" w14:paraId="274B33C0" w14:textId="77777777" w:rsidTr="00EF4134">
        <w:trPr>
          <w:trHeight w:val="548"/>
        </w:trPr>
        <w:tc>
          <w:tcPr>
            <w:tcW w:w="1890" w:type="dxa"/>
            <w:shd w:val="clear" w:color="auto" w:fill="EEECE1"/>
          </w:tcPr>
          <w:p w14:paraId="001D5C4E" w14:textId="214EE1A8"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495C66" w:rsidRPr="00742407">
              <w:rPr>
                <w:lang w:val="en-US" w:eastAsia="en-US"/>
              </w:rPr>
              <w:t>2</w:t>
            </w:r>
            <w:r w:rsidRPr="00742407">
              <w:rPr>
                <w:lang w:val="en-US" w:eastAsia="en-US"/>
              </w:rPr>
              <w:t>.1.1</w:t>
            </w:r>
          </w:p>
          <w:p w14:paraId="016ABA29"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955" w:type="dxa"/>
            <w:shd w:val="clear" w:color="auto" w:fill="EEECE1"/>
          </w:tcPr>
          <w:p w14:paraId="7674759C" w14:textId="611DE80E" w:rsidR="00141A6C" w:rsidRPr="00742407" w:rsidRDefault="00EF4134" w:rsidP="00EF4134">
            <w:pPr>
              <w:autoSpaceDE w:val="0"/>
              <w:autoSpaceDN w:val="0"/>
              <w:adjustRightInd w:val="0"/>
              <w:rPr>
                <w:bCs/>
                <w:lang w:val="fr-FR"/>
              </w:rPr>
            </w:pPr>
            <w:r w:rsidRPr="00EF4134">
              <w:rPr>
                <w:bCs/>
                <w:lang w:val="fr-FR"/>
              </w:rPr>
              <w:t xml:space="preserve">Nombre de cliniques d’aides légale opérationnelles </w:t>
            </w:r>
          </w:p>
        </w:tc>
        <w:tc>
          <w:tcPr>
            <w:tcW w:w="1710" w:type="dxa"/>
            <w:shd w:val="clear" w:color="auto" w:fill="EEECE1"/>
          </w:tcPr>
          <w:p w14:paraId="6CD0CB28" w14:textId="2D8AA4C8" w:rsidR="00141A6C" w:rsidRPr="00742407" w:rsidRDefault="004A3338" w:rsidP="004A3338">
            <w:pPr>
              <w:jc w:val="center"/>
              <w:rPr>
                <w:bCs/>
                <w:lang w:val="fr-FR"/>
              </w:rPr>
            </w:pPr>
            <w:r w:rsidRPr="00742407">
              <w:rPr>
                <w:bCs/>
                <w:lang w:val="fr-FR"/>
              </w:rPr>
              <w:t>8</w:t>
            </w:r>
          </w:p>
        </w:tc>
        <w:tc>
          <w:tcPr>
            <w:tcW w:w="1692" w:type="dxa"/>
          </w:tcPr>
          <w:p w14:paraId="210EA8E8" w14:textId="336FC162" w:rsidR="00141A6C" w:rsidRPr="00742407" w:rsidRDefault="00EF4134" w:rsidP="004A3338">
            <w:pPr>
              <w:jc w:val="center"/>
              <w:rPr>
                <w:bCs/>
                <w:lang w:val="fr-FR"/>
              </w:rPr>
            </w:pPr>
            <w:r w:rsidRPr="00742407">
              <w:rPr>
                <w:bCs/>
                <w:lang w:val="fr-FR"/>
              </w:rPr>
              <w:t>9</w:t>
            </w:r>
          </w:p>
        </w:tc>
        <w:tc>
          <w:tcPr>
            <w:tcW w:w="1701" w:type="dxa"/>
          </w:tcPr>
          <w:p w14:paraId="4A728AFF"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141A6C" w:rsidRPr="00742407" w14:paraId="0AB9731C" w14:textId="77777777" w:rsidTr="00EF4134">
        <w:trPr>
          <w:trHeight w:val="548"/>
        </w:trPr>
        <w:tc>
          <w:tcPr>
            <w:tcW w:w="1890" w:type="dxa"/>
            <w:shd w:val="clear" w:color="auto" w:fill="EEECE1"/>
          </w:tcPr>
          <w:p w14:paraId="0B0D21CC" w14:textId="5CE2EB38"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495C66" w:rsidRPr="00742407">
              <w:rPr>
                <w:lang w:val="en-US" w:eastAsia="en-US"/>
              </w:rPr>
              <w:t>2</w:t>
            </w:r>
            <w:r w:rsidRPr="00742407">
              <w:rPr>
                <w:lang w:val="en-US" w:eastAsia="en-US"/>
              </w:rPr>
              <w:t>.1.2</w:t>
            </w:r>
          </w:p>
          <w:p w14:paraId="11D648CF"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955" w:type="dxa"/>
            <w:shd w:val="clear" w:color="auto" w:fill="EEECE1"/>
          </w:tcPr>
          <w:p w14:paraId="64B3DB6E" w14:textId="7DB9FF2E" w:rsidR="00141A6C" w:rsidRPr="00742407" w:rsidRDefault="00EF4134" w:rsidP="00EF4134">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de Centrafricains ayant eu accès à l’aide légale.</w:t>
            </w:r>
          </w:p>
        </w:tc>
        <w:tc>
          <w:tcPr>
            <w:tcW w:w="1710" w:type="dxa"/>
            <w:shd w:val="clear" w:color="auto" w:fill="EEECE1"/>
          </w:tcPr>
          <w:p w14:paraId="62F5E792" w14:textId="119A7AE5" w:rsidR="00141A6C" w:rsidRPr="00742407" w:rsidRDefault="004A3338" w:rsidP="004A3338">
            <w:pPr>
              <w:jc w:val="center"/>
              <w:rPr>
                <w:bCs/>
                <w:lang w:val="fr-FR"/>
              </w:rPr>
            </w:pPr>
            <w:r w:rsidRPr="00742407">
              <w:rPr>
                <w:bCs/>
                <w:lang w:val="fr-FR"/>
              </w:rPr>
              <w:t>21000</w:t>
            </w:r>
          </w:p>
        </w:tc>
        <w:tc>
          <w:tcPr>
            <w:tcW w:w="1692" w:type="dxa"/>
          </w:tcPr>
          <w:p w14:paraId="0EC1B95D" w14:textId="070A07B3" w:rsidR="00141A6C" w:rsidRPr="00742407" w:rsidRDefault="00EF4134" w:rsidP="004A3338">
            <w:pPr>
              <w:jc w:val="center"/>
              <w:rPr>
                <w:bCs/>
                <w:lang w:val="fr-FR"/>
              </w:rPr>
            </w:pPr>
            <w:r w:rsidRPr="00742407">
              <w:rPr>
                <w:bCs/>
                <w:lang w:val="fr-FR"/>
              </w:rPr>
              <w:t>19 307</w:t>
            </w:r>
          </w:p>
        </w:tc>
        <w:tc>
          <w:tcPr>
            <w:tcW w:w="1701" w:type="dxa"/>
          </w:tcPr>
          <w:p w14:paraId="38F0D8C9"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EF4134" w:rsidRPr="00742407" w14:paraId="6AD09725" w14:textId="77777777" w:rsidTr="00EF4134">
        <w:trPr>
          <w:trHeight w:val="548"/>
        </w:trPr>
        <w:tc>
          <w:tcPr>
            <w:tcW w:w="1890" w:type="dxa"/>
            <w:shd w:val="clear" w:color="auto" w:fill="EEECE1"/>
          </w:tcPr>
          <w:p w14:paraId="0781B5B8" w14:textId="66C2420D" w:rsidR="00EF4134" w:rsidRPr="00742407" w:rsidRDefault="00EF4134" w:rsidP="00EF4134">
            <w:pPr>
              <w:jc w:val="both"/>
              <w:rPr>
                <w:lang w:val="en-US" w:eastAsia="en-US"/>
              </w:rPr>
            </w:pPr>
            <w:proofErr w:type="spellStart"/>
            <w:r w:rsidRPr="00742407">
              <w:rPr>
                <w:b/>
                <w:lang w:val="en-US" w:eastAsia="en-US"/>
              </w:rPr>
              <w:t>Indicateur</w:t>
            </w:r>
            <w:proofErr w:type="spellEnd"/>
            <w:r w:rsidRPr="00742407">
              <w:rPr>
                <w:lang w:val="en-US" w:eastAsia="en-US"/>
              </w:rPr>
              <w:t xml:space="preserve"> 2.1.3</w:t>
            </w:r>
          </w:p>
          <w:p w14:paraId="1624FE55" w14:textId="77777777" w:rsidR="00EF4134" w:rsidRPr="00742407" w:rsidRDefault="00EF4134" w:rsidP="00EF4134">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955" w:type="dxa"/>
            <w:shd w:val="clear" w:color="auto" w:fill="EEECE1"/>
          </w:tcPr>
          <w:p w14:paraId="243DB5FB" w14:textId="00A2996E" w:rsidR="00EF4134" w:rsidRPr="00742407" w:rsidRDefault="00EF4134" w:rsidP="00EF4134">
            <w:pPr>
              <w:rPr>
                <w:lang w:val="fr-FR"/>
              </w:rPr>
            </w:pPr>
            <w:r w:rsidRPr="00742407">
              <w:rPr>
                <w:bCs/>
                <w:lang w:val="fr-FR"/>
              </w:rPr>
              <w:t xml:space="preserve">Nombre de </w:t>
            </w:r>
            <w:proofErr w:type="spellStart"/>
            <w:r w:rsidRPr="00742407">
              <w:rPr>
                <w:bCs/>
                <w:lang w:val="fr-FR"/>
              </w:rPr>
              <w:t>MoU</w:t>
            </w:r>
            <w:proofErr w:type="spellEnd"/>
            <w:r w:rsidRPr="00742407">
              <w:rPr>
                <w:bCs/>
                <w:lang w:val="fr-FR"/>
              </w:rPr>
              <w:t>/</w:t>
            </w:r>
            <w:proofErr w:type="spellStart"/>
            <w:r w:rsidRPr="00742407">
              <w:rPr>
                <w:bCs/>
                <w:lang w:val="fr-FR"/>
              </w:rPr>
              <w:t>LoA</w:t>
            </w:r>
            <w:proofErr w:type="spellEnd"/>
            <w:r w:rsidRPr="00742407">
              <w:rPr>
                <w:bCs/>
                <w:lang w:val="fr-FR"/>
              </w:rPr>
              <w:t>/RPA signés avec des OSC intervenant dans le secteur</w:t>
            </w:r>
          </w:p>
        </w:tc>
        <w:tc>
          <w:tcPr>
            <w:tcW w:w="1710" w:type="dxa"/>
            <w:shd w:val="clear" w:color="auto" w:fill="EEECE1"/>
          </w:tcPr>
          <w:p w14:paraId="6E7B3360" w14:textId="639F6D9B" w:rsidR="00EF4134" w:rsidRPr="00742407" w:rsidRDefault="00EF4134" w:rsidP="004A3338">
            <w:pPr>
              <w:jc w:val="center"/>
            </w:pPr>
            <w:r w:rsidRPr="00742407">
              <w:t xml:space="preserve">Non </w:t>
            </w:r>
            <w:proofErr w:type="spellStart"/>
            <w:r w:rsidRPr="00742407">
              <w:t>déterminé</w:t>
            </w:r>
            <w:proofErr w:type="spellEnd"/>
          </w:p>
        </w:tc>
        <w:tc>
          <w:tcPr>
            <w:tcW w:w="1692" w:type="dxa"/>
          </w:tcPr>
          <w:p w14:paraId="076ED7E0" w14:textId="116C553D" w:rsidR="00EF4134" w:rsidRPr="00742407" w:rsidRDefault="00EF4134" w:rsidP="004A3338">
            <w:pPr>
              <w:jc w:val="center"/>
            </w:pPr>
            <w:r w:rsidRPr="00742407">
              <w:t xml:space="preserve">Non </w:t>
            </w:r>
            <w:proofErr w:type="spellStart"/>
            <w:r w:rsidRPr="00742407">
              <w:t>déterminé</w:t>
            </w:r>
            <w:proofErr w:type="spellEnd"/>
          </w:p>
        </w:tc>
        <w:tc>
          <w:tcPr>
            <w:tcW w:w="1701" w:type="dxa"/>
          </w:tcPr>
          <w:p w14:paraId="425C525D" w14:textId="43AB9870" w:rsidR="00EF4134" w:rsidRPr="00742407" w:rsidRDefault="00EF4134" w:rsidP="00EF4134">
            <w:r w:rsidRPr="00742407">
              <w:t xml:space="preserve">Non </w:t>
            </w:r>
            <w:proofErr w:type="spellStart"/>
            <w:r w:rsidRPr="00742407">
              <w:t>déterminé</w:t>
            </w:r>
            <w:proofErr w:type="spellEnd"/>
          </w:p>
        </w:tc>
      </w:tr>
    </w:tbl>
    <w:p w14:paraId="46805DCD" w14:textId="77777777" w:rsidR="00E36380" w:rsidRPr="00742407" w:rsidRDefault="00E36380" w:rsidP="00E36380">
      <w:pPr>
        <w:rPr>
          <w:b/>
          <w:u w:val="single"/>
          <w:lang w:val="fr-FR"/>
        </w:rPr>
      </w:pPr>
    </w:p>
    <w:p w14:paraId="0C94160B" w14:textId="042F2351" w:rsidR="009F32CC" w:rsidRPr="00742407" w:rsidRDefault="00141A6C" w:rsidP="00E36380">
      <w:pPr>
        <w:ind w:left="-360"/>
        <w:rPr>
          <w:bCs/>
          <w:lang w:val="fr-FR"/>
        </w:rPr>
      </w:pPr>
      <w:r w:rsidRPr="00742407">
        <w:rPr>
          <w:b/>
          <w:u w:val="single"/>
          <w:lang w:val="fr-FR"/>
        </w:rPr>
        <w:t xml:space="preserve">Produit </w:t>
      </w:r>
      <w:r w:rsidR="00495C66" w:rsidRPr="00742407">
        <w:rPr>
          <w:b/>
          <w:u w:val="single"/>
          <w:lang w:val="fr-FR"/>
        </w:rPr>
        <w:t>2</w:t>
      </w:r>
      <w:r w:rsidRPr="00742407">
        <w:rPr>
          <w:b/>
          <w:u w:val="single"/>
          <w:lang w:val="fr-FR"/>
        </w:rPr>
        <w:t>.2 </w:t>
      </w:r>
      <w:r w:rsidRPr="00742407">
        <w:rPr>
          <w:bCs/>
          <w:lang w:val="fr-FR"/>
        </w:rPr>
        <w:t>:</w:t>
      </w:r>
      <w:r w:rsidR="009F32CC" w:rsidRPr="00742407">
        <w:rPr>
          <w:bCs/>
          <w:lang w:val="fr-FR"/>
        </w:rPr>
        <w:t xml:space="preserve"> </w:t>
      </w:r>
      <w:r w:rsidR="00E40C1B">
        <w:rPr>
          <w:bCs/>
          <w:lang w:val="fr-FR"/>
        </w:rPr>
        <w:t>l</w:t>
      </w:r>
      <w:r w:rsidR="00E40C1B" w:rsidRPr="00742407">
        <w:rPr>
          <w:bCs/>
          <w:lang w:val="fr-FR"/>
        </w:rPr>
        <w:t xml:space="preserve">es </w:t>
      </w:r>
      <w:r w:rsidR="009F32CC" w:rsidRPr="00742407">
        <w:rPr>
          <w:bCs/>
          <w:lang w:val="fr-FR"/>
        </w:rPr>
        <w:t>victimes et témoins ont accès aux mécanismes de protection en accédant aux juridictions ordinaires, la CPS et/ou la CVJRR</w:t>
      </w:r>
    </w:p>
    <w:p w14:paraId="277AB721" w14:textId="6807C16B" w:rsidR="00141A6C" w:rsidRPr="00742407" w:rsidRDefault="00141A6C" w:rsidP="00E36380">
      <w:pPr>
        <w:ind w:left="-360"/>
        <w:rPr>
          <w:bCs/>
          <w:lang w:val="fr-FR"/>
        </w:rPr>
      </w:pPr>
      <w:r w:rsidRPr="00742407">
        <w:rPr>
          <w:bCs/>
          <w:lang w:val="fr-FR"/>
        </w:rPr>
        <w:t xml:space="preserve"> </w:t>
      </w:r>
      <w:sdt>
        <w:sdtPr>
          <w:rPr>
            <w:bCs/>
            <w:lang w:val="fr-FR"/>
          </w:rPr>
          <w:id w:val="-772079402"/>
          <w:placeholder>
            <w:docPart w:val="DefaultPlaceholder_-1854013440"/>
          </w:placeholder>
        </w:sdtPr>
        <w:sdtContent>
          <w:r w:rsidR="00E36380" w:rsidRPr="00742407">
            <w:rPr>
              <w:bCs/>
              <w:lang w:val="fr-FR"/>
            </w:rPr>
            <w:tab/>
          </w:r>
          <w:r w:rsidR="00E36380" w:rsidRPr="00742407">
            <w:rPr>
              <w:bCs/>
              <w:lang w:val="fr-FR"/>
            </w:rPr>
            <w:tab/>
          </w:r>
        </w:sdtContent>
      </w:sdt>
    </w:p>
    <w:tbl>
      <w:tblPr>
        <w:tblW w:w="976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955"/>
        <w:gridCol w:w="1701"/>
        <w:gridCol w:w="1620"/>
        <w:gridCol w:w="1598"/>
      </w:tblGrid>
      <w:tr w:rsidR="005B4331" w:rsidRPr="006B0660" w14:paraId="7A1DD46A" w14:textId="77777777" w:rsidTr="009F32CC">
        <w:trPr>
          <w:tblHeader/>
        </w:trPr>
        <w:tc>
          <w:tcPr>
            <w:tcW w:w="1890" w:type="dxa"/>
            <w:shd w:val="clear" w:color="auto" w:fill="EEECE1"/>
          </w:tcPr>
          <w:p w14:paraId="29D0288F" w14:textId="10A3A9ED" w:rsidR="005B4331" w:rsidRPr="00742407" w:rsidRDefault="005B4331" w:rsidP="005B4331">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955" w:type="dxa"/>
            <w:shd w:val="clear" w:color="auto" w:fill="EEECE1"/>
          </w:tcPr>
          <w:p w14:paraId="63B3917F" w14:textId="71BAB539" w:rsidR="005B4331" w:rsidRPr="00742407" w:rsidRDefault="005B4331" w:rsidP="005B4331">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701" w:type="dxa"/>
            <w:shd w:val="clear" w:color="auto" w:fill="EEECE1"/>
          </w:tcPr>
          <w:p w14:paraId="7AE1ABD2" w14:textId="501D1965" w:rsidR="005B4331" w:rsidRPr="00742407" w:rsidRDefault="005B4331" w:rsidP="005B4331">
            <w:pPr>
              <w:jc w:val="center"/>
              <w:rPr>
                <w:b/>
                <w:lang w:val="fr-FR" w:eastAsia="en-US"/>
              </w:rPr>
            </w:pPr>
            <w:r w:rsidRPr="00742407">
              <w:rPr>
                <w:b/>
                <w:sz w:val="22"/>
                <w:szCs w:val="22"/>
                <w:lang w:val="fr-FR" w:eastAsia="en-US"/>
              </w:rPr>
              <w:t>Cible de fin de projet</w:t>
            </w:r>
          </w:p>
        </w:tc>
        <w:tc>
          <w:tcPr>
            <w:tcW w:w="1620" w:type="dxa"/>
          </w:tcPr>
          <w:p w14:paraId="3E898CB4" w14:textId="25887A00" w:rsidR="005B4331" w:rsidRPr="00742407" w:rsidRDefault="005B4331" w:rsidP="005B4331">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1598" w:type="dxa"/>
          </w:tcPr>
          <w:p w14:paraId="3DE7A125" w14:textId="16EE8CCA" w:rsidR="005B4331" w:rsidRPr="00742407" w:rsidRDefault="005B4331" w:rsidP="005B4331">
            <w:pPr>
              <w:jc w:val="center"/>
              <w:rPr>
                <w:b/>
                <w:lang w:val="fr-FR" w:eastAsia="en-US"/>
              </w:rPr>
            </w:pPr>
            <w:r w:rsidRPr="00742407">
              <w:rPr>
                <w:b/>
                <w:sz w:val="22"/>
                <w:szCs w:val="22"/>
                <w:lang w:val="fr-FR" w:eastAsia="en-US"/>
              </w:rPr>
              <w:t>Raisons pour les retards ou changements (s'il y en a)</w:t>
            </w:r>
          </w:p>
        </w:tc>
      </w:tr>
      <w:tr w:rsidR="009F32CC" w:rsidRPr="00742407" w14:paraId="4D4A4172" w14:textId="77777777" w:rsidTr="009F32CC">
        <w:trPr>
          <w:trHeight w:val="548"/>
        </w:trPr>
        <w:tc>
          <w:tcPr>
            <w:tcW w:w="1890" w:type="dxa"/>
            <w:shd w:val="clear" w:color="auto" w:fill="EEECE1"/>
          </w:tcPr>
          <w:p w14:paraId="656AEDC0" w14:textId="5C31A364" w:rsidR="009F32CC" w:rsidRPr="00742407" w:rsidRDefault="009F32CC" w:rsidP="009F32CC">
            <w:pPr>
              <w:jc w:val="both"/>
              <w:rPr>
                <w:lang w:val="en-US" w:eastAsia="en-US"/>
              </w:rPr>
            </w:pPr>
            <w:proofErr w:type="spellStart"/>
            <w:r w:rsidRPr="00742407">
              <w:rPr>
                <w:b/>
                <w:lang w:val="en-US" w:eastAsia="en-US"/>
              </w:rPr>
              <w:t>Indicateur</w:t>
            </w:r>
            <w:proofErr w:type="spellEnd"/>
            <w:r w:rsidRPr="00742407">
              <w:rPr>
                <w:lang w:val="en-US" w:eastAsia="en-US"/>
              </w:rPr>
              <w:t xml:space="preserve"> 2.2.1</w:t>
            </w:r>
          </w:p>
          <w:p w14:paraId="522FD9B5" w14:textId="77777777" w:rsidR="009F32CC" w:rsidRPr="00742407" w:rsidRDefault="009F32CC" w:rsidP="009F32CC">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955" w:type="dxa"/>
            <w:shd w:val="clear" w:color="auto" w:fill="EEECE1"/>
          </w:tcPr>
          <w:p w14:paraId="10BFD15E" w14:textId="2A17C8FD" w:rsidR="009F32CC" w:rsidRPr="00742407" w:rsidRDefault="009F32CC" w:rsidP="009F32CC">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de victimes ayant reçu une assistance de protection V/T</w:t>
            </w:r>
          </w:p>
        </w:tc>
        <w:tc>
          <w:tcPr>
            <w:tcW w:w="1701" w:type="dxa"/>
            <w:shd w:val="clear" w:color="auto" w:fill="EEECE1"/>
          </w:tcPr>
          <w:p w14:paraId="29CFCA1B" w14:textId="6E695012" w:rsidR="009F32CC" w:rsidRPr="00742407" w:rsidRDefault="009F32CC" w:rsidP="004A3338">
            <w:pPr>
              <w:jc w:val="center"/>
              <w:rPr>
                <w:bCs/>
                <w:lang w:val="fr-FR"/>
              </w:rPr>
            </w:pPr>
            <w:r w:rsidRPr="00742407">
              <w:rPr>
                <w:bCs/>
                <w:lang w:val="fr-FR"/>
              </w:rPr>
              <w:t>Non déterminé</w:t>
            </w:r>
          </w:p>
        </w:tc>
        <w:tc>
          <w:tcPr>
            <w:tcW w:w="1620" w:type="dxa"/>
          </w:tcPr>
          <w:p w14:paraId="2389482D" w14:textId="5931BB2C" w:rsidR="009F32CC" w:rsidRPr="00742407" w:rsidRDefault="009F32CC" w:rsidP="004A3338">
            <w:pPr>
              <w:jc w:val="center"/>
              <w:rPr>
                <w:bCs/>
                <w:lang w:val="fr-FR"/>
              </w:rPr>
            </w:pPr>
            <w:r w:rsidRPr="00742407">
              <w:rPr>
                <w:bCs/>
                <w:lang w:val="fr-FR"/>
              </w:rPr>
              <w:t>Non déterminé</w:t>
            </w:r>
          </w:p>
        </w:tc>
        <w:tc>
          <w:tcPr>
            <w:tcW w:w="1598" w:type="dxa"/>
          </w:tcPr>
          <w:p w14:paraId="64A29C12" w14:textId="77777777" w:rsidR="009F32CC" w:rsidRPr="00742407" w:rsidRDefault="009F32CC" w:rsidP="009F32CC">
            <w:pPr>
              <w:rPr>
                <w:bCs/>
                <w:lang w:val="fr-FR"/>
              </w:rPr>
            </w:pPr>
            <w:r w:rsidRPr="00742407">
              <w:rPr>
                <w:bCs/>
                <w:lang w:val="fr-FR"/>
              </w:rPr>
              <w:fldChar w:fldCharType="begin">
                <w:ffData>
                  <w:name w:val=""/>
                  <w:enabled/>
                  <w:calcOnExit w:val="0"/>
                  <w:textInput>
                    <w:maxLength w:val="30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fldChar w:fldCharType="end"/>
            </w:r>
          </w:p>
        </w:tc>
      </w:tr>
      <w:tr w:rsidR="00141A6C" w:rsidRPr="00742407" w14:paraId="4C55780F" w14:textId="77777777" w:rsidTr="009F32CC">
        <w:trPr>
          <w:trHeight w:val="548"/>
        </w:trPr>
        <w:tc>
          <w:tcPr>
            <w:tcW w:w="1890" w:type="dxa"/>
            <w:shd w:val="clear" w:color="auto" w:fill="EEECE1"/>
          </w:tcPr>
          <w:p w14:paraId="34BD8343" w14:textId="3DAF7076"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495C66" w:rsidRPr="00742407">
              <w:rPr>
                <w:lang w:val="en-US" w:eastAsia="en-US"/>
              </w:rPr>
              <w:t>2</w:t>
            </w:r>
            <w:r w:rsidRPr="00742407">
              <w:rPr>
                <w:lang w:val="en-US" w:eastAsia="en-US"/>
              </w:rPr>
              <w:t>.2.2</w:t>
            </w:r>
          </w:p>
          <w:p w14:paraId="65617ACD"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955" w:type="dxa"/>
            <w:shd w:val="clear" w:color="auto" w:fill="EEECE1"/>
          </w:tcPr>
          <w:p w14:paraId="67B10607" w14:textId="3CFC8222" w:rsidR="00141A6C" w:rsidRPr="00742407" w:rsidRDefault="00EF4134" w:rsidP="009F32CC">
            <w:pPr>
              <w:rPr>
                <w:bCs/>
                <w:lang w:val="fr-FR"/>
              </w:rPr>
            </w:pPr>
            <w:r w:rsidRPr="00742407">
              <w:rPr>
                <w:bCs/>
                <w:lang w:val="fr-FR"/>
              </w:rPr>
              <w:t>Existence de mécanismes de protection des victimes et témoins promouvant la coordination entre l’expertise dans la CPS et l’appui des organisations de la société civile</w:t>
            </w:r>
          </w:p>
        </w:tc>
        <w:tc>
          <w:tcPr>
            <w:tcW w:w="1701" w:type="dxa"/>
            <w:shd w:val="clear" w:color="auto" w:fill="EEECE1"/>
          </w:tcPr>
          <w:p w14:paraId="0D41288B" w14:textId="016D3CF0" w:rsidR="00141A6C" w:rsidRPr="00742407" w:rsidRDefault="001935D4" w:rsidP="004A3338">
            <w:pPr>
              <w:jc w:val="center"/>
              <w:rPr>
                <w:bCs/>
                <w:lang w:val="fr-FR"/>
              </w:rPr>
            </w:pPr>
            <w:r w:rsidRPr="00742407">
              <w:rPr>
                <w:bCs/>
                <w:lang w:val="fr-FR"/>
              </w:rPr>
              <w:t>1</w:t>
            </w:r>
          </w:p>
        </w:tc>
        <w:tc>
          <w:tcPr>
            <w:tcW w:w="1620" w:type="dxa"/>
          </w:tcPr>
          <w:p w14:paraId="17BD027D" w14:textId="07E384B0" w:rsidR="00141A6C" w:rsidRPr="00742407" w:rsidRDefault="009F32CC" w:rsidP="004A3338">
            <w:pPr>
              <w:jc w:val="center"/>
              <w:rPr>
                <w:bCs/>
                <w:lang w:val="fr-FR"/>
              </w:rPr>
            </w:pPr>
            <w:r w:rsidRPr="00742407">
              <w:rPr>
                <w:bCs/>
                <w:lang w:val="fr-FR"/>
              </w:rPr>
              <w:t>0</w:t>
            </w:r>
          </w:p>
        </w:tc>
        <w:tc>
          <w:tcPr>
            <w:tcW w:w="1598" w:type="dxa"/>
          </w:tcPr>
          <w:p w14:paraId="49152C68"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141A6C" w:rsidRPr="00742407" w14:paraId="6BD233AE" w14:textId="77777777" w:rsidTr="009F32CC">
        <w:trPr>
          <w:trHeight w:val="548"/>
        </w:trPr>
        <w:tc>
          <w:tcPr>
            <w:tcW w:w="1890" w:type="dxa"/>
            <w:shd w:val="clear" w:color="auto" w:fill="EEECE1"/>
          </w:tcPr>
          <w:p w14:paraId="05EBAEF8" w14:textId="0176CE16" w:rsidR="00141A6C" w:rsidRPr="00742407" w:rsidRDefault="00141A6C" w:rsidP="003F1977">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495C66" w:rsidRPr="00742407">
              <w:rPr>
                <w:lang w:val="en-US" w:eastAsia="en-US"/>
              </w:rPr>
              <w:t>2</w:t>
            </w:r>
            <w:r w:rsidRPr="00742407">
              <w:rPr>
                <w:lang w:val="en-US" w:eastAsia="en-US"/>
              </w:rPr>
              <w:t>.2.3</w:t>
            </w:r>
          </w:p>
          <w:p w14:paraId="3DA41990" w14:textId="77777777" w:rsidR="00141A6C" w:rsidRPr="00742407" w:rsidRDefault="00141A6C" w:rsidP="003F1977">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955" w:type="dxa"/>
            <w:shd w:val="clear" w:color="auto" w:fill="EEECE1"/>
          </w:tcPr>
          <w:p w14:paraId="5B758F5D"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701" w:type="dxa"/>
            <w:shd w:val="clear" w:color="auto" w:fill="EEECE1"/>
          </w:tcPr>
          <w:p w14:paraId="4809CBC2"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3ADABDAC"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598" w:type="dxa"/>
          </w:tcPr>
          <w:p w14:paraId="74AB5469" w14:textId="77777777" w:rsidR="00141A6C" w:rsidRPr="00742407" w:rsidRDefault="00141A6C" w:rsidP="003F1977">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7A159E02" w14:textId="77777777" w:rsidR="00141A6C" w:rsidRPr="00742407" w:rsidRDefault="00141A6C" w:rsidP="00141A6C">
      <w:pPr>
        <w:ind w:left="-720"/>
        <w:rPr>
          <w:b/>
          <w:u w:val="single"/>
          <w:lang w:val="fr-FR"/>
        </w:rPr>
      </w:pPr>
    </w:p>
    <w:p w14:paraId="1B1C0677" w14:textId="77777777" w:rsidR="00141A6C" w:rsidRPr="00742407" w:rsidRDefault="00141A6C" w:rsidP="00141A6C">
      <w:pPr>
        <w:ind w:left="-720"/>
        <w:rPr>
          <w:b/>
          <w:u w:val="single"/>
          <w:lang w:val="fr-FR"/>
        </w:rPr>
      </w:pPr>
    </w:p>
    <w:p w14:paraId="65216CEE" w14:textId="253CF8B3" w:rsidR="009F32CC" w:rsidRPr="00742407" w:rsidRDefault="009F32CC" w:rsidP="009F32CC">
      <w:pPr>
        <w:ind w:left="-284"/>
        <w:jc w:val="both"/>
        <w:rPr>
          <w:b/>
          <w:bCs/>
          <w:lang w:val="fr-FR"/>
        </w:rPr>
      </w:pPr>
      <w:r w:rsidRPr="00742407">
        <w:rPr>
          <w:b/>
          <w:u w:val="single"/>
          <w:lang w:val="fr-FR"/>
        </w:rPr>
        <w:t>Résultat</w:t>
      </w:r>
      <w:r w:rsidR="004D2003" w:rsidRPr="00742407">
        <w:rPr>
          <w:b/>
          <w:u w:val="single"/>
          <w:lang w:val="fr-FR"/>
        </w:rPr>
        <w:t xml:space="preserve"> 3 </w:t>
      </w:r>
      <w:r w:rsidRPr="00742407">
        <w:rPr>
          <w:b/>
          <w:u w:val="single"/>
          <w:lang w:val="fr-FR"/>
        </w:rPr>
        <w:t>:</w:t>
      </w:r>
      <w:r w:rsidRPr="00742407">
        <w:rPr>
          <w:b/>
          <w:lang w:val="fr-FR"/>
        </w:rPr>
        <w:t xml:space="preserve"> </w:t>
      </w:r>
      <w:r w:rsidR="00E40C1B">
        <w:rPr>
          <w:b/>
          <w:bCs/>
          <w:lang w:val="fr-FR"/>
        </w:rPr>
        <w:t>l</w:t>
      </w:r>
      <w:r w:rsidR="00E40C1B" w:rsidRPr="00742407">
        <w:rPr>
          <w:b/>
          <w:bCs/>
          <w:lang w:val="fr-FR"/>
        </w:rPr>
        <w:t xml:space="preserve">e </w:t>
      </w:r>
      <w:r w:rsidR="004D2003" w:rsidRPr="00742407">
        <w:rPr>
          <w:b/>
          <w:bCs/>
          <w:lang w:val="fr-FR"/>
        </w:rPr>
        <w:t>travail de gestion de la mémoire et de recherche de la vérité est engagé par un appui technique et opérationnel à la Commission Vérité, Justice, Réparation et Réconciliation CVJRR) et aux organisations de la société civile, y compris les associations de victimes.</w:t>
      </w:r>
    </w:p>
    <w:p w14:paraId="4E5CC59F" w14:textId="77777777" w:rsidR="009F32CC" w:rsidRPr="00742407" w:rsidRDefault="009F32CC" w:rsidP="009F32CC">
      <w:pPr>
        <w:ind w:left="-426"/>
        <w:jc w:val="both"/>
        <w:rPr>
          <w:b/>
          <w:lang w:val="fr-FR"/>
        </w:rPr>
      </w:pPr>
    </w:p>
    <w:p w14:paraId="58163276" w14:textId="77777777" w:rsidR="009F32CC" w:rsidRPr="00742407" w:rsidRDefault="009F32CC" w:rsidP="009F32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742407">
        <w:rPr>
          <w:b/>
          <w:bCs/>
          <w:color w:val="212121"/>
          <w:lang w:val="fr-FR"/>
        </w:rPr>
        <w:t>Veuillez évaluer l'état actuel des progrès du résultat</w:t>
      </w:r>
      <w:r w:rsidRPr="00742407">
        <w:rPr>
          <w:color w:val="212121"/>
          <w:lang w:val="fr-FR"/>
        </w:rPr>
        <w:t xml:space="preserve"> :</w:t>
      </w:r>
      <w:r w:rsidRPr="00742407">
        <w:rPr>
          <w:b/>
          <w:lang w:val="fr-FR"/>
        </w:rPr>
        <w:t xml:space="preserve"> </w:t>
      </w:r>
      <w:r w:rsidRPr="00742407">
        <w:rPr>
          <w:b/>
          <w:bCs/>
          <w:lang w:val="fr-FR"/>
        </w:rPr>
        <w:t>ON TRACK</w:t>
      </w:r>
    </w:p>
    <w:p w14:paraId="669AC091" w14:textId="77777777" w:rsidR="009F32CC" w:rsidRPr="00742407" w:rsidRDefault="009F32CC" w:rsidP="009F32CC">
      <w:pPr>
        <w:ind w:hanging="360"/>
        <w:jc w:val="both"/>
        <w:rPr>
          <w:b/>
          <w:lang w:val="fr-FR"/>
        </w:rPr>
      </w:pPr>
    </w:p>
    <w:p w14:paraId="59DA6380" w14:textId="11570357" w:rsidR="009F32CC" w:rsidRPr="00742407" w:rsidRDefault="009F32CC" w:rsidP="009F32CC">
      <w:pPr>
        <w:ind w:hanging="360"/>
        <w:jc w:val="both"/>
        <w:rPr>
          <w:i/>
          <w:lang w:val="fr-FR"/>
        </w:rPr>
      </w:pPr>
      <w:r w:rsidRPr="00742407">
        <w:rPr>
          <w:b/>
          <w:lang w:val="fr-FR"/>
        </w:rPr>
        <w:t xml:space="preserve">Résumé de </w:t>
      </w:r>
      <w:r w:rsidR="004D2003" w:rsidRPr="00742407">
        <w:rPr>
          <w:b/>
          <w:bCs/>
          <w:color w:val="212121"/>
          <w:lang w:val="fr-FR"/>
        </w:rPr>
        <w:t>progrès</w:t>
      </w:r>
      <w:r w:rsidR="004D2003" w:rsidRPr="00742407">
        <w:rPr>
          <w:b/>
          <w:lang w:val="fr-FR"/>
        </w:rPr>
        <w:t xml:space="preserve"> :</w:t>
      </w:r>
      <w:r w:rsidRPr="00742407">
        <w:rPr>
          <w:b/>
          <w:lang w:val="fr-FR"/>
        </w:rPr>
        <w:t xml:space="preserve"> </w:t>
      </w:r>
      <w:r w:rsidRPr="00742407">
        <w:rPr>
          <w:color w:val="212121"/>
          <w:lang w:val="fr-FR"/>
        </w:rPr>
        <w:t>(Limite de 350 mots)</w:t>
      </w:r>
    </w:p>
    <w:p w14:paraId="2A2803C3" w14:textId="77777777" w:rsidR="009F32CC" w:rsidRPr="00742407" w:rsidRDefault="009F32CC" w:rsidP="009F32CC">
      <w:pPr>
        <w:ind w:hanging="360"/>
        <w:rPr>
          <w:b/>
          <w:highlight w:val="yellow"/>
          <w:lang w:val="fr-FR"/>
        </w:rPr>
      </w:pPr>
    </w:p>
    <w:p w14:paraId="0193321C" w14:textId="7A55C1EB" w:rsidR="004D2003" w:rsidRPr="00742407" w:rsidRDefault="004D2003" w:rsidP="004D2003">
      <w:pPr>
        <w:ind w:left="-360"/>
        <w:jc w:val="both"/>
        <w:rPr>
          <w:lang w:val="fr-FR"/>
        </w:rPr>
      </w:pPr>
      <w:bookmarkStart w:id="15" w:name="_Hlk142015657"/>
      <w:r w:rsidRPr="00742407">
        <w:rPr>
          <w:lang w:val="fr-FR"/>
        </w:rPr>
        <w:t xml:space="preserve">Conformément à la Loi du 7 Avril 2020 et à l’issue du processus de sélection transparent, les 11 Commissaires, dont 5 femmes, ont prêté serment le 2 </w:t>
      </w:r>
      <w:r w:rsidR="00166F9A">
        <w:rPr>
          <w:lang w:val="fr-FR"/>
        </w:rPr>
        <w:t>j</w:t>
      </w:r>
      <w:r w:rsidRPr="00742407">
        <w:rPr>
          <w:lang w:val="fr-FR"/>
        </w:rPr>
        <w:t xml:space="preserve">uillet 2021 marquant ainsi le démarrage officiel des travaux de la CVJRR. Le projet </w:t>
      </w:r>
      <w:r w:rsidR="00166F9A">
        <w:rPr>
          <w:lang w:val="fr-FR"/>
        </w:rPr>
        <w:t xml:space="preserve">apporte </w:t>
      </w:r>
      <w:r w:rsidRPr="00742407">
        <w:rPr>
          <w:lang w:val="fr-FR"/>
        </w:rPr>
        <w:t>l’appui-conseil, le plaidoyer politique et l’appui opérationnel nécessaire a</w:t>
      </w:r>
      <w:r w:rsidR="007F1CC1">
        <w:rPr>
          <w:lang w:val="fr-FR"/>
        </w:rPr>
        <w:t>u</w:t>
      </w:r>
      <w:r w:rsidRPr="00742407">
        <w:rPr>
          <w:lang w:val="fr-FR"/>
        </w:rPr>
        <w:t xml:space="preserve"> lancement de</w:t>
      </w:r>
      <w:r w:rsidR="00166F9A">
        <w:rPr>
          <w:lang w:val="fr-FR"/>
        </w:rPr>
        <w:t>s</w:t>
      </w:r>
      <w:r w:rsidRPr="00742407">
        <w:rPr>
          <w:lang w:val="fr-FR"/>
        </w:rPr>
        <w:t xml:space="preserve"> activités</w:t>
      </w:r>
      <w:r w:rsidR="00166F9A">
        <w:rPr>
          <w:lang w:val="fr-FR"/>
        </w:rPr>
        <w:t xml:space="preserve"> de la Commission</w:t>
      </w:r>
      <w:r w:rsidR="007F1CC1">
        <w:rPr>
          <w:lang w:val="fr-FR"/>
        </w:rPr>
        <w:t xml:space="preserve"> et</w:t>
      </w:r>
      <w:r w:rsidRPr="00742407">
        <w:rPr>
          <w:lang w:val="fr-FR"/>
        </w:rPr>
        <w:t xml:space="preserve"> facilit</w:t>
      </w:r>
      <w:r w:rsidR="00166F9A">
        <w:rPr>
          <w:lang w:val="fr-FR"/>
        </w:rPr>
        <w:t>e</w:t>
      </w:r>
      <w:r w:rsidRPr="00742407">
        <w:rPr>
          <w:lang w:val="fr-FR"/>
        </w:rPr>
        <w:t xml:space="preserve"> ainsi le positionnement des Nations Unies (y compris du PBF) sur la CVJRR, la justice transitionnelle et le processus de paix. </w:t>
      </w:r>
    </w:p>
    <w:p w14:paraId="06F5FB6C" w14:textId="77777777" w:rsidR="004D2003" w:rsidRPr="00742407" w:rsidRDefault="004D2003" w:rsidP="004D2003">
      <w:pPr>
        <w:ind w:left="-360"/>
        <w:jc w:val="both"/>
        <w:rPr>
          <w:lang w:val="fr-FR"/>
        </w:rPr>
      </w:pPr>
    </w:p>
    <w:p w14:paraId="25BB07E6" w14:textId="227270B5" w:rsidR="004D2003" w:rsidRPr="00742407" w:rsidRDefault="004D2003" w:rsidP="004D2003">
      <w:pPr>
        <w:ind w:left="-360"/>
        <w:jc w:val="both"/>
        <w:rPr>
          <w:lang w:val="fr-FR"/>
        </w:rPr>
      </w:pPr>
      <w:r w:rsidRPr="00742407">
        <w:rPr>
          <w:lang w:val="fr-FR"/>
        </w:rPr>
        <w:t>La CVJRR a organisé deux retraites stratégiques. La première</w:t>
      </w:r>
      <w:r w:rsidR="007F1CC1">
        <w:rPr>
          <w:lang w:val="fr-FR"/>
        </w:rPr>
        <w:t>,</w:t>
      </w:r>
      <w:r w:rsidRPr="00742407">
        <w:rPr>
          <w:lang w:val="fr-FR"/>
        </w:rPr>
        <w:t xml:space="preserve"> en juillet et en interne pour le « team building » et le début de l’élaboration du Règlement Intérieur. La deuxième, organisée du 6 au 10 Septembre à Bangui, a mobilisé la Ministre de l’Action Humanitaire et de la Solidarité, ainsi que le SRSG et plusieurs ambassadeurs et représentants (Etats Unies, UE, Afrique du Sud) pour une ouverture médiatisée et marquant le lancement visible de la CVJRR comme institution autonome.</w:t>
      </w:r>
    </w:p>
    <w:p w14:paraId="132AC13C" w14:textId="11A9D7F4" w:rsidR="004D2003" w:rsidRPr="00742407" w:rsidRDefault="004D2003" w:rsidP="004D2003">
      <w:pPr>
        <w:ind w:left="-360"/>
        <w:jc w:val="both"/>
        <w:rPr>
          <w:lang w:val="fr-FR"/>
        </w:rPr>
      </w:pPr>
      <w:r w:rsidRPr="00742407">
        <w:rPr>
          <w:lang w:val="fr-FR"/>
        </w:rPr>
        <w:t>Cette retraite a vu la participation de</w:t>
      </w:r>
      <w:r w:rsidR="007F1CC1">
        <w:rPr>
          <w:lang w:val="fr-FR"/>
        </w:rPr>
        <w:t>s</w:t>
      </w:r>
      <w:r w:rsidRPr="00742407">
        <w:rPr>
          <w:lang w:val="fr-FR"/>
        </w:rPr>
        <w:t xml:space="preserve"> Commissaires et experts d’autres pays (Mali, Togo, Tunisie, Gambie, Lybie, Côte d’Ivoire) permettant d’initier de nombreuses discussions thématiques (opérationnalisation, investigations, réparations, communication, etc.) et institutionnelles (complémentarité avec la CPS). Le partenariat conclu avec ICTJ permet la mobilisation de </w:t>
      </w:r>
      <w:r w:rsidR="00166F9A">
        <w:rPr>
          <w:lang w:val="fr-FR"/>
        </w:rPr>
        <w:t>d’</w:t>
      </w:r>
      <w:r w:rsidRPr="00742407">
        <w:rPr>
          <w:lang w:val="fr-FR"/>
        </w:rPr>
        <w:t>experts internationaux qui accompagneront techniquement la CVJRR dans l’élaboration de ses documents et outils stratégiques essentiels pour l’</w:t>
      </w:r>
      <w:r w:rsidR="00742407" w:rsidRPr="00742407">
        <w:rPr>
          <w:lang w:val="fr-FR"/>
        </w:rPr>
        <w:t>opérationnalisation</w:t>
      </w:r>
      <w:r w:rsidRPr="00742407">
        <w:rPr>
          <w:lang w:val="fr-FR"/>
        </w:rPr>
        <w:t xml:space="preserve"> de la Commission et le pilotage des activités quotidiennes en vue d’atteindre les objectifs assignés. Aussi, une coordination est établie avec d’autres organisations internationales </w:t>
      </w:r>
      <w:r w:rsidR="007F1CC1">
        <w:rPr>
          <w:lang w:val="fr-FR"/>
        </w:rPr>
        <w:t>désireuses</w:t>
      </w:r>
      <w:r w:rsidR="007F1CC1" w:rsidRPr="00742407">
        <w:rPr>
          <w:lang w:val="fr-FR"/>
        </w:rPr>
        <w:t xml:space="preserve"> </w:t>
      </w:r>
      <w:r w:rsidR="007F1CC1">
        <w:rPr>
          <w:lang w:val="fr-FR"/>
        </w:rPr>
        <w:t>d’</w:t>
      </w:r>
      <w:r w:rsidRPr="00742407">
        <w:rPr>
          <w:lang w:val="fr-FR"/>
        </w:rPr>
        <w:t>appuyer la commission (</w:t>
      </w:r>
      <w:r w:rsidR="007F1CC1">
        <w:rPr>
          <w:lang w:val="fr-FR"/>
        </w:rPr>
        <w:t>comme le</w:t>
      </w:r>
      <w:r w:rsidRPr="00742407">
        <w:rPr>
          <w:lang w:val="fr-FR"/>
        </w:rPr>
        <w:t xml:space="preserve"> Centre pour le dialogue humanitaire). </w:t>
      </w:r>
    </w:p>
    <w:p w14:paraId="6A43DF3E" w14:textId="77777777" w:rsidR="004D2003" w:rsidRPr="00742407" w:rsidRDefault="004D2003" w:rsidP="004D2003">
      <w:pPr>
        <w:ind w:left="-360"/>
        <w:jc w:val="both"/>
        <w:rPr>
          <w:lang w:val="fr-FR"/>
        </w:rPr>
      </w:pPr>
    </w:p>
    <w:p w14:paraId="3F2AA6A5" w14:textId="6F0F8319" w:rsidR="00BA64A1" w:rsidRDefault="007F1CC1" w:rsidP="004D2003">
      <w:pPr>
        <w:ind w:left="-360"/>
        <w:jc w:val="both"/>
        <w:rPr>
          <w:lang w:val="fr-FR"/>
        </w:rPr>
      </w:pPr>
      <w:r>
        <w:rPr>
          <w:lang w:val="fr-FR"/>
        </w:rPr>
        <w:t>Cependant, l</w:t>
      </w:r>
      <w:r w:rsidR="004D2003" w:rsidRPr="00742407">
        <w:rPr>
          <w:lang w:val="fr-FR"/>
        </w:rPr>
        <w:t xml:space="preserve">a CVJRR </w:t>
      </w:r>
      <w:r>
        <w:rPr>
          <w:lang w:val="fr-FR"/>
        </w:rPr>
        <w:t>est confrontée</w:t>
      </w:r>
      <w:r w:rsidR="004D2003" w:rsidRPr="00742407">
        <w:rPr>
          <w:lang w:val="fr-FR"/>
        </w:rPr>
        <w:t xml:space="preserve"> à de nombreux défis logistiques et opérationnels</w:t>
      </w:r>
      <w:r w:rsidR="00BA64A1">
        <w:rPr>
          <w:lang w:val="fr-FR"/>
        </w:rPr>
        <w:t xml:space="preserve"> (pas de bureaux et de budget</w:t>
      </w:r>
      <w:r w:rsidR="00BA64A1" w:rsidRPr="00742407">
        <w:rPr>
          <w:lang w:val="fr-FR"/>
        </w:rPr>
        <w:t xml:space="preserve"> </w:t>
      </w:r>
      <w:r w:rsidR="00BA64A1">
        <w:rPr>
          <w:lang w:val="fr-FR"/>
        </w:rPr>
        <w:t>autonomes)</w:t>
      </w:r>
      <w:r w:rsidR="004D2003" w:rsidRPr="00742407">
        <w:rPr>
          <w:lang w:val="fr-FR"/>
        </w:rPr>
        <w:t xml:space="preserve">. Des actions de plaidoyer sont menées par </w:t>
      </w:r>
      <w:r w:rsidR="00BA64A1">
        <w:rPr>
          <w:lang w:val="fr-FR"/>
        </w:rPr>
        <w:t xml:space="preserve">les </w:t>
      </w:r>
      <w:r w:rsidR="004D2003" w:rsidRPr="00742407">
        <w:rPr>
          <w:lang w:val="fr-FR"/>
        </w:rPr>
        <w:t xml:space="preserve">Nations Unies </w:t>
      </w:r>
      <w:r w:rsidR="00BA64A1">
        <w:rPr>
          <w:lang w:val="fr-FR"/>
        </w:rPr>
        <w:t>et</w:t>
      </w:r>
      <w:r w:rsidR="004D2003" w:rsidRPr="00742407">
        <w:rPr>
          <w:lang w:val="fr-FR"/>
        </w:rPr>
        <w:t xml:space="preserve"> des représentations diplomatiques auprès</w:t>
      </w:r>
      <w:r w:rsidR="00BA64A1">
        <w:rPr>
          <w:lang w:val="fr-FR"/>
        </w:rPr>
        <w:t xml:space="preserve"> du Gouvernement</w:t>
      </w:r>
      <w:r w:rsidR="004D2003" w:rsidRPr="00742407">
        <w:rPr>
          <w:lang w:val="fr-FR"/>
        </w:rPr>
        <w:t xml:space="preserve"> </w:t>
      </w:r>
      <w:r w:rsidR="00BA64A1">
        <w:rPr>
          <w:lang w:val="fr-FR"/>
        </w:rPr>
        <w:t>afin d’</w:t>
      </w:r>
      <w:r w:rsidR="004D2003" w:rsidRPr="00742407">
        <w:rPr>
          <w:lang w:val="fr-FR"/>
        </w:rPr>
        <w:t>assurer le fonctionnement opérationnel de la</w:t>
      </w:r>
      <w:r w:rsidR="00BA64A1">
        <w:rPr>
          <w:lang w:val="fr-FR"/>
        </w:rPr>
        <w:t xml:space="preserve"> Commission</w:t>
      </w:r>
      <w:r w:rsidR="004D2003" w:rsidRPr="00742407">
        <w:rPr>
          <w:lang w:val="fr-FR"/>
        </w:rPr>
        <w:t xml:space="preserve">. </w:t>
      </w:r>
    </w:p>
    <w:p w14:paraId="6B7CB4FC" w14:textId="6452BD53" w:rsidR="009F32CC" w:rsidRPr="00742407" w:rsidRDefault="00BA64A1" w:rsidP="00A41474">
      <w:pPr>
        <w:jc w:val="both"/>
        <w:rPr>
          <w:lang w:val="fr-FR"/>
        </w:rPr>
      </w:pPr>
      <w:r>
        <w:rPr>
          <w:lang w:val="fr-FR"/>
        </w:rPr>
        <w:t>L</w:t>
      </w:r>
      <w:r w:rsidR="004D2003" w:rsidRPr="00742407">
        <w:rPr>
          <w:lang w:val="fr-FR"/>
        </w:rPr>
        <w:t xml:space="preserve">e projet </w:t>
      </w:r>
      <w:r>
        <w:rPr>
          <w:lang w:val="fr-FR"/>
        </w:rPr>
        <w:t xml:space="preserve">a appuyé </w:t>
      </w:r>
      <w:r w:rsidR="004D2003" w:rsidRPr="00742407">
        <w:rPr>
          <w:lang w:val="fr-FR"/>
        </w:rPr>
        <w:t>l’</w:t>
      </w:r>
      <w:r w:rsidR="00742407" w:rsidRPr="00742407">
        <w:rPr>
          <w:lang w:val="fr-FR"/>
        </w:rPr>
        <w:t>élaboration</w:t>
      </w:r>
      <w:r w:rsidR="004D2003" w:rsidRPr="00742407">
        <w:rPr>
          <w:lang w:val="fr-FR"/>
        </w:rPr>
        <w:t xml:space="preserve"> de</w:t>
      </w:r>
      <w:r>
        <w:rPr>
          <w:lang w:val="fr-FR"/>
        </w:rPr>
        <w:t>s</w:t>
      </w:r>
      <w:r w:rsidR="004D2003" w:rsidRPr="00742407">
        <w:rPr>
          <w:lang w:val="fr-FR"/>
        </w:rPr>
        <w:t xml:space="preserve"> messages stratégiques et </w:t>
      </w:r>
      <w:r>
        <w:rPr>
          <w:lang w:val="fr-FR"/>
        </w:rPr>
        <w:t xml:space="preserve">l’harmonisation de la fluidité de la </w:t>
      </w:r>
      <w:r w:rsidR="004D2003" w:rsidRPr="00742407">
        <w:rPr>
          <w:lang w:val="fr-FR"/>
        </w:rPr>
        <w:t xml:space="preserve">communication avec les Commissaires. </w:t>
      </w:r>
      <w:r>
        <w:rPr>
          <w:lang w:val="fr-FR"/>
        </w:rPr>
        <w:t xml:space="preserve">Il a également facilité </w:t>
      </w:r>
      <w:r w:rsidR="004D2003" w:rsidRPr="00742407">
        <w:rPr>
          <w:lang w:val="fr-FR"/>
        </w:rPr>
        <w:t>la coordination et les synergies avec d’autres intervenants</w:t>
      </w:r>
      <w:r>
        <w:rPr>
          <w:lang w:val="fr-FR"/>
        </w:rPr>
        <w:t>. Ainsi</w:t>
      </w:r>
      <w:r w:rsidR="004D2003" w:rsidRPr="00742407">
        <w:rPr>
          <w:lang w:val="fr-FR"/>
        </w:rPr>
        <w:t xml:space="preserve"> un groupe de coordination des partenaires techniques et financiers </w:t>
      </w:r>
      <w:r>
        <w:rPr>
          <w:lang w:val="fr-FR"/>
        </w:rPr>
        <w:t xml:space="preserve">regroupant </w:t>
      </w:r>
      <w:r w:rsidRPr="00742407">
        <w:rPr>
          <w:lang w:val="fr-FR"/>
        </w:rPr>
        <w:t>le PNUD, OHCHR, ONU Femmes, le Centre pour le Dialogue Humanitaire et l’Institut Francophone pour la Justice et la Démocratie (IFJD)</w:t>
      </w:r>
      <w:r w:rsidR="00AF1DA3">
        <w:rPr>
          <w:lang w:val="fr-FR"/>
        </w:rPr>
        <w:t xml:space="preserve"> </w:t>
      </w:r>
      <w:r>
        <w:rPr>
          <w:lang w:val="fr-FR"/>
        </w:rPr>
        <w:t xml:space="preserve">a été </w:t>
      </w:r>
      <w:r w:rsidR="004D2003" w:rsidRPr="00742407">
        <w:rPr>
          <w:lang w:val="fr-FR"/>
        </w:rPr>
        <w:t xml:space="preserve">établi. </w:t>
      </w:r>
    </w:p>
    <w:bookmarkEnd w:id="15"/>
    <w:p w14:paraId="5CE8FC55" w14:textId="77777777" w:rsidR="004D2003" w:rsidRPr="00742407" w:rsidRDefault="004D2003" w:rsidP="009F32CC">
      <w:pPr>
        <w:ind w:left="-360"/>
        <w:jc w:val="both"/>
        <w:rPr>
          <w:b/>
          <w:bCs/>
          <w:color w:val="000000"/>
          <w:lang w:val="fr-FR" w:eastAsia="en-US"/>
        </w:rPr>
      </w:pPr>
    </w:p>
    <w:p w14:paraId="2A3823C8" w14:textId="5227D37B" w:rsidR="009F32CC" w:rsidRPr="00742407" w:rsidRDefault="009F32CC" w:rsidP="009F32CC">
      <w:pPr>
        <w:ind w:left="-360"/>
        <w:jc w:val="both"/>
        <w:rPr>
          <w:iCs/>
          <w:lang w:val="fr-FR"/>
        </w:rPr>
      </w:pPr>
      <w:r w:rsidRPr="00742407">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742407">
        <w:rPr>
          <w:b/>
          <w:lang w:val="fr-FR"/>
        </w:rPr>
        <w:t xml:space="preserve"> : </w:t>
      </w:r>
      <w:r w:rsidRPr="00742407">
        <w:rPr>
          <w:i/>
          <w:lang w:val="fr-FR"/>
        </w:rPr>
        <w:t>(</w:t>
      </w:r>
      <w:r w:rsidRPr="00742407">
        <w:rPr>
          <w:color w:val="212121"/>
          <w:lang w:val="fr-FR"/>
        </w:rPr>
        <w:t>Limite de 350 mots</w:t>
      </w:r>
      <w:r w:rsidRPr="00742407">
        <w:rPr>
          <w:i/>
          <w:lang w:val="fr-FR"/>
        </w:rPr>
        <w:t>).</w:t>
      </w:r>
    </w:p>
    <w:p w14:paraId="46C1696D" w14:textId="77777777" w:rsidR="009F32CC" w:rsidRPr="00742407" w:rsidRDefault="009F32CC" w:rsidP="009F32CC">
      <w:pPr>
        <w:ind w:left="-360"/>
        <w:jc w:val="both"/>
        <w:rPr>
          <w:iCs/>
          <w:lang w:val="fr-FR"/>
        </w:rPr>
      </w:pPr>
    </w:p>
    <w:p w14:paraId="79543B62" w14:textId="25C9371C" w:rsidR="009F32CC" w:rsidRPr="00742407" w:rsidRDefault="004D2003" w:rsidP="004D2003">
      <w:pPr>
        <w:ind w:left="-360"/>
        <w:jc w:val="both"/>
        <w:rPr>
          <w:lang w:val="fr-FR"/>
        </w:rPr>
      </w:pPr>
      <w:r w:rsidRPr="00742407">
        <w:rPr>
          <w:lang w:val="fr-FR"/>
        </w:rPr>
        <w:t>La composition des membres de la CVJRR (11</w:t>
      </w:r>
      <w:r w:rsidR="00EF146E">
        <w:rPr>
          <w:lang w:val="fr-FR"/>
        </w:rPr>
        <w:t xml:space="preserve"> </w:t>
      </w:r>
      <w:r w:rsidR="00A41474">
        <w:rPr>
          <w:lang w:val="fr-FR"/>
        </w:rPr>
        <w:t>C</w:t>
      </w:r>
      <w:r w:rsidR="00A41474" w:rsidRPr="00742407">
        <w:rPr>
          <w:lang w:val="fr-FR"/>
        </w:rPr>
        <w:t>ommissaires</w:t>
      </w:r>
      <w:r w:rsidRPr="00742407">
        <w:rPr>
          <w:lang w:val="fr-FR"/>
        </w:rPr>
        <w:t xml:space="preserve"> parmi lesquels 5 femmes</w:t>
      </w:r>
      <w:r w:rsidR="00EF146E">
        <w:rPr>
          <w:lang w:val="fr-FR"/>
        </w:rPr>
        <w:t xml:space="preserve">). Le nombre quasiment </w:t>
      </w:r>
      <w:r w:rsidR="00600560">
        <w:rPr>
          <w:lang w:val="fr-FR"/>
        </w:rPr>
        <w:t>équitable</w:t>
      </w:r>
      <w:r w:rsidR="00EF146E">
        <w:rPr>
          <w:lang w:val="fr-FR"/>
        </w:rPr>
        <w:t xml:space="preserve"> des hommes et des femmes au sein de la Commission met en exergue la prise en compte effective de l’égalité des sexes dans l’atteinte des résultats de cette structure en matière de justice transitionnelle. </w:t>
      </w:r>
      <w:r w:rsidR="00600560">
        <w:rPr>
          <w:lang w:val="fr-FR"/>
        </w:rPr>
        <w:t>Aussi, l</w:t>
      </w:r>
      <w:r w:rsidR="00EF146E">
        <w:rPr>
          <w:lang w:val="fr-FR"/>
        </w:rPr>
        <w:t xml:space="preserve">a présidence de cette </w:t>
      </w:r>
      <w:r w:rsidR="00A41474">
        <w:rPr>
          <w:lang w:val="fr-FR"/>
        </w:rPr>
        <w:t>C</w:t>
      </w:r>
      <w:r w:rsidR="00EF146E">
        <w:rPr>
          <w:lang w:val="fr-FR"/>
        </w:rPr>
        <w:t>ommission</w:t>
      </w:r>
      <w:r w:rsidR="00600560">
        <w:rPr>
          <w:lang w:val="fr-FR"/>
        </w:rPr>
        <w:t xml:space="preserve">, </w:t>
      </w:r>
      <w:r w:rsidR="00EF146E">
        <w:rPr>
          <w:lang w:val="fr-FR"/>
        </w:rPr>
        <w:t>assurée par une femme</w:t>
      </w:r>
      <w:r w:rsidR="00A41474">
        <w:rPr>
          <w:lang w:val="fr-FR"/>
        </w:rPr>
        <w:t xml:space="preserve"> constitue</w:t>
      </w:r>
      <w:r w:rsidRPr="00742407">
        <w:rPr>
          <w:lang w:val="fr-FR"/>
        </w:rPr>
        <w:t xml:space="preserve"> atout à capitaliser en ce qui concerne les rapports des sexes et la prise en compte égalitaire des besoins des femmes et des hommes dans les travaux de la </w:t>
      </w:r>
      <w:r w:rsidR="00EF146E">
        <w:rPr>
          <w:lang w:val="fr-FR"/>
        </w:rPr>
        <w:t>C</w:t>
      </w:r>
      <w:r w:rsidRPr="00742407">
        <w:rPr>
          <w:lang w:val="fr-FR"/>
        </w:rPr>
        <w:t xml:space="preserve">ommission. </w:t>
      </w:r>
      <w:r w:rsidR="00600560">
        <w:rPr>
          <w:lang w:val="fr-FR"/>
        </w:rPr>
        <w:t>Enfin</w:t>
      </w:r>
      <w:r w:rsidR="00EF146E">
        <w:rPr>
          <w:lang w:val="fr-FR"/>
        </w:rPr>
        <w:t xml:space="preserve">, cela </w:t>
      </w:r>
      <w:r w:rsidRPr="00742407">
        <w:rPr>
          <w:lang w:val="fr-FR"/>
        </w:rPr>
        <w:t xml:space="preserve">a permis d’inclure des dispositions spécifiques en ce qui concerne les femmes et les hommes dans la planification </w:t>
      </w:r>
      <w:r w:rsidR="00EF146E">
        <w:rPr>
          <w:lang w:val="fr-FR"/>
        </w:rPr>
        <w:t xml:space="preserve">des différentes activités </w:t>
      </w:r>
      <w:r w:rsidRPr="00742407">
        <w:rPr>
          <w:lang w:val="fr-FR"/>
        </w:rPr>
        <w:t xml:space="preserve">de la </w:t>
      </w:r>
      <w:r w:rsidR="00EF146E">
        <w:rPr>
          <w:lang w:val="fr-FR"/>
        </w:rPr>
        <w:t>C</w:t>
      </w:r>
      <w:r w:rsidRPr="00742407">
        <w:rPr>
          <w:lang w:val="fr-FR"/>
        </w:rPr>
        <w:t>ommission.</w:t>
      </w:r>
    </w:p>
    <w:p w14:paraId="1F8743D2" w14:textId="77777777" w:rsidR="004D2003" w:rsidRPr="00742407" w:rsidRDefault="004D2003" w:rsidP="009F32CC">
      <w:pPr>
        <w:ind w:hanging="360"/>
        <w:rPr>
          <w:b/>
          <w:highlight w:val="yellow"/>
          <w:lang w:val="fr-FR"/>
        </w:rPr>
      </w:pPr>
    </w:p>
    <w:p w14:paraId="2F770C4C" w14:textId="77777777" w:rsidR="009F32CC" w:rsidRPr="00742407" w:rsidRDefault="009F32CC" w:rsidP="009F32CC">
      <w:pPr>
        <w:autoSpaceDE w:val="0"/>
        <w:autoSpaceDN w:val="0"/>
        <w:adjustRightInd w:val="0"/>
        <w:ind w:left="-360"/>
        <w:rPr>
          <w:rFonts w:eastAsia="Calibri"/>
          <w:b/>
          <w:bCs/>
          <w:lang w:val="fr-FR" w:eastAsia="zh-CN"/>
        </w:rPr>
      </w:pPr>
      <w:r w:rsidRPr="00742407">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Résultat1 dans le tableau ci-dessous</w:t>
      </w:r>
    </w:p>
    <w:p w14:paraId="051F9675" w14:textId="77777777" w:rsidR="009F32CC" w:rsidRPr="00742407" w:rsidRDefault="009F32CC" w:rsidP="009F32CC">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671"/>
        <w:gridCol w:w="1418"/>
        <w:gridCol w:w="1701"/>
        <w:gridCol w:w="2130"/>
      </w:tblGrid>
      <w:tr w:rsidR="009F32CC" w:rsidRPr="006B0660" w14:paraId="5E35A5F4" w14:textId="77777777" w:rsidTr="00600939">
        <w:trPr>
          <w:tblHeader/>
        </w:trPr>
        <w:tc>
          <w:tcPr>
            <w:tcW w:w="1800" w:type="dxa"/>
            <w:shd w:val="clear" w:color="auto" w:fill="EEECE1"/>
          </w:tcPr>
          <w:p w14:paraId="27DBA7A0" w14:textId="77777777" w:rsidR="009F32CC" w:rsidRPr="00742407" w:rsidRDefault="009F32CC" w:rsidP="00600939">
            <w:pPr>
              <w:jc w:val="center"/>
              <w:rPr>
                <w:b/>
                <w:sz w:val="22"/>
                <w:szCs w:val="22"/>
                <w:lang w:val="en-US" w:eastAsia="en-US"/>
              </w:rPr>
            </w:pPr>
            <w:proofErr w:type="spellStart"/>
            <w:r w:rsidRPr="00742407">
              <w:rPr>
                <w:b/>
                <w:sz w:val="22"/>
                <w:szCs w:val="22"/>
                <w:lang w:val="en-US" w:eastAsia="en-US"/>
              </w:rPr>
              <w:t>Indicateurs</w:t>
            </w:r>
            <w:proofErr w:type="spellEnd"/>
            <w:r w:rsidRPr="00742407">
              <w:rPr>
                <w:b/>
                <w:sz w:val="22"/>
                <w:szCs w:val="22"/>
                <w:lang w:val="en-US" w:eastAsia="en-US"/>
              </w:rPr>
              <w:t xml:space="preserve"> de </w:t>
            </w:r>
            <w:proofErr w:type="spellStart"/>
            <w:r w:rsidRPr="00742407">
              <w:rPr>
                <w:b/>
                <w:sz w:val="22"/>
                <w:szCs w:val="22"/>
                <w:lang w:val="en-US" w:eastAsia="en-US"/>
              </w:rPr>
              <w:t>résultat</w:t>
            </w:r>
            <w:proofErr w:type="spellEnd"/>
          </w:p>
        </w:tc>
        <w:tc>
          <w:tcPr>
            <w:tcW w:w="2671" w:type="dxa"/>
            <w:shd w:val="clear" w:color="auto" w:fill="EEECE1"/>
          </w:tcPr>
          <w:p w14:paraId="30BA638B" w14:textId="77777777" w:rsidR="009F32CC" w:rsidRPr="00742407" w:rsidRDefault="009F32CC" w:rsidP="00600939">
            <w:pPr>
              <w:jc w:val="center"/>
              <w:rPr>
                <w:b/>
                <w:color w:val="000000"/>
                <w:sz w:val="22"/>
                <w:szCs w:val="22"/>
              </w:rPr>
            </w:pPr>
            <w:proofErr w:type="spellStart"/>
            <w:r w:rsidRPr="00742407">
              <w:rPr>
                <w:b/>
                <w:color w:val="000000"/>
                <w:sz w:val="22"/>
                <w:szCs w:val="22"/>
              </w:rPr>
              <w:t>Indicateur</w:t>
            </w:r>
            <w:proofErr w:type="spellEnd"/>
            <w:r w:rsidRPr="00742407">
              <w:rPr>
                <w:b/>
                <w:color w:val="000000"/>
                <w:sz w:val="22"/>
                <w:szCs w:val="22"/>
              </w:rPr>
              <w:t xml:space="preserve"> de base</w:t>
            </w:r>
          </w:p>
          <w:p w14:paraId="79898ABB" w14:textId="77777777" w:rsidR="009F32CC" w:rsidRPr="00742407" w:rsidRDefault="009F32CC" w:rsidP="00600939">
            <w:pPr>
              <w:jc w:val="center"/>
              <w:rPr>
                <w:b/>
                <w:sz w:val="22"/>
                <w:szCs w:val="22"/>
                <w:lang w:val="en-US" w:eastAsia="en-US"/>
              </w:rPr>
            </w:pPr>
          </w:p>
        </w:tc>
        <w:tc>
          <w:tcPr>
            <w:tcW w:w="1418" w:type="dxa"/>
            <w:shd w:val="clear" w:color="auto" w:fill="EEECE1"/>
          </w:tcPr>
          <w:p w14:paraId="2C9C33D4" w14:textId="77777777" w:rsidR="009F32CC" w:rsidRPr="00742407" w:rsidRDefault="009F32CC" w:rsidP="00600939">
            <w:pPr>
              <w:jc w:val="center"/>
              <w:rPr>
                <w:b/>
                <w:sz w:val="22"/>
                <w:szCs w:val="22"/>
                <w:lang w:val="fr-FR" w:eastAsia="en-US"/>
              </w:rPr>
            </w:pPr>
            <w:r w:rsidRPr="00742407">
              <w:rPr>
                <w:b/>
                <w:sz w:val="22"/>
                <w:szCs w:val="22"/>
                <w:lang w:val="fr-FR" w:eastAsia="en-US"/>
              </w:rPr>
              <w:t>Cible de fin de projet</w:t>
            </w:r>
          </w:p>
        </w:tc>
        <w:tc>
          <w:tcPr>
            <w:tcW w:w="1701" w:type="dxa"/>
          </w:tcPr>
          <w:p w14:paraId="7F7D0449" w14:textId="77777777" w:rsidR="009F32CC" w:rsidRPr="00742407" w:rsidRDefault="009F32CC" w:rsidP="00600939">
            <w:pPr>
              <w:jc w:val="center"/>
              <w:rPr>
                <w:b/>
                <w:sz w:val="22"/>
                <w:szCs w:val="22"/>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130" w:type="dxa"/>
          </w:tcPr>
          <w:p w14:paraId="7A1A4E2A" w14:textId="77777777" w:rsidR="009F32CC" w:rsidRPr="00742407" w:rsidRDefault="009F32CC" w:rsidP="00600939">
            <w:pPr>
              <w:jc w:val="center"/>
              <w:rPr>
                <w:b/>
                <w:sz w:val="22"/>
                <w:szCs w:val="22"/>
                <w:lang w:val="fr-FR" w:eastAsia="en-US"/>
              </w:rPr>
            </w:pPr>
            <w:r w:rsidRPr="00742407">
              <w:rPr>
                <w:b/>
                <w:sz w:val="22"/>
                <w:szCs w:val="22"/>
                <w:lang w:val="fr-FR" w:eastAsia="en-US"/>
              </w:rPr>
              <w:t>Raisons pour les retards ou changements (s'il y en a)</w:t>
            </w:r>
          </w:p>
        </w:tc>
      </w:tr>
      <w:tr w:rsidR="009F32CC" w:rsidRPr="00742407" w14:paraId="749943A6" w14:textId="77777777" w:rsidTr="00600939">
        <w:trPr>
          <w:trHeight w:val="548"/>
        </w:trPr>
        <w:tc>
          <w:tcPr>
            <w:tcW w:w="1800" w:type="dxa"/>
            <w:shd w:val="clear" w:color="auto" w:fill="EEECE1"/>
          </w:tcPr>
          <w:p w14:paraId="4B2C75DB" w14:textId="511EFC18"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.1</w:t>
            </w:r>
          </w:p>
          <w:p w14:paraId="03B221D6"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63C8C8F6" w14:textId="62F15B1D" w:rsidR="009F32CC" w:rsidRPr="00742407" w:rsidRDefault="004D2003" w:rsidP="004D2003">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 xml:space="preserve">La Commission vérité, justice, réparation et réconciliation est créée et opérationnelle </w:t>
            </w:r>
          </w:p>
        </w:tc>
        <w:tc>
          <w:tcPr>
            <w:tcW w:w="1418" w:type="dxa"/>
            <w:shd w:val="clear" w:color="auto" w:fill="EEECE1"/>
          </w:tcPr>
          <w:p w14:paraId="7DD0F8F0" w14:textId="49E3EB54" w:rsidR="009F32CC" w:rsidRPr="00742407" w:rsidRDefault="001935D4" w:rsidP="004D2003">
            <w:pPr>
              <w:jc w:val="center"/>
              <w:rPr>
                <w:lang w:val="en-US" w:eastAsia="en-US"/>
              </w:rPr>
            </w:pPr>
            <w:r w:rsidRPr="00742407">
              <w:rPr>
                <w:lang w:val="en-US" w:eastAsia="en-US"/>
              </w:rPr>
              <w:t>1</w:t>
            </w:r>
          </w:p>
        </w:tc>
        <w:tc>
          <w:tcPr>
            <w:tcW w:w="1701" w:type="dxa"/>
          </w:tcPr>
          <w:p w14:paraId="54A1ED7C" w14:textId="65099EAD" w:rsidR="009F32CC" w:rsidRPr="00742407" w:rsidRDefault="004D2003" w:rsidP="004D2003">
            <w:pPr>
              <w:pStyle w:val="Default"/>
              <w:jc w:val="center"/>
              <w:rPr>
                <w:rFonts w:ascii="Times New Roman" w:eastAsia="Times New Roman" w:hAnsi="Times New Roman" w:cs="Times New Roman"/>
                <w:color w:val="auto"/>
                <w:lang w:val="en-US" w:eastAsia="en-US"/>
              </w:rPr>
            </w:pPr>
            <w:r w:rsidRPr="00742407">
              <w:rPr>
                <w:rFonts w:ascii="Times New Roman" w:eastAsia="Times New Roman" w:hAnsi="Times New Roman" w:cs="Times New Roman"/>
                <w:color w:val="auto"/>
                <w:lang w:val="en-US" w:eastAsia="en-US"/>
              </w:rPr>
              <w:t>0,5 (</w:t>
            </w:r>
            <w:proofErr w:type="spellStart"/>
            <w:r w:rsidRPr="00742407">
              <w:rPr>
                <w:rFonts w:ascii="Times New Roman" w:eastAsia="Times New Roman" w:hAnsi="Times New Roman" w:cs="Times New Roman"/>
                <w:color w:val="auto"/>
                <w:lang w:val="en-US" w:eastAsia="en-US"/>
              </w:rPr>
              <w:t>partiel</w:t>
            </w:r>
            <w:proofErr w:type="spellEnd"/>
            <w:r w:rsidRPr="00742407">
              <w:rPr>
                <w:rFonts w:ascii="Times New Roman" w:eastAsia="Times New Roman" w:hAnsi="Times New Roman" w:cs="Times New Roman"/>
                <w:color w:val="auto"/>
                <w:lang w:val="en-US" w:eastAsia="en-US"/>
              </w:rPr>
              <w:t>)</w:t>
            </w:r>
          </w:p>
        </w:tc>
        <w:tc>
          <w:tcPr>
            <w:tcW w:w="2130" w:type="dxa"/>
          </w:tcPr>
          <w:p w14:paraId="632098F8"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6E3B6EBC" w14:textId="77777777" w:rsidTr="00600939">
        <w:trPr>
          <w:trHeight w:val="548"/>
        </w:trPr>
        <w:tc>
          <w:tcPr>
            <w:tcW w:w="1800" w:type="dxa"/>
            <w:shd w:val="clear" w:color="auto" w:fill="EEECE1"/>
          </w:tcPr>
          <w:p w14:paraId="36C5242D" w14:textId="772DDCB2"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.2</w:t>
            </w:r>
          </w:p>
          <w:p w14:paraId="4409A957"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41B24406" w14:textId="7FF922A3" w:rsidR="009F32CC" w:rsidRPr="00742407" w:rsidRDefault="004D2003" w:rsidP="004D2003">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 xml:space="preserve">Taux de la population étant informée de l’existence et des missions de la CVJRR (désagrégé par sexe) </w:t>
            </w:r>
          </w:p>
        </w:tc>
        <w:tc>
          <w:tcPr>
            <w:tcW w:w="1418" w:type="dxa"/>
            <w:shd w:val="clear" w:color="auto" w:fill="EEECE1"/>
          </w:tcPr>
          <w:p w14:paraId="21A8A897" w14:textId="77777777" w:rsidR="001935D4" w:rsidRPr="00742407" w:rsidRDefault="001935D4" w:rsidP="004D2003">
            <w:pPr>
              <w:jc w:val="center"/>
              <w:rPr>
                <w:lang w:val="en-US" w:eastAsia="en-US"/>
              </w:rPr>
            </w:pPr>
            <w:r w:rsidRPr="00742407">
              <w:rPr>
                <w:lang w:val="en-US" w:eastAsia="en-US"/>
              </w:rPr>
              <w:t xml:space="preserve">50% </w:t>
            </w:r>
          </w:p>
          <w:p w14:paraId="6EE876B7" w14:textId="64D6DB51" w:rsidR="009F32CC" w:rsidRPr="00742407" w:rsidRDefault="001935D4" w:rsidP="004D2003">
            <w:pPr>
              <w:jc w:val="center"/>
              <w:rPr>
                <w:lang w:val="en-US" w:eastAsia="en-US"/>
              </w:rPr>
            </w:pPr>
            <w:r w:rsidRPr="00742407">
              <w:rPr>
                <w:lang w:val="en-US" w:eastAsia="en-US"/>
              </w:rPr>
              <w:t>H/F</w:t>
            </w:r>
          </w:p>
        </w:tc>
        <w:tc>
          <w:tcPr>
            <w:tcW w:w="1701" w:type="dxa"/>
          </w:tcPr>
          <w:p w14:paraId="04D45A71" w14:textId="3D194A6F" w:rsidR="004D2003" w:rsidRPr="00742407" w:rsidRDefault="004D2003" w:rsidP="004D2003">
            <w:pPr>
              <w:pStyle w:val="Default"/>
              <w:jc w:val="center"/>
              <w:rPr>
                <w:rFonts w:ascii="Times New Roman" w:eastAsia="Times New Roman" w:hAnsi="Times New Roman" w:cs="Times New Roman"/>
                <w:color w:val="auto"/>
                <w:lang w:val="en-US" w:eastAsia="en-US"/>
              </w:rPr>
            </w:pPr>
            <w:r w:rsidRPr="00742407">
              <w:rPr>
                <w:rFonts w:ascii="Times New Roman" w:eastAsia="Times New Roman" w:hAnsi="Times New Roman" w:cs="Times New Roman"/>
                <w:color w:val="auto"/>
                <w:lang w:val="en-US" w:eastAsia="en-US"/>
              </w:rPr>
              <w:t>71%</w:t>
            </w:r>
          </w:p>
          <w:p w14:paraId="671F30D5" w14:textId="0B166AC1" w:rsidR="009F32CC" w:rsidRPr="00742407" w:rsidRDefault="009F32CC" w:rsidP="004D2003">
            <w:pPr>
              <w:jc w:val="center"/>
              <w:rPr>
                <w:lang w:val="en-US" w:eastAsia="en-US"/>
              </w:rPr>
            </w:pPr>
          </w:p>
        </w:tc>
        <w:tc>
          <w:tcPr>
            <w:tcW w:w="2130" w:type="dxa"/>
          </w:tcPr>
          <w:p w14:paraId="32A13A04"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4D2003" w:rsidRPr="006B0660" w14:paraId="790D09FA" w14:textId="77777777" w:rsidTr="00600939">
        <w:trPr>
          <w:trHeight w:val="548"/>
        </w:trPr>
        <w:tc>
          <w:tcPr>
            <w:tcW w:w="1800" w:type="dxa"/>
            <w:shd w:val="clear" w:color="auto" w:fill="EEECE1"/>
          </w:tcPr>
          <w:p w14:paraId="791426D8" w14:textId="6C1D8A88" w:rsidR="004D2003" w:rsidRPr="00742407" w:rsidRDefault="004D2003" w:rsidP="004D2003">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.3</w:t>
            </w:r>
          </w:p>
          <w:p w14:paraId="152312C0" w14:textId="77777777" w:rsidR="004D2003" w:rsidRPr="00742407" w:rsidRDefault="004D2003" w:rsidP="004D2003">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7D9300F9" w14:textId="5937CE4E" w:rsidR="004D2003" w:rsidRPr="00742407" w:rsidRDefault="004D2003" w:rsidP="004D2003">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de recommandations émanant d</w:t>
            </w:r>
            <w:r w:rsidR="00600560">
              <w:rPr>
                <w:rFonts w:ascii="Times New Roman" w:eastAsia="Times New Roman" w:hAnsi="Times New Roman" w:cs="Times New Roman"/>
                <w:bCs/>
                <w:color w:val="auto"/>
                <w:lang w:val="fr-FR" w:eastAsia="en-GB"/>
              </w:rPr>
              <w:t xml:space="preserve">e </w:t>
            </w:r>
            <w:proofErr w:type="gramStart"/>
            <w:r w:rsidR="00600560">
              <w:rPr>
                <w:rFonts w:ascii="Times New Roman" w:eastAsia="Times New Roman" w:hAnsi="Times New Roman" w:cs="Times New Roman"/>
                <w:bCs/>
                <w:color w:val="auto"/>
                <w:lang w:val="fr-FR" w:eastAsia="en-GB"/>
              </w:rPr>
              <w:t xml:space="preserve">la </w:t>
            </w:r>
            <w:r w:rsidRPr="00742407">
              <w:rPr>
                <w:rFonts w:ascii="Times New Roman" w:eastAsia="Times New Roman" w:hAnsi="Times New Roman" w:cs="Times New Roman"/>
                <w:bCs/>
                <w:color w:val="auto"/>
                <w:lang w:val="fr-FR" w:eastAsia="en-GB"/>
              </w:rPr>
              <w:t xml:space="preserve"> CVJRR</w:t>
            </w:r>
            <w:proofErr w:type="gramEnd"/>
            <w:r w:rsidRPr="00742407">
              <w:rPr>
                <w:rFonts w:ascii="Times New Roman" w:eastAsia="Times New Roman" w:hAnsi="Times New Roman" w:cs="Times New Roman"/>
                <w:bCs/>
                <w:color w:val="auto"/>
                <w:lang w:val="fr-FR" w:eastAsia="en-GB"/>
              </w:rPr>
              <w:t xml:space="preserve"> sur l’administration de la justice et la réduction de l’impunité </w:t>
            </w:r>
          </w:p>
        </w:tc>
        <w:tc>
          <w:tcPr>
            <w:tcW w:w="1418" w:type="dxa"/>
            <w:shd w:val="clear" w:color="auto" w:fill="EEECE1"/>
          </w:tcPr>
          <w:p w14:paraId="0B995DA0" w14:textId="1C2A2C17" w:rsidR="004D2003" w:rsidRPr="00742407" w:rsidRDefault="001935D4" w:rsidP="004D2003">
            <w:pPr>
              <w:jc w:val="center"/>
              <w:rPr>
                <w:lang w:val="en-US" w:eastAsia="en-US"/>
              </w:rPr>
            </w:pPr>
            <w:r w:rsidRPr="00742407">
              <w:rPr>
                <w:lang w:val="en-US" w:eastAsia="en-US"/>
              </w:rPr>
              <w:t>10</w:t>
            </w:r>
          </w:p>
        </w:tc>
        <w:tc>
          <w:tcPr>
            <w:tcW w:w="1701" w:type="dxa"/>
          </w:tcPr>
          <w:p w14:paraId="15A97EB2" w14:textId="67D15729" w:rsidR="004D2003" w:rsidRPr="00742407" w:rsidRDefault="004D2003" w:rsidP="004D2003">
            <w:pPr>
              <w:jc w:val="center"/>
              <w:rPr>
                <w:lang w:val="en-US" w:eastAsia="en-US"/>
              </w:rPr>
            </w:pPr>
            <w:r w:rsidRPr="00742407">
              <w:rPr>
                <w:lang w:val="en-US" w:eastAsia="en-US"/>
              </w:rPr>
              <w:t>0</w:t>
            </w:r>
          </w:p>
        </w:tc>
        <w:tc>
          <w:tcPr>
            <w:tcW w:w="2130" w:type="dxa"/>
          </w:tcPr>
          <w:p w14:paraId="226E35A7" w14:textId="46F61ABE" w:rsidR="004D2003" w:rsidRPr="00742407" w:rsidRDefault="004D2003" w:rsidP="004D2003">
            <w:pPr>
              <w:rPr>
                <w:bCs/>
                <w:lang w:val="fr-FR"/>
              </w:rPr>
            </w:pPr>
            <w:r w:rsidRPr="00742407">
              <w:rPr>
                <w:bCs/>
                <w:lang w:val="fr-FR"/>
              </w:rPr>
              <w:t>Jusqu’à la fin du projet, la CVJRR n’était pas opérationnelle.</w:t>
            </w:r>
          </w:p>
        </w:tc>
      </w:tr>
    </w:tbl>
    <w:p w14:paraId="0444B283" w14:textId="77777777" w:rsidR="009F32CC" w:rsidRPr="00742407" w:rsidRDefault="009F32CC" w:rsidP="009F32CC">
      <w:pPr>
        <w:rPr>
          <w:b/>
          <w:lang w:val="fr-FR"/>
        </w:rPr>
      </w:pPr>
    </w:p>
    <w:p w14:paraId="5A80F446" w14:textId="4B03404B" w:rsidR="009F32CC" w:rsidRPr="00742407" w:rsidRDefault="009F32CC" w:rsidP="009F32CC">
      <w:pPr>
        <w:ind w:left="-360"/>
        <w:rPr>
          <w:bCs/>
          <w:lang w:val="fr-FR"/>
        </w:rPr>
      </w:pPr>
      <w:r w:rsidRPr="00742407">
        <w:rPr>
          <w:bCs/>
          <w:lang w:val="fr-FR"/>
        </w:rPr>
        <w:t xml:space="preserve">Combien de produits sont définis sous le résultat 1 ? </w:t>
      </w:r>
      <w:r w:rsidR="004D2003" w:rsidRPr="00742407">
        <w:rPr>
          <w:bCs/>
          <w:lang w:val="fr-FR"/>
        </w:rPr>
        <w:t>3</w:t>
      </w:r>
    </w:p>
    <w:p w14:paraId="20281379" w14:textId="77777777" w:rsidR="009F32CC" w:rsidRPr="00742407" w:rsidRDefault="009F32CC" w:rsidP="009F32CC">
      <w:pPr>
        <w:ind w:left="-360"/>
        <w:rPr>
          <w:bCs/>
          <w:lang w:val="fr-FR"/>
        </w:rPr>
      </w:pPr>
    </w:p>
    <w:p w14:paraId="3C7FCDF7" w14:textId="77777777" w:rsidR="009F32CC" w:rsidRPr="00742407" w:rsidRDefault="009F32CC" w:rsidP="009F32CC">
      <w:pPr>
        <w:ind w:left="-360"/>
        <w:rPr>
          <w:bCs/>
          <w:lang w:val="fr-FR"/>
        </w:rPr>
      </w:pPr>
      <w:r w:rsidRPr="00742407">
        <w:rPr>
          <w:bCs/>
          <w:lang w:val="fr-FR"/>
        </w:rPr>
        <w:t xml:space="preserve">Veuillez énumérer au plus 5 produits les plus pertinents pour le Résultat 1 </w:t>
      </w:r>
      <w:r w:rsidRPr="00742407">
        <w:rPr>
          <w:bCs/>
          <w:lang w:val="fr-FR"/>
        </w:rPr>
        <w:fldChar w:fldCharType="begin">
          <w:ffData>
            <w:name w:val="Text88"/>
            <w:enabled/>
            <w:calcOnExit w:val="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lang w:val="fr-FR"/>
        </w:rPr>
        <w:fldChar w:fldCharType="end"/>
      </w:r>
    </w:p>
    <w:p w14:paraId="0E0D61BD" w14:textId="77777777" w:rsidR="009F32CC" w:rsidRPr="00742407" w:rsidRDefault="009F32CC" w:rsidP="009F32CC">
      <w:pPr>
        <w:ind w:left="-360"/>
        <w:rPr>
          <w:bCs/>
          <w:lang w:val="fr-FR"/>
        </w:rPr>
      </w:pPr>
    </w:p>
    <w:p w14:paraId="0AA6FEF5" w14:textId="0C51CD40" w:rsidR="001935D4" w:rsidRPr="00742407" w:rsidRDefault="001935D4" w:rsidP="001935D4">
      <w:pPr>
        <w:pStyle w:val="Paragraphedeliste"/>
        <w:numPr>
          <w:ilvl w:val="1"/>
          <w:numId w:val="10"/>
        </w:numPr>
        <w:rPr>
          <w:bCs/>
          <w:lang w:val="fr-FR"/>
        </w:rPr>
      </w:pPr>
      <w:r w:rsidRPr="00742407">
        <w:rPr>
          <w:bCs/>
          <w:lang w:val="fr-FR"/>
        </w:rPr>
        <w:t>Les Commissaires de la CVJRR et délégués de régions disposent des capacités techniques et opérationnelles pour mener à bien leurs travaux ;</w:t>
      </w:r>
    </w:p>
    <w:p w14:paraId="160CDF78" w14:textId="77777777" w:rsidR="001935D4" w:rsidRPr="00742407" w:rsidRDefault="001935D4" w:rsidP="001935D4">
      <w:pPr>
        <w:pStyle w:val="Paragraphedeliste"/>
        <w:numPr>
          <w:ilvl w:val="1"/>
          <w:numId w:val="10"/>
        </w:numPr>
        <w:rPr>
          <w:bCs/>
          <w:lang w:val="fr-FR"/>
        </w:rPr>
      </w:pPr>
      <w:r w:rsidRPr="00742407">
        <w:rPr>
          <w:bCs/>
          <w:lang w:val="fr-FR"/>
        </w:rPr>
        <w:t xml:space="preserve">Les leaders communautaires et les OSC (associations de victimes, ONG de défense des droits humains, Comités locaux de paix et de réconciliation) sont préparés à contribuer à la bonne conduite des activités de la CVJRR </w:t>
      </w:r>
      <w:r w:rsidR="009F32CC" w:rsidRPr="00742407">
        <w:rPr>
          <w:bCs/>
          <w:lang w:val="fr-FR"/>
        </w:rPr>
        <w:t>;</w:t>
      </w:r>
    </w:p>
    <w:p w14:paraId="1DEA13E0" w14:textId="06E5CB2D" w:rsidR="009F32CC" w:rsidRPr="00742407" w:rsidRDefault="001935D4" w:rsidP="001935D4">
      <w:pPr>
        <w:pStyle w:val="Paragraphedeliste"/>
        <w:numPr>
          <w:ilvl w:val="1"/>
          <w:numId w:val="10"/>
        </w:numPr>
        <w:rPr>
          <w:bCs/>
          <w:lang w:val="fr-FR"/>
        </w:rPr>
      </w:pPr>
      <w:r w:rsidRPr="00742407">
        <w:rPr>
          <w:bCs/>
          <w:lang w:val="fr-FR"/>
        </w:rPr>
        <w:t>Un appui technique et opérationnel est fourni pour la mise en place d’un cadre de collecte, de documentation, d’archivage et de protection des données.</w:t>
      </w:r>
    </w:p>
    <w:p w14:paraId="3BB4B49D" w14:textId="77777777" w:rsidR="001935D4" w:rsidRPr="00742407" w:rsidRDefault="001935D4" w:rsidP="009F32CC">
      <w:pPr>
        <w:ind w:left="-360"/>
        <w:rPr>
          <w:bCs/>
          <w:highlight w:val="yellow"/>
          <w:lang w:val="fr-CF"/>
        </w:rPr>
      </w:pPr>
    </w:p>
    <w:p w14:paraId="3809433B" w14:textId="77777777" w:rsidR="009F32CC" w:rsidRPr="00742407" w:rsidRDefault="009F32CC" w:rsidP="009F32CC">
      <w:pPr>
        <w:ind w:left="-360"/>
        <w:rPr>
          <w:bCs/>
          <w:lang w:val="fr-FR"/>
        </w:rPr>
      </w:pPr>
      <w:r w:rsidRPr="00742407">
        <w:rPr>
          <w:bCs/>
          <w:lang w:val="fr-FR"/>
        </w:rPr>
        <w:t xml:space="preserve">Pour chaque produit, et en vous basant sur le cadre de résultats du projet, indiquez l'état d'avancement relatif aux 3 indicateurs de produit les plus pertinents. </w:t>
      </w:r>
      <w:r w:rsidRPr="00742407">
        <w:rPr>
          <w:bCs/>
          <w:lang w:val="fr-FR"/>
        </w:rPr>
        <w:fldChar w:fldCharType="begin">
          <w:ffData>
            <w:name w:val="Text89"/>
            <w:enabled/>
            <w:calcOnExit w:val="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lang w:val="fr-FR"/>
        </w:rPr>
        <w:fldChar w:fldCharType="end"/>
      </w:r>
    </w:p>
    <w:p w14:paraId="5664F384" w14:textId="77777777" w:rsidR="009F32CC" w:rsidRPr="00742407" w:rsidRDefault="009F32CC" w:rsidP="009F32CC">
      <w:pPr>
        <w:ind w:left="-720"/>
        <w:rPr>
          <w:b/>
          <w:highlight w:val="yellow"/>
          <w:u w:val="single"/>
          <w:lang w:val="fr-FR"/>
        </w:rPr>
      </w:pPr>
    </w:p>
    <w:p w14:paraId="79DEFAEC" w14:textId="4CF263C5" w:rsidR="009F32CC" w:rsidRPr="00742407" w:rsidRDefault="009F32CC" w:rsidP="009F32CC">
      <w:pPr>
        <w:pStyle w:val="Default"/>
        <w:rPr>
          <w:rFonts w:ascii="Times New Roman" w:eastAsia="Times New Roman" w:hAnsi="Times New Roman" w:cs="Times New Roman"/>
          <w:bCs/>
          <w:color w:val="auto"/>
          <w:lang w:val="fr-FR" w:eastAsia="en-GB"/>
        </w:rPr>
      </w:pPr>
      <w:r w:rsidRPr="00742407">
        <w:rPr>
          <w:rFonts w:ascii="Times New Roman" w:hAnsi="Times New Roman" w:cs="Times New Roman"/>
          <w:b/>
          <w:u w:val="single"/>
          <w:lang w:val="fr-FR"/>
        </w:rPr>
        <w:t xml:space="preserve">Produit </w:t>
      </w:r>
      <w:r w:rsidR="001935D4" w:rsidRPr="00742407">
        <w:rPr>
          <w:rFonts w:ascii="Times New Roman" w:hAnsi="Times New Roman" w:cs="Times New Roman"/>
          <w:b/>
          <w:u w:val="single"/>
          <w:lang w:val="fr-FR"/>
        </w:rPr>
        <w:t>3</w:t>
      </w:r>
      <w:r w:rsidRPr="00742407">
        <w:rPr>
          <w:rFonts w:ascii="Times New Roman" w:hAnsi="Times New Roman" w:cs="Times New Roman"/>
          <w:b/>
          <w:u w:val="single"/>
          <w:lang w:val="fr-FR"/>
        </w:rPr>
        <w:t>.1 </w:t>
      </w:r>
      <w:r w:rsidRPr="00742407">
        <w:rPr>
          <w:rFonts w:ascii="Times New Roman" w:hAnsi="Times New Roman" w:cs="Times New Roman"/>
          <w:b/>
          <w:lang w:val="fr-FR"/>
        </w:rPr>
        <w:t xml:space="preserve">:  </w:t>
      </w:r>
      <w:r w:rsidR="00600560">
        <w:rPr>
          <w:rFonts w:ascii="Times New Roman" w:eastAsia="Times New Roman" w:hAnsi="Times New Roman" w:cs="Times New Roman"/>
          <w:bCs/>
          <w:color w:val="auto"/>
          <w:lang w:val="fr-FR" w:eastAsia="en-GB"/>
        </w:rPr>
        <w:t>l</w:t>
      </w:r>
      <w:r w:rsidR="001935D4" w:rsidRPr="00742407">
        <w:rPr>
          <w:rFonts w:ascii="Times New Roman" w:eastAsia="Times New Roman" w:hAnsi="Times New Roman" w:cs="Times New Roman"/>
          <w:bCs/>
          <w:color w:val="auto"/>
          <w:lang w:val="fr-FR" w:eastAsia="en-GB"/>
        </w:rPr>
        <w:t>es Commissaires de la CVJRR et délégués de régions disposent des capacités techniques et opérationnelles pour mener à bien leurs travaux</w:t>
      </w:r>
      <w:r w:rsidRPr="00742407">
        <w:rPr>
          <w:rFonts w:ascii="Times New Roman" w:eastAsia="Times New Roman" w:hAnsi="Times New Roman" w:cs="Times New Roman"/>
          <w:bCs/>
          <w:color w:val="auto"/>
          <w:lang w:val="fr-FR" w:eastAsia="en-GB"/>
        </w:rPr>
        <w:t>.</w:t>
      </w:r>
    </w:p>
    <w:p w14:paraId="7A4D261E" w14:textId="77777777" w:rsidR="009F32CC" w:rsidRPr="00742407" w:rsidRDefault="009F32CC" w:rsidP="009F32CC">
      <w:pPr>
        <w:ind w:left="-360"/>
        <w:rPr>
          <w:b/>
          <w:u w:val="single"/>
          <w:lang w:val="fr-FR"/>
        </w:rPr>
      </w:pPr>
    </w:p>
    <w:tbl>
      <w:tblPr>
        <w:tblW w:w="985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817"/>
        <w:gridCol w:w="1182"/>
        <w:gridCol w:w="1443"/>
        <w:gridCol w:w="2526"/>
      </w:tblGrid>
      <w:tr w:rsidR="009F32CC" w:rsidRPr="006B0660" w14:paraId="0A4E8A06" w14:textId="77777777" w:rsidTr="00040F81">
        <w:trPr>
          <w:tblHeader/>
        </w:trPr>
        <w:tc>
          <w:tcPr>
            <w:tcW w:w="1890" w:type="dxa"/>
            <w:shd w:val="clear" w:color="auto" w:fill="EEECE1"/>
          </w:tcPr>
          <w:p w14:paraId="7CBC4CCC" w14:textId="77777777" w:rsidR="009F32CC" w:rsidRPr="00742407" w:rsidRDefault="009F32CC" w:rsidP="00600939">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817" w:type="dxa"/>
            <w:shd w:val="clear" w:color="auto" w:fill="EEECE1"/>
          </w:tcPr>
          <w:p w14:paraId="5EDB30B5" w14:textId="77777777" w:rsidR="009F32CC" w:rsidRPr="00742407" w:rsidRDefault="009F32CC" w:rsidP="00600939">
            <w:pPr>
              <w:jc w:val="center"/>
              <w:rPr>
                <w:b/>
                <w:color w:val="000000"/>
                <w:sz w:val="22"/>
                <w:szCs w:val="22"/>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182" w:type="dxa"/>
            <w:shd w:val="clear" w:color="auto" w:fill="EEECE1"/>
          </w:tcPr>
          <w:p w14:paraId="19E880AC" w14:textId="77777777" w:rsidR="009F32CC" w:rsidRPr="00742407" w:rsidRDefault="009F32CC" w:rsidP="00600939">
            <w:pPr>
              <w:jc w:val="center"/>
              <w:rPr>
                <w:b/>
                <w:lang w:val="fr-FR" w:eastAsia="en-US"/>
              </w:rPr>
            </w:pPr>
            <w:r w:rsidRPr="00742407">
              <w:rPr>
                <w:b/>
                <w:sz w:val="22"/>
                <w:szCs w:val="22"/>
                <w:lang w:val="fr-FR" w:eastAsia="en-US"/>
              </w:rPr>
              <w:t>Cible de fin de projet</w:t>
            </w:r>
          </w:p>
        </w:tc>
        <w:tc>
          <w:tcPr>
            <w:tcW w:w="1443" w:type="dxa"/>
          </w:tcPr>
          <w:p w14:paraId="079D1610" w14:textId="77777777" w:rsidR="009F32CC" w:rsidRPr="00742407" w:rsidRDefault="009F32CC" w:rsidP="00600939">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526" w:type="dxa"/>
          </w:tcPr>
          <w:p w14:paraId="3064138B" w14:textId="77777777" w:rsidR="009F32CC" w:rsidRPr="00742407" w:rsidRDefault="009F32CC" w:rsidP="00600939">
            <w:pPr>
              <w:jc w:val="center"/>
              <w:rPr>
                <w:b/>
                <w:lang w:val="fr-FR" w:eastAsia="en-US"/>
              </w:rPr>
            </w:pPr>
            <w:r w:rsidRPr="00742407">
              <w:rPr>
                <w:b/>
                <w:sz w:val="22"/>
                <w:szCs w:val="22"/>
                <w:lang w:val="fr-FR" w:eastAsia="en-US"/>
              </w:rPr>
              <w:t>Raisons pour les retards ou changements (s'il y en a)</w:t>
            </w:r>
          </w:p>
        </w:tc>
      </w:tr>
      <w:tr w:rsidR="009F32CC" w:rsidRPr="00742407" w14:paraId="11BD2653" w14:textId="77777777" w:rsidTr="00040F81">
        <w:trPr>
          <w:trHeight w:val="548"/>
        </w:trPr>
        <w:tc>
          <w:tcPr>
            <w:tcW w:w="1890" w:type="dxa"/>
            <w:shd w:val="clear" w:color="auto" w:fill="EEECE1"/>
          </w:tcPr>
          <w:p w14:paraId="0211C972" w14:textId="10CC7FDF"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.1.1</w:t>
            </w:r>
          </w:p>
          <w:p w14:paraId="7F69D5E7"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817" w:type="dxa"/>
            <w:shd w:val="clear" w:color="auto" w:fill="EEECE1"/>
          </w:tcPr>
          <w:p w14:paraId="1A4007AB" w14:textId="0BB71959" w:rsidR="009F32CC" w:rsidRPr="00742407" w:rsidRDefault="001935D4" w:rsidP="00600939">
            <w:pPr>
              <w:autoSpaceDE w:val="0"/>
              <w:autoSpaceDN w:val="0"/>
              <w:adjustRightInd w:val="0"/>
              <w:rPr>
                <w:bCs/>
                <w:lang w:val="fr-FR"/>
              </w:rPr>
            </w:pPr>
            <w:r w:rsidRPr="00742407">
              <w:rPr>
                <w:bCs/>
                <w:lang w:val="fr-FR"/>
              </w:rPr>
              <w:t>Nombre de formations organisées pour les Commissaires et les délégués de région</w:t>
            </w:r>
          </w:p>
        </w:tc>
        <w:tc>
          <w:tcPr>
            <w:tcW w:w="1182" w:type="dxa"/>
            <w:shd w:val="clear" w:color="auto" w:fill="EEECE1"/>
          </w:tcPr>
          <w:p w14:paraId="2572E232" w14:textId="755E4DC3" w:rsidR="009F32CC" w:rsidRPr="00742407" w:rsidRDefault="001935D4" w:rsidP="000350AC">
            <w:pPr>
              <w:jc w:val="center"/>
              <w:rPr>
                <w:bCs/>
              </w:rPr>
            </w:pPr>
            <w:r w:rsidRPr="00742407">
              <w:rPr>
                <w:bCs/>
                <w:lang w:val="en-US" w:eastAsia="en-US"/>
              </w:rPr>
              <w:t>12</w:t>
            </w:r>
          </w:p>
        </w:tc>
        <w:tc>
          <w:tcPr>
            <w:tcW w:w="1443" w:type="dxa"/>
          </w:tcPr>
          <w:p w14:paraId="435C5F0C" w14:textId="61883529" w:rsidR="009F32CC" w:rsidRPr="00742407" w:rsidRDefault="001935D4" w:rsidP="000350AC">
            <w:pPr>
              <w:jc w:val="center"/>
              <w:rPr>
                <w:bCs/>
              </w:rPr>
            </w:pPr>
            <w:r w:rsidRPr="00742407">
              <w:rPr>
                <w:bCs/>
                <w:lang w:val="en-US" w:eastAsia="en-US"/>
              </w:rPr>
              <w:t>13</w:t>
            </w:r>
          </w:p>
        </w:tc>
        <w:tc>
          <w:tcPr>
            <w:tcW w:w="2526" w:type="dxa"/>
          </w:tcPr>
          <w:p w14:paraId="49B722C1"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258482E3" w14:textId="77777777" w:rsidTr="00040F81">
        <w:trPr>
          <w:trHeight w:val="548"/>
        </w:trPr>
        <w:tc>
          <w:tcPr>
            <w:tcW w:w="1890" w:type="dxa"/>
            <w:shd w:val="clear" w:color="auto" w:fill="EEECE1"/>
          </w:tcPr>
          <w:p w14:paraId="2073FA52" w14:textId="3E484E5A"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.1.2</w:t>
            </w:r>
          </w:p>
          <w:p w14:paraId="1C56F029"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817" w:type="dxa"/>
            <w:shd w:val="clear" w:color="auto" w:fill="EEECE1"/>
          </w:tcPr>
          <w:p w14:paraId="4E481C9A" w14:textId="2AC12FB3" w:rsidR="009F32CC" w:rsidRPr="00742407" w:rsidRDefault="001935D4" w:rsidP="00600939">
            <w:pPr>
              <w:autoSpaceDE w:val="0"/>
              <w:autoSpaceDN w:val="0"/>
              <w:adjustRightInd w:val="0"/>
              <w:rPr>
                <w:bCs/>
                <w:lang w:val="fr-FR"/>
              </w:rPr>
            </w:pPr>
            <w:r w:rsidRPr="00742407">
              <w:rPr>
                <w:bCs/>
                <w:lang w:val="fr-FR"/>
              </w:rPr>
              <w:t>La stratégie d’intervention et le manuel de procédures de la CVJRR élaborés et validés</w:t>
            </w:r>
          </w:p>
        </w:tc>
        <w:tc>
          <w:tcPr>
            <w:tcW w:w="1182" w:type="dxa"/>
            <w:shd w:val="clear" w:color="auto" w:fill="EEECE1"/>
          </w:tcPr>
          <w:p w14:paraId="3F7E1344" w14:textId="73FABCC1" w:rsidR="009F32CC" w:rsidRPr="00742407" w:rsidRDefault="001935D4" w:rsidP="000350AC">
            <w:pPr>
              <w:jc w:val="center"/>
              <w:rPr>
                <w:bCs/>
              </w:rPr>
            </w:pPr>
            <w:r w:rsidRPr="00742407">
              <w:rPr>
                <w:bCs/>
                <w:lang w:val="en-US" w:eastAsia="en-US"/>
              </w:rPr>
              <w:t>1</w:t>
            </w:r>
          </w:p>
        </w:tc>
        <w:tc>
          <w:tcPr>
            <w:tcW w:w="1443" w:type="dxa"/>
          </w:tcPr>
          <w:p w14:paraId="62B5F0F1" w14:textId="22811320" w:rsidR="009F32CC" w:rsidRPr="00742407" w:rsidRDefault="001935D4" w:rsidP="000350AC">
            <w:pPr>
              <w:jc w:val="center"/>
              <w:rPr>
                <w:bCs/>
              </w:rPr>
            </w:pPr>
            <w:r w:rsidRPr="00742407">
              <w:rPr>
                <w:bCs/>
                <w:lang w:val="en-US" w:eastAsia="en-US"/>
              </w:rPr>
              <w:t>1</w:t>
            </w:r>
          </w:p>
        </w:tc>
        <w:tc>
          <w:tcPr>
            <w:tcW w:w="2526" w:type="dxa"/>
          </w:tcPr>
          <w:p w14:paraId="78E93433" w14:textId="77777777" w:rsidR="009F32CC" w:rsidRPr="00742407" w:rsidRDefault="009F32CC" w:rsidP="00040F81">
            <w:pPr>
              <w:ind w:left="29" w:right="-115"/>
            </w:pPr>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040F81" w:rsidRPr="00742407" w14:paraId="1D5BFDAF" w14:textId="77777777" w:rsidTr="00040F81">
        <w:trPr>
          <w:trHeight w:val="548"/>
        </w:trPr>
        <w:tc>
          <w:tcPr>
            <w:tcW w:w="1890" w:type="dxa"/>
            <w:shd w:val="clear" w:color="auto" w:fill="EEECE1"/>
          </w:tcPr>
          <w:p w14:paraId="679E09C4" w14:textId="5422D459" w:rsidR="00040F81" w:rsidRPr="00742407" w:rsidRDefault="00040F81" w:rsidP="00040F81">
            <w:pPr>
              <w:jc w:val="both"/>
              <w:rPr>
                <w:lang w:val="en-US" w:eastAsia="en-US"/>
              </w:rPr>
            </w:pPr>
            <w:proofErr w:type="spellStart"/>
            <w:r w:rsidRPr="00742407">
              <w:rPr>
                <w:b/>
                <w:lang w:val="en-US" w:eastAsia="en-US"/>
              </w:rPr>
              <w:t>Indicateur</w:t>
            </w:r>
            <w:proofErr w:type="spellEnd"/>
            <w:r w:rsidRPr="00742407">
              <w:rPr>
                <w:lang w:val="en-US" w:eastAsia="en-US"/>
              </w:rPr>
              <w:t xml:space="preserve"> 3.1.3</w:t>
            </w:r>
          </w:p>
          <w:p w14:paraId="34E99319" w14:textId="77777777" w:rsidR="00040F81" w:rsidRPr="00742407" w:rsidRDefault="00040F81" w:rsidP="00040F81">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817" w:type="dxa"/>
            <w:shd w:val="clear" w:color="auto" w:fill="EEECE1"/>
          </w:tcPr>
          <w:p w14:paraId="7FBCF953" w14:textId="3D3770ED" w:rsidR="00040F81" w:rsidRPr="00742407" w:rsidRDefault="00040F81" w:rsidP="00040F81">
            <w:pPr>
              <w:pStyle w:val="Default"/>
              <w:rPr>
                <w:rFonts w:ascii="Times New Roman" w:hAnsi="Times New Roman" w:cs="Times New Roman"/>
                <w:sz w:val="17"/>
                <w:szCs w:val="17"/>
                <w:lang w:val="fr-FR"/>
              </w:rPr>
            </w:pPr>
            <w:r w:rsidRPr="00742407">
              <w:rPr>
                <w:rFonts w:ascii="Times New Roman" w:hAnsi="Times New Roman" w:cs="Times New Roman"/>
                <w:b/>
                <w:lang w:val="en-US" w:eastAsia="en-US"/>
              </w:rPr>
              <w:fldChar w:fldCharType="begin">
                <w:ffData>
                  <w:name w:val=""/>
                  <w:enabled/>
                  <w:calcOnExit w:val="0"/>
                  <w:textInput>
                    <w:maxLength w:val="300"/>
                  </w:textInput>
                </w:ffData>
              </w:fldChar>
            </w:r>
            <w:r w:rsidRPr="00742407">
              <w:rPr>
                <w:rFonts w:ascii="Times New Roman" w:hAnsi="Times New Roman" w:cs="Times New Roman"/>
                <w:b/>
                <w:lang w:val="en-US" w:eastAsia="en-US"/>
              </w:rPr>
              <w:instrText xml:space="preserve"> FORMTEXT </w:instrText>
            </w:r>
            <w:r w:rsidRPr="00742407">
              <w:rPr>
                <w:rFonts w:ascii="Times New Roman" w:hAnsi="Times New Roman" w:cs="Times New Roman"/>
                <w:b/>
                <w:lang w:val="en-US" w:eastAsia="en-US"/>
              </w:rPr>
            </w:r>
            <w:r w:rsidRPr="00742407">
              <w:rPr>
                <w:rFonts w:ascii="Times New Roman" w:hAnsi="Times New Roman" w:cs="Times New Roman"/>
                <w:b/>
                <w:lang w:val="en-US" w:eastAsia="en-US"/>
              </w:rPr>
              <w:fldChar w:fldCharType="separate"/>
            </w:r>
            <w:r w:rsidRPr="00742407">
              <w:rPr>
                <w:rFonts w:ascii="Times New Roman" w:hAnsi="Times New Roman" w:cs="Times New Roman"/>
                <w:b/>
                <w:noProof/>
                <w:lang w:val="en-US" w:eastAsia="en-US"/>
              </w:rPr>
              <w:t> </w:t>
            </w:r>
            <w:r w:rsidRPr="00742407">
              <w:rPr>
                <w:rFonts w:ascii="Times New Roman" w:hAnsi="Times New Roman" w:cs="Times New Roman"/>
                <w:b/>
                <w:noProof/>
                <w:lang w:val="en-US" w:eastAsia="en-US"/>
              </w:rPr>
              <w:t> </w:t>
            </w:r>
            <w:r w:rsidRPr="00742407">
              <w:rPr>
                <w:rFonts w:ascii="Times New Roman" w:hAnsi="Times New Roman" w:cs="Times New Roman"/>
                <w:b/>
                <w:noProof/>
                <w:lang w:val="en-US" w:eastAsia="en-US"/>
              </w:rPr>
              <w:t> </w:t>
            </w:r>
            <w:r w:rsidRPr="00742407">
              <w:rPr>
                <w:rFonts w:ascii="Times New Roman" w:hAnsi="Times New Roman" w:cs="Times New Roman"/>
                <w:b/>
                <w:noProof/>
                <w:lang w:val="en-US" w:eastAsia="en-US"/>
              </w:rPr>
              <w:t> </w:t>
            </w:r>
            <w:r w:rsidRPr="00742407">
              <w:rPr>
                <w:rFonts w:ascii="Times New Roman" w:hAnsi="Times New Roman" w:cs="Times New Roman"/>
                <w:b/>
                <w:noProof/>
                <w:lang w:val="en-US" w:eastAsia="en-US"/>
              </w:rPr>
              <w:t> </w:t>
            </w:r>
            <w:r w:rsidRPr="00742407">
              <w:rPr>
                <w:rFonts w:ascii="Times New Roman" w:hAnsi="Times New Roman" w:cs="Times New Roman"/>
                <w:b/>
                <w:lang w:val="en-US" w:eastAsia="en-US"/>
              </w:rPr>
              <w:fldChar w:fldCharType="end"/>
            </w:r>
          </w:p>
        </w:tc>
        <w:tc>
          <w:tcPr>
            <w:tcW w:w="1182" w:type="dxa"/>
            <w:shd w:val="clear" w:color="auto" w:fill="EEECE1"/>
          </w:tcPr>
          <w:p w14:paraId="0FB5DDCA" w14:textId="12F405EC" w:rsidR="00040F81" w:rsidRPr="00742407" w:rsidRDefault="00040F81" w:rsidP="00040F81">
            <w:pPr>
              <w:rPr>
                <w:lang w:val="fr-FR"/>
              </w:rPr>
            </w:pPr>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3" w:type="dxa"/>
          </w:tcPr>
          <w:p w14:paraId="4F0A52F1" w14:textId="3693EFB3" w:rsidR="00040F81" w:rsidRPr="00742407" w:rsidRDefault="00040F81" w:rsidP="00040F81">
            <w:pPr>
              <w:rPr>
                <w:lang w:val="fr-FR"/>
              </w:rPr>
            </w:pPr>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26" w:type="dxa"/>
          </w:tcPr>
          <w:p w14:paraId="5A1CC91B" w14:textId="645F6C02" w:rsidR="00040F81" w:rsidRPr="00742407" w:rsidRDefault="00040F81" w:rsidP="00040F81">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6D1FD320" w14:textId="77777777" w:rsidR="009F32CC" w:rsidRPr="00742407" w:rsidRDefault="009F32CC" w:rsidP="009F32CC">
      <w:pPr>
        <w:rPr>
          <w:b/>
          <w:highlight w:val="yellow"/>
          <w:u w:val="single"/>
          <w:lang w:val="fr-FR"/>
        </w:rPr>
      </w:pPr>
    </w:p>
    <w:p w14:paraId="78F3676F" w14:textId="09EA69D1" w:rsidR="009F32CC" w:rsidRPr="00742407" w:rsidRDefault="009F32CC" w:rsidP="009F32CC">
      <w:pPr>
        <w:pStyle w:val="Default"/>
        <w:ind w:right="-613"/>
        <w:rPr>
          <w:rFonts w:ascii="Times New Roman" w:eastAsia="Times New Roman" w:hAnsi="Times New Roman" w:cs="Times New Roman"/>
          <w:bCs/>
          <w:color w:val="auto"/>
          <w:lang w:val="fr-FR" w:eastAsia="en-GB"/>
        </w:rPr>
      </w:pPr>
      <w:r w:rsidRPr="00742407">
        <w:rPr>
          <w:rFonts w:ascii="Times New Roman" w:hAnsi="Times New Roman" w:cs="Times New Roman"/>
          <w:b/>
          <w:u w:val="single"/>
          <w:lang w:val="fr-FR"/>
        </w:rPr>
        <w:t xml:space="preserve">Produit </w:t>
      </w:r>
      <w:r w:rsidR="00040F81" w:rsidRPr="00742407">
        <w:rPr>
          <w:rFonts w:ascii="Times New Roman" w:hAnsi="Times New Roman" w:cs="Times New Roman"/>
          <w:b/>
          <w:u w:val="single"/>
          <w:lang w:val="fr-FR"/>
        </w:rPr>
        <w:t>3</w:t>
      </w:r>
      <w:r w:rsidRPr="00742407">
        <w:rPr>
          <w:rFonts w:ascii="Times New Roman" w:hAnsi="Times New Roman" w:cs="Times New Roman"/>
          <w:b/>
          <w:u w:val="single"/>
          <w:lang w:val="fr-FR"/>
        </w:rPr>
        <w:t>.2 :</w:t>
      </w:r>
      <w:r w:rsidRPr="00742407">
        <w:rPr>
          <w:rFonts w:ascii="Times New Roman" w:hAnsi="Times New Roman" w:cs="Times New Roman"/>
          <w:bCs/>
          <w:lang w:val="fr-FR"/>
        </w:rPr>
        <w:t xml:space="preserve"> </w:t>
      </w:r>
      <w:r w:rsidR="00600560">
        <w:rPr>
          <w:rFonts w:ascii="Times New Roman" w:eastAsia="Times New Roman" w:hAnsi="Times New Roman" w:cs="Times New Roman"/>
          <w:bCs/>
          <w:color w:val="auto"/>
          <w:lang w:val="fr-FR" w:eastAsia="en-GB"/>
        </w:rPr>
        <w:t>l</w:t>
      </w:r>
      <w:r w:rsidR="00040F81" w:rsidRPr="00742407">
        <w:rPr>
          <w:rFonts w:ascii="Times New Roman" w:eastAsia="Times New Roman" w:hAnsi="Times New Roman" w:cs="Times New Roman"/>
          <w:bCs/>
          <w:color w:val="auto"/>
          <w:lang w:val="fr-FR" w:eastAsia="en-GB"/>
        </w:rPr>
        <w:t>es leaders communautaires et les OSC (associations de victimes, ONG de défense des droits humains, Comités locaux de paix et de réconciliation) sont préparés à contribuer à la bonne conduite des activités de la CVJRR</w:t>
      </w:r>
      <w:r w:rsidRPr="00742407">
        <w:rPr>
          <w:rFonts w:ascii="Times New Roman" w:eastAsia="Times New Roman" w:hAnsi="Times New Roman" w:cs="Times New Roman"/>
          <w:bCs/>
          <w:color w:val="auto"/>
          <w:lang w:val="fr-FR" w:eastAsia="en-GB"/>
        </w:rPr>
        <w:t>.</w:t>
      </w:r>
    </w:p>
    <w:p w14:paraId="2CD4146C" w14:textId="77777777" w:rsidR="009F32CC" w:rsidRPr="00742407" w:rsidRDefault="009F32CC" w:rsidP="009F32CC">
      <w:pPr>
        <w:ind w:left="-360"/>
        <w:rPr>
          <w:bCs/>
          <w:highlight w:val="yellow"/>
          <w:u w:val="single"/>
          <w:lang w:val="fr-FR"/>
        </w:rPr>
      </w:pPr>
    </w:p>
    <w:tbl>
      <w:tblPr>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11"/>
        <w:gridCol w:w="1440"/>
        <w:gridCol w:w="1620"/>
        <w:gridCol w:w="2468"/>
      </w:tblGrid>
      <w:tr w:rsidR="009F32CC" w:rsidRPr="006B0660" w14:paraId="64CDA54E" w14:textId="77777777" w:rsidTr="00600939">
        <w:trPr>
          <w:tblHeader/>
        </w:trPr>
        <w:tc>
          <w:tcPr>
            <w:tcW w:w="1980" w:type="dxa"/>
            <w:shd w:val="clear" w:color="auto" w:fill="EEECE1"/>
          </w:tcPr>
          <w:p w14:paraId="5F2039E4" w14:textId="77777777" w:rsidR="009F32CC" w:rsidRPr="00742407" w:rsidRDefault="009F32CC" w:rsidP="00600939">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311" w:type="dxa"/>
            <w:shd w:val="clear" w:color="auto" w:fill="EEECE1"/>
          </w:tcPr>
          <w:p w14:paraId="7259C4AE" w14:textId="77777777" w:rsidR="009F32CC" w:rsidRPr="00742407" w:rsidRDefault="009F32CC" w:rsidP="00600939">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78DB33C7" w14:textId="77777777" w:rsidR="009F32CC" w:rsidRPr="00742407" w:rsidRDefault="009F32CC" w:rsidP="00600939">
            <w:pPr>
              <w:jc w:val="center"/>
              <w:rPr>
                <w:b/>
                <w:lang w:val="fr-FR" w:eastAsia="en-US"/>
              </w:rPr>
            </w:pPr>
            <w:r w:rsidRPr="00742407">
              <w:rPr>
                <w:b/>
                <w:sz w:val="22"/>
                <w:szCs w:val="22"/>
                <w:lang w:val="fr-FR" w:eastAsia="en-US"/>
              </w:rPr>
              <w:t>Cible de fin de projet</w:t>
            </w:r>
          </w:p>
        </w:tc>
        <w:tc>
          <w:tcPr>
            <w:tcW w:w="1620" w:type="dxa"/>
          </w:tcPr>
          <w:p w14:paraId="0C5E6124" w14:textId="77777777" w:rsidR="009F32CC" w:rsidRPr="00742407" w:rsidRDefault="009F32CC" w:rsidP="00600939">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468" w:type="dxa"/>
          </w:tcPr>
          <w:p w14:paraId="1BC161B2" w14:textId="77777777" w:rsidR="009F32CC" w:rsidRPr="00742407" w:rsidRDefault="009F32CC" w:rsidP="00600939">
            <w:pPr>
              <w:jc w:val="center"/>
              <w:rPr>
                <w:b/>
                <w:lang w:val="fr-FR" w:eastAsia="en-US"/>
              </w:rPr>
            </w:pPr>
            <w:r w:rsidRPr="00742407">
              <w:rPr>
                <w:b/>
                <w:sz w:val="22"/>
                <w:szCs w:val="22"/>
                <w:lang w:val="fr-FR" w:eastAsia="en-US"/>
              </w:rPr>
              <w:t>Raisons pour les retards ou changements (s'il y en a)</w:t>
            </w:r>
          </w:p>
        </w:tc>
      </w:tr>
      <w:tr w:rsidR="009F32CC" w:rsidRPr="00742407" w14:paraId="5DF8CE20" w14:textId="77777777" w:rsidTr="00600939">
        <w:trPr>
          <w:trHeight w:val="548"/>
        </w:trPr>
        <w:tc>
          <w:tcPr>
            <w:tcW w:w="1980" w:type="dxa"/>
            <w:shd w:val="clear" w:color="auto" w:fill="EEECE1"/>
          </w:tcPr>
          <w:p w14:paraId="404B91A7" w14:textId="037F340E"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.2.1</w:t>
            </w:r>
          </w:p>
          <w:p w14:paraId="2E1F9839"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0D1F9369" w14:textId="40D7FDC3" w:rsidR="009F32CC" w:rsidRPr="00742407" w:rsidRDefault="00040F81" w:rsidP="00600939">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1 mécanisme de concertation CVJRR / société civile instauré et effectif</w:t>
            </w:r>
          </w:p>
        </w:tc>
        <w:tc>
          <w:tcPr>
            <w:tcW w:w="1440" w:type="dxa"/>
            <w:shd w:val="clear" w:color="auto" w:fill="EEECE1"/>
          </w:tcPr>
          <w:p w14:paraId="0F66C850" w14:textId="778492C8" w:rsidR="009F32CC" w:rsidRPr="00742407" w:rsidRDefault="000350AC" w:rsidP="000350AC">
            <w:pPr>
              <w:jc w:val="center"/>
              <w:rPr>
                <w:bCs/>
                <w:lang w:val="fr-FR"/>
              </w:rPr>
            </w:pPr>
            <w:r w:rsidRPr="00742407">
              <w:rPr>
                <w:bCs/>
                <w:lang w:val="fr-FR"/>
              </w:rPr>
              <w:t>12 réunions du mécanisme</w:t>
            </w:r>
          </w:p>
        </w:tc>
        <w:tc>
          <w:tcPr>
            <w:tcW w:w="1620" w:type="dxa"/>
          </w:tcPr>
          <w:p w14:paraId="751F5C22" w14:textId="7C66E71A" w:rsidR="009F32CC" w:rsidRPr="00742407" w:rsidRDefault="000350AC" w:rsidP="000350AC">
            <w:pPr>
              <w:jc w:val="center"/>
              <w:rPr>
                <w:bCs/>
                <w:lang w:val="fr-FR"/>
              </w:rPr>
            </w:pPr>
            <w:r w:rsidRPr="00742407">
              <w:rPr>
                <w:bCs/>
                <w:lang w:val="fr-FR"/>
              </w:rPr>
              <w:t>0</w:t>
            </w:r>
          </w:p>
        </w:tc>
        <w:tc>
          <w:tcPr>
            <w:tcW w:w="2468" w:type="dxa"/>
          </w:tcPr>
          <w:p w14:paraId="4F1E7199" w14:textId="77777777" w:rsidR="009F32CC" w:rsidRPr="00742407" w:rsidRDefault="009F32CC" w:rsidP="00600939">
            <w:pPr>
              <w:rPr>
                <w:bCs/>
                <w:lang w:val="fr-FR"/>
              </w:rPr>
            </w:pPr>
            <w:r w:rsidRPr="00742407">
              <w:rPr>
                <w:bCs/>
                <w:lang w:val="fr-FR"/>
              </w:rPr>
              <w:fldChar w:fldCharType="begin">
                <w:ffData>
                  <w:name w:val=""/>
                  <w:enabled/>
                  <w:calcOnExit w:val="0"/>
                  <w:textInput>
                    <w:maxLength w:val="30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fldChar w:fldCharType="end"/>
            </w:r>
          </w:p>
        </w:tc>
      </w:tr>
      <w:tr w:rsidR="009F32CC" w:rsidRPr="00742407" w14:paraId="39C230BA" w14:textId="77777777" w:rsidTr="00600939">
        <w:trPr>
          <w:trHeight w:val="548"/>
        </w:trPr>
        <w:tc>
          <w:tcPr>
            <w:tcW w:w="1980" w:type="dxa"/>
            <w:shd w:val="clear" w:color="auto" w:fill="EEECE1"/>
          </w:tcPr>
          <w:p w14:paraId="2D088FC5" w14:textId="189518E4"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.2.2</w:t>
            </w:r>
          </w:p>
          <w:p w14:paraId="3C8052DB"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21F770AE" w14:textId="15A347D0" w:rsidR="009F32CC" w:rsidRPr="00742407" w:rsidRDefault="000350AC" w:rsidP="000350AC">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de formations dédiées à la prise en charge des femmes et des enfants</w:t>
            </w:r>
          </w:p>
        </w:tc>
        <w:tc>
          <w:tcPr>
            <w:tcW w:w="1440" w:type="dxa"/>
            <w:shd w:val="clear" w:color="auto" w:fill="EEECE1"/>
          </w:tcPr>
          <w:p w14:paraId="2CAA83E0" w14:textId="22F4DA7D" w:rsidR="009F32CC" w:rsidRPr="00742407" w:rsidRDefault="000350AC" w:rsidP="000350AC">
            <w:pPr>
              <w:jc w:val="center"/>
            </w:pPr>
            <w:r w:rsidRPr="00742407">
              <w:rPr>
                <w:b/>
                <w:lang w:val="en-US" w:eastAsia="en-US"/>
              </w:rPr>
              <w:t>0</w:t>
            </w:r>
          </w:p>
        </w:tc>
        <w:tc>
          <w:tcPr>
            <w:tcW w:w="1620" w:type="dxa"/>
          </w:tcPr>
          <w:p w14:paraId="2491F8DA" w14:textId="0254BA22" w:rsidR="009F32CC" w:rsidRPr="00742407" w:rsidRDefault="000350AC" w:rsidP="000350AC">
            <w:pPr>
              <w:jc w:val="center"/>
            </w:pPr>
            <w:r w:rsidRPr="00742407">
              <w:rPr>
                <w:b/>
                <w:lang w:val="en-US" w:eastAsia="en-US"/>
              </w:rPr>
              <w:t>4</w:t>
            </w:r>
          </w:p>
        </w:tc>
        <w:tc>
          <w:tcPr>
            <w:tcW w:w="2468" w:type="dxa"/>
          </w:tcPr>
          <w:p w14:paraId="0F0479D2"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39043A1B" w14:textId="77777777" w:rsidTr="00600939">
        <w:trPr>
          <w:trHeight w:val="548"/>
        </w:trPr>
        <w:tc>
          <w:tcPr>
            <w:tcW w:w="1980" w:type="dxa"/>
            <w:shd w:val="clear" w:color="auto" w:fill="EEECE1"/>
          </w:tcPr>
          <w:p w14:paraId="69D41554" w14:textId="36CFAC09"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040F81" w:rsidRPr="00742407">
              <w:rPr>
                <w:lang w:val="en-US" w:eastAsia="en-US"/>
              </w:rPr>
              <w:t>3</w:t>
            </w:r>
            <w:r w:rsidRPr="00742407">
              <w:rPr>
                <w:lang w:val="en-US" w:eastAsia="en-US"/>
              </w:rPr>
              <w:t>.2.3</w:t>
            </w:r>
          </w:p>
          <w:p w14:paraId="0843157B"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109BBA9F"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41531C4F"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2C71E588"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287F5C4A"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7235F2A0" w14:textId="77777777" w:rsidR="009F32CC" w:rsidRPr="00742407" w:rsidRDefault="009F32CC" w:rsidP="009F32CC">
      <w:pPr>
        <w:ind w:left="-720"/>
        <w:rPr>
          <w:b/>
          <w:u w:val="single"/>
          <w:lang w:val="fr-FR"/>
        </w:rPr>
      </w:pPr>
    </w:p>
    <w:p w14:paraId="1AA9D5A5" w14:textId="195D7404" w:rsidR="009F32CC" w:rsidRPr="00435A87" w:rsidRDefault="009F32CC" w:rsidP="009F32CC">
      <w:pPr>
        <w:pStyle w:val="Default"/>
        <w:rPr>
          <w:rFonts w:ascii="Times New Roman" w:hAnsi="Times New Roman" w:cs="Times New Roman"/>
          <w:sz w:val="20"/>
          <w:szCs w:val="20"/>
          <w:lang w:val="fr-CF"/>
        </w:rPr>
      </w:pPr>
      <w:r w:rsidRPr="00742407">
        <w:rPr>
          <w:rFonts w:ascii="Times New Roman" w:hAnsi="Times New Roman" w:cs="Times New Roman"/>
          <w:b/>
          <w:u w:val="single"/>
          <w:lang w:val="fr-FR"/>
        </w:rPr>
        <w:t xml:space="preserve">Produit </w:t>
      </w:r>
      <w:r w:rsidR="000350AC" w:rsidRPr="00742407">
        <w:rPr>
          <w:rFonts w:ascii="Times New Roman" w:hAnsi="Times New Roman" w:cs="Times New Roman"/>
          <w:b/>
          <w:u w:val="single"/>
          <w:lang w:val="fr-FR"/>
        </w:rPr>
        <w:t>3</w:t>
      </w:r>
      <w:r w:rsidRPr="00742407">
        <w:rPr>
          <w:rFonts w:ascii="Times New Roman" w:hAnsi="Times New Roman" w:cs="Times New Roman"/>
          <w:b/>
          <w:u w:val="single"/>
          <w:lang w:val="fr-FR"/>
        </w:rPr>
        <w:t>.3</w:t>
      </w:r>
      <w:r w:rsidRPr="00742407">
        <w:rPr>
          <w:rFonts w:ascii="Times New Roman" w:hAnsi="Times New Roman" w:cs="Times New Roman"/>
          <w:bCs/>
          <w:lang w:val="fr-FR"/>
        </w:rPr>
        <w:t xml:space="preserve"> : </w:t>
      </w:r>
      <w:r w:rsidR="000350AC" w:rsidRPr="00742407">
        <w:rPr>
          <w:rFonts w:ascii="Times New Roman" w:eastAsia="Times New Roman" w:hAnsi="Times New Roman" w:cs="Times New Roman"/>
          <w:bCs/>
          <w:color w:val="auto"/>
          <w:lang w:val="fr-FR" w:eastAsia="en-GB"/>
        </w:rPr>
        <w:t>Un appui technique et opérationnel est fourni pour la mise en place d’un cadre de collecte, de documentation, d’archivage et de protection des données</w:t>
      </w:r>
    </w:p>
    <w:p w14:paraId="0075D59D" w14:textId="77777777" w:rsidR="009F32CC" w:rsidRPr="00742407" w:rsidRDefault="009F32CC" w:rsidP="009F32CC">
      <w:pPr>
        <w:rPr>
          <w:b/>
          <w:highlight w:val="yellow"/>
          <w:u w:val="single"/>
          <w:lang w:val="fr-FR"/>
        </w:rPr>
      </w:pPr>
    </w:p>
    <w:tbl>
      <w:tblPr>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11"/>
        <w:gridCol w:w="1440"/>
        <w:gridCol w:w="1620"/>
        <w:gridCol w:w="2468"/>
      </w:tblGrid>
      <w:tr w:rsidR="009F32CC" w:rsidRPr="006B0660" w14:paraId="11061EA0" w14:textId="77777777" w:rsidTr="00600939">
        <w:trPr>
          <w:tblHeader/>
        </w:trPr>
        <w:tc>
          <w:tcPr>
            <w:tcW w:w="1980" w:type="dxa"/>
            <w:shd w:val="clear" w:color="auto" w:fill="EEECE1"/>
          </w:tcPr>
          <w:p w14:paraId="4390A421" w14:textId="77777777" w:rsidR="009F32CC" w:rsidRPr="00742407" w:rsidRDefault="009F32CC" w:rsidP="00600939">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311" w:type="dxa"/>
            <w:shd w:val="clear" w:color="auto" w:fill="EEECE1"/>
          </w:tcPr>
          <w:p w14:paraId="1EF55365" w14:textId="77777777" w:rsidR="009F32CC" w:rsidRPr="00742407" w:rsidRDefault="009F32CC" w:rsidP="00600939">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448CFA9F" w14:textId="77777777" w:rsidR="009F32CC" w:rsidRPr="00742407" w:rsidRDefault="009F32CC" w:rsidP="00600939">
            <w:pPr>
              <w:jc w:val="center"/>
              <w:rPr>
                <w:b/>
                <w:lang w:val="fr-FR" w:eastAsia="en-US"/>
              </w:rPr>
            </w:pPr>
            <w:r w:rsidRPr="00742407">
              <w:rPr>
                <w:b/>
                <w:sz w:val="22"/>
                <w:szCs w:val="22"/>
                <w:lang w:val="fr-FR" w:eastAsia="en-US"/>
              </w:rPr>
              <w:t>Cible de fin de projet</w:t>
            </w:r>
          </w:p>
        </w:tc>
        <w:tc>
          <w:tcPr>
            <w:tcW w:w="1620" w:type="dxa"/>
          </w:tcPr>
          <w:p w14:paraId="6F7770B0" w14:textId="77777777" w:rsidR="009F32CC" w:rsidRPr="00742407" w:rsidRDefault="009F32CC" w:rsidP="00600939">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468" w:type="dxa"/>
          </w:tcPr>
          <w:p w14:paraId="542B025A" w14:textId="77777777" w:rsidR="009F32CC" w:rsidRPr="00742407" w:rsidRDefault="009F32CC" w:rsidP="00600939">
            <w:pPr>
              <w:jc w:val="center"/>
              <w:rPr>
                <w:b/>
                <w:lang w:val="fr-FR" w:eastAsia="en-US"/>
              </w:rPr>
            </w:pPr>
            <w:r w:rsidRPr="00742407">
              <w:rPr>
                <w:b/>
                <w:sz w:val="22"/>
                <w:szCs w:val="22"/>
                <w:lang w:val="fr-FR" w:eastAsia="en-US"/>
              </w:rPr>
              <w:t>Raisons pour les retards ou changements (s'il y en a)</w:t>
            </w:r>
          </w:p>
        </w:tc>
      </w:tr>
      <w:tr w:rsidR="009F32CC" w:rsidRPr="00742407" w14:paraId="738CE430" w14:textId="77777777" w:rsidTr="00600939">
        <w:trPr>
          <w:trHeight w:val="548"/>
        </w:trPr>
        <w:tc>
          <w:tcPr>
            <w:tcW w:w="1980" w:type="dxa"/>
            <w:shd w:val="clear" w:color="auto" w:fill="EEECE1"/>
          </w:tcPr>
          <w:p w14:paraId="32D19121"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1.3.1</w:t>
            </w:r>
          </w:p>
          <w:p w14:paraId="2CB970E3"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612C7C65" w14:textId="100889DC" w:rsidR="009F32CC" w:rsidRPr="00742407" w:rsidRDefault="000350AC" w:rsidP="00600939">
            <w:pPr>
              <w:autoSpaceDE w:val="0"/>
              <w:autoSpaceDN w:val="0"/>
              <w:adjustRightInd w:val="0"/>
              <w:rPr>
                <w:bCs/>
                <w:lang w:val="fr-FR"/>
              </w:rPr>
            </w:pPr>
            <w:r w:rsidRPr="00742407">
              <w:rPr>
                <w:bCs/>
                <w:lang w:val="fr-FR"/>
              </w:rPr>
              <w:t>Un progiciel de collecte et de sauvegarde des données élaboré et fonctionnel ;</w:t>
            </w:r>
          </w:p>
        </w:tc>
        <w:tc>
          <w:tcPr>
            <w:tcW w:w="1440" w:type="dxa"/>
            <w:shd w:val="clear" w:color="auto" w:fill="EEECE1"/>
          </w:tcPr>
          <w:p w14:paraId="02AD16EC" w14:textId="77777777" w:rsidR="009F32CC" w:rsidRPr="00742407" w:rsidRDefault="009F32CC" w:rsidP="000350AC">
            <w:pPr>
              <w:jc w:val="center"/>
              <w:rPr>
                <w:bCs/>
                <w:lang w:val="fr-FR"/>
              </w:rPr>
            </w:pPr>
            <w:r w:rsidRPr="00742407">
              <w:rPr>
                <w:bCs/>
                <w:lang w:val="fr-FR"/>
              </w:rPr>
              <w:t>0</w:t>
            </w:r>
          </w:p>
        </w:tc>
        <w:tc>
          <w:tcPr>
            <w:tcW w:w="1620" w:type="dxa"/>
          </w:tcPr>
          <w:p w14:paraId="4555023F" w14:textId="77777777" w:rsidR="009F32CC" w:rsidRPr="00742407" w:rsidRDefault="009F32CC" w:rsidP="000350AC">
            <w:pPr>
              <w:jc w:val="center"/>
              <w:rPr>
                <w:bCs/>
                <w:lang w:val="fr-FR"/>
              </w:rPr>
            </w:pPr>
            <w:r w:rsidRPr="00742407">
              <w:rPr>
                <w:bCs/>
                <w:lang w:val="fr-FR"/>
              </w:rPr>
              <w:t>1</w:t>
            </w:r>
          </w:p>
        </w:tc>
        <w:tc>
          <w:tcPr>
            <w:tcW w:w="2468" w:type="dxa"/>
          </w:tcPr>
          <w:p w14:paraId="694412AA"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7F31605E" w14:textId="77777777" w:rsidTr="00600939">
        <w:trPr>
          <w:trHeight w:val="548"/>
        </w:trPr>
        <w:tc>
          <w:tcPr>
            <w:tcW w:w="1980" w:type="dxa"/>
            <w:shd w:val="clear" w:color="auto" w:fill="EEECE1"/>
          </w:tcPr>
          <w:p w14:paraId="7F1AFCDF"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1.3.2</w:t>
            </w:r>
          </w:p>
          <w:p w14:paraId="4963E588"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18696940" w14:textId="27912022" w:rsidR="009F32CC" w:rsidRPr="00742407" w:rsidRDefault="000350AC" w:rsidP="00600939">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Un cadre règlementaire pour la sauvegarde et l’utilisation des données collectées élaboré et validé par les parties prenantes du processus ;</w:t>
            </w:r>
          </w:p>
        </w:tc>
        <w:tc>
          <w:tcPr>
            <w:tcW w:w="1440" w:type="dxa"/>
            <w:shd w:val="clear" w:color="auto" w:fill="EEECE1"/>
          </w:tcPr>
          <w:p w14:paraId="1EF783BC" w14:textId="77777777" w:rsidR="009F32CC" w:rsidRPr="00742407" w:rsidRDefault="009F32CC" w:rsidP="000350AC">
            <w:pPr>
              <w:jc w:val="center"/>
            </w:pPr>
            <w:r w:rsidRPr="00742407">
              <w:rPr>
                <w:bCs/>
                <w:lang w:val="fr-FR"/>
              </w:rPr>
              <w:t>0</w:t>
            </w:r>
          </w:p>
        </w:tc>
        <w:tc>
          <w:tcPr>
            <w:tcW w:w="1620" w:type="dxa"/>
          </w:tcPr>
          <w:p w14:paraId="188581B7" w14:textId="77777777" w:rsidR="009F32CC" w:rsidRPr="00742407" w:rsidRDefault="009F32CC" w:rsidP="000350AC">
            <w:pPr>
              <w:jc w:val="center"/>
            </w:pPr>
            <w:r w:rsidRPr="00742407">
              <w:rPr>
                <w:bCs/>
                <w:lang w:val="fr-FR"/>
              </w:rPr>
              <w:t>1</w:t>
            </w:r>
          </w:p>
        </w:tc>
        <w:tc>
          <w:tcPr>
            <w:tcW w:w="2468" w:type="dxa"/>
          </w:tcPr>
          <w:p w14:paraId="54CE08B8"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3590A70F" w14:textId="77777777" w:rsidTr="00600939">
        <w:trPr>
          <w:trHeight w:val="548"/>
        </w:trPr>
        <w:tc>
          <w:tcPr>
            <w:tcW w:w="1980" w:type="dxa"/>
            <w:shd w:val="clear" w:color="auto" w:fill="EEECE1"/>
          </w:tcPr>
          <w:p w14:paraId="244AFB13"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1.3.3</w:t>
            </w:r>
          </w:p>
          <w:p w14:paraId="6B8EC45E"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5F103A64"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0C9CEC11"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7B190491"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09D117F4"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0965C5DE" w14:textId="77777777" w:rsidR="009F32CC" w:rsidRPr="00742407" w:rsidRDefault="009F32CC" w:rsidP="009F32CC">
      <w:pPr>
        <w:ind w:left="-720"/>
        <w:rPr>
          <w:b/>
          <w:u w:val="single"/>
          <w:lang w:val="fr-FR"/>
        </w:rPr>
      </w:pPr>
    </w:p>
    <w:p w14:paraId="592BF4A2" w14:textId="00EA23F6" w:rsidR="009F32CC" w:rsidRPr="00742407" w:rsidRDefault="009F32CC" w:rsidP="009F32CC">
      <w:pPr>
        <w:ind w:left="-284"/>
        <w:jc w:val="both"/>
        <w:rPr>
          <w:b/>
          <w:lang w:val="fr-FR"/>
        </w:rPr>
      </w:pPr>
      <w:r w:rsidRPr="00742407">
        <w:rPr>
          <w:b/>
          <w:u w:val="single"/>
          <w:lang w:val="fr-FR"/>
        </w:rPr>
        <w:t xml:space="preserve">Résultat </w:t>
      </w:r>
      <w:r w:rsidR="000350AC" w:rsidRPr="00742407">
        <w:rPr>
          <w:b/>
          <w:u w:val="single"/>
          <w:lang w:val="fr-FR"/>
        </w:rPr>
        <w:t xml:space="preserve">4 </w:t>
      </w:r>
      <w:r w:rsidRPr="00742407">
        <w:rPr>
          <w:b/>
          <w:lang w:val="fr-FR"/>
        </w:rPr>
        <w:t xml:space="preserve">: </w:t>
      </w:r>
      <w:r w:rsidR="00600560">
        <w:rPr>
          <w:b/>
          <w:lang w:val="fr-FR"/>
        </w:rPr>
        <w:t>l</w:t>
      </w:r>
      <w:r w:rsidR="000350AC" w:rsidRPr="00742407">
        <w:rPr>
          <w:b/>
          <w:lang w:val="fr-FR"/>
        </w:rPr>
        <w:t>es institutions de l’architecture de la justice transitionnelle en RCA ont les capacités techniques et opérationnelles pour assurer l’accès des femmes à la justice et à la vérité, et les organisations féminines ont les capacités requises pour fournir un appui psychosocial aux victimes</w:t>
      </w:r>
      <w:r w:rsidRPr="00742407">
        <w:rPr>
          <w:b/>
          <w:lang w:val="fr-FR"/>
        </w:rPr>
        <w:t>.</w:t>
      </w:r>
    </w:p>
    <w:p w14:paraId="0654C691" w14:textId="77777777" w:rsidR="009F32CC" w:rsidRPr="00742407" w:rsidRDefault="009F32CC" w:rsidP="009F32CC">
      <w:pPr>
        <w:ind w:left="-426"/>
        <w:jc w:val="both"/>
        <w:rPr>
          <w:b/>
          <w:highlight w:val="yellow"/>
          <w:lang w:val="fr-FR"/>
        </w:rPr>
      </w:pPr>
    </w:p>
    <w:p w14:paraId="7D5268BC" w14:textId="69B76841" w:rsidR="009F32CC" w:rsidRPr="00742407" w:rsidRDefault="009F32CC" w:rsidP="009F32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742407">
        <w:rPr>
          <w:b/>
          <w:bCs/>
          <w:color w:val="212121"/>
          <w:lang w:val="fr-FR"/>
        </w:rPr>
        <w:t>Veuillez évaluer l'état actuel des progrès du résultat</w:t>
      </w:r>
      <w:r w:rsidRPr="00742407">
        <w:rPr>
          <w:color w:val="212121"/>
          <w:lang w:val="fr-FR"/>
        </w:rPr>
        <w:t xml:space="preserve"> :</w:t>
      </w:r>
      <w:r w:rsidRPr="00742407">
        <w:rPr>
          <w:b/>
          <w:lang w:val="fr-FR"/>
        </w:rPr>
        <w:t xml:space="preserve"> </w:t>
      </w:r>
      <w:r w:rsidRPr="00742407">
        <w:rPr>
          <w:b/>
          <w:bCs/>
          <w:lang w:val="fr-FR"/>
        </w:rPr>
        <w:t>ON TRACK</w:t>
      </w:r>
      <w:r w:rsidR="000350AC" w:rsidRPr="00742407">
        <w:rPr>
          <w:b/>
          <w:bCs/>
          <w:lang w:val="fr-FR"/>
        </w:rPr>
        <w:t xml:space="preserve"> WITH SIGNIFICAT RESULT</w:t>
      </w:r>
    </w:p>
    <w:p w14:paraId="5D89001D" w14:textId="77777777" w:rsidR="009F32CC" w:rsidRPr="00742407" w:rsidRDefault="009F32CC" w:rsidP="009F32CC">
      <w:pPr>
        <w:ind w:hanging="360"/>
        <w:jc w:val="both"/>
        <w:rPr>
          <w:b/>
          <w:lang w:val="fr-FR"/>
        </w:rPr>
      </w:pPr>
    </w:p>
    <w:p w14:paraId="6BD63046" w14:textId="2317840D" w:rsidR="009F32CC" w:rsidRPr="00742407" w:rsidRDefault="009F32CC" w:rsidP="009F32CC">
      <w:pPr>
        <w:ind w:hanging="360"/>
        <w:jc w:val="both"/>
        <w:rPr>
          <w:i/>
          <w:lang w:val="fr-FR"/>
        </w:rPr>
      </w:pPr>
      <w:r w:rsidRPr="00742407">
        <w:rPr>
          <w:b/>
          <w:lang w:val="fr-FR"/>
        </w:rPr>
        <w:t xml:space="preserve">Résumé de </w:t>
      </w:r>
      <w:r w:rsidR="00B21466" w:rsidRPr="00742407">
        <w:rPr>
          <w:b/>
          <w:bCs/>
          <w:color w:val="212121"/>
          <w:lang w:val="fr-FR"/>
        </w:rPr>
        <w:t>progrès</w:t>
      </w:r>
      <w:r w:rsidR="00B21466" w:rsidRPr="00742407">
        <w:rPr>
          <w:b/>
          <w:lang w:val="fr-FR"/>
        </w:rPr>
        <w:t xml:space="preserve"> :</w:t>
      </w:r>
      <w:r w:rsidRPr="00742407">
        <w:rPr>
          <w:b/>
          <w:lang w:val="fr-FR"/>
        </w:rPr>
        <w:t xml:space="preserve"> </w:t>
      </w:r>
      <w:r w:rsidRPr="00742407">
        <w:rPr>
          <w:color w:val="212121"/>
          <w:lang w:val="fr-FR"/>
        </w:rPr>
        <w:t>(Limite de 350 mots)</w:t>
      </w:r>
    </w:p>
    <w:p w14:paraId="1306E22C" w14:textId="77777777" w:rsidR="009F32CC" w:rsidRPr="00742407" w:rsidRDefault="009F32CC" w:rsidP="009F32CC">
      <w:pPr>
        <w:ind w:hanging="360"/>
        <w:rPr>
          <w:b/>
          <w:lang w:val="fr-FR"/>
        </w:rPr>
      </w:pPr>
    </w:p>
    <w:p w14:paraId="7DA2DF72" w14:textId="25B6C85D" w:rsidR="00A60E0D" w:rsidRPr="00742407" w:rsidRDefault="00A60E0D" w:rsidP="00A60E0D">
      <w:pPr>
        <w:ind w:left="-360"/>
        <w:jc w:val="both"/>
        <w:rPr>
          <w:lang w:val="fr-FR"/>
        </w:rPr>
      </w:pPr>
      <w:r w:rsidRPr="00742407">
        <w:rPr>
          <w:lang w:val="fr-FR"/>
        </w:rPr>
        <w:t xml:space="preserve">Plusieurs activités d’appui genre en termes de renforcement des capacités à la Commission vérité Justice Réparation et Réconciliation (CVJRR) et aux organisations des victimes et de la société civile ont été réalisées. La retraite conjointe organisée par le PNUD, MINUSCA, ONU Femmes et le Centre pour le Dialogue Humanitaire (CDH) avait permis de renforcer les capacités techniques des commissaires sur les thématiques en lien avec leur mandat ainsi que la sensibilité au genre. </w:t>
      </w:r>
      <w:r w:rsidR="005D5A86">
        <w:rPr>
          <w:lang w:val="fr-FR"/>
        </w:rPr>
        <w:t xml:space="preserve">Celle </w:t>
      </w:r>
      <w:r w:rsidR="00A41474">
        <w:rPr>
          <w:lang w:val="fr-FR"/>
        </w:rPr>
        <w:t xml:space="preserve">de </w:t>
      </w:r>
      <w:r w:rsidRPr="00742407">
        <w:rPr>
          <w:lang w:val="fr-FR"/>
        </w:rPr>
        <w:t xml:space="preserve">janvier 2022 a abouti à l’élaboration du premier rapport d’étape de la commission ainsi que son Plan de Travail Annuel de 2022. ICTJ et ONU Femmes ont appuyé le renforcement des capacités des </w:t>
      </w:r>
      <w:r w:rsidR="005D5A86">
        <w:rPr>
          <w:lang w:val="fr-FR"/>
        </w:rPr>
        <w:t>C</w:t>
      </w:r>
      <w:r w:rsidRPr="00742407">
        <w:rPr>
          <w:lang w:val="fr-FR"/>
        </w:rPr>
        <w:t>ommissaires sur le genre. ONU Femmes et le PNUD ont appuyé l’élaboration du Logo de la CVJRR à l’issu d’un concours national conduit conjointement avec la commission.</w:t>
      </w:r>
    </w:p>
    <w:p w14:paraId="6C6320B5" w14:textId="77777777" w:rsidR="00A60E0D" w:rsidRPr="00742407" w:rsidRDefault="00A60E0D" w:rsidP="00A60E0D">
      <w:pPr>
        <w:ind w:left="-360"/>
        <w:jc w:val="both"/>
        <w:rPr>
          <w:lang w:val="fr-FR"/>
        </w:rPr>
      </w:pPr>
    </w:p>
    <w:p w14:paraId="31EAA92E" w14:textId="7328DEBC" w:rsidR="00A60E0D" w:rsidRPr="00742407" w:rsidRDefault="00A60E0D" w:rsidP="00A60E0D">
      <w:pPr>
        <w:ind w:left="-360"/>
        <w:jc w:val="both"/>
        <w:rPr>
          <w:lang w:val="fr-FR"/>
        </w:rPr>
      </w:pPr>
      <w:r w:rsidRPr="00742407">
        <w:rPr>
          <w:lang w:val="fr-FR"/>
        </w:rPr>
        <w:t xml:space="preserve">En </w:t>
      </w:r>
      <w:r w:rsidR="005D5A86">
        <w:rPr>
          <w:lang w:val="fr-FR"/>
        </w:rPr>
        <w:t>j</w:t>
      </w:r>
      <w:r w:rsidRPr="00742407">
        <w:rPr>
          <w:lang w:val="fr-FR"/>
        </w:rPr>
        <w:t xml:space="preserve">anvier 2022, un atelier de renforcement des capacités des acteurs de la justice organisé à Bangui durant trois jours a permis de renforcer les capacités de 50 acteurs de la justice dont les magistrats des cours d’appel de Bangui, Bouar et Bambari </w:t>
      </w:r>
      <w:r w:rsidR="005D5A86">
        <w:rPr>
          <w:lang w:val="fr-FR"/>
        </w:rPr>
        <w:t>et</w:t>
      </w:r>
      <w:r w:rsidR="005D5A86" w:rsidRPr="00742407">
        <w:rPr>
          <w:lang w:val="fr-FR"/>
        </w:rPr>
        <w:t xml:space="preserve"> </w:t>
      </w:r>
      <w:r w:rsidRPr="00742407">
        <w:rPr>
          <w:lang w:val="fr-FR"/>
        </w:rPr>
        <w:t xml:space="preserve">les officiers de police judiciaires sur les violences basées sur le genre, les droits des femmes et leur accès à la justice. </w:t>
      </w:r>
    </w:p>
    <w:p w14:paraId="12691312" w14:textId="77777777" w:rsidR="00A60E0D" w:rsidRPr="00742407" w:rsidRDefault="00A60E0D" w:rsidP="00A60E0D">
      <w:pPr>
        <w:ind w:left="-360"/>
        <w:jc w:val="both"/>
        <w:rPr>
          <w:lang w:val="fr-FR"/>
        </w:rPr>
      </w:pPr>
    </w:p>
    <w:p w14:paraId="640D4658" w14:textId="12F036F0" w:rsidR="00A60E0D" w:rsidRPr="00742407" w:rsidRDefault="00A60E0D" w:rsidP="00A60E0D">
      <w:pPr>
        <w:ind w:left="-360"/>
        <w:jc w:val="both"/>
        <w:rPr>
          <w:lang w:val="fr-FR"/>
        </w:rPr>
      </w:pPr>
      <w:r w:rsidRPr="00742407">
        <w:rPr>
          <w:lang w:val="fr-FR"/>
        </w:rPr>
        <w:t>Le partenariat conclu avec les organisations de la société civile (ONG GEPAD, IDD et Levier plus) a permis d’appuyer l’accès des victimes des violences basées sur le genre aux services de prise en charge dont l’appui psychosocial et le référencement juridique et médical à travers les centrales d’écoute et une collaboration avec le service d’appui psychosocial de l’UMIRR.  Au total 3592 cas ont reçu une assistance du projet.</w:t>
      </w:r>
    </w:p>
    <w:p w14:paraId="6C508FA2" w14:textId="77777777" w:rsidR="00A60E0D" w:rsidRPr="00742407" w:rsidRDefault="00A60E0D" w:rsidP="00A60E0D">
      <w:pPr>
        <w:ind w:left="-360"/>
        <w:jc w:val="both"/>
        <w:rPr>
          <w:lang w:val="fr-FR"/>
        </w:rPr>
      </w:pPr>
    </w:p>
    <w:p w14:paraId="69A328BE" w14:textId="12C46DBC" w:rsidR="00A60E0D" w:rsidRPr="00742407" w:rsidRDefault="00A60E0D" w:rsidP="00A60E0D">
      <w:pPr>
        <w:ind w:left="-360"/>
        <w:jc w:val="both"/>
        <w:rPr>
          <w:lang w:val="fr-FR"/>
        </w:rPr>
      </w:pPr>
      <w:r w:rsidRPr="00742407">
        <w:rPr>
          <w:lang w:val="fr-FR"/>
        </w:rPr>
        <w:t xml:space="preserve">Le mécanisme d’alerte communautaire précoce mis en place dans toutes les zones du projet a permis de toucher plus de 28,000 personnes lors des campagnes de sensibilisation </w:t>
      </w:r>
      <w:r w:rsidR="00FD68EE">
        <w:rPr>
          <w:lang w:val="fr-FR"/>
        </w:rPr>
        <w:t>‘’</w:t>
      </w:r>
      <w:r w:rsidRPr="00742407">
        <w:rPr>
          <w:lang w:val="fr-FR"/>
        </w:rPr>
        <w:t>porte par porte</w:t>
      </w:r>
      <w:r w:rsidR="00FD68EE">
        <w:rPr>
          <w:lang w:val="fr-FR"/>
        </w:rPr>
        <w:t>’’</w:t>
      </w:r>
      <w:r w:rsidRPr="00742407">
        <w:rPr>
          <w:lang w:val="fr-FR"/>
        </w:rPr>
        <w:t xml:space="preserve"> et de communication de masse. Elles ont été sensibilisées sur le</w:t>
      </w:r>
      <w:r w:rsidR="00FD68EE">
        <w:rPr>
          <w:lang w:val="fr-FR"/>
        </w:rPr>
        <w:t>s VBG</w:t>
      </w:r>
      <w:r w:rsidR="00AF1DA3">
        <w:rPr>
          <w:lang w:val="fr-FR"/>
        </w:rPr>
        <w:t xml:space="preserve"> </w:t>
      </w:r>
      <w:r w:rsidRPr="00742407">
        <w:rPr>
          <w:lang w:val="fr-FR"/>
        </w:rPr>
        <w:t xml:space="preserve">et autres formes de violations des droits humains. Plusieurs activités de causerie éducative sur les droits des femmes, la prévention des </w:t>
      </w:r>
      <w:r w:rsidR="00FD68EE">
        <w:rPr>
          <w:lang w:val="fr-FR"/>
        </w:rPr>
        <w:t>VBG</w:t>
      </w:r>
      <w:r w:rsidRPr="00742407">
        <w:rPr>
          <w:lang w:val="fr-FR"/>
        </w:rPr>
        <w:t xml:space="preserve"> et l’accès des femmes à la justice </w:t>
      </w:r>
      <w:r w:rsidR="005D5A86">
        <w:rPr>
          <w:lang w:val="fr-FR"/>
        </w:rPr>
        <w:t>ont</w:t>
      </w:r>
      <w:r w:rsidRPr="00742407">
        <w:rPr>
          <w:lang w:val="fr-FR"/>
        </w:rPr>
        <w:t xml:space="preserve"> permis de renforcer les capacités de 1288 personnes dont 530 acteurs de justice (transitionne</w:t>
      </w:r>
      <w:r w:rsidR="005D5A86">
        <w:rPr>
          <w:lang w:val="fr-FR"/>
        </w:rPr>
        <w:t>lle</w:t>
      </w:r>
      <w:r w:rsidRPr="00742407">
        <w:rPr>
          <w:lang w:val="fr-FR"/>
        </w:rPr>
        <w:t xml:space="preserve"> et </w:t>
      </w:r>
      <w:r w:rsidR="00AF1DA3" w:rsidRPr="00742407">
        <w:rPr>
          <w:lang w:val="fr-FR"/>
        </w:rPr>
        <w:t>formelle</w:t>
      </w:r>
      <w:r w:rsidR="00AF1DA3">
        <w:rPr>
          <w:lang w:val="fr-FR"/>
        </w:rPr>
        <w:t>)</w:t>
      </w:r>
      <w:r w:rsidR="00AF1DA3" w:rsidRPr="00742407">
        <w:rPr>
          <w:lang w:val="fr-FR"/>
        </w:rPr>
        <w:t xml:space="preserve"> les</w:t>
      </w:r>
      <w:r w:rsidRPr="00742407">
        <w:rPr>
          <w:lang w:val="fr-FR"/>
        </w:rPr>
        <w:t xml:space="preserve"> femmes et les jeunes, les leaders religieux et communautaires. Avec l’appui de la société civile notamment</w:t>
      </w:r>
      <w:r w:rsidR="00FD68EE">
        <w:rPr>
          <w:lang w:val="fr-FR"/>
        </w:rPr>
        <w:t>,</w:t>
      </w:r>
      <w:r w:rsidRPr="00742407">
        <w:rPr>
          <w:lang w:val="fr-FR"/>
        </w:rPr>
        <w:t xml:space="preserve"> l’Organisation des femmes centrafricaines (OFCA), </w:t>
      </w:r>
      <w:r w:rsidR="00FD68EE">
        <w:rPr>
          <w:lang w:val="fr-FR"/>
        </w:rPr>
        <w:t xml:space="preserve">les capacités de </w:t>
      </w:r>
      <w:r w:rsidRPr="00742407">
        <w:rPr>
          <w:lang w:val="fr-FR"/>
        </w:rPr>
        <w:t xml:space="preserve">900 personnes (100 par zone), dont 70% des femmes, ont </w:t>
      </w:r>
      <w:r w:rsidR="00FD68EE">
        <w:rPr>
          <w:lang w:val="fr-FR"/>
        </w:rPr>
        <w:t xml:space="preserve">été </w:t>
      </w:r>
      <w:r w:rsidRPr="00742407">
        <w:rPr>
          <w:lang w:val="fr-FR"/>
        </w:rPr>
        <w:t xml:space="preserve">renforcées. </w:t>
      </w:r>
      <w:r w:rsidR="00C55C17">
        <w:rPr>
          <w:lang w:val="fr-FR"/>
        </w:rPr>
        <w:t xml:space="preserve">Ces acteurs </w:t>
      </w:r>
      <w:r w:rsidR="00AF1DA3">
        <w:rPr>
          <w:lang w:val="fr-FR"/>
        </w:rPr>
        <w:t>se sont engagés</w:t>
      </w:r>
      <w:r w:rsidRPr="00742407">
        <w:rPr>
          <w:lang w:val="fr-FR"/>
        </w:rPr>
        <w:t xml:space="preserve"> à promouvoir</w:t>
      </w:r>
      <w:r w:rsidR="00C55C17" w:rsidRPr="00C55C17">
        <w:rPr>
          <w:lang w:val="fr-FR"/>
        </w:rPr>
        <w:t xml:space="preserve"> </w:t>
      </w:r>
      <w:r w:rsidR="00C55C17">
        <w:rPr>
          <w:lang w:val="fr-FR"/>
        </w:rPr>
        <w:t xml:space="preserve">les </w:t>
      </w:r>
      <w:r w:rsidR="00C55C17" w:rsidRPr="00742407">
        <w:rPr>
          <w:lang w:val="fr-FR"/>
        </w:rPr>
        <w:t xml:space="preserve">mécanismes établis pour faciliter l’accès à la </w:t>
      </w:r>
      <w:r w:rsidR="00AF1DA3" w:rsidRPr="00742407">
        <w:rPr>
          <w:lang w:val="fr-FR"/>
        </w:rPr>
        <w:t>justice</w:t>
      </w:r>
      <w:r w:rsidR="00AF1DA3">
        <w:rPr>
          <w:lang w:val="fr-FR"/>
        </w:rPr>
        <w:t>.</w:t>
      </w:r>
      <w:r w:rsidRPr="00742407">
        <w:rPr>
          <w:lang w:val="fr-FR"/>
        </w:rPr>
        <w:t xml:space="preserve"> </w:t>
      </w:r>
      <w:r w:rsidR="00FD68EE">
        <w:rPr>
          <w:lang w:val="fr-FR"/>
        </w:rPr>
        <w:t>Au terme de l</w:t>
      </w:r>
      <w:r w:rsidRPr="00742407">
        <w:rPr>
          <w:lang w:val="fr-FR"/>
        </w:rPr>
        <w:t>’étude sur l’accès des femmes à la justice</w:t>
      </w:r>
      <w:r w:rsidR="00FD68EE">
        <w:rPr>
          <w:lang w:val="fr-FR"/>
        </w:rPr>
        <w:t xml:space="preserve">, </w:t>
      </w:r>
      <w:r w:rsidRPr="00742407">
        <w:rPr>
          <w:lang w:val="fr-FR"/>
        </w:rPr>
        <w:t>un atelier de validation nationale</w:t>
      </w:r>
      <w:r w:rsidR="00FD68EE">
        <w:rPr>
          <w:lang w:val="fr-FR"/>
        </w:rPr>
        <w:t xml:space="preserve"> du document final</w:t>
      </w:r>
      <w:r w:rsidRPr="00742407">
        <w:rPr>
          <w:lang w:val="fr-FR"/>
        </w:rPr>
        <w:t xml:space="preserve"> a été organisé.</w:t>
      </w:r>
    </w:p>
    <w:p w14:paraId="335EFAA2" w14:textId="77777777" w:rsidR="00A60E0D" w:rsidRPr="00742407" w:rsidRDefault="00A60E0D" w:rsidP="00A60E0D">
      <w:pPr>
        <w:ind w:left="-360"/>
        <w:jc w:val="both"/>
        <w:rPr>
          <w:lang w:val="fr-FR"/>
        </w:rPr>
      </w:pPr>
    </w:p>
    <w:p w14:paraId="47AD7220" w14:textId="48977CF4" w:rsidR="009F32CC" w:rsidRPr="00742407" w:rsidRDefault="00A60E0D" w:rsidP="00A60E0D">
      <w:pPr>
        <w:ind w:left="-360"/>
        <w:jc w:val="both"/>
        <w:rPr>
          <w:lang w:val="fr-FR"/>
        </w:rPr>
      </w:pPr>
      <w:r w:rsidRPr="00742407">
        <w:rPr>
          <w:lang w:val="fr-FR"/>
        </w:rPr>
        <w:t>Une mission de suivi-évaluation réalisée dans toutes les zones du projet a permis d’échanger avec les autorités locales</w:t>
      </w:r>
      <w:r w:rsidR="00C55C17">
        <w:rPr>
          <w:lang w:val="fr-FR"/>
        </w:rPr>
        <w:t>,</w:t>
      </w:r>
      <w:r w:rsidR="00FB3323">
        <w:rPr>
          <w:lang w:val="fr-FR"/>
        </w:rPr>
        <w:t xml:space="preserve"> </w:t>
      </w:r>
      <w:r w:rsidRPr="00742407">
        <w:rPr>
          <w:lang w:val="fr-FR"/>
        </w:rPr>
        <w:t>les leaders communautaires</w:t>
      </w:r>
      <w:r w:rsidR="00C55C17">
        <w:rPr>
          <w:lang w:val="fr-FR"/>
        </w:rPr>
        <w:t xml:space="preserve"> et</w:t>
      </w:r>
      <w:r w:rsidRPr="00742407">
        <w:rPr>
          <w:lang w:val="fr-FR"/>
        </w:rPr>
        <w:t xml:space="preserve"> les organisations de femmes de la période post</w:t>
      </w:r>
      <w:r w:rsidR="00C55C17">
        <w:rPr>
          <w:lang w:val="fr-FR"/>
        </w:rPr>
        <w:t>-</w:t>
      </w:r>
      <w:r w:rsidRPr="00742407">
        <w:rPr>
          <w:lang w:val="fr-FR"/>
        </w:rPr>
        <w:t xml:space="preserve">conflit, </w:t>
      </w:r>
      <w:r w:rsidR="00C55C17">
        <w:rPr>
          <w:lang w:val="fr-FR"/>
        </w:rPr>
        <w:t xml:space="preserve">en vue de </w:t>
      </w:r>
      <w:r w:rsidRPr="00742407">
        <w:rPr>
          <w:lang w:val="fr-FR"/>
        </w:rPr>
        <w:t>la capitalisation et la pérennisation des acquis du projet.</w:t>
      </w:r>
    </w:p>
    <w:p w14:paraId="288FFFE4" w14:textId="77777777" w:rsidR="00A60E0D" w:rsidRPr="00742407" w:rsidRDefault="00A60E0D" w:rsidP="00A60E0D">
      <w:pPr>
        <w:ind w:hanging="360"/>
        <w:rPr>
          <w:b/>
          <w:lang w:val="fr-FR"/>
        </w:rPr>
      </w:pPr>
    </w:p>
    <w:p w14:paraId="64001C33" w14:textId="77777777" w:rsidR="009F32CC" w:rsidRPr="00742407" w:rsidRDefault="009F32CC" w:rsidP="009F32CC">
      <w:pPr>
        <w:ind w:left="-360"/>
        <w:jc w:val="both"/>
        <w:rPr>
          <w:iCs/>
          <w:lang w:val="fr-FR"/>
        </w:rPr>
      </w:pPr>
      <w:r w:rsidRPr="00742407">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742407">
        <w:rPr>
          <w:b/>
          <w:lang w:val="fr-FR"/>
        </w:rPr>
        <w:t xml:space="preserve"> : </w:t>
      </w:r>
      <w:r w:rsidRPr="00742407">
        <w:rPr>
          <w:i/>
          <w:lang w:val="fr-FR"/>
        </w:rPr>
        <w:t>(</w:t>
      </w:r>
      <w:r w:rsidRPr="00742407">
        <w:rPr>
          <w:color w:val="212121"/>
          <w:lang w:val="fr-FR"/>
        </w:rPr>
        <w:t>Limite de 350 mots</w:t>
      </w:r>
      <w:r w:rsidRPr="00742407">
        <w:rPr>
          <w:i/>
          <w:lang w:val="fr-FR"/>
        </w:rPr>
        <w:t>).</w:t>
      </w:r>
    </w:p>
    <w:p w14:paraId="7346C3EA" w14:textId="77777777" w:rsidR="009F32CC" w:rsidRPr="00742407" w:rsidRDefault="009F32CC" w:rsidP="009F32CC">
      <w:pPr>
        <w:ind w:left="-360"/>
        <w:jc w:val="both"/>
        <w:rPr>
          <w:iCs/>
          <w:lang w:val="fr-FR"/>
        </w:rPr>
      </w:pPr>
    </w:p>
    <w:p w14:paraId="7C6A2F54" w14:textId="77777777" w:rsidR="00CF626E" w:rsidRPr="00CF626E" w:rsidRDefault="00CF626E" w:rsidP="00CF626E">
      <w:pPr>
        <w:autoSpaceDE w:val="0"/>
        <w:autoSpaceDN w:val="0"/>
        <w:adjustRightInd w:val="0"/>
        <w:rPr>
          <w:rFonts w:eastAsia="Calibri"/>
          <w:color w:val="000000"/>
          <w:lang w:val="fr-CF" w:eastAsia="zh-CN"/>
        </w:rPr>
      </w:pPr>
    </w:p>
    <w:p w14:paraId="10A697E3" w14:textId="57D55A18" w:rsidR="00CF626E" w:rsidRPr="00742407" w:rsidRDefault="00FB3323" w:rsidP="00CF626E">
      <w:pPr>
        <w:ind w:left="-360"/>
        <w:jc w:val="both"/>
        <w:rPr>
          <w:lang w:val="fr-FR"/>
        </w:rPr>
      </w:pPr>
      <w:r>
        <w:rPr>
          <w:lang w:val="fr-FR"/>
        </w:rPr>
        <w:t>L</w:t>
      </w:r>
      <w:r w:rsidR="00CF626E" w:rsidRPr="00CF626E">
        <w:rPr>
          <w:lang w:val="fr-FR"/>
        </w:rPr>
        <w:t>a perspective genre, notamment, l'égalité des sexes a été intégré</w:t>
      </w:r>
      <w:r>
        <w:rPr>
          <w:lang w:val="fr-FR"/>
        </w:rPr>
        <w:t>e</w:t>
      </w:r>
      <w:r w:rsidR="00CF626E" w:rsidRPr="00CF626E">
        <w:rPr>
          <w:lang w:val="fr-FR"/>
        </w:rPr>
        <w:t xml:space="preserve"> de manière satisfaisante non seulement dans la conception du projet (avec le score 2 au niveau des marqueurs égalité hommes-femmes), mais aussi parfaitement dans sa mise en </w:t>
      </w:r>
      <w:r w:rsidR="00CF626E" w:rsidRPr="00742407">
        <w:rPr>
          <w:lang w:val="fr-FR"/>
        </w:rPr>
        <w:t>œuvre</w:t>
      </w:r>
      <w:r w:rsidR="00CF626E" w:rsidRPr="00CF626E">
        <w:rPr>
          <w:lang w:val="fr-FR"/>
        </w:rPr>
        <w:t xml:space="preserve"> et ses résultats (avec score 4, de l’échelle d’efficacité des résultats genre). Des résultats satisfaisants ont également été enregistré</w:t>
      </w:r>
      <w:r>
        <w:rPr>
          <w:lang w:val="fr-FR"/>
        </w:rPr>
        <w:t>s</w:t>
      </w:r>
      <w:r w:rsidR="00CF626E" w:rsidRPr="00CF626E">
        <w:rPr>
          <w:lang w:val="fr-FR"/>
        </w:rPr>
        <w:t xml:space="preserve"> </w:t>
      </w:r>
      <w:r>
        <w:rPr>
          <w:lang w:val="fr-FR"/>
        </w:rPr>
        <w:t xml:space="preserve">au </w:t>
      </w:r>
      <w:r w:rsidR="00CF626E" w:rsidRPr="00CF626E">
        <w:rPr>
          <w:lang w:val="fr-FR"/>
        </w:rPr>
        <w:t>niveau des produits et effets en matière d’égalité entre les sexes.</w:t>
      </w:r>
    </w:p>
    <w:p w14:paraId="0B93832B" w14:textId="77777777" w:rsidR="00CF626E" w:rsidRPr="00742407" w:rsidRDefault="00CF626E" w:rsidP="00CF626E">
      <w:pPr>
        <w:keepNext/>
        <w:ind w:left="-360"/>
        <w:jc w:val="both"/>
      </w:pPr>
      <w:r w:rsidRPr="00742407">
        <w:rPr>
          <w:noProof/>
          <w:lang w:val="fr-FR"/>
        </w:rPr>
        <w:drawing>
          <wp:inline distT="0" distB="0" distL="0" distR="0" wp14:anchorId="0889F361" wp14:editId="7B8D0391">
            <wp:extent cx="5950527" cy="2048635"/>
            <wp:effectExtent l="0" t="0" r="0" b="8890"/>
            <wp:docPr id="180032597"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2597" name="Image 1" descr="Une image contenant texte, capture d’écran, Police, nombr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968978" cy="2054987"/>
                    </a:xfrm>
                    <a:prstGeom prst="rect">
                      <a:avLst/>
                    </a:prstGeom>
                  </pic:spPr>
                </pic:pic>
              </a:graphicData>
            </a:graphic>
          </wp:inline>
        </w:drawing>
      </w:r>
    </w:p>
    <w:p w14:paraId="578E0D0F" w14:textId="21EBDE34" w:rsidR="00CF626E" w:rsidRPr="00742407" w:rsidRDefault="00CF626E" w:rsidP="00CF626E">
      <w:pPr>
        <w:pStyle w:val="Lgende"/>
        <w:jc w:val="both"/>
        <w:rPr>
          <w:lang w:val="fr-FR"/>
        </w:rPr>
      </w:pPr>
      <w:r w:rsidRPr="00742407">
        <w:rPr>
          <w:lang w:val="fr-FR"/>
        </w:rPr>
        <w:t xml:space="preserve">Figure </w:t>
      </w:r>
      <w:r w:rsidRPr="00742407">
        <w:fldChar w:fldCharType="begin"/>
      </w:r>
      <w:r w:rsidRPr="00742407">
        <w:rPr>
          <w:lang w:val="fr-FR"/>
        </w:rPr>
        <w:instrText xml:space="preserve"> SEQ Figure \* ARABIC </w:instrText>
      </w:r>
      <w:r w:rsidRPr="00742407">
        <w:fldChar w:fldCharType="separate"/>
      </w:r>
      <w:r w:rsidRPr="00742407">
        <w:rPr>
          <w:noProof/>
          <w:lang w:val="fr-FR"/>
        </w:rPr>
        <w:t>1</w:t>
      </w:r>
      <w:r w:rsidRPr="00742407">
        <w:fldChar w:fldCharType="end"/>
      </w:r>
      <w:r w:rsidRPr="00742407">
        <w:rPr>
          <w:lang w:val="fr-FR"/>
        </w:rPr>
        <w:t>: Rapport d'évaluation finale du projet, page 28.</w:t>
      </w:r>
    </w:p>
    <w:p w14:paraId="161BC1DD" w14:textId="7FDB00AE" w:rsidR="00A60E0D" w:rsidRPr="00742407" w:rsidRDefault="00A60E0D" w:rsidP="00A60E0D">
      <w:pPr>
        <w:ind w:left="-360"/>
        <w:jc w:val="both"/>
        <w:rPr>
          <w:lang w:val="fr-FR"/>
        </w:rPr>
      </w:pPr>
      <w:r w:rsidRPr="00742407">
        <w:rPr>
          <w:lang w:val="fr-FR"/>
        </w:rPr>
        <w:t>Le projet a permis une amélioration institutionnelle en matière de participation des femmes aux mécanismes nationaux de consolidation de la paix et de résolution des conflits. La loi portant création et fonctionnement de la CVJRR est le premier texte juridique d’institutions ou structure</w:t>
      </w:r>
      <w:r w:rsidR="00CF626E" w:rsidRPr="00742407">
        <w:rPr>
          <w:lang w:val="fr-FR"/>
        </w:rPr>
        <w:t>s</w:t>
      </w:r>
      <w:r w:rsidRPr="00742407">
        <w:rPr>
          <w:lang w:val="fr-FR"/>
        </w:rPr>
        <w:t xml:space="preserve"> de l’Etat à reprendre le principe de quota et c’est l’un des organes issus des recommandations de l’Accord Politique pour la Paix et la Réconciliation (APPR) à avoir plus de 45% de représentativité des femmes</w:t>
      </w:r>
      <w:r w:rsidR="00CF626E" w:rsidRPr="00742407">
        <w:rPr>
          <w:lang w:val="fr-FR"/>
        </w:rPr>
        <w:t xml:space="preserve"> (</w:t>
      </w:r>
      <w:r w:rsidR="00B46D4B">
        <w:rPr>
          <w:lang w:val="fr-FR"/>
        </w:rPr>
        <w:t>5</w:t>
      </w:r>
      <w:r w:rsidR="00B46D4B" w:rsidRPr="00742407">
        <w:rPr>
          <w:lang w:val="fr-FR"/>
        </w:rPr>
        <w:t xml:space="preserve"> </w:t>
      </w:r>
      <w:r w:rsidR="00CF626E" w:rsidRPr="00742407">
        <w:rPr>
          <w:lang w:val="fr-FR"/>
        </w:rPr>
        <w:t>femmes sur 11 Commissaires)</w:t>
      </w:r>
      <w:r w:rsidRPr="00742407">
        <w:rPr>
          <w:lang w:val="fr-FR"/>
        </w:rPr>
        <w:t>.</w:t>
      </w:r>
    </w:p>
    <w:p w14:paraId="41E900F8" w14:textId="77777777" w:rsidR="00A60E0D" w:rsidRPr="00742407" w:rsidRDefault="00A60E0D" w:rsidP="00A60E0D">
      <w:pPr>
        <w:ind w:left="-360"/>
        <w:jc w:val="both"/>
        <w:rPr>
          <w:lang w:val="fr-FR"/>
        </w:rPr>
      </w:pPr>
    </w:p>
    <w:p w14:paraId="5A04C378" w14:textId="271F2C0E" w:rsidR="009F32CC" w:rsidRPr="00742407" w:rsidRDefault="00A60E0D" w:rsidP="00A60E0D">
      <w:pPr>
        <w:ind w:left="-360"/>
        <w:jc w:val="both"/>
        <w:rPr>
          <w:lang w:val="fr-FR"/>
        </w:rPr>
      </w:pPr>
      <w:r w:rsidRPr="00742407">
        <w:rPr>
          <w:lang w:val="fr-FR"/>
        </w:rPr>
        <w:t xml:space="preserve">La réussite du plaidoyer auprès du Gouvernement et des femmes leaders ayant abouti au respect du principe de quota </w:t>
      </w:r>
      <w:r w:rsidR="00B46D4B">
        <w:rPr>
          <w:lang w:val="fr-FR"/>
        </w:rPr>
        <w:t>a</w:t>
      </w:r>
      <w:r w:rsidR="00B46D4B" w:rsidRPr="00742407">
        <w:rPr>
          <w:lang w:val="fr-FR"/>
        </w:rPr>
        <w:t xml:space="preserve"> </w:t>
      </w:r>
      <w:r w:rsidRPr="00742407">
        <w:rPr>
          <w:lang w:val="fr-FR"/>
        </w:rPr>
        <w:t xml:space="preserve">suscité une collaboration avec l’équipe de la CPS. La collaboration avec la CPS </w:t>
      </w:r>
      <w:r w:rsidR="00B46D4B">
        <w:rPr>
          <w:lang w:val="fr-FR"/>
        </w:rPr>
        <w:t xml:space="preserve">permettra </w:t>
      </w:r>
      <w:r w:rsidR="00A41474">
        <w:rPr>
          <w:lang w:val="fr-FR"/>
        </w:rPr>
        <w:t xml:space="preserve">de </w:t>
      </w:r>
      <w:r w:rsidR="00A41474" w:rsidRPr="00742407">
        <w:rPr>
          <w:lang w:val="fr-FR"/>
        </w:rPr>
        <w:t>susciter</w:t>
      </w:r>
      <w:r w:rsidRPr="00742407">
        <w:rPr>
          <w:lang w:val="fr-FR"/>
        </w:rPr>
        <w:t xml:space="preserve"> des candidatures féminines pendant les recrutements de la CPS, ainsi qu’à faire un plaidoyer auprès de l’équipe de la CPS pour la sensibilité genre de leurs travaux. Le projet a permis la mise à disposition des données qualitatives et quantitatives sur l’accès des femmes à la justice à travers l’étude décrite ci-dessus.</w:t>
      </w:r>
    </w:p>
    <w:p w14:paraId="2A6B5EAF" w14:textId="77777777" w:rsidR="00A60E0D" w:rsidRPr="00742407" w:rsidRDefault="00A60E0D" w:rsidP="00A60E0D">
      <w:pPr>
        <w:ind w:hanging="360"/>
        <w:rPr>
          <w:b/>
          <w:lang w:val="fr-FR"/>
        </w:rPr>
      </w:pPr>
    </w:p>
    <w:p w14:paraId="03CBB487" w14:textId="77777777" w:rsidR="009F32CC" w:rsidRPr="00742407" w:rsidRDefault="009F32CC" w:rsidP="009F32CC">
      <w:pPr>
        <w:autoSpaceDE w:val="0"/>
        <w:autoSpaceDN w:val="0"/>
        <w:adjustRightInd w:val="0"/>
        <w:ind w:left="-360"/>
        <w:rPr>
          <w:rFonts w:eastAsia="Calibri"/>
          <w:b/>
          <w:bCs/>
          <w:lang w:val="fr-FR" w:eastAsia="zh-CN"/>
        </w:rPr>
      </w:pPr>
      <w:r w:rsidRPr="00742407">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Résultat1 dans le tableau ci-dessous</w:t>
      </w:r>
    </w:p>
    <w:p w14:paraId="38D96208" w14:textId="77777777" w:rsidR="009F32CC" w:rsidRPr="00742407" w:rsidRDefault="009F32CC" w:rsidP="009F32CC">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671"/>
        <w:gridCol w:w="1418"/>
        <w:gridCol w:w="1701"/>
        <w:gridCol w:w="2130"/>
      </w:tblGrid>
      <w:tr w:rsidR="009F32CC" w:rsidRPr="006B0660" w14:paraId="5567D066" w14:textId="77777777" w:rsidTr="00600939">
        <w:trPr>
          <w:tblHeader/>
        </w:trPr>
        <w:tc>
          <w:tcPr>
            <w:tcW w:w="1800" w:type="dxa"/>
            <w:shd w:val="clear" w:color="auto" w:fill="EEECE1"/>
          </w:tcPr>
          <w:p w14:paraId="06928F39" w14:textId="77777777" w:rsidR="009F32CC" w:rsidRPr="00742407" w:rsidRDefault="009F32CC" w:rsidP="00600939">
            <w:pPr>
              <w:jc w:val="center"/>
              <w:rPr>
                <w:b/>
                <w:sz w:val="22"/>
                <w:szCs w:val="22"/>
                <w:lang w:val="en-US" w:eastAsia="en-US"/>
              </w:rPr>
            </w:pPr>
            <w:proofErr w:type="spellStart"/>
            <w:r w:rsidRPr="00742407">
              <w:rPr>
                <w:b/>
                <w:sz w:val="22"/>
                <w:szCs w:val="22"/>
                <w:lang w:val="en-US" w:eastAsia="en-US"/>
              </w:rPr>
              <w:t>Indicateurs</w:t>
            </w:r>
            <w:proofErr w:type="spellEnd"/>
            <w:r w:rsidRPr="00742407">
              <w:rPr>
                <w:b/>
                <w:sz w:val="22"/>
                <w:szCs w:val="22"/>
                <w:lang w:val="en-US" w:eastAsia="en-US"/>
              </w:rPr>
              <w:t xml:space="preserve"> de </w:t>
            </w:r>
            <w:proofErr w:type="spellStart"/>
            <w:r w:rsidRPr="00742407">
              <w:rPr>
                <w:b/>
                <w:sz w:val="22"/>
                <w:szCs w:val="22"/>
                <w:lang w:val="en-US" w:eastAsia="en-US"/>
              </w:rPr>
              <w:t>résultat</w:t>
            </w:r>
            <w:proofErr w:type="spellEnd"/>
          </w:p>
        </w:tc>
        <w:tc>
          <w:tcPr>
            <w:tcW w:w="2671" w:type="dxa"/>
            <w:shd w:val="clear" w:color="auto" w:fill="EEECE1"/>
          </w:tcPr>
          <w:p w14:paraId="3F8D27AB" w14:textId="77777777" w:rsidR="009F32CC" w:rsidRPr="00742407" w:rsidRDefault="009F32CC" w:rsidP="00600939">
            <w:pPr>
              <w:jc w:val="center"/>
              <w:rPr>
                <w:b/>
                <w:color w:val="000000"/>
                <w:sz w:val="22"/>
                <w:szCs w:val="22"/>
              </w:rPr>
            </w:pPr>
            <w:proofErr w:type="spellStart"/>
            <w:r w:rsidRPr="00742407">
              <w:rPr>
                <w:b/>
                <w:color w:val="000000"/>
                <w:sz w:val="22"/>
                <w:szCs w:val="22"/>
              </w:rPr>
              <w:t>Indicateur</w:t>
            </w:r>
            <w:proofErr w:type="spellEnd"/>
            <w:r w:rsidRPr="00742407">
              <w:rPr>
                <w:b/>
                <w:color w:val="000000"/>
                <w:sz w:val="22"/>
                <w:szCs w:val="22"/>
              </w:rPr>
              <w:t xml:space="preserve"> de base</w:t>
            </w:r>
          </w:p>
          <w:p w14:paraId="25379A2C" w14:textId="77777777" w:rsidR="009F32CC" w:rsidRPr="00742407" w:rsidRDefault="009F32CC" w:rsidP="00600939">
            <w:pPr>
              <w:jc w:val="center"/>
              <w:rPr>
                <w:b/>
                <w:sz w:val="22"/>
                <w:szCs w:val="22"/>
                <w:lang w:val="en-US" w:eastAsia="en-US"/>
              </w:rPr>
            </w:pPr>
          </w:p>
        </w:tc>
        <w:tc>
          <w:tcPr>
            <w:tcW w:w="1418" w:type="dxa"/>
            <w:shd w:val="clear" w:color="auto" w:fill="EEECE1"/>
          </w:tcPr>
          <w:p w14:paraId="612255A9" w14:textId="77777777" w:rsidR="009F32CC" w:rsidRPr="00742407" w:rsidRDefault="009F32CC" w:rsidP="00600939">
            <w:pPr>
              <w:jc w:val="center"/>
              <w:rPr>
                <w:b/>
                <w:sz w:val="22"/>
                <w:szCs w:val="22"/>
                <w:lang w:val="fr-FR" w:eastAsia="en-US"/>
              </w:rPr>
            </w:pPr>
            <w:r w:rsidRPr="00742407">
              <w:rPr>
                <w:b/>
                <w:sz w:val="22"/>
                <w:szCs w:val="22"/>
                <w:lang w:val="fr-FR" w:eastAsia="en-US"/>
              </w:rPr>
              <w:t>Cible de fin de projet</w:t>
            </w:r>
          </w:p>
        </w:tc>
        <w:tc>
          <w:tcPr>
            <w:tcW w:w="1701" w:type="dxa"/>
          </w:tcPr>
          <w:p w14:paraId="7D3D1FC3" w14:textId="77777777" w:rsidR="009F32CC" w:rsidRPr="00742407" w:rsidRDefault="009F32CC" w:rsidP="00600939">
            <w:pPr>
              <w:jc w:val="center"/>
              <w:rPr>
                <w:b/>
                <w:sz w:val="22"/>
                <w:szCs w:val="22"/>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130" w:type="dxa"/>
          </w:tcPr>
          <w:p w14:paraId="2CF88735" w14:textId="77777777" w:rsidR="009F32CC" w:rsidRPr="00742407" w:rsidRDefault="009F32CC" w:rsidP="00600939">
            <w:pPr>
              <w:jc w:val="center"/>
              <w:rPr>
                <w:b/>
                <w:sz w:val="22"/>
                <w:szCs w:val="22"/>
                <w:lang w:val="fr-FR" w:eastAsia="en-US"/>
              </w:rPr>
            </w:pPr>
            <w:r w:rsidRPr="00742407">
              <w:rPr>
                <w:b/>
                <w:sz w:val="22"/>
                <w:szCs w:val="22"/>
                <w:lang w:val="fr-FR" w:eastAsia="en-US"/>
              </w:rPr>
              <w:t>Raisons pour les retards ou changements (s'il y en a)</w:t>
            </w:r>
          </w:p>
        </w:tc>
      </w:tr>
      <w:tr w:rsidR="00A60E0D" w:rsidRPr="00742407" w14:paraId="6D5A6101" w14:textId="77777777" w:rsidTr="00600939">
        <w:trPr>
          <w:trHeight w:val="548"/>
        </w:trPr>
        <w:tc>
          <w:tcPr>
            <w:tcW w:w="1800" w:type="dxa"/>
            <w:shd w:val="clear" w:color="auto" w:fill="EEECE1"/>
          </w:tcPr>
          <w:p w14:paraId="0AB2B239" w14:textId="77777777" w:rsidR="00A60E0D" w:rsidRPr="00742407" w:rsidRDefault="00A60E0D" w:rsidP="00A60E0D">
            <w:pPr>
              <w:jc w:val="both"/>
              <w:rPr>
                <w:lang w:val="en-US" w:eastAsia="en-US"/>
              </w:rPr>
            </w:pPr>
            <w:proofErr w:type="spellStart"/>
            <w:r w:rsidRPr="00742407">
              <w:rPr>
                <w:b/>
                <w:lang w:val="en-US" w:eastAsia="en-US"/>
              </w:rPr>
              <w:t>Indicateur</w:t>
            </w:r>
            <w:proofErr w:type="spellEnd"/>
            <w:r w:rsidRPr="00742407">
              <w:rPr>
                <w:lang w:val="en-US" w:eastAsia="en-US"/>
              </w:rPr>
              <w:t xml:space="preserve"> 1.1</w:t>
            </w:r>
          </w:p>
          <w:p w14:paraId="046BEE08" w14:textId="77777777" w:rsidR="00A60E0D" w:rsidRPr="00742407" w:rsidRDefault="00A60E0D" w:rsidP="00A60E0D">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3B975AA9" w14:textId="6F11E690" w:rsidR="00A60E0D" w:rsidRPr="00742407" w:rsidRDefault="00A60E0D" w:rsidP="00A60E0D">
            <w:pPr>
              <w:autoSpaceDE w:val="0"/>
              <w:autoSpaceDN w:val="0"/>
              <w:adjustRightInd w:val="0"/>
              <w:rPr>
                <w:bCs/>
                <w:lang w:val="fr-FR"/>
              </w:rPr>
            </w:pPr>
            <w:r w:rsidRPr="00742407">
              <w:rPr>
                <w:bCs/>
                <w:lang w:val="fr-FR"/>
              </w:rPr>
              <w:t>% des femmes dans l’architecture de justice, justice transitionnelle et CVJR</w:t>
            </w:r>
          </w:p>
        </w:tc>
        <w:tc>
          <w:tcPr>
            <w:tcW w:w="1418" w:type="dxa"/>
            <w:shd w:val="clear" w:color="auto" w:fill="EEECE1"/>
          </w:tcPr>
          <w:p w14:paraId="313964DA" w14:textId="597BC190" w:rsidR="00A60E0D" w:rsidRPr="00742407" w:rsidRDefault="00A60E0D" w:rsidP="00A60E0D">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+30%</w:t>
            </w:r>
          </w:p>
        </w:tc>
        <w:tc>
          <w:tcPr>
            <w:tcW w:w="1701" w:type="dxa"/>
          </w:tcPr>
          <w:p w14:paraId="00B76A45" w14:textId="3B9BA72E" w:rsidR="00A60E0D" w:rsidRPr="00742407" w:rsidRDefault="00A60E0D" w:rsidP="00A60E0D">
            <w:pPr>
              <w:jc w:val="center"/>
              <w:rPr>
                <w:bCs/>
                <w:lang w:val="fr-FR"/>
              </w:rPr>
            </w:pPr>
            <w:r w:rsidRPr="00742407">
              <w:rPr>
                <w:bCs/>
                <w:lang w:val="fr-FR"/>
              </w:rPr>
              <w:t>+45%</w:t>
            </w:r>
          </w:p>
        </w:tc>
        <w:tc>
          <w:tcPr>
            <w:tcW w:w="2130" w:type="dxa"/>
          </w:tcPr>
          <w:p w14:paraId="17748D38" w14:textId="77777777" w:rsidR="00A60E0D" w:rsidRPr="00742407" w:rsidRDefault="00A60E0D" w:rsidP="00A60E0D">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02AD9D01" w14:textId="77777777" w:rsidTr="00600939">
        <w:trPr>
          <w:trHeight w:val="548"/>
        </w:trPr>
        <w:tc>
          <w:tcPr>
            <w:tcW w:w="1800" w:type="dxa"/>
            <w:shd w:val="clear" w:color="auto" w:fill="EEECE1"/>
          </w:tcPr>
          <w:p w14:paraId="3F484987"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1.2</w:t>
            </w:r>
          </w:p>
          <w:p w14:paraId="5339A053"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64C879A6" w14:textId="5FA1B6A0" w:rsidR="009F32CC" w:rsidRPr="00742407" w:rsidRDefault="00A60E0D" w:rsidP="00600939">
            <w:pPr>
              <w:autoSpaceDE w:val="0"/>
              <w:autoSpaceDN w:val="0"/>
              <w:adjustRightInd w:val="0"/>
              <w:rPr>
                <w:bCs/>
                <w:lang w:val="fr-FR"/>
              </w:rPr>
            </w:pPr>
            <w:r w:rsidRPr="00742407">
              <w:rPr>
                <w:bCs/>
                <w:lang w:val="fr-FR"/>
              </w:rPr>
              <w:t>Confiance des femmes dans la justice formelle et la justice transitionnelle</w:t>
            </w:r>
          </w:p>
        </w:tc>
        <w:tc>
          <w:tcPr>
            <w:tcW w:w="1418" w:type="dxa"/>
            <w:shd w:val="clear" w:color="auto" w:fill="EEECE1"/>
          </w:tcPr>
          <w:p w14:paraId="79EFCBEA" w14:textId="5AFF8DA0" w:rsidR="009F32CC" w:rsidRPr="00742407" w:rsidRDefault="00A60E0D" w:rsidP="00A60E0D">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50%</w:t>
            </w:r>
          </w:p>
        </w:tc>
        <w:tc>
          <w:tcPr>
            <w:tcW w:w="1701" w:type="dxa"/>
          </w:tcPr>
          <w:p w14:paraId="7F6EBE73" w14:textId="5A1F1353" w:rsidR="009F32CC" w:rsidRPr="00742407" w:rsidRDefault="00A60E0D" w:rsidP="00A60E0D">
            <w:pPr>
              <w:jc w:val="center"/>
              <w:rPr>
                <w:bCs/>
                <w:lang w:val="fr-FR"/>
              </w:rPr>
            </w:pPr>
            <w:r w:rsidRPr="00742407">
              <w:rPr>
                <w:bCs/>
                <w:lang w:val="fr-FR"/>
              </w:rPr>
              <w:t>41%</w:t>
            </w:r>
          </w:p>
        </w:tc>
        <w:tc>
          <w:tcPr>
            <w:tcW w:w="2130" w:type="dxa"/>
          </w:tcPr>
          <w:p w14:paraId="568D3817"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6C6854F3" w14:textId="77777777" w:rsidTr="00600939">
        <w:trPr>
          <w:trHeight w:val="548"/>
        </w:trPr>
        <w:tc>
          <w:tcPr>
            <w:tcW w:w="1800" w:type="dxa"/>
            <w:shd w:val="clear" w:color="auto" w:fill="EEECE1"/>
          </w:tcPr>
          <w:p w14:paraId="596CF040"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w:t>
            </w:r>
          </w:p>
          <w:p w14:paraId="4349ACA1"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671" w:type="dxa"/>
            <w:shd w:val="clear" w:color="auto" w:fill="EEECE1"/>
          </w:tcPr>
          <w:p w14:paraId="7C70841C" w14:textId="235FB00E" w:rsidR="009F32CC" w:rsidRPr="00742407" w:rsidRDefault="00A60E0D" w:rsidP="00A60E0D">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 xml:space="preserve">Connaissance des facteurs de blocage et options de remédier aux obstacles de l’accès des femmes à la justice </w:t>
            </w:r>
          </w:p>
        </w:tc>
        <w:tc>
          <w:tcPr>
            <w:tcW w:w="1418" w:type="dxa"/>
            <w:shd w:val="clear" w:color="auto" w:fill="EEECE1"/>
          </w:tcPr>
          <w:p w14:paraId="03892E65" w14:textId="5A79E436" w:rsidR="009F32CC" w:rsidRPr="00742407" w:rsidRDefault="00A60E0D" w:rsidP="00A60E0D">
            <w:pPr>
              <w:jc w:val="center"/>
              <w:rPr>
                <w:bCs/>
                <w:lang w:val="fr-FR"/>
              </w:rPr>
            </w:pPr>
            <w:r w:rsidRPr="00742407">
              <w:rPr>
                <w:bCs/>
                <w:lang w:val="fr-FR"/>
              </w:rPr>
              <w:t>Oui</w:t>
            </w:r>
          </w:p>
        </w:tc>
        <w:tc>
          <w:tcPr>
            <w:tcW w:w="1701" w:type="dxa"/>
          </w:tcPr>
          <w:p w14:paraId="40C594DC" w14:textId="29F08B83" w:rsidR="009F32CC" w:rsidRPr="00742407" w:rsidRDefault="00A60E0D" w:rsidP="00A60E0D">
            <w:pPr>
              <w:jc w:val="center"/>
              <w:rPr>
                <w:bCs/>
                <w:lang w:val="fr-FR"/>
              </w:rPr>
            </w:pPr>
            <w:r w:rsidRPr="00742407">
              <w:rPr>
                <w:bCs/>
                <w:lang w:val="fr-FR"/>
              </w:rPr>
              <w:t>Oui</w:t>
            </w:r>
          </w:p>
        </w:tc>
        <w:tc>
          <w:tcPr>
            <w:tcW w:w="2130" w:type="dxa"/>
          </w:tcPr>
          <w:p w14:paraId="76EC904A"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798FE808" w14:textId="77777777" w:rsidR="009F32CC" w:rsidRPr="00742407" w:rsidRDefault="009F32CC" w:rsidP="009F32CC">
      <w:pPr>
        <w:rPr>
          <w:b/>
        </w:rPr>
      </w:pPr>
    </w:p>
    <w:p w14:paraId="20C5818E" w14:textId="2CCA1D03" w:rsidR="009F32CC" w:rsidRPr="00742407" w:rsidRDefault="009F32CC" w:rsidP="009F32CC">
      <w:pPr>
        <w:ind w:left="-360"/>
        <w:rPr>
          <w:bCs/>
          <w:lang w:val="fr-FR"/>
        </w:rPr>
      </w:pPr>
      <w:r w:rsidRPr="00742407">
        <w:rPr>
          <w:bCs/>
          <w:lang w:val="fr-FR"/>
        </w:rPr>
        <w:t xml:space="preserve">Combien de produits sont définis sous le résultat 1 ? </w:t>
      </w:r>
      <w:r w:rsidR="00A60E0D" w:rsidRPr="00742407">
        <w:rPr>
          <w:bCs/>
          <w:lang w:val="fr-FR"/>
        </w:rPr>
        <w:t>3</w:t>
      </w:r>
    </w:p>
    <w:p w14:paraId="5407E7CC" w14:textId="77777777" w:rsidR="009F32CC" w:rsidRPr="00742407" w:rsidRDefault="009F32CC" w:rsidP="009F32CC">
      <w:pPr>
        <w:ind w:left="-360"/>
        <w:rPr>
          <w:bCs/>
          <w:lang w:val="fr-FR"/>
        </w:rPr>
      </w:pPr>
    </w:p>
    <w:p w14:paraId="4E545453" w14:textId="22C73DAF" w:rsidR="009F32CC" w:rsidRPr="00742407" w:rsidRDefault="009F32CC" w:rsidP="009F32CC">
      <w:pPr>
        <w:ind w:left="-360"/>
        <w:rPr>
          <w:bCs/>
          <w:lang w:val="fr-FR"/>
        </w:rPr>
      </w:pPr>
      <w:r w:rsidRPr="00742407">
        <w:rPr>
          <w:bCs/>
          <w:lang w:val="fr-FR"/>
        </w:rPr>
        <w:t xml:space="preserve">Veuillez énumérer au plus 5 produits les plus pertinents pour le Résultat </w:t>
      </w:r>
      <w:r w:rsidR="00A60E0D" w:rsidRPr="00742407">
        <w:rPr>
          <w:bCs/>
          <w:lang w:val="fr-FR"/>
        </w:rPr>
        <w:t>4</w:t>
      </w:r>
      <w:r w:rsidRPr="00742407">
        <w:rPr>
          <w:bCs/>
          <w:lang w:val="fr-FR"/>
        </w:rPr>
        <w:t xml:space="preserve"> </w:t>
      </w:r>
      <w:r w:rsidRPr="00742407">
        <w:rPr>
          <w:bCs/>
          <w:lang w:val="fr-FR"/>
        </w:rPr>
        <w:fldChar w:fldCharType="begin">
          <w:ffData>
            <w:name w:val="Text88"/>
            <w:enabled/>
            <w:calcOnExit w:val="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noProof/>
          <w:lang w:val="fr-FR"/>
        </w:rPr>
        <w:t> </w:t>
      </w:r>
      <w:r w:rsidRPr="00742407">
        <w:rPr>
          <w:bCs/>
          <w:lang w:val="fr-FR"/>
        </w:rPr>
        <w:fldChar w:fldCharType="end"/>
      </w:r>
    </w:p>
    <w:p w14:paraId="1433DE7B" w14:textId="77777777" w:rsidR="009F32CC" w:rsidRPr="00742407" w:rsidRDefault="009F32CC" w:rsidP="009F32CC">
      <w:pPr>
        <w:ind w:left="-360"/>
        <w:rPr>
          <w:bCs/>
          <w:lang w:val="fr-FR"/>
        </w:rPr>
      </w:pPr>
    </w:p>
    <w:p w14:paraId="492BAE27" w14:textId="77777777" w:rsidR="00A60E0D" w:rsidRPr="00742407" w:rsidRDefault="00A60E0D" w:rsidP="00A60E0D">
      <w:pPr>
        <w:pStyle w:val="Paragraphedeliste"/>
        <w:numPr>
          <w:ilvl w:val="1"/>
          <w:numId w:val="11"/>
        </w:numPr>
        <w:rPr>
          <w:bCs/>
          <w:lang w:val="fr-FR"/>
        </w:rPr>
      </w:pPr>
      <w:r w:rsidRPr="00742407">
        <w:rPr>
          <w:bCs/>
          <w:lang w:val="fr-FR"/>
        </w:rPr>
        <w:t xml:space="preserve">Les institutions du secteur de la justice et la CVJRR ont les capacités de promouvoir les questions d’égalité de genre et DH des femmes </w:t>
      </w:r>
      <w:r w:rsidR="009F32CC" w:rsidRPr="00742407">
        <w:rPr>
          <w:bCs/>
          <w:lang w:val="fr-FR"/>
        </w:rPr>
        <w:t>;</w:t>
      </w:r>
    </w:p>
    <w:p w14:paraId="4D01879B" w14:textId="77777777" w:rsidR="00A60E0D" w:rsidRPr="00742407" w:rsidRDefault="00A60E0D" w:rsidP="00A60E0D">
      <w:pPr>
        <w:pStyle w:val="Paragraphedeliste"/>
        <w:numPr>
          <w:ilvl w:val="1"/>
          <w:numId w:val="11"/>
        </w:numPr>
        <w:rPr>
          <w:bCs/>
          <w:lang w:val="fr-FR"/>
        </w:rPr>
      </w:pPr>
      <w:r w:rsidRPr="00742407">
        <w:rPr>
          <w:bCs/>
          <w:lang w:val="fr-FR"/>
        </w:rPr>
        <w:t xml:space="preserve">Les organisations de la société civile et des femmes ont les capacités techniques et opérationnelles de fournir un appui psychosocial aux femmes et victimes </w:t>
      </w:r>
      <w:r w:rsidR="009F32CC" w:rsidRPr="00742407">
        <w:rPr>
          <w:bCs/>
          <w:lang w:val="fr-FR"/>
        </w:rPr>
        <w:t>;</w:t>
      </w:r>
    </w:p>
    <w:p w14:paraId="3A0D9E2C" w14:textId="50963046" w:rsidR="009F32CC" w:rsidRPr="00742407" w:rsidRDefault="00A60E0D" w:rsidP="00A60E0D">
      <w:pPr>
        <w:pStyle w:val="Paragraphedeliste"/>
        <w:numPr>
          <w:ilvl w:val="1"/>
          <w:numId w:val="11"/>
        </w:numPr>
        <w:rPr>
          <w:bCs/>
          <w:lang w:val="fr-FR"/>
        </w:rPr>
      </w:pPr>
      <w:r w:rsidRPr="00742407">
        <w:rPr>
          <w:bCs/>
          <w:lang w:val="fr-FR"/>
        </w:rPr>
        <w:t>Une expertise et les données requises sur l’accès des femmes à la justice transitionnelle est disponible et fourni aux parties prenantes.</w:t>
      </w:r>
    </w:p>
    <w:p w14:paraId="3779C23F" w14:textId="77777777" w:rsidR="009F32CC" w:rsidRPr="00742407" w:rsidRDefault="009F32CC" w:rsidP="009F32CC">
      <w:pPr>
        <w:ind w:left="-360"/>
        <w:rPr>
          <w:bCs/>
          <w:lang w:val="fr-CF"/>
        </w:rPr>
      </w:pPr>
    </w:p>
    <w:p w14:paraId="551DB092" w14:textId="6955E8DF" w:rsidR="009F32CC" w:rsidRPr="00742407" w:rsidRDefault="009F32CC" w:rsidP="009F32CC">
      <w:pPr>
        <w:ind w:left="-360"/>
        <w:rPr>
          <w:bCs/>
          <w:lang w:val="fr-FR"/>
        </w:rPr>
      </w:pPr>
      <w:r w:rsidRPr="00742407">
        <w:rPr>
          <w:bCs/>
          <w:lang w:val="fr-FR"/>
        </w:rPr>
        <w:t>Pour chaque produit, et en vous basant sur le cadre de résultats du projet, indiquez l'état d'avancement relatif aux 3 indicateurs de produit les plus pertinents.</w:t>
      </w:r>
      <w:r w:rsidR="00F470D1" w:rsidRPr="00742407">
        <w:rPr>
          <w:bCs/>
          <w:lang w:val="fr-FR"/>
        </w:rPr>
        <w:t xml:space="preserve"> </w:t>
      </w:r>
    </w:p>
    <w:p w14:paraId="6F0BA807" w14:textId="77777777" w:rsidR="009F32CC" w:rsidRPr="00742407" w:rsidRDefault="009F32CC" w:rsidP="009F32CC">
      <w:pPr>
        <w:ind w:left="-720"/>
        <w:rPr>
          <w:b/>
          <w:u w:val="single"/>
          <w:lang w:val="fr-FR"/>
        </w:rPr>
      </w:pPr>
    </w:p>
    <w:p w14:paraId="2D3A1053" w14:textId="4A866BD7" w:rsidR="009F32CC" w:rsidRPr="00742407" w:rsidRDefault="009F32CC" w:rsidP="009F32CC">
      <w:pPr>
        <w:pStyle w:val="Default"/>
        <w:rPr>
          <w:rFonts w:ascii="Times New Roman" w:eastAsia="Times New Roman" w:hAnsi="Times New Roman" w:cs="Times New Roman"/>
          <w:bCs/>
          <w:color w:val="auto"/>
          <w:lang w:val="fr-FR" w:eastAsia="en-GB"/>
        </w:rPr>
      </w:pPr>
      <w:r w:rsidRPr="00742407">
        <w:rPr>
          <w:rFonts w:ascii="Times New Roman" w:hAnsi="Times New Roman" w:cs="Times New Roman"/>
          <w:b/>
          <w:u w:val="single"/>
          <w:lang w:val="fr-FR"/>
        </w:rPr>
        <w:t xml:space="preserve">Produit </w:t>
      </w:r>
      <w:r w:rsidR="00F470D1" w:rsidRPr="00742407">
        <w:rPr>
          <w:rFonts w:ascii="Times New Roman" w:hAnsi="Times New Roman" w:cs="Times New Roman"/>
          <w:b/>
          <w:u w:val="single"/>
          <w:lang w:val="fr-FR"/>
        </w:rPr>
        <w:t>4</w:t>
      </w:r>
      <w:r w:rsidRPr="00742407">
        <w:rPr>
          <w:rFonts w:ascii="Times New Roman" w:hAnsi="Times New Roman" w:cs="Times New Roman"/>
          <w:b/>
          <w:u w:val="single"/>
          <w:lang w:val="fr-FR"/>
        </w:rPr>
        <w:t>.1 </w:t>
      </w:r>
      <w:r w:rsidRPr="00742407">
        <w:rPr>
          <w:rFonts w:ascii="Times New Roman" w:hAnsi="Times New Roman" w:cs="Times New Roman"/>
          <w:b/>
          <w:lang w:val="fr-FR"/>
        </w:rPr>
        <w:t xml:space="preserve">:  </w:t>
      </w:r>
      <w:r w:rsidR="00A73BEF">
        <w:rPr>
          <w:rFonts w:ascii="Times New Roman" w:eastAsia="Times New Roman" w:hAnsi="Times New Roman" w:cs="Times New Roman"/>
          <w:bCs/>
          <w:color w:val="auto"/>
          <w:lang w:val="fr-FR" w:eastAsia="en-GB"/>
        </w:rPr>
        <w:t>l</w:t>
      </w:r>
      <w:r w:rsidR="00F470D1" w:rsidRPr="00742407">
        <w:rPr>
          <w:rFonts w:ascii="Times New Roman" w:eastAsia="Times New Roman" w:hAnsi="Times New Roman" w:cs="Times New Roman"/>
          <w:bCs/>
          <w:color w:val="auto"/>
          <w:lang w:val="fr-FR" w:eastAsia="en-GB"/>
        </w:rPr>
        <w:t>es institutions du secteur de la justice et la CVJRR ont les capacités de promouvoir les questions d’égalité de genre et DH des femmes</w:t>
      </w:r>
      <w:r w:rsidRPr="00742407">
        <w:rPr>
          <w:rFonts w:ascii="Times New Roman" w:eastAsia="Times New Roman" w:hAnsi="Times New Roman" w:cs="Times New Roman"/>
          <w:bCs/>
          <w:color w:val="auto"/>
          <w:lang w:val="fr-FR" w:eastAsia="en-GB"/>
        </w:rPr>
        <w:t>.</w:t>
      </w:r>
    </w:p>
    <w:p w14:paraId="27911CB1" w14:textId="77777777" w:rsidR="009F32CC" w:rsidRPr="00742407" w:rsidRDefault="009F32CC" w:rsidP="009F32CC">
      <w:pPr>
        <w:ind w:left="-360"/>
        <w:rPr>
          <w:b/>
          <w:highlight w:val="yellow"/>
          <w:u w:val="single"/>
          <w:lang w:val="fr-FR"/>
        </w:rPr>
      </w:pPr>
    </w:p>
    <w:tbl>
      <w:tblPr>
        <w:tblW w:w="999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581"/>
        <w:gridCol w:w="1440"/>
        <w:gridCol w:w="1710"/>
        <w:gridCol w:w="2378"/>
      </w:tblGrid>
      <w:tr w:rsidR="009F32CC" w:rsidRPr="006B0660" w14:paraId="25FDF79D" w14:textId="77777777" w:rsidTr="00600939">
        <w:trPr>
          <w:tblHeader/>
        </w:trPr>
        <w:tc>
          <w:tcPr>
            <w:tcW w:w="1890" w:type="dxa"/>
            <w:shd w:val="clear" w:color="auto" w:fill="EEECE1"/>
          </w:tcPr>
          <w:p w14:paraId="0506724B" w14:textId="77777777" w:rsidR="009F32CC" w:rsidRPr="00742407" w:rsidRDefault="009F32CC" w:rsidP="00600939">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581" w:type="dxa"/>
            <w:shd w:val="clear" w:color="auto" w:fill="EEECE1"/>
          </w:tcPr>
          <w:p w14:paraId="635B5F5E" w14:textId="77777777" w:rsidR="009F32CC" w:rsidRPr="00742407" w:rsidRDefault="009F32CC" w:rsidP="00600939">
            <w:pPr>
              <w:jc w:val="center"/>
              <w:rPr>
                <w:b/>
                <w:color w:val="000000"/>
                <w:sz w:val="22"/>
                <w:szCs w:val="22"/>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436674DC" w14:textId="77777777" w:rsidR="009F32CC" w:rsidRPr="00742407" w:rsidRDefault="009F32CC" w:rsidP="00600939">
            <w:pPr>
              <w:jc w:val="center"/>
              <w:rPr>
                <w:b/>
                <w:lang w:val="fr-FR" w:eastAsia="en-US"/>
              </w:rPr>
            </w:pPr>
            <w:r w:rsidRPr="00742407">
              <w:rPr>
                <w:b/>
                <w:sz w:val="22"/>
                <w:szCs w:val="22"/>
                <w:lang w:val="fr-FR" w:eastAsia="en-US"/>
              </w:rPr>
              <w:t>Cible de fin de projet</w:t>
            </w:r>
          </w:p>
        </w:tc>
        <w:tc>
          <w:tcPr>
            <w:tcW w:w="1710" w:type="dxa"/>
          </w:tcPr>
          <w:p w14:paraId="4C9E0259" w14:textId="77777777" w:rsidR="009F32CC" w:rsidRPr="00742407" w:rsidRDefault="009F32CC" w:rsidP="00600939">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378" w:type="dxa"/>
          </w:tcPr>
          <w:p w14:paraId="64CCF5C8" w14:textId="77777777" w:rsidR="009F32CC" w:rsidRPr="00742407" w:rsidRDefault="009F32CC" w:rsidP="00600939">
            <w:pPr>
              <w:jc w:val="center"/>
              <w:rPr>
                <w:b/>
                <w:lang w:val="fr-FR" w:eastAsia="en-US"/>
              </w:rPr>
            </w:pPr>
            <w:r w:rsidRPr="00742407">
              <w:rPr>
                <w:b/>
                <w:sz w:val="22"/>
                <w:szCs w:val="22"/>
                <w:lang w:val="fr-FR" w:eastAsia="en-US"/>
              </w:rPr>
              <w:t>Raisons pour les retards ou changements (s'il y en a)</w:t>
            </w:r>
          </w:p>
        </w:tc>
      </w:tr>
      <w:tr w:rsidR="009F32CC" w:rsidRPr="00742407" w14:paraId="3CA2ED2A" w14:textId="77777777" w:rsidTr="00600939">
        <w:trPr>
          <w:trHeight w:val="548"/>
        </w:trPr>
        <w:tc>
          <w:tcPr>
            <w:tcW w:w="1890" w:type="dxa"/>
            <w:shd w:val="clear" w:color="auto" w:fill="EEECE1"/>
          </w:tcPr>
          <w:p w14:paraId="1B11027A" w14:textId="231097DF"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w:t>
            </w:r>
            <w:r w:rsidR="00F470D1" w:rsidRPr="00742407">
              <w:rPr>
                <w:lang w:val="en-US" w:eastAsia="en-US"/>
              </w:rPr>
              <w:t>4</w:t>
            </w:r>
            <w:r w:rsidRPr="00742407">
              <w:rPr>
                <w:lang w:val="en-US" w:eastAsia="en-US"/>
              </w:rPr>
              <w:t>.1.1</w:t>
            </w:r>
          </w:p>
          <w:p w14:paraId="7698BDE3"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81" w:type="dxa"/>
            <w:shd w:val="clear" w:color="auto" w:fill="EEECE1"/>
          </w:tcPr>
          <w:p w14:paraId="5CB996D0" w14:textId="21E3FA9D" w:rsidR="009F32CC" w:rsidRPr="00742407" w:rsidRDefault="00F470D1" w:rsidP="00600939">
            <w:pPr>
              <w:autoSpaceDE w:val="0"/>
              <w:autoSpaceDN w:val="0"/>
              <w:adjustRightInd w:val="0"/>
              <w:rPr>
                <w:bCs/>
                <w:lang w:val="fr-FR"/>
              </w:rPr>
            </w:pPr>
            <w:r w:rsidRPr="00742407">
              <w:rPr>
                <w:bCs/>
                <w:lang w:val="fr-FR"/>
              </w:rPr>
              <w:t>Nombres d</w:t>
            </w:r>
            <w:r w:rsidR="00A73BEF">
              <w:rPr>
                <w:bCs/>
                <w:lang w:val="fr-FR"/>
              </w:rPr>
              <w:t>’</w:t>
            </w:r>
            <w:r w:rsidRPr="00742407">
              <w:rPr>
                <w:bCs/>
                <w:lang w:val="fr-FR"/>
              </w:rPr>
              <w:t>acteurs de justice, formées sur la participation des femmes dans les mécanismes de justice, justice transitionnelle, la protection des droits des femmes et la prévention des VBG</w:t>
            </w:r>
            <w:r w:rsidR="009F32CC" w:rsidRPr="00742407">
              <w:rPr>
                <w:bCs/>
                <w:lang w:val="fr-FR"/>
              </w:rPr>
              <w:t>.</w:t>
            </w:r>
          </w:p>
        </w:tc>
        <w:tc>
          <w:tcPr>
            <w:tcW w:w="1440" w:type="dxa"/>
            <w:shd w:val="clear" w:color="auto" w:fill="EEECE1"/>
          </w:tcPr>
          <w:p w14:paraId="56DB9263" w14:textId="069306E5"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500</w:t>
            </w:r>
          </w:p>
        </w:tc>
        <w:tc>
          <w:tcPr>
            <w:tcW w:w="1710" w:type="dxa"/>
          </w:tcPr>
          <w:p w14:paraId="408BBE3A" w14:textId="21F05B7B"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530</w:t>
            </w:r>
          </w:p>
        </w:tc>
        <w:tc>
          <w:tcPr>
            <w:tcW w:w="2378" w:type="dxa"/>
          </w:tcPr>
          <w:p w14:paraId="4C0D7DE1"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58394240" w14:textId="77777777" w:rsidTr="00600939">
        <w:trPr>
          <w:trHeight w:val="548"/>
        </w:trPr>
        <w:tc>
          <w:tcPr>
            <w:tcW w:w="1890" w:type="dxa"/>
            <w:shd w:val="clear" w:color="auto" w:fill="EEECE1"/>
          </w:tcPr>
          <w:p w14:paraId="51714896"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1.1.2</w:t>
            </w:r>
          </w:p>
          <w:p w14:paraId="01FA84A7"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81" w:type="dxa"/>
            <w:shd w:val="clear" w:color="auto" w:fill="EEECE1"/>
          </w:tcPr>
          <w:p w14:paraId="02BFAC33" w14:textId="40979BDC" w:rsidR="009F32CC" w:rsidRPr="00742407" w:rsidRDefault="00F470D1" w:rsidP="00F470D1">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 xml:space="preserve">% de participation de nombre des femmes, membres de la CVJRR </w:t>
            </w:r>
          </w:p>
        </w:tc>
        <w:tc>
          <w:tcPr>
            <w:tcW w:w="1440" w:type="dxa"/>
            <w:shd w:val="clear" w:color="auto" w:fill="EEECE1"/>
          </w:tcPr>
          <w:p w14:paraId="0E3DD67B" w14:textId="35661ED0"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50%</w:t>
            </w:r>
          </w:p>
        </w:tc>
        <w:tc>
          <w:tcPr>
            <w:tcW w:w="1710" w:type="dxa"/>
          </w:tcPr>
          <w:p w14:paraId="7559EEC3" w14:textId="0B50AAD1"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45,45%</w:t>
            </w:r>
          </w:p>
        </w:tc>
        <w:tc>
          <w:tcPr>
            <w:tcW w:w="2378" w:type="dxa"/>
          </w:tcPr>
          <w:p w14:paraId="1629AF5D"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04AC789B" w14:textId="77777777" w:rsidTr="00600939">
        <w:trPr>
          <w:trHeight w:val="548"/>
        </w:trPr>
        <w:tc>
          <w:tcPr>
            <w:tcW w:w="1890" w:type="dxa"/>
            <w:shd w:val="clear" w:color="auto" w:fill="EEECE1"/>
          </w:tcPr>
          <w:p w14:paraId="27AF6552"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1.1.3</w:t>
            </w:r>
          </w:p>
          <w:p w14:paraId="0ECECCFD"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581" w:type="dxa"/>
            <w:shd w:val="clear" w:color="auto" w:fill="EEECE1"/>
          </w:tcPr>
          <w:p w14:paraId="2E9AC35A" w14:textId="0B6D0721" w:rsidR="009F32CC" w:rsidRPr="00742407" w:rsidRDefault="009F32CC" w:rsidP="00600939">
            <w:pPr>
              <w:autoSpaceDE w:val="0"/>
              <w:autoSpaceDN w:val="0"/>
              <w:adjustRightInd w:val="0"/>
              <w:rPr>
                <w:bCs/>
                <w:lang w:val="fr-FR"/>
              </w:rPr>
            </w:pPr>
          </w:p>
        </w:tc>
        <w:tc>
          <w:tcPr>
            <w:tcW w:w="1440" w:type="dxa"/>
            <w:shd w:val="clear" w:color="auto" w:fill="EEECE1"/>
          </w:tcPr>
          <w:p w14:paraId="02452B71" w14:textId="4A64786F" w:rsidR="009F32CC" w:rsidRPr="00742407" w:rsidRDefault="009F32CC" w:rsidP="00F470D1">
            <w:pPr>
              <w:pStyle w:val="Default"/>
              <w:jc w:val="center"/>
              <w:rPr>
                <w:rFonts w:ascii="Times New Roman" w:eastAsia="Times New Roman" w:hAnsi="Times New Roman" w:cs="Times New Roman"/>
                <w:bCs/>
                <w:color w:val="auto"/>
                <w:lang w:val="fr-FR" w:eastAsia="en-GB"/>
              </w:rPr>
            </w:pPr>
          </w:p>
        </w:tc>
        <w:tc>
          <w:tcPr>
            <w:tcW w:w="1710" w:type="dxa"/>
          </w:tcPr>
          <w:p w14:paraId="32A03610" w14:textId="30B5D2CB" w:rsidR="009F32CC" w:rsidRPr="00742407" w:rsidRDefault="009F32CC" w:rsidP="00F470D1">
            <w:pPr>
              <w:pStyle w:val="Default"/>
              <w:jc w:val="center"/>
              <w:rPr>
                <w:rFonts w:ascii="Times New Roman" w:eastAsia="Times New Roman" w:hAnsi="Times New Roman" w:cs="Times New Roman"/>
                <w:bCs/>
                <w:color w:val="auto"/>
                <w:lang w:val="fr-FR" w:eastAsia="en-GB"/>
              </w:rPr>
            </w:pPr>
          </w:p>
        </w:tc>
        <w:tc>
          <w:tcPr>
            <w:tcW w:w="2378" w:type="dxa"/>
          </w:tcPr>
          <w:p w14:paraId="4746DD81"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679B8482" w14:textId="77777777" w:rsidR="009F32CC" w:rsidRPr="00742407" w:rsidRDefault="009F32CC" w:rsidP="009F32CC">
      <w:pPr>
        <w:rPr>
          <w:b/>
          <w:highlight w:val="yellow"/>
          <w:u w:val="single"/>
          <w:lang w:val="fr-FR"/>
        </w:rPr>
      </w:pPr>
    </w:p>
    <w:p w14:paraId="543763E4" w14:textId="421214E7" w:rsidR="009F32CC" w:rsidRPr="00742407" w:rsidRDefault="009F32CC" w:rsidP="009F32CC">
      <w:pPr>
        <w:pStyle w:val="Default"/>
        <w:ind w:right="-613"/>
        <w:rPr>
          <w:rFonts w:ascii="Times New Roman" w:eastAsia="Times New Roman" w:hAnsi="Times New Roman" w:cs="Times New Roman"/>
          <w:bCs/>
          <w:color w:val="auto"/>
          <w:lang w:val="fr-FR" w:eastAsia="en-GB"/>
        </w:rPr>
      </w:pPr>
      <w:r w:rsidRPr="00742407">
        <w:rPr>
          <w:rFonts w:ascii="Times New Roman" w:hAnsi="Times New Roman" w:cs="Times New Roman"/>
          <w:b/>
          <w:u w:val="single"/>
          <w:lang w:val="fr-FR"/>
        </w:rPr>
        <w:t xml:space="preserve">Produit </w:t>
      </w:r>
      <w:r w:rsidR="00F470D1" w:rsidRPr="00742407">
        <w:rPr>
          <w:rFonts w:ascii="Times New Roman" w:hAnsi="Times New Roman" w:cs="Times New Roman"/>
          <w:b/>
          <w:u w:val="single"/>
          <w:lang w:val="fr-FR"/>
        </w:rPr>
        <w:t>4</w:t>
      </w:r>
      <w:r w:rsidRPr="00742407">
        <w:rPr>
          <w:rFonts w:ascii="Times New Roman" w:hAnsi="Times New Roman" w:cs="Times New Roman"/>
          <w:b/>
          <w:u w:val="single"/>
          <w:lang w:val="fr-FR"/>
        </w:rPr>
        <w:t>.2 :</w:t>
      </w:r>
      <w:r w:rsidRPr="00742407">
        <w:rPr>
          <w:rFonts w:ascii="Times New Roman" w:hAnsi="Times New Roman" w:cs="Times New Roman"/>
          <w:bCs/>
          <w:lang w:val="fr-FR"/>
        </w:rPr>
        <w:t xml:space="preserve"> </w:t>
      </w:r>
      <w:r w:rsidR="00A73BEF">
        <w:rPr>
          <w:rFonts w:ascii="Times New Roman" w:eastAsia="Times New Roman" w:hAnsi="Times New Roman" w:cs="Times New Roman"/>
          <w:bCs/>
          <w:color w:val="auto"/>
          <w:lang w:val="fr-FR" w:eastAsia="en-GB"/>
        </w:rPr>
        <w:t>l</w:t>
      </w:r>
      <w:r w:rsidR="00F470D1" w:rsidRPr="00742407">
        <w:rPr>
          <w:rFonts w:ascii="Times New Roman" w:eastAsia="Times New Roman" w:hAnsi="Times New Roman" w:cs="Times New Roman"/>
          <w:bCs/>
          <w:color w:val="auto"/>
          <w:lang w:val="fr-FR" w:eastAsia="en-GB"/>
        </w:rPr>
        <w:t>es organisations de la société civile et des femmes ont les capacités techniques et opérationnelles de fournir un appui psychosocial aux femmes et victimes</w:t>
      </w:r>
      <w:r w:rsidRPr="00742407">
        <w:rPr>
          <w:rFonts w:ascii="Times New Roman" w:eastAsia="Times New Roman" w:hAnsi="Times New Roman" w:cs="Times New Roman"/>
          <w:bCs/>
          <w:color w:val="auto"/>
          <w:lang w:val="fr-FR" w:eastAsia="en-GB"/>
        </w:rPr>
        <w:t>.</w:t>
      </w:r>
    </w:p>
    <w:p w14:paraId="6BFFF48C" w14:textId="77777777" w:rsidR="009F32CC" w:rsidRPr="00742407" w:rsidRDefault="009F32CC" w:rsidP="009F32CC">
      <w:pPr>
        <w:ind w:left="-360"/>
        <w:rPr>
          <w:bCs/>
          <w:u w:val="single"/>
          <w:lang w:val="fr-FR"/>
        </w:rPr>
      </w:pPr>
    </w:p>
    <w:tbl>
      <w:tblPr>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11"/>
        <w:gridCol w:w="1440"/>
        <w:gridCol w:w="1620"/>
        <w:gridCol w:w="2468"/>
      </w:tblGrid>
      <w:tr w:rsidR="009F32CC" w:rsidRPr="006B0660" w14:paraId="121214A5" w14:textId="77777777" w:rsidTr="00600939">
        <w:trPr>
          <w:tblHeader/>
        </w:trPr>
        <w:tc>
          <w:tcPr>
            <w:tcW w:w="1980" w:type="dxa"/>
            <w:shd w:val="clear" w:color="auto" w:fill="EEECE1"/>
          </w:tcPr>
          <w:p w14:paraId="55558D14" w14:textId="77777777" w:rsidR="009F32CC" w:rsidRPr="00742407" w:rsidRDefault="009F32CC" w:rsidP="00600939">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311" w:type="dxa"/>
            <w:shd w:val="clear" w:color="auto" w:fill="EEECE1"/>
          </w:tcPr>
          <w:p w14:paraId="4E121999" w14:textId="77777777" w:rsidR="009F32CC" w:rsidRPr="00742407" w:rsidRDefault="009F32CC" w:rsidP="00600939">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276CDA8D" w14:textId="77777777" w:rsidR="009F32CC" w:rsidRPr="00742407" w:rsidRDefault="009F32CC" w:rsidP="00600939">
            <w:pPr>
              <w:jc w:val="center"/>
              <w:rPr>
                <w:b/>
                <w:lang w:val="fr-FR" w:eastAsia="en-US"/>
              </w:rPr>
            </w:pPr>
            <w:r w:rsidRPr="00742407">
              <w:rPr>
                <w:b/>
                <w:sz w:val="22"/>
                <w:szCs w:val="22"/>
                <w:lang w:val="fr-FR" w:eastAsia="en-US"/>
              </w:rPr>
              <w:t>Cible de fin de projet</w:t>
            </w:r>
          </w:p>
        </w:tc>
        <w:tc>
          <w:tcPr>
            <w:tcW w:w="1620" w:type="dxa"/>
          </w:tcPr>
          <w:p w14:paraId="16091024" w14:textId="77777777" w:rsidR="009F32CC" w:rsidRPr="00742407" w:rsidRDefault="009F32CC" w:rsidP="00600939">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468" w:type="dxa"/>
          </w:tcPr>
          <w:p w14:paraId="74BD0267" w14:textId="77777777" w:rsidR="009F32CC" w:rsidRPr="00742407" w:rsidRDefault="009F32CC" w:rsidP="00600939">
            <w:pPr>
              <w:jc w:val="center"/>
              <w:rPr>
                <w:b/>
                <w:lang w:val="fr-FR" w:eastAsia="en-US"/>
              </w:rPr>
            </w:pPr>
            <w:r w:rsidRPr="00742407">
              <w:rPr>
                <w:b/>
                <w:sz w:val="22"/>
                <w:szCs w:val="22"/>
                <w:lang w:val="fr-FR" w:eastAsia="en-US"/>
              </w:rPr>
              <w:t>Raisons pour les retards ou changements (s'il y en a)</w:t>
            </w:r>
          </w:p>
        </w:tc>
      </w:tr>
      <w:tr w:rsidR="009F32CC" w:rsidRPr="00742407" w14:paraId="0A48003B" w14:textId="77777777" w:rsidTr="00600939">
        <w:trPr>
          <w:trHeight w:val="548"/>
        </w:trPr>
        <w:tc>
          <w:tcPr>
            <w:tcW w:w="1980" w:type="dxa"/>
            <w:shd w:val="clear" w:color="auto" w:fill="EEECE1"/>
          </w:tcPr>
          <w:p w14:paraId="5AAEAEB8"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1.2.1</w:t>
            </w:r>
          </w:p>
          <w:p w14:paraId="7A71AC32"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75E7F4D2" w14:textId="38929F6D" w:rsidR="009F32CC" w:rsidRPr="00742407" w:rsidRDefault="00F470D1" w:rsidP="00600939">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de victimes ayant reçu un appui psychosocial</w:t>
            </w:r>
          </w:p>
        </w:tc>
        <w:tc>
          <w:tcPr>
            <w:tcW w:w="1440" w:type="dxa"/>
            <w:shd w:val="clear" w:color="auto" w:fill="EEECE1"/>
          </w:tcPr>
          <w:p w14:paraId="5EA80377" w14:textId="7ED57DDD"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1100</w:t>
            </w:r>
          </w:p>
        </w:tc>
        <w:tc>
          <w:tcPr>
            <w:tcW w:w="1620" w:type="dxa"/>
          </w:tcPr>
          <w:p w14:paraId="6E99CAB6" w14:textId="1EA72590"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3592</w:t>
            </w:r>
          </w:p>
        </w:tc>
        <w:tc>
          <w:tcPr>
            <w:tcW w:w="2468" w:type="dxa"/>
          </w:tcPr>
          <w:p w14:paraId="1D02AA32" w14:textId="77777777" w:rsidR="009F32CC" w:rsidRPr="00742407" w:rsidRDefault="009F32CC" w:rsidP="00600939">
            <w:pPr>
              <w:rPr>
                <w:bCs/>
                <w:lang w:val="fr-FR"/>
              </w:rPr>
            </w:pPr>
            <w:r w:rsidRPr="00742407">
              <w:rPr>
                <w:bCs/>
                <w:lang w:val="fr-FR"/>
              </w:rPr>
              <w:fldChar w:fldCharType="begin">
                <w:ffData>
                  <w:name w:val=""/>
                  <w:enabled/>
                  <w:calcOnExit w:val="0"/>
                  <w:textInput>
                    <w:maxLength w:val="300"/>
                  </w:textInput>
                </w:ffData>
              </w:fldChar>
            </w:r>
            <w:r w:rsidRPr="00742407">
              <w:rPr>
                <w:bCs/>
                <w:lang w:val="fr-FR"/>
              </w:rPr>
              <w:instrText xml:space="preserve"> FORMTEXT </w:instrText>
            </w:r>
            <w:r w:rsidRPr="00742407">
              <w:rPr>
                <w:bCs/>
                <w:lang w:val="fr-FR"/>
              </w:rPr>
            </w:r>
            <w:r w:rsidRPr="00742407">
              <w:rPr>
                <w:bCs/>
                <w:lang w:val="fr-FR"/>
              </w:rPr>
              <w:fldChar w:fldCharType="separate"/>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t> </w:t>
            </w:r>
            <w:r w:rsidRPr="00742407">
              <w:rPr>
                <w:bCs/>
                <w:lang w:val="fr-FR"/>
              </w:rPr>
              <w:fldChar w:fldCharType="end"/>
            </w:r>
          </w:p>
        </w:tc>
      </w:tr>
      <w:tr w:rsidR="009F32CC" w:rsidRPr="00742407" w14:paraId="3E5600C2" w14:textId="77777777" w:rsidTr="00600939">
        <w:trPr>
          <w:trHeight w:val="548"/>
        </w:trPr>
        <w:tc>
          <w:tcPr>
            <w:tcW w:w="1980" w:type="dxa"/>
            <w:shd w:val="clear" w:color="auto" w:fill="EEECE1"/>
          </w:tcPr>
          <w:p w14:paraId="073D9687"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1.2.2</w:t>
            </w:r>
          </w:p>
          <w:p w14:paraId="60C46A45"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6A2DBFDE" w14:textId="4AB8C0C7" w:rsidR="009F32CC" w:rsidRPr="00742407" w:rsidRDefault="00F470D1" w:rsidP="00F470D1">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Nombre d</w:t>
            </w:r>
            <w:r w:rsidR="00A73BEF">
              <w:rPr>
                <w:rFonts w:ascii="Times New Roman" w:eastAsia="Times New Roman" w:hAnsi="Times New Roman" w:cs="Times New Roman"/>
                <w:bCs/>
                <w:color w:val="auto"/>
                <w:lang w:val="fr-FR" w:eastAsia="en-GB"/>
              </w:rPr>
              <w:t>’</w:t>
            </w:r>
            <w:r w:rsidRPr="00742407">
              <w:rPr>
                <w:rFonts w:ascii="Times New Roman" w:eastAsia="Times New Roman" w:hAnsi="Times New Roman" w:cs="Times New Roman"/>
                <w:bCs/>
                <w:color w:val="auto"/>
                <w:lang w:val="fr-FR" w:eastAsia="en-GB"/>
              </w:rPr>
              <w:t>organisations féminines de la société civile impliquées</w:t>
            </w:r>
          </w:p>
        </w:tc>
        <w:tc>
          <w:tcPr>
            <w:tcW w:w="1440" w:type="dxa"/>
            <w:shd w:val="clear" w:color="auto" w:fill="EEECE1"/>
          </w:tcPr>
          <w:p w14:paraId="78268994" w14:textId="0D0A2708"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10</w:t>
            </w:r>
          </w:p>
        </w:tc>
        <w:tc>
          <w:tcPr>
            <w:tcW w:w="1620" w:type="dxa"/>
          </w:tcPr>
          <w:p w14:paraId="7978DC1D" w14:textId="3B970006"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10</w:t>
            </w:r>
          </w:p>
        </w:tc>
        <w:tc>
          <w:tcPr>
            <w:tcW w:w="2468" w:type="dxa"/>
          </w:tcPr>
          <w:p w14:paraId="2CA12D5D"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74031349" w14:textId="77777777" w:rsidTr="00600939">
        <w:trPr>
          <w:trHeight w:val="548"/>
        </w:trPr>
        <w:tc>
          <w:tcPr>
            <w:tcW w:w="1980" w:type="dxa"/>
            <w:shd w:val="clear" w:color="auto" w:fill="EEECE1"/>
          </w:tcPr>
          <w:p w14:paraId="0467E042"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1.2.3</w:t>
            </w:r>
          </w:p>
          <w:p w14:paraId="2012E5EC"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100B4D14"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1C98B08A"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28B9616C"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6ADB240E"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3507CE6F" w14:textId="77777777" w:rsidR="009F32CC" w:rsidRPr="00742407" w:rsidRDefault="009F32CC" w:rsidP="009F32CC">
      <w:pPr>
        <w:ind w:left="-720"/>
        <w:rPr>
          <w:b/>
          <w:u w:val="single"/>
          <w:lang w:val="fr-FR"/>
        </w:rPr>
      </w:pPr>
    </w:p>
    <w:p w14:paraId="078735FE" w14:textId="2CC86A7C" w:rsidR="009F32CC" w:rsidRPr="00435A87" w:rsidRDefault="009F32CC" w:rsidP="009F32CC">
      <w:pPr>
        <w:pStyle w:val="Default"/>
        <w:rPr>
          <w:rFonts w:ascii="Times New Roman" w:hAnsi="Times New Roman" w:cs="Times New Roman"/>
          <w:sz w:val="20"/>
          <w:szCs w:val="20"/>
          <w:lang w:val="fr-CF"/>
        </w:rPr>
      </w:pPr>
      <w:r w:rsidRPr="00742407">
        <w:rPr>
          <w:rFonts w:ascii="Times New Roman" w:hAnsi="Times New Roman" w:cs="Times New Roman"/>
          <w:b/>
          <w:u w:val="single"/>
          <w:lang w:val="fr-FR"/>
        </w:rPr>
        <w:t xml:space="preserve">Produit </w:t>
      </w:r>
      <w:r w:rsidR="00F470D1" w:rsidRPr="00742407">
        <w:rPr>
          <w:rFonts w:ascii="Times New Roman" w:hAnsi="Times New Roman" w:cs="Times New Roman"/>
          <w:b/>
          <w:u w:val="single"/>
          <w:lang w:val="fr-FR"/>
        </w:rPr>
        <w:t>4</w:t>
      </w:r>
      <w:r w:rsidRPr="00742407">
        <w:rPr>
          <w:rFonts w:ascii="Times New Roman" w:hAnsi="Times New Roman" w:cs="Times New Roman"/>
          <w:b/>
          <w:u w:val="single"/>
          <w:lang w:val="fr-FR"/>
        </w:rPr>
        <w:t>.3</w:t>
      </w:r>
      <w:r w:rsidRPr="00742407">
        <w:rPr>
          <w:rFonts w:ascii="Times New Roman" w:hAnsi="Times New Roman" w:cs="Times New Roman"/>
          <w:bCs/>
          <w:lang w:val="fr-FR"/>
        </w:rPr>
        <w:t xml:space="preserve"> : </w:t>
      </w:r>
      <w:r w:rsidR="00A73BEF">
        <w:rPr>
          <w:rFonts w:ascii="Times New Roman" w:eastAsia="Times New Roman" w:hAnsi="Times New Roman" w:cs="Times New Roman"/>
          <w:bCs/>
          <w:color w:val="auto"/>
          <w:lang w:val="fr-FR" w:eastAsia="en-GB"/>
        </w:rPr>
        <w:t>l</w:t>
      </w:r>
      <w:r w:rsidRPr="00435A87">
        <w:rPr>
          <w:rFonts w:ascii="Times New Roman" w:eastAsia="Times New Roman" w:hAnsi="Times New Roman" w:cs="Times New Roman"/>
          <w:bCs/>
          <w:color w:val="auto"/>
          <w:lang w:val="fr-FR" w:eastAsia="en-GB"/>
        </w:rPr>
        <w:t>es options et modalités d’offre de réparations et d’établissement d’un fonds fiduciaire pour les réparations sont proposées</w:t>
      </w:r>
      <w:r w:rsidRPr="00435A87">
        <w:rPr>
          <w:rFonts w:ascii="Times New Roman" w:hAnsi="Times New Roman" w:cs="Times New Roman"/>
          <w:i/>
          <w:iCs/>
          <w:sz w:val="20"/>
          <w:szCs w:val="20"/>
          <w:lang w:val="fr-CF"/>
        </w:rPr>
        <w:t xml:space="preserve"> </w:t>
      </w:r>
    </w:p>
    <w:p w14:paraId="692F178E" w14:textId="77777777" w:rsidR="009F32CC" w:rsidRPr="00742407" w:rsidRDefault="009F32CC" w:rsidP="009F32CC">
      <w:pPr>
        <w:rPr>
          <w:b/>
          <w:u w:val="single"/>
          <w:lang w:val="fr-FR"/>
        </w:rPr>
      </w:pPr>
    </w:p>
    <w:tbl>
      <w:tblPr>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11"/>
        <w:gridCol w:w="1440"/>
        <w:gridCol w:w="1620"/>
        <w:gridCol w:w="2468"/>
      </w:tblGrid>
      <w:tr w:rsidR="009F32CC" w:rsidRPr="006B0660" w14:paraId="4A5EE5C4" w14:textId="77777777" w:rsidTr="00600939">
        <w:trPr>
          <w:tblHeader/>
        </w:trPr>
        <w:tc>
          <w:tcPr>
            <w:tcW w:w="1980" w:type="dxa"/>
            <w:shd w:val="clear" w:color="auto" w:fill="EEECE1"/>
          </w:tcPr>
          <w:p w14:paraId="4EA78AF6" w14:textId="77777777" w:rsidR="009F32CC" w:rsidRPr="00742407" w:rsidRDefault="009F32CC" w:rsidP="00600939">
            <w:pPr>
              <w:jc w:val="center"/>
              <w:rPr>
                <w:b/>
                <w:lang w:val="en-US" w:eastAsia="en-US"/>
              </w:rPr>
            </w:pPr>
            <w:proofErr w:type="spellStart"/>
            <w:r w:rsidRPr="00742407">
              <w:rPr>
                <w:b/>
                <w:lang w:val="en-US" w:eastAsia="en-US"/>
              </w:rPr>
              <w:t>Indicateurs</w:t>
            </w:r>
            <w:proofErr w:type="spellEnd"/>
            <w:r w:rsidRPr="00742407">
              <w:rPr>
                <w:b/>
                <w:lang w:val="en-US" w:eastAsia="en-US"/>
              </w:rPr>
              <w:t xml:space="preserve"> de </w:t>
            </w:r>
            <w:proofErr w:type="spellStart"/>
            <w:r w:rsidRPr="00742407">
              <w:rPr>
                <w:b/>
                <w:lang w:val="en-US" w:eastAsia="en-US"/>
              </w:rPr>
              <w:t>produit</w:t>
            </w:r>
            <w:proofErr w:type="spellEnd"/>
          </w:p>
        </w:tc>
        <w:tc>
          <w:tcPr>
            <w:tcW w:w="2311" w:type="dxa"/>
            <w:shd w:val="clear" w:color="auto" w:fill="EEECE1"/>
          </w:tcPr>
          <w:p w14:paraId="0C8ADA2F" w14:textId="77777777" w:rsidR="009F32CC" w:rsidRPr="00742407" w:rsidRDefault="009F32CC" w:rsidP="00600939">
            <w:pPr>
              <w:jc w:val="center"/>
              <w:rPr>
                <w:b/>
                <w:lang w:val="en-US" w:eastAsia="en-US"/>
              </w:rPr>
            </w:pPr>
            <w:proofErr w:type="spellStart"/>
            <w:r w:rsidRPr="00742407">
              <w:rPr>
                <w:b/>
                <w:color w:val="000000"/>
                <w:sz w:val="22"/>
                <w:szCs w:val="22"/>
              </w:rPr>
              <w:t>Indicateur</w:t>
            </w:r>
            <w:proofErr w:type="spellEnd"/>
            <w:r w:rsidRPr="00742407">
              <w:rPr>
                <w:b/>
                <w:color w:val="000000"/>
                <w:sz w:val="22"/>
                <w:szCs w:val="22"/>
              </w:rPr>
              <w:t xml:space="preserve"> de base</w:t>
            </w:r>
          </w:p>
        </w:tc>
        <w:tc>
          <w:tcPr>
            <w:tcW w:w="1440" w:type="dxa"/>
            <w:shd w:val="clear" w:color="auto" w:fill="EEECE1"/>
          </w:tcPr>
          <w:p w14:paraId="45E0F63F" w14:textId="77777777" w:rsidR="009F32CC" w:rsidRPr="00742407" w:rsidRDefault="009F32CC" w:rsidP="00600939">
            <w:pPr>
              <w:jc w:val="center"/>
              <w:rPr>
                <w:b/>
                <w:lang w:val="fr-FR" w:eastAsia="en-US"/>
              </w:rPr>
            </w:pPr>
            <w:r w:rsidRPr="00742407">
              <w:rPr>
                <w:b/>
                <w:sz w:val="22"/>
                <w:szCs w:val="22"/>
                <w:lang w:val="fr-FR" w:eastAsia="en-US"/>
              </w:rPr>
              <w:t>Cible de fin de projet</w:t>
            </w:r>
          </w:p>
        </w:tc>
        <w:tc>
          <w:tcPr>
            <w:tcW w:w="1620" w:type="dxa"/>
          </w:tcPr>
          <w:p w14:paraId="62539910" w14:textId="77777777" w:rsidR="009F32CC" w:rsidRPr="00742407" w:rsidRDefault="009F32CC" w:rsidP="00600939">
            <w:pPr>
              <w:jc w:val="center"/>
              <w:rPr>
                <w:b/>
                <w:lang w:val="en-US" w:eastAsia="en-US"/>
              </w:rPr>
            </w:pPr>
            <w:proofErr w:type="spellStart"/>
            <w:r w:rsidRPr="00742407">
              <w:rPr>
                <w:b/>
                <w:sz w:val="22"/>
                <w:szCs w:val="22"/>
                <w:lang w:val="en-US" w:eastAsia="en-US"/>
              </w:rPr>
              <w:t>Progrès</w:t>
            </w:r>
            <w:proofErr w:type="spellEnd"/>
            <w:r w:rsidRPr="00742407">
              <w:rPr>
                <w:b/>
                <w:sz w:val="22"/>
                <w:szCs w:val="22"/>
                <w:lang w:val="en-US" w:eastAsia="en-US"/>
              </w:rPr>
              <w:t xml:space="preserve"> </w:t>
            </w:r>
            <w:proofErr w:type="spellStart"/>
            <w:r w:rsidRPr="00742407">
              <w:rPr>
                <w:b/>
                <w:sz w:val="22"/>
                <w:szCs w:val="22"/>
                <w:lang w:val="en-US" w:eastAsia="en-US"/>
              </w:rPr>
              <w:t>actuel</w:t>
            </w:r>
            <w:proofErr w:type="spellEnd"/>
            <w:r w:rsidRPr="00742407">
              <w:rPr>
                <w:b/>
                <w:sz w:val="22"/>
                <w:szCs w:val="22"/>
                <w:lang w:val="en-US" w:eastAsia="en-US"/>
              </w:rPr>
              <w:t xml:space="preserve"> de </w:t>
            </w:r>
            <w:proofErr w:type="spellStart"/>
            <w:r w:rsidRPr="00742407">
              <w:rPr>
                <w:b/>
                <w:sz w:val="22"/>
                <w:szCs w:val="22"/>
                <w:lang w:val="en-US" w:eastAsia="en-US"/>
              </w:rPr>
              <w:t>l’indicateur</w:t>
            </w:r>
            <w:proofErr w:type="spellEnd"/>
          </w:p>
        </w:tc>
        <w:tc>
          <w:tcPr>
            <w:tcW w:w="2468" w:type="dxa"/>
          </w:tcPr>
          <w:p w14:paraId="3C23F446" w14:textId="77777777" w:rsidR="009F32CC" w:rsidRPr="00742407" w:rsidRDefault="009F32CC" w:rsidP="00600939">
            <w:pPr>
              <w:jc w:val="center"/>
              <w:rPr>
                <w:b/>
                <w:lang w:val="fr-FR" w:eastAsia="en-US"/>
              </w:rPr>
            </w:pPr>
            <w:r w:rsidRPr="00742407">
              <w:rPr>
                <w:b/>
                <w:sz w:val="22"/>
                <w:szCs w:val="22"/>
                <w:lang w:val="fr-FR" w:eastAsia="en-US"/>
              </w:rPr>
              <w:t>Raisons pour les retards ou changements (s'il y en a)</w:t>
            </w:r>
          </w:p>
        </w:tc>
      </w:tr>
      <w:tr w:rsidR="009F32CC" w:rsidRPr="00742407" w14:paraId="4C323823" w14:textId="77777777" w:rsidTr="00600939">
        <w:trPr>
          <w:trHeight w:val="548"/>
        </w:trPr>
        <w:tc>
          <w:tcPr>
            <w:tcW w:w="1980" w:type="dxa"/>
            <w:shd w:val="clear" w:color="auto" w:fill="EEECE1"/>
          </w:tcPr>
          <w:p w14:paraId="35A15CDB"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1.3.1</w:t>
            </w:r>
          </w:p>
          <w:p w14:paraId="0A74106F"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21A721C2" w14:textId="3A0903CE" w:rsidR="009F32CC" w:rsidRPr="00742407" w:rsidRDefault="00F470D1" w:rsidP="00600939">
            <w:pPr>
              <w:autoSpaceDE w:val="0"/>
              <w:autoSpaceDN w:val="0"/>
              <w:adjustRightInd w:val="0"/>
              <w:rPr>
                <w:bCs/>
                <w:lang w:val="fr-FR"/>
              </w:rPr>
            </w:pPr>
            <w:r w:rsidRPr="00742407">
              <w:rPr>
                <w:bCs/>
                <w:lang w:val="fr-FR"/>
              </w:rPr>
              <w:t xml:space="preserve">Disponibilité d’étude sur les </w:t>
            </w:r>
            <w:r w:rsidR="00A73BEF">
              <w:rPr>
                <w:bCs/>
                <w:lang w:val="fr-FR"/>
              </w:rPr>
              <w:t>v</w:t>
            </w:r>
            <w:r w:rsidRPr="00742407">
              <w:rPr>
                <w:bCs/>
                <w:lang w:val="fr-FR"/>
              </w:rPr>
              <w:t xml:space="preserve">iolences </w:t>
            </w:r>
            <w:r w:rsidR="00A73BEF">
              <w:rPr>
                <w:bCs/>
                <w:lang w:val="fr-FR"/>
              </w:rPr>
              <w:t>b</w:t>
            </w:r>
            <w:r w:rsidRPr="00742407">
              <w:rPr>
                <w:bCs/>
                <w:lang w:val="fr-FR"/>
              </w:rPr>
              <w:t xml:space="preserve">asées sur le </w:t>
            </w:r>
            <w:r w:rsidR="00A73BEF">
              <w:rPr>
                <w:bCs/>
                <w:lang w:val="fr-FR"/>
              </w:rPr>
              <w:t>g</w:t>
            </w:r>
            <w:r w:rsidRPr="00742407">
              <w:rPr>
                <w:bCs/>
                <w:lang w:val="fr-FR"/>
              </w:rPr>
              <w:t>enre et autres crimes et violations, les vulnérabilités et la résilience des femmes victimes.</w:t>
            </w:r>
          </w:p>
        </w:tc>
        <w:tc>
          <w:tcPr>
            <w:tcW w:w="1440" w:type="dxa"/>
            <w:shd w:val="clear" w:color="auto" w:fill="EEECE1"/>
          </w:tcPr>
          <w:p w14:paraId="23C6C221" w14:textId="77777777" w:rsidR="009F32CC" w:rsidRPr="00742407" w:rsidRDefault="009F32CC"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0</w:t>
            </w:r>
          </w:p>
        </w:tc>
        <w:tc>
          <w:tcPr>
            <w:tcW w:w="1620" w:type="dxa"/>
          </w:tcPr>
          <w:p w14:paraId="1B123DBD" w14:textId="77777777" w:rsidR="009F32CC" w:rsidRPr="00742407" w:rsidRDefault="009F32CC"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1</w:t>
            </w:r>
          </w:p>
        </w:tc>
        <w:tc>
          <w:tcPr>
            <w:tcW w:w="2468" w:type="dxa"/>
          </w:tcPr>
          <w:p w14:paraId="25D735A8"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31E209D9" w14:textId="77777777" w:rsidTr="00600939">
        <w:trPr>
          <w:trHeight w:val="548"/>
        </w:trPr>
        <w:tc>
          <w:tcPr>
            <w:tcW w:w="1980" w:type="dxa"/>
            <w:shd w:val="clear" w:color="auto" w:fill="EEECE1"/>
          </w:tcPr>
          <w:p w14:paraId="3DA062D8"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1.3.2</w:t>
            </w:r>
          </w:p>
          <w:p w14:paraId="4CFCC0ED"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17821061" w14:textId="063E89B6" w:rsidR="009F32CC" w:rsidRPr="00742407" w:rsidRDefault="00F470D1" w:rsidP="00600939">
            <w:pPr>
              <w:pStyle w:val="Default"/>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Connaissance des facteurs et options de remédi</w:t>
            </w:r>
            <w:r w:rsidR="00A73BEF">
              <w:rPr>
                <w:rFonts w:ascii="Times New Roman" w:eastAsia="Times New Roman" w:hAnsi="Times New Roman" w:cs="Times New Roman"/>
                <w:bCs/>
                <w:color w:val="auto"/>
                <w:lang w:val="fr-FR" w:eastAsia="en-GB"/>
              </w:rPr>
              <w:t>ation</w:t>
            </w:r>
            <w:r w:rsidRPr="00742407">
              <w:rPr>
                <w:rFonts w:ascii="Times New Roman" w:eastAsia="Times New Roman" w:hAnsi="Times New Roman" w:cs="Times New Roman"/>
                <w:bCs/>
                <w:color w:val="auto"/>
                <w:lang w:val="fr-FR" w:eastAsia="en-GB"/>
              </w:rPr>
              <w:t xml:space="preserve"> aux obstacles </w:t>
            </w:r>
            <w:r w:rsidR="00AF1DA3" w:rsidRPr="00742407">
              <w:rPr>
                <w:rFonts w:ascii="Times New Roman" w:eastAsia="Times New Roman" w:hAnsi="Times New Roman" w:cs="Times New Roman"/>
                <w:bCs/>
                <w:color w:val="auto"/>
                <w:lang w:val="fr-FR" w:eastAsia="en-GB"/>
              </w:rPr>
              <w:t>de l’accès</w:t>
            </w:r>
            <w:r w:rsidRPr="00742407">
              <w:rPr>
                <w:rFonts w:ascii="Times New Roman" w:eastAsia="Times New Roman" w:hAnsi="Times New Roman" w:cs="Times New Roman"/>
                <w:bCs/>
                <w:color w:val="auto"/>
                <w:lang w:val="fr-FR" w:eastAsia="en-GB"/>
              </w:rPr>
              <w:t xml:space="preserve"> des femmes à la justice. </w:t>
            </w:r>
          </w:p>
        </w:tc>
        <w:tc>
          <w:tcPr>
            <w:tcW w:w="1440" w:type="dxa"/>
            <w:shd w:val="clear" w:color="auto" w:fill="EEECE1"/>
          </w:tcPr>
          <w:p w14:paraId="73BB0944" w14:textId="267621D3"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Oui</w:t>
            </w:r>
          </w:p>
        </w:tc>
        <w:tc>
          <w:tcPr>
            <w:tcW w:w="1620" w:type="dxa"/>
          </w:tcPr>
          <w:p w14:paraId="695F6019" w14:textId="024619D9" w:rsidR="009F32CC" w:rsidRPr="00742407" w:rsidRDefault="00F470D1" w:rsidP="00F470D1">
            <w:pPr>
              <w:pStyle w:val="Default"/>
              <w:jc w:val="center"/>
              <w:rPr>
                <w:rFonts w:ascii="Times New Roman" w:eastAsia="Times New Roman" w:hAnsi="Times New Roman" w:cs="Times New Roman"/>
                <w:bCs/>
                <w:color w:val="auto"/>
                <w:lang w:val="fr-FR" w:eastAsia="en-GB"/>
              </w:rPr>
            </w:pPr>
            <w:r w:rsidRPr="00742407">
              <w:rPr>
                <w:rFonts w:ascii="Times New Roman" w:eastAsia="Times New Roman" w:hAnsi="Times New Roman" w:cs="Times New Roman"/>
                <w:bCs/>
                <w:color w:val="auto"/>
                <w:lang w:val="fr-FR" w:eastAsia="en-GB"/>
              </w:rPr>
              <w:t>Oui</w:t>
            </w:r>
          </w:p>
        </w:tc>
        <w:tc>
          <w:tcPr>
            <w:tcW w:w="2468" w:type="dxa"/>
          </w:tcPr>
          <w:p w14:paraId="0AF69C97"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r w:rsidR="009F32CC" w:rsidRPr="00742407" w14:paraId="372788D1" w14:textId="77777777" w:rsidTr="00600939">
        <w:trPr>
          <w:trHeight w:val="548"/>
        </w:trPr>
        <w:tc>
          <w:tcPr>
            <w:tcW w:w="1980" w:type="dxa"/>
            <w:shd w:val="clear" w:color="auto" w:fill="EEECE1"/>
          </w:tcPr>
          <w:p w14:paraId="47A09E20" w14:textId="77777777" w:rsidR="009F32CC" w:rsidRPr="00742407" w:rsidRDefault="009F32CC" w:rsidP="00600939">
            <w:pPr>
              <w:jc w:val="both"/>
              <w:rPr>
                <w:lang w:val="en-US" w:eastAsia="en-US"/>
              </w:rPr>
            </w:pPr>
            <w:proofErr w:type="spellStart"/>
            <w:r w:rsidRPr="00742407">
              <w:rPr>
                <w:b/>
                <w:lang w:val="en-US" w:eastAsia="en-US"/>
              </w:rPr>
              <w:t>Indicateur</w:t>
            </w:r>
            <w:proofErr w:type="spellEnd"/>
            <w:r w:rsidRPr="00742407">
              <w:rPr>
                <w:lang w:val="en-US" w:eastAsia="en-US"/>
              </w:rPr>
              <w:t xml:space="preserve"> 1.3.3</w:t>
            </w:r>
          </w:p>
          <w:p w14:paraId="77DF18B9" w14:textId="77777777" w:rsidR="009F32CC" w:rsidRPr="00742407" w:rsidRDefault="009F32CC" w:rsidP="00600939">
            <w:pPr>
              <w:jc w:val="both"/>
              <w:rPr>
                <w:lang w:val="en-US" w:eastAsia="en-US"/>
              </w:rPr>
            </w:pPr>
            <w:r w:rsidRPr="00742407">
              <w:rPr>
                <w:b/>
                <w:lang w:val="en-US" w:eastAsia="en-US"/>
              </w:rPr>
              <w:fldChar w:fldCharType="begin">
                <w:ffData>
                  <w:name w:val=""/>
                  <w:enabled/>
                  <w:calcOnExit w:val="0"/>
                  <w:textInput>
                    <w:maxLength w:val="25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311" w:type="dxa"/>
            <w:shd w:val="clear" w:color="auto" w:fill="EEECE1"/>
          </w:tcPr>
          <w:p w14:paraId="44C46F03"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440" w:type="dxa"/>
            <w:shd w:val="clear" w:color="auto" w:fill="EEECE1"/>
          </w:tcPr>
          <w:p w14:paraId="3EE39F08"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1620" w:type="dxa"/>
          </w:tcPr>
          <w:p w14:paraId="3D58C0AF"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c>
          <w:tcPr>
            <w:tcW w:w="2468" w:type="dxa"/>
          </w:tcPr>
          <w:p w14:paraId="10E4DE0E" w14:textId="77777777" w:rsidR="009F32CC" w:rsidRPr="00742407" w:rsidRDefault="009F32CC" w:rsidP="00600939">
            <w:r w:rsidRPr="00742407">
              <w:rPr>
                <w:b/>
                <w:lang w:val="en-US" w:eastAsia="en-US"/>
              </w:rPr>
              <w:fldChar w:fldCharType="begin">
                <w:ffData>
                  <w:name w:val=""/>
                  <w:enabled/>
                  <w:calcOnExit w:val="0"/>
                  <w:textInput>
                    <w:maxLength w:val="300"/>
                  </w:textInput>
                </w:ffData>
              </w:fldChar>
            </w:r>
            <w:r w:rsidRPr="00742407">
              <w:rPr>
                <w:b/>
                <w:lang w:val="en-US" w:eastAsia="en-US"/>
              </w:rPr>
              <w:instrText xml:space="preserve"> FORMTEXT </w:instrText>
            </w:r>
            <w:r w:rsidRPr="00742407">
              <w:rPr>
                <w:b/>
                <w:lang w:val="en-US" w:eastAsia="en-US"/>
              </w:rPr>
            </w:r>
            <w:r w:rsidRPr="00742407">
              <w:rPr>
                <w:b/>
                <w:lang w:val="en-US" w:eastAsia="en-US"/>
              </w:rPr>
              <w:fldChar w:fldCharType="separate"/>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noProof/>
                <w:lang w:val="en-US" w:eastAsia="en-US"/>
              </w:rPr>
              <w:t> </w:t>
            </w:r>
            <w:r w:rsidRPr="00742407">
              <w:rPr>
                <w:b/>
                <w:lang w:val="en-US" w:eastAsia="en-US"/>
              </w:rPr>
              <w:fldChar w:fldCharType="end"/>
            </w:r>
          </w:p>
        </w:tc>
      </w:tr>
    </w:tbl>
    <w:p w14:paraId="02B88994" w14:textId="77777777" w:rsidR="009F32CC" w:rsidRPr="00742407" w:rsidRDefault="009F32CC" w:rsidP="009F32CC">
      <w:pPr>
        <w:ind w:left="-720"/>
        <w:rPr>
          <w:b/>
          <w:u w:val="single"/>
          <w:lang w:val="fr-FR"/>
        </w:rPr>
      </w:pPr>
    </w:p>
    <w:p w14:paraId="4531B0FF" w14:textId="77777777" w:rsidR="009F32CC" w:rsidRPr="00742407" w:rsidRDefault="009F32CC" w:rsidP="00141A6C">
      <w:pPr>
        <w:ind w:left="-720"/>
        <w:rPr>
          <w:b/>
          <w:u w:val="single"/>
          <w:lang w:val="fr-FR"/>
        </w:rPr>
      </w:pPr>
    </w:p>
    <w:p w14:paraId="2BBCA50A" w14:textId="77777777" w:rsidR="009F32CC" w:rsidRPr="00742407" w:rsidRDefault="009F32CC" w:rsidP="00141A6C">
      <w:pPr>
        <w:ind w:left="-720"/>
        <w:rPr>
          <w:b/>
          <w:u w:val="single"/>
          <w:lang w:val="fr-FR"/>
        </w:rPr>
      </w:pPr>
    </w:p>
    <w:p w14:paraId="4C969AAF" w14:textId="590D87D0" w:rsidR="009F10CD" w:rsidRPr="00742407" w:rsidRDefault="009F10CD" w:rsidP="00770CBF">
      <w:pPr>
        <w:ind w:left="-720"/>
        <w:jc w:val="center"/>
        <w:rPr>
          <w:b/>
          <w:color w:val="FF0000"/>
          <w:u w:val="single"/>
          <w:lang w:val="fr-FR"/>
        </w:rPr>
      </w:pPr>
      <w:r w:rsidRPr="00742407">
        <w:rPr>
          <w:b/>
          <w:color w:val="FF0000"/>
          <w:u w:val="single"/>
          <w:lang w:val="fr-FR"/>
        </w:rPr>
        <w:t xml:space="preserve">Merci de </w:t>
      </w:r>
      <w:r w:rsidR="00D343F2" w:rsidRPr="00742407">
        <w:rPr>
          <w:b/>
          <w:color w:val="FF0000"/>
          <w:u w:val="single"/>
          <w:lang w:val="fr-FR"/>
        </w:rPr>
        <w:t xml:space="preserve">reproduire le rapport détaillé pour chacun des résultats et </w:t>
      </w:r>
      <w:r w:rsidR="00770CBF" w:rsidRPr="00742407">
        <w:rPr>
          <w:b/>
          <w:color w:val="FF0000"/>
          <w:u w:val="single"/>
          <w:lang w:val="fr-FR"/>
        </w:rPr>
        <w:t>les produits qui y sont associés</w:t>
      </w:r>
    </w:p>
    <w:p w14:paraId="003F0096" w14:textId="77777777" w:rsidR="009F10CD" w:rsidRPr="00742407" w:rsidRDefault="009F10CD" w:rsidP="00675507">
      <w:pPr>
        <w:ind w:left="-720"/>
        <w:rPr>
          <w:b/>
          <w:u w:val="single"/>
          <w:lang w:val="fr-FR"/>
        </w:rPr>
      </w:pPr>
    </w:p>
    <w:p w14:paraId="1E3BBD84" w14:textId="77777777" w:rsidR="00E36380" w:rsidRPr="00742407" w:rsidRDefault="00E36380" w:rsidP="00E36380">
      <w:pPr>
        <w:rPr>
          <w:b/>
          <w:u w:val="single"/>
          <w:lang w:val="fr-FR"/>
        </w:rPr>
      </w:pPr>
    </w:p>
    <w:p w14:paraId="28DE425A" w14:textId="42825D22" w:rsidR="00117EE7" w:rsidRPr="00742407" w:rsidRDefault="00495C66" w:rsidP="00E36380">
      <w:pPr>
        <w:rPr>
          <w:b/>
          <w:lang w:val="fr-FR"/>
        </w:rPr>
      </w:pPr>
      <w:r w:rsidRPr="00742407">
        <w:rPr>
          <w:b/>
          <w:u w:val="single"/>
          <w:lang w:val="fr-FR"/>
        </w:rPr>
        <w:t xml:space="preserve">PARTIE </w:t>
      </w:r>
      <w:proofErr w:type="gramStart"/>
      <w:r w:rsidRPr="00742407">
        <w:rPr>
          <w:b/>
          <w:u w:val="single"/>
          <w:lang w:val="fr-FR"/>
        </w:rPr>
        <w:t>III:</w:t>
      </w:r>
      <w:proofErr w:type="gramEnd"/>
      <w:r w:rsidRPr="00742407">
        <w:rPr>
          <w:b/>
          <w:u w:val="single"/>
          <w:lang w:val="fr-FR"/>
        </w:rPr>
        <w:t xml:space="preserve"> QUESTIONS TRANSVERSALES</w:t>
      </w:r>
    </w:p>
    <w:p w14:paraId="64238B62" w14:textId="42A71421" w:rsidR="00D44EA3" w:rsidRPr="00742407" w:rsidRDefault="00D44EA3" w:rsidP="00996479">
      <w:pPr>
        <w:ind w:left="-180"/>
        <w:rPr>
          <w:b/>
          <w:lang w:val="fr-FR"/>
        </w:rPr>
      </w:pPr>
    </w:p>
    <w:p w14:paraId="306D218B" w14:textId="7502CD8F" w:rsidR="00D44EA3" w:rsidRPr="00742407" w:rsidRDefault="00940F1B" w:rsidP="00996479">
      <w:pPr>
        <w:ind w:left="-180"/>
        <w:rPr>
          <w:bCs/>
          <w:lang w:val="fr-FR"/>
        </w:rPr>
      </w:pPr>
      <w:r w:rsidRPr="00742407">
        <w:rPr>
          <w:bCs/>
          <w:lang w:val="fr-FR"/>
        </w:rPr>
        <w:t xml:space="preserve">Le projet prévoit-il d'organiser des </w:t>
      </w:r>
      <w:r w:rsidR="00742407" w:rsidRPr="00742407">
        <w:rPr>
          <w:bCs/>
          <w:lang w:val="fr-FR"/>
        </w:rPr>
        <w:t>événements au</w:t>
      </w:r>
      <w:r w:rsidRPr="00742407">
        <w:rPr>
          <w:bCs/>
          <w:lang w:val="fr-FR"/>
        </w:rPr>
        <w:t xml:space="preserve"> cours des six prochains mois, par exemple : les dialogues nationaux, les congrès des jeunes, les projections de films </w:t>
      </w:r>
      <w:r w:rsidR="00D44EA3" w:rsidRPr="00742407">
        <w:rPr>
          <w:bCs/>
        </w:rPr>
        <w:fldChar w:fldCharType="begin">
          <w:ffData>
            <w:name w:val="Text98"/>
            <w:enabled/>
            <w:calcOnExit w:val="0"/>
            <w:textInput/>
          </w:ffData>
        </w:fldChar>
      </w:r>
      <w:bookmarkStart w:id="16" w:name="Text98"/>
      <w:r w:rsidR="00D44EA3" w:rsidRPr="00742407">
        <w:rPr>
          <w:bCs/>
          <w:lang w:val="fr-FR"/>
        </w:rPr>
        <w:instrText xml:space="preserve"> FORMTEXT </w:instrText>
      </w:r>
      <w:r w:rsidR="00D44EA3" w:rsidRPr="00742407">
        <w:rPr>
          <w:bCs/>
        </w:rPr>
      </w:r>
      <w:r w:rsidR="00D44EA3" w:rsidRPr="00742407">
        <w:rPr>
          <w:bCs/>
        </w:rPr>
        <w:fldChar w:fldCharType="separate"/>
      </w:r>
      <w:r w:rsidR="00D44EA3" w:rsidRPr="00742407">
        <w:rPr>
          <w:bCs/>
          <w:noProof/>
        </w:rPr>
        <w:t> </w:t>
      </w:r>
      <w:r w:rsidR="00742407" w:rsidRPr="00742407">
        <w:rPr>
          <w:bCs/>
          <w:noProof/>
          <w:lang w:val="fr-FR"/>
        </w:rPr>
        <w:t>No</w:t>
      </w:r>
      <w:r w:rsidR="00742407">
        <w:rPr>
          <w:bCs/>
          <w:noProof/>
          <w:lang w:val="fr-FR"/>
        </w:rPr>
        <w:t>n</w:t>
      </w:r>
      <w:r w:rsidR="00D44EA3" w:rsidRPr="00742407">
        <w:rPr>
          <w:bCs/>
          <w:noProof/>
        </w:rPr>
        <w:t> </w:t>
      </w:r>
      <w:r w:rsidR="00D44EA3" w:rsidRPr="00742407">
        <w:rPr>
          <w:bCs/>
          <w:noProof/>
        </w:rPr>
        <w:t> </w:t>
      </w:r>
      <w:r w:rsidR="00D44EA3" w:rsidRPr="00742407">
        <w:rPr>
          <w:bCs/>
          <w:noProof/>
        </w:rPr>
        <w:t> </w:t>
      </w:r>
      <w:r w:rsidR="00D44EA3" w:rsidRPr="00742407">
        <w:rPr>
          <w:bCs/>
          <w:noProof/>
        </w:rPr>
        <w:t> </w:t>
      </w:r>
      <w:r w:rsidR="00D44EA3" w:rsidRPr="00742407">
        <w:rPr>
          <w:bCs/>
        </w:rPr>
        <w:fldChar w:fldCharType="end"/>
      </w:r>
      <w:bookmarkEnd w:id="16"/>
    </w:p>
    <w:p w14:paraId="27BAE784" w14:textId="77777777" w:rsidR="00D44EA3" w:rsidRPr="00742407" w:rsidRDefault="00D44EA3" w:rsidP="00996479">
      <w:pPr>
        <w:ind w:left="-180"/>
        <w:rPr>
          <w:bCs/>
          <w:lang w:val="fr-FR"/>
        </w:rPr>
      </w:pPr>
    </w:p>
    <w:p w14:paraId="5458C360" w14:textId="722E978D" w:rsidR="00D44EA3" w:rsidRPr="00742407" w:rsidRDefault="005732A1" w:rsidP="00996479">
      <w:pPr>
        <w:ind w:left="-180"/>
        <w:rPr>
          <w:b/>
          <w:u w:val="single"/>
          <w:lang w:val="fr-FR"/>
        </w:rPr>
      </w:pPr>
      <w:r w:rsidRPr="00742407">
        <w:rPr>
          <w:bCs/>
          <w:lang w:val="fr-FR"/>
        </w:rPr>
        <w:t xml:space="preserve">Si oui, indiquez combien d'événements, et pour chacun, la date approximative et une </w:t>
      </w:r>
      <w:r w:rsidR="00996479" w:rsidRPr="00742407">
        <w:rPr>
          <w:bCs/>
          <w:lang w:val="fr-FR"/>
        </w:rPr>
        <w:t>brève</w:t>
      </w:r>
      <w:r w:rsidRPr="00742407">
        <w:rPr>
          <w:bCs/>
          <w:lang w:val="fr-FR"/>
        </w:rPr>
        <w:t xml:space="preserve"> description, incluant les objectifs, l'audience cible et le lieu (si connu)</w:t>
      </w:r>
    </w:p>
    <w:tbl>
      <w:tblPr>
        <w:tblStyle w:val="Grilledutableau"/>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742407" w14:paraId="7C13AC41" w14:textId="77777777" w:rsidTr="00996479">
        <w:tc>
          <w:tcPr>
            <w:tcW w:w="1530" w:type="dxa"/>
          </w:tcPr>
          <w:p w14:paraId="6C4C1DAD" w14:textId="00D0D1F9" w:rsidR="00D44EA3" w:rsidRPr="00742407" w:rsidRDefault="00B524EE" w:rsidP="00644A01">
            <w:pPr>
              <w:rPr>
                <w:b/>
                <w:i/>
                <w:iCs/>
                <w:sz w:val="22"/>
                <w:szCs w:val="22"/>
              </w:rPr>
            </w:pPr>
            <w:r w:rsidRPr="00742407">
              <w:rPr>
                <w:b/>
                <w:i/>
                <w:iCs/>
                <w:sz w:val="22"/>
                <w:szCs w:val="22"/>
              </w:rPr>
              <w:t xml:space="preserve">Titre de </w:t>
            </w:r>
            <w:proofErr w:type="spellStart"/>
            <w:r w:rsidRPr="00742407">
              <w:rPr>
                <w:b/>
                <w:i/>
                <w:iCs/>
                <w:sz w:val="22"/>
                <w:szCs w:val="22"/>
              </w:rPr>
              <w:t>l'événement</w:t>
            </w:r>
            <w:proofErr w:type="spellEnd"/>
          </w:p>
        </w:tc>
        <w:tc>
          <w:tcPr>
            <w:tcW w:w="1800" w:type="dxa"/>
          </w:tcPr>
          <w:p w14:paraId="3F1B73F4" w14:textId="4569DBAB" w:rsidR="00D44EA3" w:rsidRPr="00742407" w:rsidRDefault="007F6A18" w:rsidP="00644A01">
            <w:pPr>
              <w:rPr>
                <w:b/>
                <w:i/>
                <w:iCs/>
                <w:sz w:val="22"/>
                <w:szCs w:val="22"/>
              </w:rPr>
            </w:pPr>
            <w:r w:rsidRPr="00742407">
              <w:rPr>
                <w:b/>
                <w:i/>
                <w:iCs/>
                <w:sz w:val="22"/>
                <w:szCs w:val="22"/>
              </w:rPr>
              <w:t>Date (</w:t>
            </w:r>
            <w:proofErr w:type="spellStart"/>
            <w:r w:rsidRPr="00742407">
              <w:rPr>
                <w:b/>
                <w:i/>
                <w:iCs/>
                <w:sz w:val="22"/>
                <w:szCs w:val="22"/>
              </w:rPr>
              <w:t>peut</w:t>
            </w:r>
            <w:proofErr w:type="spellEnd"/>
            <w:r w:rsidRPr="00742407">
              <w:rPr>
                <w:b/>
                <w:i/>
                <w:iCs/>
                <w:sz w:val="22"/>
                <w:szCs w:val="22"/>
              </w:rPr>
              <w:t xml:space="preserve"> </w:t>
            </w:r>
            <w:proofErr w:type="spellStart"/>
            <w:r w:rsidR="006E7C1C" w:rsidRPr="00742407">
              <w:rPr>
                <w:b/>
                <w:i/>
                <w:iCs/>
                <w:sz w:val="22"/>
                <w:szCs w:val="22"/>
              </w:rPr>
              <w:t>ê</w:t>
            </w:r>
            <w:r w:rsidRPr="00742407">
              <w:rPr>
                <w:b/>
                <w:i/>
                <w:iCs/>
                <w:sz w:val="22"/>
                <w:szCs w:val="22"/>
              </w:rPr>
              <w:t>tre</w:t>
            </w:r>
            <w:proofErr w:type="spellEnd"/>
            <w:r w:rsidRPr="00742407">
              <w:rPr>
                <w:b/>
                <w:i/>
                <w:iCs/>
                <w:sz w:val="22"/>
                <w:szCs w:val="22"/>
              </w:rPr>
              <w:t xml:space="preserve"> approximative)</w:t>
            </w:r>
          </w:p>
        </w:tc>
        <w:tc>
          <w:tcPr>
            <w:tcW w:w="1440" w:type="dxa"/>
          </w:tcPr>
          <w:p w14:paraId="738540E6" w14:textId="77777777" w:rsidR="00996479" w:rsidRPr="00742407" w:rsidRDefault="002A4F7C" w:rsidP="00644A01">
            <w:pPr>
              <w:rPr>
                <w:b/>
                <w:i/>
                <w:iCs/>
                <w:sz w:val="22"/>
                <w:szCs w:val="22"/>
              </w:rPr>
            </w:pPr>
            <w:r w:rsidRPr="00742407">
              <w:rPr>
                <w:b/>
                <w:i/>
                <w:iCs/>
                <w:sz w:val="22"/>
                <w:szCs w:val="22"/>
              </w:rPr>
              <w:t xml:space="preserve">Lieu </w:t>
            </w:r>
          </w:p>
          <w:p w14:paraId="1B3C2618" w14:textId="50449E99" w:rsidR="00D44EA3" w:rsidRPr="00742407" w:rsidRDefault="002A4F7C" w:rsidP="00644A01">
            <w:pPr>
              <w:rPr>
                <w:b/>
                <w:i/>
                <w:iCs/>
                <w:sz w:val="22"/>
                <w:szCs w:val="22"/>
              </w:rPr>
            </w:pPr>
            <w:r w:rsidRPr="00742407">
              <w:rPr>
                <w:b/>
                <w:i/>
                <w:iCs/>
                <w:sz w:val="22"/>
                <w:szCs w:val="22"/>
              </w:rPr>
              <w:t xml:space="preserve">(Si </w:t>
            </w:r>
            <w:proofErr w:type="spellStart"/>
            <w:r w:rsidRPr="00742407">
              <w:rPr>
                <w:b/>
                <w:i/>
                <w:iCs/>
                <w:sz w:val="22"/>
                <w:szCs w:val="22"/>
              </w:rPr>
              <w:t>connu</w:t>
            </w:r>
            <w:proofErr w:type="spellEnd"/>
            <w:r w:rsidRPr="00742407">
              <w:rPr>
                <w:b/>
                <w:i/>
                <w:iCs/>
                <w:sz w:val="22"/>
                <w:szCs w:val="22"/>
              </w:rPr>
              <w:t>)</w:t>
            </w:r>
          </w:p>
        </w:tc>
        <w:tc>
          <w:tcPr>
            <w:tcW w:w="1584" w:type="dxa"/>
          </w:tcPr>
          <w:p w14:paraId="6D8E2103" w14:textId="650859E8" w:rsidR="00D44EA3" w:rsidRPr="00742407" w:rsidRDefault="000F19E8" w:rsidP="00644A01">
            <w:pPr>
              <w:rPr>
                <w:b/>
                <w:i/>
                <w:iCs/>
                <w:sz w:val="22"/>
                <w:szCs w:val="22"/>
              </w:rPr>
            </w:pPr>
            <w:r w:rsidRPr="00742407">
              <w:rPr>
                <w:b/>
                <w:i/>
                <w:iCs/>
                <w:sz w:val="22"/>
                <w:szCs w:val="22"/>
              </w:rPr>
              <w:t xml:space="preserve">Audience </w:t>
            </w:r>
            <w:proofErr w:type="spellStart"/>
            <w:r w:rsidRPr="00742407">
              <w:rPr>
                <w:b/>
                <w:i/>
                <w:iCs/>
                <w:sz w:val="22"/>
                <w:szCs w:val="22"/>
              </w:rPr>
              <w:t>Cible</w:t>
            </w:r>
            <w:proofErr w:type="spellEnd"/>
          </w:p>
        </w:tc>
        <w:tc>
          <w:tcPr>
            <w:tcW w:w="2826" w:type="dxa"/>
          </w:tcPr>
          <w:p w14:paraId="00955612" w14:textId="1F47EE05" w:rsidR="00D44EA3" w:rsidRPr="00742407" w:rsidRDefault="00AE00A9" w:rsidP="00644A01">
            <w:pPr>
              <w:rPr>
                <w:b/>
                <w:i/>
                <w:iCs/>
                <w:sz w:val="22"/>
                <w:szCs w:val="22"/>
              </w:rPr>
            </w:pPr>
            <w:proofErr w:type="spellStart"/>
            <w:r w:rsidRPr="00742407">
              <w:rPr>
                <w:b/>
                <w:i/>
                <w:iCs/>
                <w:sz w:val="22"/>
                <w:szCs w:val="22"/>
              </w:rPr>
              <w:t>Objectifs</w:t>
            </w:r>
            <w:proofErr w:type="spellEnd"/>
            <w:r w:rsidRPr="00742407">
              <w:rPr>
                <w:b/>
                <w:i/>
                <w:iCs/>
                <w:sz w:val="22"/>
                <w:szCs w:val="22"/>
              </w:rPr>
              <w:t xml:space="preserve"> </w:t>
            </w:r>
            <w:r w:rsidR="00D44EA3" w:rsidRPr="00742407">
              <w:rPr>
                <w:b/>
                <w:i/>
                <w:iCs/>
                <w:sz w:val="22"/>
                <w:szCs w:val="22"/>
              </w:rPr>
              <w:t xml:space="preserve">(150 </w:t>
            </w:r>
            <w:r w:rsidRPr="00742407">
              <w:rPr>
                <w:b/>
                <w:i/>
                <w:iCs/>
                <w:sz w:val="22"/>
                <w:szCs w:val="22"/>
              </w:rPr>
              <w:t>mots max.</w:t>
            </w:r>
            <w:r w:rsidR="00D44EA3" w:rsidRPr="00742407">
              <w:rPr>
                <w:b/>
                <w:i/>
                <w:iCs/>
                <w:sz w:val="22"/>
                <w:szCs w:val="22"/>
              </w:rPr>
              <w:t>)</w:t>
            </w:r>
          </w:p>
        </w:tc>
      </w:tr>
      <w:tr w:rsidR="00D44EA3" w:rsidRPr="00742407" w14:paraId="04C16C75" w14:textId="77777777" w:rsidTr="00996479">
        <w:trPr>
          <w:trHeight w:val="567"/>
        </w:trPr>
        <w:tc>
          <w:tcPr>
            <w:tcW w:w="1530" w:type="dxa"/>
            <w:vAlign w:val="center"/>
          </w:tcPr>
          <w:p w14:paraId="19C430E7" w14:textId="77777777" w:rsidR="00D44EA3" w:rsidRPr="00742407" w:rsidRDefault="00D44EA3" w:rsidP="00644A01">
            <w:pPr>
              <w:rPr>
                <w:bCs/>
              </w:rPr>
            </w:pPr>
            <w:r w:rsidRPr="00742407">
              <w:rPr>
                <w:bCs/>
              </w:rPr>
              <w:fldChar w:fldCharType="begin">
                <w:ffData>
                  <w:name w:val="Text99"/>
                  <w:enabled/>
                  <w:calcOnExit w:val="0"/>
                  <w:textInput/>
                </w:ffData>
              </w:fldChar>
            </w:r>
            <w:bookmarkStart w:id="17" w:name="Text99"/>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17"/>
          </w:p>
        </w:tc>
        <w:tc>
          <w:tcPr>
            <w:tcW w:w="1800" w:type="dxa"/>
            <w:vAlign w:val="center"/>
          </w:tcPr>
          <w:p w14:paraId="1694D387" w14:textId="77777777" w:rsidR="00D44EA3" w:rsidRPr="00742407" w:rsidRDefault="00D44EA3" w:rsidP="00644A01">
            <w:pPr>
              <w:rPr>
                <w:bCs/>
              </w:rPr>
            </w:pPr>
            <w:r w:rsidRPr="00742407">
              <w:rPr>
                <w:bCs/>
              </w:rPr>
              <w:fldChar w:fldCharType="begin">
                <w:ffData>
                  <w:name w:val="Text102"/>
                  <w:enabled/>
                  <w:calcOnExit w:val="0"/>
                  <w:textInput/>
                </w:ffData>
              </w:fldChar>
            </w:r>
            <w:bookmarkStart w:id="18" w:name="Text102"/>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18"/>
          </w:p>
        </w:tc>
        <w:tc>
          <w:tcPr>
            <w:tcW w:w="1440" w:type="dxa"/>
            <w:vAlign w:val="center"/>
          </w:tcPr>
          <w:p w14:paraId="6683B210" w14:textId="77777777" w:rsidR="00D44EA3" w:rsidRPr="00742407" w:rsidRDefault="00D44EA3" w:rsidP="00644A01">
            <w:pPr>
              <w:rPr>
                <w:bCs/>
              </w:rPr>
            </w:pPr>
            <w:r w:rsidRPr="00742407">
              <w:rPr>
                <w:bCs/>
              </w:rPr>
              <w:fldChar w:fldCharType="begin">
                <w:ffData>
                  <w:name w:val="Text103"/>
                  <w:enabled/>
                  <w:calcOnExit w:val="0"/>
                  <w:textInput/>
                </w:ffData>
              </w:fldChar>
            </w:r>
            <w:bookmarkStart w:id="19" w:name="Text103"/>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19"/>
          </w:p>
        </w:tc>
        <w:tc>
          <w:tcPr>
            <w:tcW w:w="1584" w:type="dxa"/>
            <w:vAlign w:val="center"/>
          </w:tcPr>
          <w:p w14:paraId="65530FB7" w14:textId="77777777" w:rsidR="00D44EA3" w:rsidRPr="00742407" w:rsidRDefault="00D44EA3" w:rsidP="00644A01">
            <w:pPr>
              <w:rPr>
                <w:bCs/>
              </w:rPr>
            </w:pPr>
            <w:r w:rsidRPr="00742407">
              <w:rPr>
                <w:bCs/>
              </w:rPr>
              <w:fldChar w:fldCharType="begin">
                <w:ffData>
                  <w:name w:val="Text104"/>
                  <w:enabled/>
                  <w:calcOnExit w:val="0"/>
                  <w:textInput/>
                </w:ffData>
              </w:fldChar>
            </w:r>
            <w:bookmarkStart w:id="20" w:name="Text104"/>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0"/>
          </w:p>
        </w:tc>
        <w:tc>
          <w:tcPr>
            <w:tcW w:w="2826" w:type="dxa"/>
            <w:vAlign w:val="center"/>
          </w:tcPr>
          <w:p w14:paraId="3E8EBBA5" w14:textId="77777777" w:rsidR="00D44EA3" w:rsidRPr="00742407" w:rsidRDefault="00D44EA3" w:rsidP="00644A01">
            <w:pPr>
              <w:rPr>
                <w:bCs/>
              </w:rPr>
            </w:pPr>
            <w:r w:rsidRPr="00742407">
              <w:rPr>
                <w:bCs/>
              </w:rPr>
              <w:fldChar w:fldCharType="begin">
                <w:ffData>
                  <w:name w:val="Text105"/>
                  <w:enabled/>
                  <w:calcOnExit w:val="0"/>
                  <w:textInput/>
                </w:ffData>
              </w:fldChar>
            </w:r>
            <w:bookmarkStart w:id="21" w:name="Text105"/>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1"/>
          </w:p>
        </w:tc>
      </w:tr>
      <w:tr w:rsidR="00D44EA3" w:rsidRPr="00742407" w14:paraId="68BE7F9E" w14:textId="77777777" w:rsidTr="00996479">
        <w:trPr>
          <w:trHeight w:val="567"/>
        </w:trPr>
        <w:tc>
          <w:tcPr>
            <w:tcW w:w="1530" w:type="dxa"/>
            <w:vAlign w:val="center"/>
          </w:tcPr>
          <w:p w14:paraId="0B6A6ADF" w14:textId="77777777" w:rsidR="00D44EA3" w:rsidRPr="00742407" w:rsidRDefault="00D44EA3" w:rsidP="00644A01">
            <w:pPr>
              <w:rPr>
                <w:bCs/>
              </w:rPr>
            </w:pPr>
            <w:r w:rsidRPr="00742407">
              <w:rPr>
                <w:bCs/>
              </w:rPr>
              <w:fldChar w:fldCharType="begin">
                <w:ffData>
                  <w:name w:val="Text100"/>
                  <w:enabled/>
                  <w:calcOnExit w:val="0"/>
                  <w:textInput/>
                </w:ffData>
              </w:fldChar>
            </w:r>
            <w:bookmarkStart w:id="22" w:name="Text100"/>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2"/>
          </w:p>
        </w:tc>
        <w:tc>
          <w:tcPr>
            <w:tcW w:w="1800" w:type="dxa"/>
            <w:vAlign w:val="center"/>
          </w:tcPr>
          <w:p w14:paraId="0C92A07E" w14:textId="77777777" w:rsidR="00D44EA3" w:rsidRPr="00742407" w:rsidRDefault="00D44EA3" w:rsidP="00644A01">
            <w:pPr>
              <w:rPr>
                <w:bCs/>
              </w:rPr>
            </w:pPr>
            <w:r w:rsidRPr="00742407">
              <w:rPr>
                <w:bCs/>
              </w:rPr>
              <w:fldChar w:fldCharType="begin">
                <w:ffData>
                  <w:name w:val="Text106"/>
                  <w:enabled/>
                  <w:calcOnExit w:val="0"/>
                  <w:textInput/>
                </w:ffData>
              </w:fldChar>
            </w:r>
            <w:bookmarkStart w:id="23" w:name="Text106"/>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3"/>
          </w:p>
        </w:tc>
        <w:tc>
          <w:tcPr>
            <w:tcW w:w="1440" w:type="dxa"/>
            <w:vAlign w:val="center"/>
          </w:tcPr>
          <w:p w14:paraId="7023AD14" w14:textId="77777777" w:rsidR="00D44EA3" w:rsidRPr="00742407" w:rsidRDefault="00D44EA3" w:rsidP="00644A01">
            <w:pPr>
              <w:rPr>
                <w:bCs/>
              </w:rPr>
            </w:pPr>
            <w:r w:rsidRPr="00742407">
              <w:rPr>
                <w:bCs/>
              </w:rPr>
              <w:fldChar w:fldCharType="begin">
                <w:ffData>
                  <w:name w:val="Text108"/>
                  <w:enabled/>
                  <w:calcOnExit w:val="0"/>
                  <w:textInput/>
                </w:ffData>
              </w:fldChar>
            </w:r>
            <w:bookmarkStart w:id="24" w:name="Text108"/>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4"/>
          </w:p>
        </w:tc>
        <w:tc>
          <w:tcPr>
            <w:tcW w:w="1584" w:type="dxa"/>
            <w:vAlign w:val="center"/>
          </w:tcPr>
          <w:p w14:paraId="23B3D805" w14:textId="77777777" w:rsidR="00D44EA3" w:rsidRPr="00742407" w:rsidRDefault="00D44EA3" w:rsidP="00644A01">
            <w:pPr>
              <w:rPr>
                <w:bCs/>
              </w:rPr>
            </w:pPr>
            <w:r w:rsidRPr="00742407">
              <w:rPr>
                <w:bCs/>
              </w:rPr>
              <w:fldChar w:fldCharType="begin">
                <w:ffData>
                  <w:name w:val="Text109"/>
                  <w:enabled/>
                  <w:calcOnExit w:val="0"/>
                  <w:textInput/>
                </w:ffData>
              </w:fldChar>
            </w:r>
            <w:bookmarkStart w:id="25" w:name="Text109"/>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5"/>
          </w:p>
        </w:tc>
        <w:tc>
          <w:tcPr>
            <w:tcW w:w="2826" w:type="dxa"/>
            <w:vAlign w:val="center"/>
          </w:tcPr>
          <w:p w14:paraId="4573061E" w14:textId="77777777" w:rsidR="00D44EA3" w:rsidRPr="00742407" w:rsidRDefault="00D44EA3" w:rsidP="00644A01">
            <w:pPr>
              <w:rPr>
                <w:bCs/>
              </w:rPr>
            </w:pPr>
            <w:r w:rsidRPr="00742407">
              <w:rPr>
                <w:bCs/>
              </w:rPr>
              <w:fldChar w:fldCharType="begin">
                <w:ffData>
                  <w:name w:val="Text110"/>
                  <w:enabled/>
                  <w:calcOnExit w:val="0"/>
                  <w:textInput/>
                </w:ffData>
              </w:fldChar>
            </w:r>
            <w:bookmarkStart w:id="26" w:name="Text110"/>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6"/>
          </w:p>
        </w:tc>
      </w:tr>
      <w:tr w:rsidR="00D44EA3" w:rsidRPr="00742407" w14:paraId="2A03D22D" w14:textId="77777777" w:rsidTr="00996479">
        <w:trPr>
          <w:trHeight w:val="567"/>
        </w:trPr>
        <w:tc>
          <w:tcPr>
            <w:tcW w:w="1530" w:type="dxa"/>
            <w:vAlign w:val="center"/>
          </w:tcPr>
          <w:p w14:paraId="6F32BE9E" w14:textId="77777777" w:rsidR="00D44EA3" w:rsidRPr="00742407" w:rsidRDefault="00D44EA3" w:rsidP="00644A01">
            <w:pPr>
              <w:rPr>
                <w:bCs/>
              </w:rPr>
            </w:pPr>
            <w:r w:rsidRPr="00742407">
              <w:rPr>
                <w:bCs/>
              </w:rPr>
              <w:fldChar w:fldCharType="begin">
                <w:ffData>
                  <w:name w:val="Text101"/>
                  <w:enabled/>
                  <w:calcOnExit w:val="0"/>
                  <w:textInput/>
                </w:ffData>
              </w:fldChar>
            </w:r>
            <w:bookmarkStart w:id="27" w:name="Text101"/>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7"/>
          </w:p>
        </w:tc>
        <w:tc>
          <w:tcPr>
            <w:tcW w:w="1800" w:type="dxa"/>
            <w:vAlign w:val="center"/>
          </w:tcPr>
          <w:p w14:paraId="08C794A9" w14:textId="77777777" w:rsidR="00D44EA3" w:rsidRPr="00742407" w:rsidRDefault="00D44EA3" w:rsidP="00644A01">
            <w:pPr>
              <w:rPr>
                <w:bCs/>
              </w:rPr>
            </w:pPr>
            <w:r w:rsidRPr="00742407">
              <w:rPr>
                <w:bCs/>
              </w:rPr>
              <w:fldChar w:fldCharType="begin">
                <w:ffData>
                  <w:name w:val="Text107"/>
                  <w:enabled/>
                  <w:calcOnExit w:val="0"/>
                  <w:textInput/>
                </w:ffData>
              </w:fldChar>
            </w:r>
            <w:bookmarkStart w:id="28" w:name="Text107"/>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8"/>
          </w:p>
        </w:tc>
        <w:tc>
          <w:tcPr>
            <w:tcW w:w="1440" w:type="dxa"/>
            <w:vAlign w:val="center"/>
          </w:tcPr>
          <w:p w14:paraId="6B9EC22D" w14:textId="77777777" w:rsidR="00D44EA3" w:rsidRPr="00742407" w:rsidRDefault="00D44EA3" w:rsidP="00644A01">
            <w:pPr>
              <w:rPr>
                <w:bCs/>
              </w:rPr>
            </w:pPr>
            <w:r w:rsidRPr="00742407">
              <w:rPr>
                <w:bCs/>
              </w:rPr>
              <w:fldChar w:fldCharType="begin">
                <w:ffData>
                  <w:name w:val="Text111"/>
                  <w:enabled/>
                  <w:calcOnExit w:val="0"/>
                  <w:textInput/>
                </w:ffData>
              </w:fldChar>
            </w:r>
            <w:bookmarkStart w:id="29" w:name="Text111"/>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29"/>
          </w:p>
        </w:tc>
        <w:tc>
          <w:tcPr>
            <w:tcW w:w="1584" w:type="dxa"/>
            <w:vAlign w:val="center"/>
          </w:tcPr>
          <w:p w14:paraId="448C2DAF" w14:textId="77777777" w:rsidR="00D44EA3" w:rsidRPr="00742407" w:rsidRDefault="00D44EA3" w:rsidP="00644A01">
            <w:pPr>
              <w:rPr>
                <w:bCs/>
              </w:rPr>
            </w:pPr>
            <w:r w:rsidRPr="00742407">
              <w:rPr>
                <w:bCs/>
              </w:rPr>
              <w:fldChar w:fldCharType="begin">
                <w:ffData>
                  <w:name w:val="Text112"/>
                  <w:enabled/>
                  <w:calcOnExit w:val="0"/>
                  <w:textInput/>
                </w:ffData>
              </w:fldChar>
            </w:r>
            <w:bookmarkStart w:id="30" w:name="Text112"/>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0"/>
          </w:p>
        </w:tc>
        <w:tc>
          <w:tcPr>
            <w:tcW w:w="2826" w:type="dxa"/>
            <w:vAlign w:val="center"/>
          </w:tcPr>
          <w:p w14:paraId="50C17DCC" w14:textId="77777777" w:rsidR="00D44EA3" w:rsidRPr="00742407" w:rsidRDefault="00D44EA3" w:rsidP="00644A01">
            <w:pPr>
              <w:rPr>
                <w:bCs/>
              </w:rPr>
            </w:pPr>
            <w:r w:rsidRPr="00742407">
              <w:rPr>
                <w:bCs/>
              </w:rPr>
              <w:fldChar w:fldCharType="begin">
                <w:ffData>
                  <w:name w:val="Text113"/>
                  <w:enabled/>
                  <w:calcOnExit w:val="0"/>
                  <w:textInput/>
                </w:ffData>
              </w:fldChar>
            </w:r>
            <w:bookmarkStart w:id="31" w:name="Text113"/>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1"/>
          </w:p>
        </w:tc>
      </w:tr>
      <w:tr w:rsidR="00D44EA3" w:rsidRPr="00742407" w14:paraId="5F777E42" w14:textId="77777777" w:rsidTr="00996479">
        <w:trPr>
          <w:trHeight w:val="567"/>
        </w:trPr>
        <w:tc>
          <w:tcPr>
            <w:tcW w:w="1530" w:type="dxa"/>
            <w:vAlign w:val="center"/>
          </w:tcPr>
          <w:p w14:paraId="6FA2E4BB" w14:textId="77777777" w:rsidR="00D44EA3" w:rsidRPr="00742407" w:rsidRDefault="00D44EA3" w:rsidP="00644A01">
            <w:pPr>
              <w:rPr>
                <w:bCs/>
              </w:rPr>
            </w:pPr>
            <w:r w:rsidRPr="00742407">
              <w:rPr>
                <w:bCs/>
              </w:rPr>
              <w:fldChar w:fldCharType="begin">
                <w:ffData>
                  <w:name w:val="Text114"/>
                  <w:enabled/>
                  <w:calcOnExit w:val="0"/>
                  <w:textInput/>
                </w:ffData>
              </w:fldChar>
            </w:r>
            <w:bookmarkStart w:id="32" w:name="Text114"/>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2"/>
          </w:p>
        </w:tc>
        <w:tc>
          <w:tcPr>
            <w:tcW w:w="1800" w:type="dxa"/>
            <w:vAlign w:val="center"/>
          </w:tcPr>
          <w:p w14:paraId="572DD8B6" w14:textId="77777777" w:rsidR="00D44EA3" w:rsidRPr="00742407" w:rsidRDefault="00D44EA3" w:rsidP="00644A01">
            <w:pPr>
              <w:rPr>
                <w:bCs/>
              </w:rPr>
            </w:pPr>
            <w:r w:rsidRPr="00742407">
              <w:rPr>
                <w:bCs/>
              </w:rPr>
              <w:fldChar w:fldCharType="begin">
                <w:ffData>
                  <w:name w:val="Text115"/>
                  <w:enabled/>
                  <w:calcOnExit w:val="0"/>
                  <w:textInput/>
                </w:ffData>
              </w:fldChar>
            </w:r>
            <w:bookmarkStart w:id="33" w:name="Text115"/>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3"/>
          </w:p>
        </w:tc>
        <w:tc>
          <w:tcPr>
            <w:tcW w:w="1440" w:type="dxa"/>
            <w:vAlign w:val="center"/>
          </w:tcPr>
          <w:p w14:paraId="14DFA4D9" w14:textId="77777777" w:rsidR="00D44EA3" w:rsidRPr="00742407" w:rsidRDefault="00D44EA3" w:rsidP="00644A01">
            <w:pPr>
              <w:rPr>
                <w:bCs/>
              </w:rPr>
            </w:pPr>
            <w:r w:rsidRPr="00742407">
              <w:rPr>
                <w:bCs/>
              </w:rPr>
              <w:fldChar w:fldCharType="begin">
                <w:ffData>
                  <w:name w:val="Text116"/>
                  <w:enabled/>
                  <w:calcOnExit w:val="0"/>
                  <w:textInput/>
                </w:ffData>
              </w:fldChar>
            </w:r>
            <w:bookmarkStart w:id="34" w:name="Text116"/>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4"/>
          </w:p>
        </w:tc>
        <w:tc>
          <w:tcPr>
            <w:tcW w:w="1584" w:type="dxa"/>
            <w:vAlign w:val="center"/>
          </w:tcPr>
          <w:p w14:paraId="62C3CD6E" w14:textId="77777777" w:rsidR="00D44EA3" w:rsidRPr="00742407" w:rsidRDefault="00D44EA3" w:rsidP="00644A01">
            <w:pPr>
              <w:rPr>
                <w:bCs/>
              </w:rPr>
            </w:pPr>
            <w:r w:rsidRPr="00742407">
              <w:rPr>
                <w:bCs/>
              </w:rPr>
              <w:fldChar w:fldCharType="begin">
                <w:ffData>
                  <w:name w:val="Text117"/>
                  <w:enabled/>
                  <w:calcOnExit w:val="0"/>
                  <w:textInput/>
                </w:ffData>
              </w:fldChar>
            </w:r>
            <w:bookmarkStart w:id="35" w:name="Text117"/>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5"/>
          </w:p>
        </w:tc>
        <w:tc>
          <w:tcPr>
            <w:tcW w:w="2826" w:type="dxa"/>
            <w:vAlign w:val="center"/>
          </w:tcPr>
          <w:p w14:paraId="0CACE26F" w14:textId="77777777" w:rsidR="00D44EA3" w:rsidRPr="00742407" w:rsidRDefault="00D44EA3" w:rsidP="00644A01">
            <w:pPr>
              <w:rPr>
                <w:bCs/>
              </w:rPr>
            </w:pPr>
            <w:r w:rsidRPr="00742407">
              <w:rPr>
                <w:bCs/>
              </w:rPr>
              <w:fldChar w:fldCharType="begin">
                <w:ffData>
                  <w:name w:val="Text118"/>
                  <w:enabled/>
                  <w:calcOnExit w:val="0"/>
                  <w:textInput/>
                </w:ffData>
              </w:fldChar>
            </w:r>
            <w:bookmarkStart w:id="36" w:name="Text118"/>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6"/>
          </w:p>
        </w:tc>
      </w:tr>
    </w:tbl>
    <w:p w14:paraId="062E82BC" w14:textId="77777777" w:rsidR="00D44EA3" w:rsidRPr="00742407" w:rsidRDefault="00D44EA3" w:rsidP="001B23C2">
      <w:pPr>
        <w:jc w:val="both"/>
        <w:rPr>
          <w:b/>
        </w:rPr>
      </w:pPr>
    </w:p>
    <w:p w14:paraId="415A09BD" w14:textId="40D73330" w:rsidR="00D44EA3" w:rsidRPr="00742407" w:rsidRDefault="00D44EA3" w:rsidP="001B23C2">
      <w:pPr>
        <w:ind w:left="270" w:hanging="450"/>
        <w:jc w:val="both"/>
        <w:rPr>
          <w:b/>
          <w:lang w:val="fr-FR"/>
        </w:rPr>
      </w:pPr>
      <w:r w:rsidRPr="00742407">
        <w:rPr>
          <w:b/>
          <w:lang w:val="fr-FR"/>
        </w:rPr>
        <w:t>Impact</w:t>
      </w:r>
      <w:r w:rsidR="00AE00A9" w:rsidRPr="00742407">
        <w:rPr>
          <w:b/>
          <w:lang w:val="fr-FR"/>
        </w:rPr>
        <w:t xml:space="preserve"> Humain</w:t>
      </w:r>
    </w:p>
    <w:p w14:paraId="1B5899AC" w14:textId="3D7B2BEE" w:rsidR="00AE00A9" w:rsidRPr="00742407" w:rsidRDefault="00AE00A9" w:rsidP="001B23C2">
      <w:pPr>
        <w:ind w:left="-180"/>
        <w:rPr>
          <w:bCs/>
          <w:iCs/>
          <w:lang w:val="fr-FR"/>
        </w:rPr>
      </w:pPr>
      <w:r w:rsidRPr="00742407">
        <w:rPr>
          <w:bCs/>
          <w:iCs/>
          <w:lang w:val="fr-FR"/>
        </w:rPr>
        <w:t xml:space="preserve">Cette section s'intéresse </w:t>
      </w:r>
      <w:r w:rsidR="00423E4E" w:rsidRPr="00742407">
        <w:rPr>
          <w:bCs/>
          <w:iCs/>
          <w:lang w:val="fr-FR"/>
        </w:rPr>
        <w:t>à</w:t>
      </w:r>
      <w:r w:rsidRPr="00742407">
        <w:rPr>
          <w:bCs/>
          <w:iCs/>
          <w:lang w:val="fr-FR"/>
        </w:rPr>
        <w:t xml:space="preserve"> l'impact humain du projet. Indiquez le nombre de parties prenantes clés du projet, et pour chacune, décrivez </w:t>
      </w:r>
      <w:r w:rsidR="00E44BC4" w:rsidRPr="00742407">
        <w:rPr>
          <w:bCs/>
          <w:iCs/>
          <w:lang w:val="fr-FR"/>
        </w:rPr>
        <w:t>brièvement :</w:t>
      </w:r>
    </w:p>
    <w:p w14:paraId="310C0991" w14:textId="77777777" w:rsidR="00AE00A9" w:rsidRPr="00742407" w:rsidRDefault="00AE00A9" w:rsidP="001B23C2">
      <w:pPr>
        <w:ind w:left="270" w:hanging="450"/>
        <w:rPr>
          <w:bCs/>
          <w:iCs/>
          <w:lang w:val="fr-FR"/>
        </w:rPr>
      </w:pPr>
      <w:r w:rsidRPr="00742407">
        <w:rPr>
          <w:bCs/>
          <w:iCs/>
          <w:lang w:val="fr-FR"/>
        </w:rPr>
        <w:t>i. Les défis auxquels elles faisaient face avant le début du projet</w:t>
      </w:r>
    </w:p>
    <w:p w14:paraId="35D7CE5A" w14:textId="77777777" w:rsidR="00AE00A9" w:rsidRPr="00742407" w:rsidRDefault="00AE00A9" w:rsidP="001B23C2">
      <w:pPr>
        <w:ind w:left="270" w:hanging="450"/>
        <w:rPr>
          <w:bCs/>
          <w:iCs/>
          <w:lang w:val="fr-FR"/>
        </w:rPr>
      </w:pPr>
      <w:r w:rsidRPr="00742407">
        <w:rPr>
          <w:bCs/>
          <w:iCs/>
          <w:lang w:val="fr-FR"/>
        </w:rPr>
        <w:t>ii. L'impact du projet sur leurs vies</w:t>
      </w:r>
    </w:p>
    <w:p w14:paraId="5E2DD71A" w14:textId="4C0255E4" w:rsidR="00D44EA3" w:rsidRPr="00742407" w:rsidRDefault="00AE00A9" w:rsidP="001B23C2">
      <w:pPr>
        <w:ind w:left="270" w:hanging="450"/>
        <w:rPr>
          <w:bCs/>
          <w:iCs/>
          <w:lang w:val="fr-FR"/>
        </w:rPr>
      </w:pPr>
      <w:r w:rsidRPr="00742407">
        <w:rPr>
          <w:bCs/>
          <w:iCs/>
          <w:lang w:val="fr-FR"/>
        </w:rPr>
        <w:t xml:space="preserve">iii. Partagez, si </w:t>
      </w:r>
      <w:r w:rsidR="00E44BC4" w:rsidRPr="00742407">
        <w:rPr>
          <w:bCs/>
          <w:iCs/>
          <w:lang w:val="fr-FR"/>
        </w:rPr>
        <w:t>possible, une</w:t>
      </w:r>
      <w:r w:rsidRPr="00742407">
        <w:rPr>
          <w:bCs/>
          <w:iCs/>
          <w:lang w:val="fr-FR"/>
        </w:rPr>
        <w:t xml:space="preserve"> citation ou un témoignage d'un représ</w:t>
      </w:r>
      <w:r w:rsidR="00E44BC4" w:rsidRPr="00742407">
        <w:rPr>
          <w:bCs/>
          <w:iCs/>
          <w:lang w:val="fr-FR"/>
        </w:rPr>
        <w:t>e</w:t>
      </w:r>
      <w:r w:rsidRPr="00742407">
        <w:rPr>
          <w:bCs/>
          <w:iCs/>
          <w:lang w:val="fr-FR"/>
        </w:rPr>
        <w:t>nt</w:t>
      </w:r>
      <w:r w:rsidR="00E44BC4" w:rsidRPr="00742407">
        <w:rPr>
          <w:bCs/>
          <w:iCs/>
          <w:lang w:val="fr-FR"/>
        </w:rPr>
        <w:t>ant</w:t>
      </w:r>
      <w:r w:rsidRPr="00742407">
        <w:rPr>
          <w:bCs/>
          <w:iCs/>
          <w:lang w:val="fr-FR"/>
        </w:rPr>
        <w:t xml:space="preserve"> de chacune des parties prenantes</w:t>
      </w:r>
    </w:p>
    <w:p w14:paraId="1FA1F137" w14:textId="77777777" w:rsidR="00D44EA3" w:rsidRPr="00742407" w:rsidRDefault="00D44EA3" w:rsidP="00D44EA3">
      <w:pPr>
        <w:ind w:left="-810"/>
        <w:rPr>
          <w:b/>
          <w:i/>
          <w:lang w:val="fr-FR"/>
        </w:rPr>
      </w:pPr>
    </w:p>
    <w:tbl>
      <w:tblPr>
        <w:tblStyle w:val="Grilledutableau"/>
        <w:tblW w:w="9180" w:type="dxa"/>
        <w:tblInd w:w="-185" w:type="dxa"/>
        <w:tblLook w:val="04A0" w:firstRow="1" w:lastRow="0" w:firstColumn="1" w:lastColumn="0" w:noHBand="0" w:noVBand="1"/>
      </w:tblPr>
      <w:tblGrid>
        <w:gridCol w:w="1710"/>
        <w:gridCol w:w="2700"/>
        <w:gridCol w:w="1890"/>
        <w:gridCol w:w="2880"/>
      </w:tblGrid>
      <w:tr w:rsidR="00D44EA3" w:rsidRPr="006B0660" w14:paraId="735A9FF4" w14:textId="77777777" w:rsidTr="004E45CD">
        <w:tc>
          <w:tcPr>
            <w:tcW w:w="1710" w:type="dxa"/>
            <w:vAlign w:val="center"/>
          </w:tcPr>
          <w:p w14:paraId="22AF8C9F" w14:textId="4D06C3F2" w:rsidR="00D44EA3" w:rsidRPr="00742407" w:rsidRDefault="00423E4E" w:rsidP="00644A01">
            <w:pPr>
              <w:jc w:val="center"/>
              <w:rPr>
                <w:b/>
                <w:sz w:val="22"/>
                <w:szCs w:val="22"/>
              </w:rPr>
            </w:pPr>
            <w:proofErr w:type="spellStart"/>
            <w:r w:rsidRPr="00742407">
              <w:rPr>
                <w:b/>
                <w:sz w:val="22"/>
                <w:szCs w:val="22"/>
              </w:rPr>
              <w:t>Partie</w:t>
            </w:r>
            <w:proofErr w:type="spellEnd"/>
            <w:r w:rsidRPr="00742407">
              <w:rPr>
                <w:b/>
                <w:sz w:val="22"/>
                <w:szCs w:val="22"/>
              </w:rPr>
              <w:t xml:space="preserve"> </w:t>
            </w:r>
            <w:proofErr w:type="spellStart"/>
            <w:r w:rsidRPr="00742407">
              <w:rPr>
                <w:b/>
                <w:sz w:val="22"/>
                <w:szCs w:val="22"/>
              </w:rPr>
              <w:t>Prenante</w:t>
            </w:r>
            <w:proofErr w:type="spellEnd"/>
          </w:p>
        </w:tc>
        <w:tc>
          <w:tcPr>
            <w:tcW w:w="2700" w:type="dxa"/>
            <w:vAlign w:val="center"/>
          </w:tcPr>
          <w:p w14:paraId="43B267BC" w14:textId="4EA5E3C4" w:rsidR="00D44EA3" w:rsidRPr="00742407" w:rsidRDefault="00284188" w:rsidP="00644A01">
            <w:pPr>
              <w:jc w:val="center"/>
              <w:rPr>
                <w:b/>
                <w:sz w:val="22"/>
                <w:szCs w:val="22"/>
                <w:lang w:val="fr-FR"/>
              </w:rPr>
            </w:pPr>
            <w:r w:rsidRPr="00742407">
              <w:rPr>
                <w:b/>
                <w:sz w:val="22"/>
                <w:szCs w:val="22"/>
                <w:lang w:val="fr-FR"/>
              </w:rPr>
              <w:t xml:space="preserve">Quels étaient les défis auxquels elles faisaient face avant le début du projet </w:t>
            </w:r>
            <w:r w:rsidR="00D44EA3" w:rsidRPr="00742407">
              <w:rPr>
                <w:b/>
                <w:sz w:val="22"/>
                <w:szCs w:val="22"/>
                <w:lang w:val="fr-FR"/>
              </w:rPr>
              <w:t xml:space="preserve">(350 </w:t>
            </w:r>
            <w:r w:rsidRPr="00742407">
              <w:rPr>
                <w:b/>
                <w:sz w:val="22"/>
                <w:szCs w:val="22"/>
                <w:lang w:val="fr-FR"/>
              </w:rPr>
              <w:t xml:space="preserve">mots </w:t>
            </w:r>
            <w:r w:rsidR="00D44EA3" w:rsidRPr="00742407">
              <w:rPr>
                <w:b/>
                <w:sz w:val="22"/>
                <w:szCs w:val="22"/>
                <w:lang w:val="fr-FR"/>
              </w:rPr>
              <w:t>max)</w:t>
            </w:r>
          </w:p>
        </w:tc>
        <w:tc>
          <w:tcPr>
            <w:tcW w:w="1890" w:type="dxa"/>
            <w:vAlign w:val="center"/>
          </w:tcPr>
          <w:p w14:paraId="2E426513" w14:textId="6622B75B" w:rsidR="00D44EA3" w:rsidRPr="00742407" w:rsidRDefault="00423E4E" w:rsidP="00644A01">
            <w:pPr>
              <w:jc w:val="center"/>
              <w:rPr>
                <w:b/>
                <w:sz w:val="22"/>
                <w:szCs w:val="22"/>
                <w:lang w:val="fr-FR"/>
              </w:rPr>
            </w:pPr>
            <w:r w:rsidRPr="00742407">
              <w:rPr>
                <w:b/>
                <w:sz w:val="22"/>
                <w:szCs w:val="22"/>
                <w:lang w:val="fr-FR"/>
              </w:rPr>
              <w:t xml:space="preserve">Quel est l'impact du projet sur leurs vies </w:t>
            </w:r>
            <w:r w:rsidR="00D44EA3" w:rsidRPr="00742407">
              <w:rPr>
                <w:b/>
                <w:sz w:val="22"/>
                <w:szCs w:val="22"/>
                <w:lang w:val="fr-FR"/>
              </w:rPr>
              <w:t xml:space="preserve">(350 </w:t>
            </w:r>
            <w:r w:rsidRPr="00742407">
              <w:rPr>
                <w:b/>
                <w:sz w:val="22"/>
                <w:szCs w:val="22"/>
                <w:lang w:val="fr-FR"/>
              </w:rPr>
              <w:t>mots</w:t>
            </w:r>
            <w:r w:rsidR="00D44EA3" w:rsidRPr="00742407">
              <w:rPr>
                <w:b/>
                <w:sz w:val="22"/>
                <w:szCs w:val="22"/>
                <w:lang w:val="fr-FR"/>
              </w:rPr>
              <w:t xml:space="preserve"> max)</w:t>
            </w:r>
          </w:p>
        </w:tc>
        <w:tc>
          <w:tcPr>
            <w:tcW w:w="2880" w:type="dxa"/>
            <w:vAlign w:val="center"/>
          </w:tcPr>
          <w:p w14:paraId="442C5235" w14:textId="6D4A030E" w:rsidR="00D44EA3" w:rsidRPr="00742407" w:rsidRDefault="00284188" w:rsidP="00644A01">
            <w:pPr>
              <w:jc w:val="center"/>
              <w:rPr>
                <w:b/>
                <w:sz w:val="22"/>
                <w:szCs w:val="22"/>
                <w:lang w:val="fr-FR"/>
              </w:rPr>
            </w:pPr>
            <w:r w:rsidRPr="00742407">
              <w:rPr>
                <w:b/>
                <w:sz w:val="22"/>
                <w:szCs w:val="22"/>
                <w:lang w:val="fr-FR"/>
              </w:rPr>
              <w:t>Partagez, si possible, une citation ou un témoignage d'un repré</w:t>
            </w:r>
            <w:r w:rsidR="00B97FAA" w:rsidRPr="00742407">
              <w:rPr>
                <w:b/>
                <w:sz w:val="22"/>
                <w:szCs w:val="22"/>
                <w:lang w:val="fr-FR"/>
              </w:rPr>
              <w:t>sentant</w:t>
            </w:r>
            <w:r w:rsidRPr="00742407">
              <w:rPr>
                <w:b/>
                <w:sz w:val="22"/>
                <w:szCs w:val="22"/>
                <w:lang w:val="fr-FR"/>
              </w:rPr>
              <w:t xml:space="preserve"> de chacune des parties prenantes </w:t>
            </w:r>
            <w:r w:rsidR="00D44EA3" w:rsidRPr="00742407">
              <w:rPr>
                <w:b/>
                <w:sz w:val="22"/>
                <w:szCs w:val="22"/>
                <w:lang w:val="fr-FR"/>
              </w:rPr>
              <w:t xml:space="preserve">(350 </w:t>
            </w:r>
            <w:r w:rsidRPr="00742407">
              <w:rPr>
                <w:b/>
                <w:sz w:val="22"/>
                <w:szCs w:val="22"/>
                <w:lang w:val="fr-FR"/>
              </w:rPr>
              <w:t>mot</w:t>
            </w:r>
            <w:r w:rsidR="00D44EA3" w:rsidRPr="00742407">
              <w:rPr>
                <w:b/>
                <w:sz w:val="22"/>
                <w:szCs w:val="22"/>
                <w:lang w:val="fr-FR"/>
              </w:rPr>
              <w:t>s max)</w:t>
            </w:r>
          </w:p>
        </w:tc>
      </w:tr>
      <w:tr w:rsidR="00D44EA3" w:rsidRPr="00742407" w14:paraId="0F871BA0" w14:textId="77777777" w:rsidTr="004E45CD">
        <w:trPr>
          <w:trHeight w:val="567"/>
        </w:trPr>
        <w:tc>
          <w:tcPr>
            <w:tcW w:w="1710" w:type="dxa"/>
          </w:tcPr>
          <w:p w14:paraId="76B758A3" w14:textId="77777777" w:rsidR="00D44EA3" w:rsidRPr="00742407" w:rsidRDefault="00D44EA3" w:rsidP="00644A01">
            <w:pPr>
              <w:rPr>
                <w:bCs/>
              </w:rPr>
            </w:pPr>
            <w:r w:rsidRPr="00742407">
              <w:rPr>
                <w:bCs/>
              </w:rPr>
              <w:fldChar w:fldCharType="begin">
                <w:ffData>
                  <w:name w:val="Text119"/>
                  <w:enabled/>
                  <w:calcOnExit w:val="0"/>
                  <w:textInput/>
                </w:ffData>
              </w:fldChar>
            </w:r>
            <w:bookmarkStart w:id="37" w:name="Text119"/>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7"/>
          </w:p>
        </w:tc>
        <w:tc>
          <w:tcPr>
            <w:tcW w:w="2700" w:type="dxa"/>
          </w:tcPr>
          <w:p w14:paraId="72D04EF0" w14:textId="77777777" w:rsidR="00D44EA3" w:rsidRPr="00742407" w:rsidRDefault="00D44EA3" w:rsidP="00644A01">
            <w:pPr>
              <w:rPr>
                <w:bCs/>
              </w:rPr>
            </w:pPr>
            <w:r w:rsidRPr="00742407">
              <w:rPr>
                <w:bCs/>
              </w:rPr>
              <w:fldChar w:fldCharType="begin">
                <w:ffData>
                  <w:name w:val="Text120"/>
                  <w:enabled/>
                  <w:calcOnExit w:val="0"/>
                  <w:textInput/>
                </w:ffData>
              </w:fldChar>
            </w:r>
            <w:bookmarkStart w:id="38" w:name="Text120"/>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8"/>
          </w:p>
        </w:tc>
        <w:tc>
          <w:tcPr>
            <w:tcW w:w="1890" w:type="dxa"/>
          </w:tcPr>
          <w:p w14:paraId="3C71326B" w14:textId="77777777" w:rsidR="00D44EA3" w:rsidRPr="00742407" w:rsidRDefault="00D44EA3" w:rsidP="00644A01">
            <w:pPr>
              <w:rPr>
                <w:bCs/>
              </w:rPr>
            </w:pPr>
            <w:r w:rsidRPr="00742407">
              <w:rPr>
                <w:bCs/>
              </w:rPr>
              <w:fldChar w:fldCharType="begin">
                <w:ffData>
                  <w:name w:val="Text121"/>
                  <w:enabled/>
                  <w:calcOnExit w:val="0"/>
                  <w:textInput/>
                </w:ffData>
              </w:fldChar>
            </w:r>
            <w:bookmarkStart w:id="39" w:name="Text121"/>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39"/>
          </w:p>
        </w:tc>
        <w:tc>
          <w:tcPr>
            <w:tcW w:w="2880" w:type="dxa"/>
          </w:tcPr>
          <w:p w14:paraId="5DA7F5A1" w14:textId="77777777" w:rsidR="00D44EA3" w:rsidRPr="00742407" w:rsidRDefault="00D44EA3" w:rsidP="00644A01">
            <w:pPr>
              <w:rPr>
                <w:bCs/>
              </w:rPr>
            </w:pPr>
            <w:r w:rsidRPr="00742407">
              <w:rPr>
                <w:bCs/>
              </w:rPr>
              <w:fldChar w:fldCharType="begin">
                <w:ffData>
                  <w:name w:val="Text122"/>
                  <w:enabled/>
                  <w:calcOnExit w:val="0"/>
                  <w:textInput/>
                </w:ffData>
              </w:fldChar>
            </w:r>
            <w:bookmarkStart w:id="40" w:name="Text122"/>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0"/>
          </w:p>
        </w:tc>
      </w:tr>
      <w:tr w:rsidR="00D44EA3" w:rsidRPr="00742407" w14:paraId="6929D651" w14:textId="77777777" w:rsidTr="004E45CD">
        <w:trPr>
          <w:trHeight w:val="567"/>
        </w:trPr>
        <w:tc>
          <w:tcPr>
            <w:tcW w:w="1710" w:type="dxa"/>
          </w:tcPr>
          <w:p w14:paraId="4D3B7F73" w14:textId="77777777" w:rsidR="00D44EA3" w:rsidRPr="00742407" w:rsidRDefault="00D44EA3" w:rsidP="00644A01">
            <w:pPr>
              <w:rPr>
                <w:bCs/>
              </w:rPr>
            </w:pPr>
            <w:r w:rsidRPr="00742407">
              <w:rPr>
                <w:bCs/>
              </w:rPr>
              <w:fldChar w:fldCharType="begin">
                <w:ffData>
                  <w:name w:val="Text123"/>
                  <w:enabled/>
                  <w:calcOnExit w:val="0"/>
                  <w:textInput/>
                </w:ffData>
              </w:fldChar>
            </w:r>
            <w:bookmarkStart w:id="41" w:name="Text123"/>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1"/>
          </w:p>
        </w:tc>
        <w:tc>
          <w:tcPr>
            <w:tcW w:w="2700" w:type="dxa"/>
          </w:tcPr>
          <w:p w14:paraId="7E952CB3" w14:textId="77777777" w:rsidR="00D44EA3" w:rsidRPr="00742407" w:rsidRDefault="00D44EA3" w:rsidP="00644A01">
            <w:pPr>
              <w:rPr>
                <w:bCs/>
              </w:rPr>
            </w:pPr>
            <w:r w:rsidRPr="00742407">
              <w:rPr>
                <w:bCs/>
              </w:rPr>
              <w:fldChar w:fldCharType="begin">
                <w:ffData>
                  <w:name w:val="Text124"/>
                  <w:enabled/>
                  <w:calcOnExit w:val="0"/>
                  <w:textInput/>
                </w:ffData>
              </w:fldChar>
            </w:r>
            <w:bookmarkStart w:id="42" w:name="Text124"/>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2"/>
          </w:p>
        </w:tc>
        <w:tc>
          <w:tcPr>
            <w:tcW w:w="1890" w:type="dxa"/>
          </w:tcPr>
          <w:p w14:paraId="3BE0CBA2" w14:textId="77777777" w:rsidR="00D44EA3" w:rsidRPr="00742407" w:rsidRDefault="00D44EA3" w:rsidP="00644A01">
            <w:pPr>
              <w:rPr>
                <w:bCs/>
              </w:rPr>
            </w:pPr>
            <w:r w:rsidRPr="00742407">
              <w:rPr>
                <w:bCs/>
              </w:rPr>
              <w:fldChar w:fldCharType="begin">
                <w:ffData>
                  <w:name w:val="Text125"/>
                  <w:enabled/>
                  <w:calcOnExit w:val="0"/>
                  <w:textInput/>
                </w:ffData>
              </w:fldChar>
            </w:r>
            <w:bookmarkStart w:id="43" w:name="Text125"/>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3"/>
          </w:p>
        </w:tc>
        <w:tc>
          <w:tcPr>
            <w:tcW w:w="2880" w:type="dxa"/>
          </w:tcPr>
          <w:p w14:paraId="39F0E264" w14:textId="77777777" w:rsidR="00D44EA3" w:rsidRPr="00742407" w:rsidRDefault="00D44EA3" w:rsidP="00644A01">
            <w:pPr>
              <w:rPr>
                <w:bCs/>
              </w:rPr>
            </w:pPr>
            <w:r w:rsidRPr="00742407">
              <w:rPr>
                <w:bCs/>
              </w:rPr>
              <w:fldChar w:fldCharType="begin">
                <w:ffData>
                  <w:name w:val="Text126"/>
                  <w:enabled/>
                  <w:calcOnExit w:val="0"/>
                  <w:textInput/>
                </w:ffData>
              </w:fldChar>
            </w:r>
            <w:bookmarkStart w:id="44" w:name="Text126"/>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4"/>
          </w:p>
        </w:tc>
      </w:tr>
      <w:tr w:rsidR="00D44EA3" w:rsidRPr="00742407" w14:paraId="1BF8B618" w14:textId="77777777" w:rsidTr="004E45CD">
        <w:trPr>
          <w:trHeight w:val="567"/>
        </w:trPr>
        <w:tc>
          <w:tcPr>
            <w:tcW w:w="1710" w:type="dxa"/>
          </w:tcPr>
          <w:p w14:paraId="050FBFEA" w14:textId="77777777" w:rsidR="00D44EA3" w:rsidRPr="00742407" w:rsidRDefault="00D44EA3" w:rsidP="00644A01">
            <w:pPr>
              <w:rPr>
                <w:bCs/>
              </w:rPr>
            </w:pPr>
            <w:r w:rsidRPr="00742407">
              <w:rPr>
                <w:bCs/>
              </w:rPr>
              <w:fldChar w:fldCharType="begin">
                <w:ffData>
                  <w:name w:val="Text127"/>
                  <w:enabled/>
                  <w:calcOnExit w:val="0"/>
                  <w:textInput/>
                </w:ffData>
              </w:fldChar>
            </w:r>
            <w:bookmarkStart w:id="45" w:name="Text127"/>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5"/>
          </w:p>
        </w:tc>
        <w:tc>
          <w:tcPr>
            <w:tcW w:w="2700" w:type="dxa"/>
          </w:tcPr>
          <w:p w14:paraId="4842295B" w14:textId="77777777" w:rsidR="00D44EA3" w:rsidRPr="00742407" w:rsidRDefault="00D44EA3" w:rsidP="00644A01">
            <w:pPr>
              <w:rPr>
                <w:bCs/>
              </w:rPr>
            </w:pPr>
            <w:r w:rsidRPr="00742407">
              <w:rPr>
                <w:bCs/>
              </w:rPr>
              <w:fldChar w:fldCharType="begin">
                <w:ffData>
                  <w:name w:val="Text128"/>
                  <w:enabled/>
                  <w:calcOnExit w:val="0"/>
                  <w:textInput/>
                </w:ffData>
              </w:fldChar>
            </w:r>
            <w:bookmarkStart w:id="46" w:name="Text128"/>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6"/>
          </w:p>
        </w:tc>
        <w:tc>
          <w:tcPr>
            <w:tcW w:w="1890" w:type="dxa"/>
          </w:tcPr>
          <w:p w14:paraId="2D396E7D" w14:textId="77777777" w:rsidR="00D44EA3" w:rsidRPr="00742407" w:rsidRDefault="00D44EA3" w:rsidP="00644A01">
            <w:pPr>
              <w:rPr>
                <w:bCs/>
              </w:rPr>
            </w:pPr>
            <w:r w:rsidRPr="00742407">
              <w:rPr>
                <w:bCs/>
              </w:rPr>
              <w:fldChar w:fldCharType="begin">
                <w:ffData>
                  <w:name w:val="Text129"/>
                  <w:enabled/>
                  <w:calcOnExit w:val="0"/>
                  <w:textInput/>
                </w:ffData>
              </w:fldChar>
            </w:r>
            <w:bookmarkStart w:id="47" w:name="Text129"/>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7"/>
          </w:p>
        </w:tc>
        <w:tc>
          <w:tcPr>
            <w:tcW w:w="2880" w:type="dxa"/>
          </w:tcPr>
          <w:p w14:paraId="0F507081" w14:textId="77777777" w:rsidR="00D44EA3" w:rsidRPr="00742407" w:rsidRDefault="00D44EA3" w:rsidP="00644A01">
            <w:pPr>
              <w:rPr>
                <w:bCs/>
              </w:rPr>
            </w:pPr>
            <w:r w:rsidRPr="00742407">
              <w:rPr>
                <w:bCs/>
              </w:rPr>
              <w:fldChar w:fldCharType="begin">
                <w:ffData>
                  <w:name w:val="Text130"/>
                  <w:enabled/>
                  <w:calcOnExit w:val="0"/>
                  <w:textInput/>
                </w:ffData>
              </w:fldChar>
            </w:r>
            <w:bookmarkStart w:id="48" w:name="Text130"/>
            <w:r w:rsidRPr="00742407">
              <w:rPr>
                <w:bCs/>
              </w:rPr>
              <w:instrText xml:space="preserve"> FORMTEXT </w:instrText>
            </w:r>
            <w:r w:rsidRPr="00742407">
              <w:rPr>
                <w:bCs/>
              </w:rPr>
            </w:r>
            <w:r w:rsidRPr="00742407">
              <w:rPr>
                <w:bCs/>
              </w:rPr>
              <w:fldChar w:fldCharType="separate"/>
            </w:r>
            <w:r w:rsidRPr="00742407">
              <w:rPr>
                <w:bCs/>
                <w:noProof/>
              </w:rPr>
              <w:t> </w:t>
            </w:r>
            <w:r w:rsidRPr="00742407">
              <w:rPr>
                <w:bCs/>
                <w:noProof/>
              </w:rPr>
              <w:t> </w:t>
            </w:r>
            <w:r w:rsidRPr="00742407">
              <w:rPr>
                <w:bCs/>
                <w:noProof/>
              </w:rPr>
              <w:t> </w:t>
            </w:r>
            <w:r w:rsidRPr="00742407">
              <w:rPr>
                <w:bCs/>
                <w:noProof/>
              </w:rPr>
              <w:t> </w:t>
            </w:r>
            <w:r w:rsidRPr="00742407">
              <w:rPr>
                <w:bCs/>
                <w:noProof/>
              </w:rPr>
              <w:t> </w:t>
            </w:r>
            <w:r w:rsidRPr="00742407">
              <w:rPr>
                <w:bCs/>
              </w:rPr>
              <w:fldChar w:fldCharType="end"/>
            </w:r>
            <w:bookmarkEnd w:id="48"/>
          </w:p>
        </w:tc>
      </w:tr>
    </w:tbl>
    <w:p w14:paraId="2F6E7729" w14:textId="77777777" w:rsidR="00D44EA3" w:rsidRPr="00742407" w:rsidRDefault="00D44EA3" w:rsidP="00D44EA3">
      <w:pPr>
        <w:ind w:left="-810"/>
        <w:rPr>
          <w:b/>
          <w:i/>
        </w:rPr>
      </w:pPr>
    </w:p>
    <w:p w14:paraId="3BDE1B77" w14:textId="772C900E" w:rsidR="00D44EA3" w:rsidRPr="00742407" w:rsidRDefault="0067685D" w:rsidP="004E45CD">
      <w:pPr>
        <w:ind w:left="-90"/>
        <w:rPr>
          <w:lang w:val="fr-FR"/>
        </w:rPr>
      </w:pPr>
      <w:r w:rsidRPr="00742407">
        <w:rPr>
          <w:lang w:val="fr-FR"/>
        </w:rPr>
        <w:t xml:space="preserve">En plus de l'impact spécifique aux parties prenantes décrit dans les questions précédentes, vous pouvez </w:t>
      </w:r>
      <w:r w:rsidR="00A73BEF" w:rsidRPr="00742407">
        <w:rPr>
          <w:lang w:val="fr-FR"/>
        </w:rPr>
        <w:t>utiliser</w:t>
      </w:r>
      <w:r w:rsidRPr="00742407">
        <w:rPr>
          <w:lang w:val="fr-FR"/>
        </w:rPr>
        <w:t xml:space="preserve"> cet espace pour décrire tout autre impact humain du projet</w:t>
      </w:r>
      <w:r w:rsidR="00D44EA3" w:rsidRPr="00742407">
        <w:rPr>
          <w:lang w:val="fr-FR"/>
        </w:rPr>
        <w:t xml:space="preserve">. (650 </w:t>
      </w:r>
      <w:r w:rsidRPr="00742407">
        <w:rPr>
          <w:lang w:val="fr-FR"/>
        </w:rPr>
        <w:t>mots max</w:t>
      </w:r>
      <w:r w:rsidR="00AF1DA3" w:rsidRPr="00742407">
        <w:rPr>
          <w:lang w:val="fr-FR"/>
        </w:rPr>
        <w:t>) :</w:t>
      </w:r>
    </w:p>
    <w:p w14:paraId="52D06737" w14:textId="3663DBDD" w:rsidR="00D44EA3" w:rsidRPr="00B83736" w:rsidRDefault="00D44EA3" w:rsidP="004E45CD">
      <w:pPr>
        <w:ind w:left="-90"/>
        <w:rPr>
          <w:lang w:val="fr-FR"/>
        </w:rPr>
      </w:pPr>
    </w:p>
    <w:p w14:paraId="593BAB60" w14:textId="5129B641" w:rsidR="00E2086E" w:rsidRPr="004E0474" w:rsidRDefault="00E2086E" w:rsidP="00E2086E">
      <w:pPr>
        <w:pStyle w:val="Notedebasdepage"/>
        <w:jc w:val="both"/>
        <w:rPr>
          <w:sz w:val="24"/>
          <w:szCs w:val="24"/>
          <w:lang w:val="fr-CD"/>
        </w:rPr>
      </w:pPr>
      <w:r w:rsidRPr="004E0474">
        <w:rPr>
          <w:sz w:val="24"/>
          <w:szCs w:val="24"/>
          <w:lang w:val="fr-FR"/>
        </w:rPr>
        <w:t>Les résultats du 6</w:t>
      </w:r>
      <w:r w:rsidRPr="004E0474">
        <w:rPr>
          <w:sz w:val="24"/>
          <w:szCs w:val="24"/>
          <w:vertAlign w:val="superscript"/>
          <w:lang w:val="fr-FR"/>
        </w:rPr>
        <w:t>ème</w:t>
      </w:r>
      <w:r w:rsidRPr="004E0474">
        <w:rPr>
          <w:sz w:val="24"/>
          <w:szCs w:val="24"/>
          <w:lang w:val="fr-FR"/>
        </w:rPr>
        <w:t xml:space="preserve"> sondage de perception confortent les efforts entrepris en matière de mise en place et opérationnalisation des mécanismes de justice transitionnelle et de renforcement du système judiciaire. En effet, plus de 70% de la population déclare que le jugement et la condamnation des responsables </w:t>
      </w:r>
      <w:r w:rsidR="003A0887" w:rsidRPr="004E0474">
        <w:rPr>
          <w:sz w:val="24"/>
          <w:szCs w:val="24"/>
          <w:lang w:val="fr-FR"/>
        </w:rPr>
        <w:t>des violences</w:t>
      </w:r>
      <w:r w:rsidRPr="004E0474">
        <w:rPr>
          <w:sz w:val="24"/>
          <w:szCs w:val="24"/>
          <w:lang w:val="fr-FR"/>
        </w:rPr>
        <w:t xml:space="preserve"> constitue</w:t>
      </w:r>
      <w:r w:rsidR="00A73BEF">
        <w:rPr>
          <w:sz w:val="24"/>
          <w:szCs w:val="24"/>
          <w:lang w:val="fr-FR"/>
        </w:rPr>
        <w:t>nt</w:t>
      </w:r>
      <w:r w:rsidRPr="004E0474">
        <w:rPr>
          <w:sz w:val="24"/>
          <w:szCs w:val="24"/>
          <w:lang w:val="fr-FR"/>
        </w:rPr>
        <w:t xml:space="preserve"> un pilier fondamental pour l’établissement d’une paix durable</w:t>
      </w:r>
      <w:r w:rsidRPr="004E0474">
        <w:rPr>
          <w:rStyle w:val="Appelnotedebasdep"/>
          <w:sz w:val="24"/>
          <w:szCs w:val="24"/>
          <w:lang w:val="fr-FR"/>
        </w:rPr>
        <w:footnoteReference w:id="3"/>
      </w:r>
      <w:r w:rsidRPr="004E0474">
        <w:rPr>
          <w:sz w:val="24"/>
          <w:szCs w:val="24"/>
          <w:lang w:val="fr-FR"/>
        </w:rPr>
        <w:t xml:space="preserve">. </w:t>
      </w:r>
      <w:r w:rsidRPr="004E0474">
        <w:rPr>
          <w:sz w:val="24"/>
          <w:szCs w:val="24"/>
          <w:lang w:val="fr-CD"/>
        </w:rPr>
        <w:t xml:space="preserve">Seulement 25% des </w:t>
      </w:r>
      <w:r w:rsidR="00A73BEF">
        <w:rPr>
          <w:sz w:val="24"/>
          <w:szCs w:val="24"/>
          <w:lang w:val="fr-CD"/>
        </w:rPr>
        <w:t>c</w:t>
      </w:r>
      <w:r w:rsidRPr="004E0474">
        <w:rPr>
          <w:sz w:val="24"/>
          <w:szCs w:val="24"/>
          <w:lang w:val="fr-CD"/>
        </w:rPr>
        <w:t>entrafricains (es) estiment qu’il est possible d’avoir la paix si les responsables des violences de 2002-2003 restent impunis ; et seulement 22% estime</w:t>
      </w:r>
      <w:r w:rsidR="00A73BEF">
        <w:rPr>
          <w:sz w:val="24"/>
          <w:szCs w:val="24"/>
          <w:lang w:val="fr-CD"/>
        </w:rPr>
        <w:t>nt</w:t>
      </w:r>
      <w:r w:rsidRPr="004E0474">
        <w:rPr>
          <w:sz w:val="24"/>
          <w:szCs w:val="24"/>
          <w:lang w:val="fr-CD"/>
        </w:rPr>
        <w:t xml:space="preserve"> possible d’avoir la paix si les responsables des violences depuis 2013 restent impunis. </w:t>
      </w:r>
    </w:p>
    <w:p w14:paraId="612A7111" w14:textId="77777777" w:rsidR="00E2086E" w:rsidRPr="004E0474" w:rsidRDefault="00E2086E" w:rsidP="00E2086E">
      <w:pPr>
        <w:jc w:val="both"/>
        <w:rPr>
          <w:lang w:val="fr-CD"/>
        </w:rPr>
      </w:pPr>
    </w:p>
    <w:p w14:paraId="2B7247F7" w14:textId="2F0913F9" w:rsidR="00E2086E" w:rsidRPr="00551DDF" w:rsidRDefault="00E2086E" w:rsidP="00E2086E">
      <w:pPr>
        <w:jc w:val="both"/>
        <w:rPr>
          <w:lang w:val="fr-FR"/>
        </w:rPr>
      </w:pPr>
      <w:r>
        <w:rPr>
          <w:lang w:val="fr-FR"/>
        </w:rPr>
        <w:t xml:space="preserve">La prestation de serment des </w:t>
      </w:r>
      <w:r w:rsidRPr="00551DDF">
        <w:rPr>
          <w:lang w:val="fr-FR"/>
        </w:rPr>
        <w:t xml:space="preserve">11 Commissaires </w:t>
      </w:r>
      <w:r>
        <w:rPr>
          <w:lang w:val="fr-FR"/>
        </w:rPr>
        <w:t xml:space="preserve">(donc 5 femmes) de </w:t>
      </w:r>
      <w:r w:rsidR="00121382">
        <w:rPr>
          <w:lang w:val="fr-FR"/>
        </w:rPr>
        <w:t>la CVJRR</w:t>
      </w:r>
      <w:r>
        <w:rPr>
          <w:lang w:val="fr-FR"/>
        </w:rPr>
        <w:t xml:space="preserve"> es</w:t>
      </w:r>
      <w:r w:rsidRPr="00551DDF">
        <w:rPr>
          <w:lang w:val="fr-FR"/>
        </w:rPr>
        <w:t xml:space="preserve">t une avancée majeure </w:t>
      </w:r>
      <w:r>
        <w:rPr>
          <w:lang w:val="fr-FR"/>
        </w:rPr>
        <w:t>pour la</w:t>
      </w:r>
      <w:r w:rsidRPr="00551DDF">
        <w:rPr>
          <w:lang w:val="fr-FR"/>
        </w:rPr>
        <w:t xml:space="preserve"> justice transitionnelle</w:t>
      </w:r>
      <w:r>
        <w:rPr>
          <w:lang w:val="fr-FR"/>
        </w:rPr>
        <w:t xml:space="preserve"> en RCA</w:t>
      </w:r>
      <w:r w:rsidR="00A73BEF">
        <w:rPr>
          <w:lang w:val="fr-FR"/>
        </w:rPr>
        <w:t>. Cette</w:t>
      </w:r>
      <w:r>
        <w:rPr>
          <w:lang w:val="fr-FR"/>
        </w:rPr>
        <w:t xml:space="preserve"> commission</w:t>
      </w:r>
      <w:r w:rsidRPr="00551DDF">
        <w:rPr>
          <w:lang w:val="fr-FR"/>
        </w:rPr>
        <w:t xml:space="preserve"> s’inscrit </w:t>
      </w:r>
      <w:r>
        <w:rPr>
          <w:lang w:val="fr-FR"/>
        </w:rPr>
        <w:t xml:space="preserve">dans la </w:t>
      </w:r>
      <w:r w:rsidRPr="00551DDF">
        <w:rPr>
          <w:lang w:val="fr-FR"/>
        </w:rPr>
        <w:t>complémentarité de la CPS et des juridictions ordi</w:t>
      </w:r>
      <w:r>
        <w:rPr>
          <w:lang w:val="fr-FR"/>
        </w:rPr>
        <w:t>naire</w:t>
      </w:r>
      <w:r w:rsidRPr="00551DDF">
        <w:rPr>
          <w:lang w:val="fr-FR"/>
        </w:rPr>
        <w:t xml:space="preserve">s, et </w:t>
      </w:r>
      <w:r>
        <w:rPr>
          <w:lang w:val="fr-FR"/>
        </w:rPr>
        <w:t xml:space="preserve">dans </w:t>
      </w:r>
      <w:r w:rsidRPr="00551DDF">
        <w:rPr>
          <w:lang w:val="fr-FR"/>
        </w:rPr>
        <w:t>la mise en œuvre de l’A</w:t>
      </w:r>
      <w:r>
        <w:rPr>
          <w:lang w:val="fr-FR"/>
        </w:rPr>
        <w:t>ccord Politique pour la Paix et la Réconciliation (APPR)</w:t>
      </w:r>
      <w:r w:rsidRPr="00551DDF">
        <w:rPr>
          <w:lang w:val="fr-FR"/>
        </w:rPr>
        <w:t xml:space="preserve">. La population </w:t>
      </w:r>
      <w:r w:rsidR="00A73BEF">
        <w:rPr>
          <w:lang w:val="fr-FR"/>
        </w:rPr>
        <w:t>c</w:t>
      </w:r>
      <w:r w:rsidR="00A73BEF" w:rsidRPr="00551DDF">
        <w:rPr>
          <w:lang w:val="fr-FR"/>
        </w:rPr>
        <w:t xml:space="preserve">entrafricaine </w:t>
      </w:r>
      <w:r w:rsidRPr="00551DDF">
        <w:rPr>
          <w:lang w:val="fr-FR"/>
        </w:rPr>
        <w:t>exprim</w:t>
      </w:r>
      <w:r>
        <w:rPr>
          <w:lang w:val="fr-FR"/>
        </w:rPr>
        <w:t>e</w:t>
      </w:r>
      <w:r w:rsidRPr="00551DDF">
        <w:rPr>
          <w:lang w:val="fr-FR"/>
        </w:rPr>
        <w:t xml:space="preserve"> de fortes attentes en matière de justice</w:t>
      </w:r>
      <w:r w:rsidR="00A73BEF">
        <w:rPr>
          <w:lang w:val="fr-FR"/>
        </w:rPr>
        <w:t>.</w:t>
      </w:r>
      <w:r w:rsidRPr="00551DDF">
        <w:rPr>
          <w:lang w:val="fr-FR"/>
        </w:rPr>
        <w:t xml:space="preserve"> </w:t>
      </w:r>
      <w:r w:rsidR="00A73BEF">
        <w:rPr>
          <w:lang w:val="fr-FR"/>
        </w:rPr>
        <w:t>P</w:t>
      </w:r>
      <w:r>
        <w:rPr>
          <w:lang w:val="fr-FR"/>
        </w:rPr>
        <w:t xml:space="preserve">our </w:t>
      </w:r>
      <w:r w:rsidR="00ED6C8A">
        <w:rPr>
          <w:lang w:val="fr-FR"/>
        </w:rPr>
        <w:t xml:space="preserve">les </w:t>
      </w:r>
      <w:r>
        <w:rPr>
          <w:lang w:val="fr-FR"/>
        </w:rPr>
        <w:t xml:space="preserve">70% d’entre </w:t>
      </w:r>
      <w:r w:rsidR="00ED6C8A">
        <w:rPr>
          <w:lang w:val="fr-FR"/>
        </w:rPr>
        <w:t xml:space="preserve">de cette </w:t>
      </w:r>
      <w:r w:rsidR="00AF1DA3">
        <w:rPr>
          <w:lang w:val="fr-FR"/>
        </w:rPr>
        <w:t>population,</w:t>
      </w:r>
      <w:r w:rsidR="00121382">
        <w:rPr>
          <w:lang w:val="fr-FR"/>
        </w:rPr>
        <w:t xml:space="preserve"> </w:t>
      </w:r>
      <w:r w:rsidR="00ED6C8A">
        <w:rPr>
          <w:lang w:val="fr-FR"/>
        </w:rPr>
        <w:t xml:space="preserve">la justice </w:t>
      </w:r>
      <w:r w:rsidR="00121382" w:rsidRPr="00551DDF">
        <w:rPr>
          <w:lang w:val="fr-FR"/>
        </w:rPr>
        <w:t>constitue</w:t>
      </w:r>
      <w:r w:rsidRPr="00551DDF">
        <w:rPr>
          <w:lang w:val="fr-FR"/>
        </w:rPr>
        <w:t xml:space="preserve"> un élément essentiel pour la construction d’une paix durable</w:t>
      </w:r>
      <w:r w:rsidR="00ED6C8A">
        <w:rPr>
          <w:lang w:val="fr-FR"/>
        </w:rPr>
        <w:t xml:space="preserve">. Il faut rappeler que, </w:t>
      </w:r>
      <w:r w:rsidRPr="00551DDF">
        <w:rPr>
          <w:lang w:val="fr-FR"/>
        </w:rPr>
        <w:t>88% de la population se considère</w:t>
      </w:r>
      <w:r w:rsidR="00ED6C8A">
        <w:rPr>
          <w:lang w:val="fr-FR"/>
        </w:rPr>
        <w:t>nt</w:t>
      </w:r>
      <w:r w:rsidRPr="00551DDF">
        <w:rPr>
          <w:lang w:val="fr-FR"/>
        </w:rPr>
        <w:t xml:space="preserve"> comme victime</w:t>
      </w:r>
      <w:r w:rsidR="00ED6C8A">
        <w:rPr>
          <w:lang w:val="fr-FR"/>
        </w:rPr>
        <w:t>s</w:t>
      </w:r>
      <w:r w:rsidRPr="00551DDF">
        <w:rPr>
          <w:lang w:val="fr-FR"/>
        </w:rPr>
        <w:t xml:space="preserve"> des différents épisodes violents</w:t>
      </w:r>
      <w:r w:rsidR="00ED6C8A">
        <w:rPr>
          <w:lang w:val="fr-FR"/>
        </w:rPr>
        <w:t xml:space="preserve"> que le pays a connus. Ce qui justifie davantage</w:t>
      </w:r>
      <w:r w:rsidRPr="00551DDF">
        <w:rPr>
          <w:lang w:val="fr-FR"/>
        </w:rPr>
        <w:t xml:space="preserve"> les attentes vis-à-vis des mécanismes de justice transitionnelle </w:t>
      </w:r>
      <w:r w:rsidR="00ED6C8A">
        <w:rPr>
          <w:lang w:val="fr-FR"/>
        </w:rPr>
        <w:t xml:space="preserve">qui </w:t>
      </w:r>
      <w:r w:rsidRPr="00551DDF">
        <w:rPr>
          <w:lang w:val="fr-FR"/>
        </w:rPr>
        <w:t xml:space="preserve">sont particulièrement </w:t>
      </w:r>
      <w:r w:rsidR="00121382" w:rsidRPr="00551DDF">
        <w:rPr>
          <w:lang w:val="fr-FR"/>
        </w:rPr>
        <w:t>élevé</w:t>
      </w:r>
      <w:r w:rsidR="00ED6C8A">
        <w:rPr>
          <w:lang w:val="fr-FR"/>
        </w:rPr>
        <w:t>e</w:t>
      </w:r>
      <w:r w:rsidR="00121382" w:rsidRPr="00551DDF">
        <w:rPr>
          <w:lang w:val="fr-FR"/>
        </w:rPr>
        <w:t>s</w:t>
      </w:r>
      <w:r>
        <w:rPr>
          <w:lang w:val="fr-FR"/>
        </w:rPr>
        <w:t xml:space="preserve">. </w:t>
      </w:r>
      <w:r w:rsidRPr="00551DDF">
        <w:rPr>
          <w:lang w:val="fr-FR"/>
        </w:rPr>
        <w:t> </w:t>
      </w:r>
    </w:p>
    <w:p w14:paraId="5A3F9443" w14:textId="77777777" w:rsidR="00E2086E" w:rsidRPr="00551DDF" w:rsidRDefault="00E2086E" w:rsidP="00E2086E">
      <w:pPr>
        <w:jc w:val="both"/>
        <w:rPr>
          <w:lang w:val="fr-FR"/>
        </w:rPr>
      </w:pPr>
    </w:p>
    <w:p w14:paraId="5427BDC2" w14:textId="3A7AEFA5" w:rsidR="00E2086E" w:rsidRDefault="00E2086E" w:rsidP="00E2086E">
      <w:pPr>
        <w:jc w:val="both"/>
        <w:rPr>
          <w:lang w:val="fr-FR"/>
        </w:rPr>
      </w:pPr>
      <w:r>
        <w:rPr>
          <w:lang w:val="fr-FR"/>
        </w:rPr>
        <w:t>La consolidation de la réforme du secteur de la justice à travers la PSJ, ainsi que l’accès à la justice facilité directement par le projet avec l’offre de services des cliniques juridiques et la tenue d’audiences foraines, sont des évènements</w:t>
      </w:r>
      <w:r w:rsidR="00ED6C8A">
        <w:rPr>
          <w:lang w:val="fr-FR"/>
        </w:rPr>
        <w:t xml:space="preserve"> et actions</w:t>
      </w:r>
      <w:r>
        <w:rPr>
          <w:lang w:val="fr-FR"/>
        </w:rPr>
        <w:t xml:space="preserve"> visibles </w:t>
      </w:r>
      <w:r w:rsidR="00ED6C8A">
        <w:rPr>
          <w:lang w:val="fr-FR"/>
        </w:rPr>
        <w:t xml:space="preserve">dont les impacts vont </w:t>
      </w:r>
      <w:r w:rsidR="00121382">
        <w:rPr>
          <w:lang w:val="fr-FR"/>
        </w:rPr>
        <w:t>au-delà</w:t>
      </w:r>
      <w:r>
        <w:rPr>
          <w:lang w:val="fr-FR"/>
        </w:rPr>
        <w:t xml:space="preserve"> </w:t>
      </w:r>
      <w:r w:rsidR="00ED6C8A">
        <w:rPr>
          <w:lang w:val="fr-FR"/>
        </w:rPr>
        <w:t xml:space="preserve">de l’appui </w:t>
      </w:r>
      <w:r w:rsidR="00AF1DA3">
        <w:rPr>
          <w:lang w:val="fr-FR"/>
        </w:rPr>
        <w:t>aux victimes</w:t>
      </w:r>
      <w:r>
        <w:rPr>
          <w:lang w:val="fr-FR"/>
        </w:rPr>
        <w:t xml:space="preserve"> immédiates</w:t>
      </w:r>
      <w:r w:rsidR="00ED6C8A">
        <w:rPr>
          <w:lang w:val="fr-FR"/>
        </w:rPr>
        <w:t>. Ils ont permis de</w:t>
      </w:r>
      <w:r>
        <w:rPr>
          <w:lang w:val="fr-FR"/>
        </w:rPr>
        <w:t xml:space="preserve"> </w:t>
      </w:r>
      <w:r w:rsidR="00ED6C8A">
        <w:rPr>
          <w:lang w:val="fr-FR"/>
        </w:rPr>
        <w:t>replacer</w:t>
      </w:r>
      <w:r>
        <w:rPr>
          <w:lang w:val="fr-FR"/>
        </w:rPr>
        <w:t xml:space="preserve"> la confiance </w:t>
      </w:r>
      <w:r w:rsidR="00ED6C8A">
        <w:rPr>
          <w:lang w:val="fr-FR"/>
        </w:rPr>
        <w:t xml:space="preserve">des populations </w:t>
      </w:r>
      <w:r>
        <w:rPr>
          <w:lang w:val="fr-FR"/>
        </w:rPr>
        <w:t xml:space="preserve">dans la justice, </w:t>
      </w:r>
      <w:r w:rsidR="00ED6C8A">
        <w:rPr>
          <w:lang w:val="fr-FR"/>
        </w:rPr>
        <w:t xml:space="preserve">d’entretenir la paix et la quiétude sociale et renforcer </w:t>
      </w:r>
      <w:r w:rsidR="002B48FC">
        <w:rPr>
          <w:lang w:val="fr-FR"/>
        </w:rPr>
        <w:t xml:space="preserve">l’Etat de droit. </w:t>
      </w:r>
    </w:p>
    <w:p w14:paraId="13A79924" w14:textId="77777777" w:rsidR="00E2086E" w:rsidRDefault="00E2086E" w:rsidP="00E2086E">
      <w:pPr>
        <w:jc w:val="both"/>
        <w:rPr>
          <w:lang w:val="fr-FR"/>
        </w:rPr>
      </w:pPr>
    </w:p>
    <w:p w14:paraId="1FAAAF81" w14:textId="231B8A85" w:rsidR="00E2086E" w:rsidRDefault="00E2086E" w:rsidP="00E2086E">
      <w:pPr>
        <w:jc w:val="both"/>
        <w:rPr>
          <w:lang w:val="fr-FR"/>
        </w:rPr>
      </w:pPr>
      <w:r w:rsidRPr="00551DDF">
        <w:rPr>
          <w:lang w:val="fr-FR"/>
        </w:rPr>
        <w:t xml:space="preserve">L’étude sur les modalités de réparations qui a été conduite selon une approche participative et inclusive auprès de nombreuses associations de victimes, déplacés et retournés ainsi </w:t>
      </w:r>
      <w:r w:rsidR="002B48FC">
        <w:rPr>
          <w:lang w:val="fr-FR"/>
        </w:rPr>
        <w:t xml:space="preserve">qu’au niveau des </w:t>
      </w:r>
      <w:r w:rsidRPr="00551DDF">
        <w:rPr>
          <w:lang w:val="fr-FR"/>
        </w:rPr>
        <w:t xml:space="preserve">autorités nationales, a été présentée lors de la retraite de la CVJRR. Ces données complétées par les résultats du sondage de perception quant aux aspirations des victimes en matière de réparation, permettront d’enrichir les réflexions </w:t>
      </w:r>
      <w:r>
        <w:rPr>
          <w:lang w:val="fr-FR"/>
        </w:rPr>
        <w:t>pour la</w:t>
      </w:r>
      <w:r w:rsidRPr="00551DDF">
        <w:rPr>
          <w:lang w:val="fr-FR"/>
        </w:rPr>
        <w:t xml:space="preserve"> définition d’un programme national de réparation répondant aux attentes et </w:t>
      </w:r>
      <w:r w:rsidR="002B48FC">
        <w:rPr>
          <w:lang w:val="fr-FR"/>
        </w:rPr>
        <w:t xml:space="preserve">aux </w:t>
      </w:r>
      <w:r w:rsidRPr="00551DDF">
        <w:rPr>
          <w:lang w:val="fr-FR"/>
        </w:rPr>
        <w:t>besoins des communautés.</w:t>
      </w:r>
    </w:p>
    <w:p w14:paraId="721BAEE4" w14:textId="77777777" w:rsidR="00E2086E" w:rsidRPr="00551DDF" w:rsidRDefault="00E2086E" w:rsidP="00E2086E">
      <w:pPr>
        <w:jc w:val="both"/>
        <w:rPr>
          <w:lang w:val="fr-FR"/>
        </w:rPr>
      </w:pPr>
    </w:p>
    <w:p w14:paraId="2B116886" w14:textId="77777777" w:rsidR="00E2086E" w:rsidRPr="00937815" w:rsidRDefault="00E2086E" w:rsidP="00E2086E">
      <w:pPr>
        <w:jc w:val="both"/>
        <w:rPr>
          <w:lang w:val="fr-FR"/>
        </w:rPr>
      </w:pPr>
      <w:r w:rsidRPr="00937815">
        <w:rPr>
          <w:lang w:val="fr-FR"/>
        </w:rPr>
        <w:t xml:space="preserve">En outre, l’accès à la justice de </w:t>
      </w:r>
      <w:r>
        <w:rPr>
          <w:lang w:val="fr-FR"/>
        </w:rPr>
        <w:t>11 431</w:t>
      </w:r>
      <w:r w:rsidRPr="00937815">
        <w:rPr>
          <w:lang w:val="fr-FR"/>
        </w:rPr>
        <w:t xml:space="preserve"> victimes, y compris </w:t>
      </w:r>
      <w:r>
        <w:rPr>
          <w:lang w:val="fr-FR"/>
        </w:rPr>
        <w:t>9 602 femmes</w:t>
      </w:r>
      <w:r w:rsidRPr="00937815">
        <w:rPr>
          <w:lang w:val="fr-FR"/>
        </w:rPr>
        <w:t>, a été facilité grâce à l’appui aux cliniques juridiques</w:t>
      </w:r>
      <w:r>
        <w:rPr>
          <w:lang w:val="fr-FR"/>
        </w:rPr>
        <w:t xml:space="preserve"> et aux centres d’écoute</w:t>
      </w:r>
      <w:r w:rsidRPr="00937815">
        <w:rPr>
          <w:lang w:val="fr-FR"/>
        </w:rPr>
        <w:t>.</w:t>
      </w:r>
    </w:p>
    <w:p w14:paraId="754D319C" w14:textId="77777777" w:rsidR="00F13655" w:rsidRPr="00E2086E" w:rsidRDefault="00F13655" w:rsidP="004E45CD">
      <w:pPr>
        <w:ind w:left="-90"/>
        <w:rPr>
          <w:b/>
          <w:lang w:val="fr-FR"/>
        </w:rPr>
      </w:pPr>
    </w:p>
    <w:p w14:paraId="5C7C7FD0" w14:textId="7CE21229" w:rsidR="00F72415" w:rsidRDefault="00F72415" w:rsidP="00121382">
      <w:pPr>
        <w:jc w:val="both"/>
        <w:rPr>
          <w:lang w:val="fr-FR"/>
        </w:rPr>
      </w:pPr>
      <w:r w:rsidRPr="00742407">
        <w:rPr>
          <w:lang w:val="fr-FR"/>
        </w:rPr>
        <w:t xml:space="preserve">Vous pouvez également joindre un maximum de 3 </w:t>
      </w:r>
      <w:r w:rsidRPr="00742407">
        <w:t>ﬁ</w:t>
      </w:r>
      <w:proofErr w:type="spellStart"/>
      <w:r w:rsidRPr="00742407">
        <w:rPr>
          <w:lang w:val="fr-FR"/>
        </w:rPr>
        <w:t>chiers</w:t>
      </w:r>
      <w:proofErr w:type="spellEnd"/>
      <w:r w:rsidRPr="00742407">
        <w:rPr>
          <w:lang w:val="fr-FR"/>
        </w:rPr>
        <w:t xml:space="preserve"> dans di</w:t>
      </w:r>
      <w:r w:rsidRPr="00742407">
        <w:t>ﬀ</w:t>
      </w:r>
      <w:proofErr w:type="spellStart"/>
      <w:r w:rsidRPr="00742407">
        <w:rPr>
          <w:lang w:val="fr-FR"/>
        </w:rPr>
        <w:t>érents</w:t>
      </w:r>
      <w:proofErr w:type="spellEnd"/>
      <w:r w:rsidRPr="00742407">
        <w:rPr>
          <w:lang w:val="fr-FR"/>
        </w:rPr>
        <w:t xml:space="preserve"> formats (</w:t>
      </w:r>
      <w:r w:rsidRPr="00742407">
        <w:t>ﬁ</w:t>
      </w:r>
      <w:proofErr w:type="spellStart"/>
      <w:r w:rsidRPr="00742407">
        <w:rPr>
          <w:lang w:val="fr-FR"/>
        </w:rPr>
        <w:t>chiers</w:t>
      </w:r>
      <w:proofErr w:type="spellEnd"/>
      <w:r w:rsidRPr="00742407">
        <w:rPr>
          <w:lang w:val="fr-FR"/>
        </w:rPr>
        <w:t xml:space="preserve"> image, </w:t>
      </w:r>
      <w:proofErr w:type="spellStart"/>
      <w:r w:rsidRPr="00742407">
        <w:rPr>
          <w:lang w:val="fr-FR"/>
        </w:rPr>
        <w:t>powerpoint</w:t>
      </w:r>
      <w:proofErr w:type="spellEnd"/>
      <w:r w:rsidRPr="00742407">
        <w:rPr>
          <w:lang w:val="fr-FR"/>
        </w:rPr>
        <w:t xml:space="preserve">, </w:t>
      </w:r>
      <w:proofErr w:type="spellStart"/>
      <w:r w:rsidRPr="00742407">
        <w:rPr>
          <w:lang w:val="fr-FR"/>
        </w:rPr>
        <w:t>pdf</w:t>
      </w:r>
      <w:proofErr w:type="spellEnd"/>
      <w:r w:rsidRPr="00742407">
        <w:rPr>
          <w:lang w:val="fr-FR"/>
        </w:rPr>
        <w:t>, vidéo, etc.) et 3 liens à des ressources web pour illustrer l'impact humain du projet</w:t>
      </w:r>
      <w:r w:rsidR="00116E27" w:rsidRPr="00742407">
        <w:rPr>
          <w:lang w:val="fr-FR"/>
        </w:rPr>
        <w:t xml:space="preserve"> [OPTION</w:t>
      </w:r>
      <w:r w:rsidR="00F13655" w:rsidRPr="00742407">
        <w:rPr>
          <w:lang w:val="fr-FR"/>
        </w:rPr>
        <w:t>ELLE</w:t>
      </w:r>
      <w:r w:rsidR="00116E27" w:rsidRPr="00742407">
        <w:rPr>
          <w:lang w:val="fr-FR"/>
        </w:rPr>
        <w:t>]</w:t>
      </w:r>
    </w:p>
    <w:p w14:paraId="0DFC3E6A" w14:textId="77777777" w:rsidR="00714364" w:rsidRPr="00742407" w:rsidRDefault="00714364" w:rsidP="004E45CD">
      <w:pPr>
        <w:ind w:left="-90"/>
        <w:rPr>
          <w:lang w:val="fr-F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5629"/>
      </w:tblGrid>
      <w:tr w:rsidR="00742407" w:rsidRPr="006B0660" w14:paraId="6223FF62" w14:textId="77777777" w:rsidTr="00121382">
        <w:tc>
          <w:tcPr>
            <w:tcW w:w="3443" w:type="dxa"/>
            <w:shd w:val="clear" w:color="auto" w:fill="auto"/>
          </w:tcPr>
          <w:p w14:paraId="7B7A7B24" w14:textId="77777777" w:rsidR="00742407" w:rsidRPr="00742407" w:rsidRDefault="00742407" w:rsidP="00742407">
            <w:pPr>
              <w:jc w:val="both"/>
              <w:rPr>
                <w:lang w:val="fr-FR"/>
              </w:rPr>
            </w:pPr>
            <w:r w:rsidRPr="00742407">
              <w:rPr>
                <w:b/>
                <w:bCs/>
                <w:u w:val="single"/>
                <w:lang w:val="fr-FR"/>
              </w:rPr>
              <w:t>Suivi</w:t>
            </w:r>
            <w:r w:rsidRPr="00742407">
              <w:rPr>
                <w:b/>
                <w:bCs/>
                <w:lang w:val="fr-FR"/>
              </w:rPr>
              <w:t xml:space="preserve"> : </w:t>
            </w:r>
            <w:r w:rsidRPr="00742407">
              <w:rPr>
                <w:lang w:val="fr-FR"/>
              </w:rPr>
              <w:t>Indiquez les activités de suivi conduites dans la période du rapport (Limite de 1000 caractères)</w:t>
            </w:r>
          </w:p>
          <w:p w14:paraId="24D30512" w14:textId="77777777" w:rsidR="00742407" w:rsidRPr="00742407" w:rsidRDefault="00742407" w:rsidP="00742407">
            <w:pPr>
              <w:rPr>
                <w:iCs/>
                <w:lang w:val="fr-FR"/>
              </w:rPr>
            </w:pPr>
          </w:p>
          <w:p w14:paraId="4E765A15" w14:textId="77777777" w:rsidR="00742407" w:rsidRPr="00742407" w:rsidRDefault="00742407" w:rsidP="00742407">
            <w:pPr>
              <w:jc w:val="both"/>
              <w:rPr>
                <w:lang w:val="fr-FR"/>
              </w:rPr>
            </w:pPr>
            <w:r w:rsidRPr="00742407">
              <w:rPr>
                <w:lang w:val="fr-FR"/>
              </w:rPr>
              <w:t xml:space="preserve">Des missions de suivi et évaluation ont été conduites auprès des cliniques juridiques afin d’évaluer les capacités techniques des organisations et la qualité des services rendus aux populations. </w:t>
            </w:r>
          </w:p>
          <w:p w14:paraId="2D6AA99A" w14:textId="77777777" w:rsidR="00742407" w:rsidRPr="00742407" w:rsidRDefault="00742407" w:rsidP="00742407">
            <w:pPr>
              <w:jc w:val="both"/>
              <w:rPr>
                <w:lang w:val="fr-FR"/>
              </w:rPr>
            </w:pPr>
          </w:p>
          <w:p w14:paraId="6FF947D8" w14:textId="77777777" w:rsidR="00742407" w:rsidRPr="00742407" w:rsidRDefault="00742407" w:rsidP="00742407">
            <w:pPr>
              <w:jc w:val="both"/>
              <w:rPr>
                <w:lang w:val="fr-FR"/>
              </w:rPr>
            </w:pPr>
            <w:r w:rsidRPr="00742407">
              <w:rPr>
                <w:lang w:val="fr-FR"/>
              </w:rPr>
              <w:t xml:space="preserve">Plusieurs réunions de coordination ont été également organisées entre les agences d’exécution du projet pour faire un bilan régulier sur la mise en œuvre du projet. </w:t>
            </w:r>
          </w:p>
          <w:p w14:paraId="49460D93" w14:textId="77777777" w:rsidR="00742407" w:rsidRPr="00742407" w:rsidRDefault="00742407" w:rsidP="00742407">
            <w:pPr>
              <w:jc w:val="both"/>
              <w:rPr>
                <w:lang w:val="fr-FR"/>
              </w:rPr>
            </w:pPr>
          </w:p>
          <w:p w14:paraId="1F838DA8" w14:textId="77777777" w:rsidR="00742407" w:rsidRPr="00742407" w:rsidRDefault="00742407" w:rsidP="00742407">
            <w:pPr>
              <w:jc w:val="both"/>
              <w:rPr>
                <w:lang w:val="fr-FR"/>
              </w:rPr>
            </w:pPr>
            <w:r w:rsidRPr="00742407">
              <w:rPr>
                <w:lang w:val="fr-FR"/>
              </w:rPr>
              <w:t xml:space="preserve">Les interventions du projet sont discutées lors des réunions des groupes thématiques de la PSJ, permettant d’assurer leur pertinence et la cohérence avec les priorités nationales et de développer des synergies avec d’autres partenaires. </w:t>
            </w:r>
          </w:p>
          <w:p w14:paraId="14DE23ED" w14:textId="77777777" w:rsidR="00742407" w:rsidRPr="00742407" w:rsidRDefault="00742407" w:rsidP="00742407">
            <w:pPr>
              <w:jc w:val="both"/>
              <w:rPr>
                <w:lang w:val="fr-FR"/>
              </w:rPr>
            </w:pPr>
          </w:p>
          <w:p w14:paraId="2914EFED" w14:textId="77777777" w:rsidR="00742407" w:rsidRPr="00742407" w:rsidRDefault="00742407" w:rsidP="00742407">
            <w:pPr>
              <w:jc w:val="both"/>
              <w:rPr>
                <w:iCs/>
                <w:color w:val="002060"/>
                <w:lang w:val="fr-FR"/>
              </w:rPr>
            </w:pPr>
            <w:r w:rsidRPr="00742407">
              <w:rPr>
                <w:lang w:val="fr-FR"/>
              </w:rPr>
              <w:t>La réunion du Comité de Pilotage de la PSJ est en cours de préparation.</w:t>
            </w:r>
            <w:r w:rsidRPr="00742407">
              <w:rPr>
                <w:iCs/>
                <w:color w:val="002060"/>
                <w:lang w:val="fr-FR"/>
              </w:rPr>
              <w:t xml:space="preserve">  </w:t>
            </w:r>
          </w:p>
        </w:tc>
        <w:tc>
          <w:tcPr>
            <w:tcW w:w="5629" w:type="dxa"/>
            <w:shd w:val="clear" w:color="auto" w:fill="auto"/>
          </w:tcPr>
          <w:p w14:paraId="23450CC0" w14:textId="77777777" w:rsidR="00742407" w:rsidRPr="00742407" w:rsidRDefault="00742407" w:rsidP="00742407">
            <w:pPr>
              <w:jc w:val="both"/>
              <w:rPr>
                <w:lang w:val="fr-FR"/>
              </w:rPr>
            </w:pPr>
            <w:r w:rsidRPr="00742407">
              <w:rPr>
                <w:lang w:val="fr-FR"/>
              </w:rPr>
              <w:t xml:space="preserve">Est-ce que les indicateurs des résultats ont des bases de référence ? </w:t>
            </w:r>
            <w:r w:rsidRPr="00742407">
              <w:rPr>
                <w:lang w:val="fr-CD"/>
              </w:rPr>
              <w:t>OUI</w:t>
            </w:r>
          </w:p>
          <w:p w14:paraId="2B06D753" w14:textId="77777777" w:rsidR="00742407" w:rsidRPr="00742407" w:rsidRDefault="00742407" w:rsidP="00742407">
            <w:pPr>
              <w:jc w:val="both"/>
              <w:rPr>
                <w:lang w:val="fr-FR"/>
              </w:rPr>
            </w:pPr>
          </w:p>
          <w:p w14:paraId="407F601F" w14:textId="77777777" w:rsidR="00742407" w:rsidRPr="00742407" w:rsidRDefault="00742407" w:rsidP="00742407">
            <w:pPr>
              <w:jc w:val="both"/>
              <w:rPr>
                <w:lang w:val="fr-CD"/>
              </w:rPr>
            </w:pPr>
            <w:r w:rsidRPr="00742407">
              <w:rPr>
                <w:lang w:val="fr-FR"/>
              </w:rPr>
              <w:t xml:space="preserve">Le projet a-t-il lancé des enquêtes de perception ou d'autres collectes de données communautaires ? </w:t>
            </w:r>
            <w:r w:rsidRPr="00742407">
              <w:rPr>
                <w:lang w:val="fr-CD"/>
              </w:rPr>
              <w:t>OUI</w:t>
            </w:r>
          </w:p>
          <w:p w14:paraId="71975E59" w14:textId="77777777" w:rsidR="00742407" w:rsidRPr="00742407" w:rsidRDefault="00742407" w:rsidP="00742407">
            <w:pPr>
              <w:jc w:val="both"/>
              <w:rPr>
                <w:lang w:val="fr-FR"/>
              </w:rPr>
            </w:pPr>
          </w:p>
          <w:p w14:paraId="570B7B69" w14:textId="275D8428" w:rsidR="00742407" w:rsidRPr="00742407" w:rsidRDefault="00742407" w:rsidP="00742407">
            <w:pPr>
              <w:jc w:val="both"/>
              <w:rPr>
                <w:color w:val="002060"/>
                <w:lang w:val="fr-FR"/>
              </w:rPr>
            </w:pPr>
            <w:r w:rsidRPr="00742407">
              <w:rPr>
                <w:lang w:val="fr-FR"/>
              </w:rPr>
              <w:t>Le rapport du 6</w:t>
            </w:r>
            <w:r w:rsidRPr="00742407">
              <w:rPr>
                <w:vertAlign w:val="superscript"/>
                <w:lang w:val="fr-FR"/>
              </w:rPr>
              <w:t>ème</w:t>
            </w:r>
            <w:r w:rsidR="00D405F8">
              <w:rPr>
                <w:lang w:val="fr-FR"/>
              </w:rPr>
              <w:t xml:space="preserve"> </w:t>
            </w:r>
            <w:r w:rsidRPr="00742407">
              <w:rPr>
                <w:lang w:val="fr-FR"/>
              </w:rPr>
              <w:t xml:space="preserve">sondage de perception organisé en </w:t>
            </w:r>
            <w:r w:rsidR="002B48FC">
              <w:rPr>
                <w:lang w:val="fr-FR"/>
              </w:rPr>
              <w:t>d</w:t>
            </w:r>
            <w:r w:rsidRPr="00742407">
              <w:rPr>
                <w:lang w:val="fr-FR"/>
              </w:rPr>
              <w:t xml:space="preserve">écembre 2020 a été finalisé et présenté officiellement en août. Il a été mené entre le 23 </w:t>
            </w:r>
            <w:r w:rsidR="002B48FC">
              <w:rPr>
                <w:lang w:val="fr-FR"/>
              </w:rPr>
              <w:t>n</w:t>
            </w:r>
            <w:r w:rsidRPr="00742407">
              <w:rPr>
                <w:lang w:val="fr-FR"/>
              </w:rPr>
              <w:t xml:space="preserve">ovembre et le 25 </w:t>
            </w:r>
            <w:r w:rsidR="002B48FC">
              <w:rPr>
                <w:lang w:val="fr-FR"/>
              </w:rPr>
              <w:t>d</w:t>
            </w:r>
            <w:r w:rsidRPr="00742407">
              <w:rPr>
                <w:lang w:val="fr-FR"/>
              </w:rPr>
              <w:t xml:space="preserve">écembre 2020 dans 13 préfectures et </w:t>
            </w:r>
            <w:r w:rsidR="002B48FC">
              <w:rPr>
                <w:lang w:val="fr-FR"/>
              </w:rPr>
              <w:t xml:space="preserve">à </w:t>
            </w:r>
            <w:r w:rsidRPr="00742407">
              <w:rPr>
                <w:lang w:val="fr-FR"/>
              </w:rPr>
              <w:t>Bangui auprès de 5 297 personnes représentati</w:t>
            </w:r>
            <w:r w:rsidR="002B48FC">
              <w:rPr>
                <w:lang w:val="fr-FR"/>
              </w:rPr>
              <w:t>ves</w:t>
            </w:r>
            <w:r w:rsidRPr="00742407">
              <w:rPr>
                <w:lang w:val="fr-FR"/>
              </w:rPr>
              <w:t xml:space="preserve"> de l’ensemble de la population centrafricaine. Ce 6</w:t>
            </w:r>
            <w:r w:rsidRPr="00742407">
              <w:rPr>
                <w:vertAlign w:val="superscript"/>
                <w:lang w:val="fr-FR"/>
              </w:rPr>
              <w:t>ème</w:t>
            </w:r>
            <w:r w:rsidRPr="00742407">
              <w:rPr>
                <w:lang w:val="fr-FR"/>
              </w:rPr>
              <w:t xml:space="preserve"> sondage s’est focalisé sur le processus de justice transitionnelle et les mécanismes mis en place dans le cadre de l’Accord de Paix, notamment à travers des questions spécifiques quant au sentiment de confiance dans la CPS, la CVJRR, le système judiciaire ordinaire</w:t>
            </w:r>
            <w:r w:rsidR="002B48FC">
              <w:rPr>
                <w:lang w:val="fr-FR"/>
              </w:rPr>
              <w:t>. Elle a</w:t>
            </w:r>
            <w:r w:rsidRPr="00742407">
              <w:rPr>
                <w:lang w:val="fr-FR"/>
              </w:rPr>
              <w:t xml:space="preserve"> également </w:t>
            </w:r>
            <w:r w:rsidR="002B48FC">
              <w:rPr>
                <w:lang w:val="fr-FR"/>
              </w:rPr>
              <w:t xml:space="preserve">pris en compte </w:t>
            </w:r>
            <w:r w:rsidRPr="00742407">
              <w:rPr>
                <w:lang w:val="fr-FR"/>
              </w:rPr>
              <w:t>la perception du rôle de ces mécanismes dans les efforts de consolidation de la paix, le sentiment de victimisation et les aspirations des victimes en matière de réparations.</w:t>
            </w:r>
            <w:r w:rsidRPr="00742407">
              <w:rPr>
                <w:color w:val="002060"/>
                <w:lang w:val="fr-FR"/>
              </w:rPr>
              <w:t xml:space="preserve">  </w:t>
            </w:r>
          </w:p>
          <w:p w14:paraId="6E8A4761" w14:textId="77777777" w:rsidR="00742407" w:rsidRPr="00742407" w:rsidRDefault="00742407" w:rsidP="00742407">
            <w:pPr>
              <w:jc w:val="both"/>
              <w:rPr>
                <w:color w:val="002060"/>
                <w:lang w:val="fr-FR"/>
              </w:rPr>
            </w:pPr>
          </w:p>
          <w:p w14:paraId="49E14514" w14:textId="669A2100" w:rsidR="00742407" w:rsidRPr="00742407" w:rsidRDefault="00742407" w:rsidP="00742407">
            <w:pPr>
              <w:jc w:val="both"/>
              <w:rPr>
                <w:lang w:val="fr-FR"/>
              </w:rPr>
            </w:pPr>
            <w:r w:rsidRPr="00742407">
              <w:rPr>
                <w:lang w:val="fr-FR"/>
              </w:rPr>
              <w:t>On note qu’un 7</w:t>
            </w:r>
            <w:r w:rsidRPr="00742407">
              <w:rPr>
                <w:vertAlign w:val="superscript"/>
                <w:lang w:val="fr-FR"/>
              </w:rPr>
              <w:t>ème</w:t>
            </w:r>
            <w:r w:rsidR="00D405F8">
              <w:rPr>
                <w:lang w:val="fr-FR"/>
              </w:rPr>
              <w:t xml:space="preserve"> </w:t>
            </w:r>
            <w:r w:rsidRPr="00742407">
              <w:rPr>
                <w:lang w:val="fr-FR"/>
              </w:rPr>
              <w:t>sondage était prévu lors du mois de novembre 2021, mais</w:t>
            </w:r>
            <w:r w:rsidR="002B48FC">
              <w:rPr>
                <w:lang w:val="fr-FR"/>
              </w:rPr>
              <w:t>, il n’a pu</w:t>
            </w:r>
            <w:r w:rsidRPr="00742407">
              <w:rPr>
                <w:lang w:val="fr-FR"/>
              </w:rPr>
              <w:t xml:space="preserve"> pas avoir lieu à cause de la situation sécuritaire – en termes d’accès ainsi que pour ne pas mettre à risque les enquêteurs et personnes sondé</w:t>
            </w:r>
            <w:r w:rsidR="002B48FC">
              <w:rPr>
                <w:lang w:val="fr-FR"/>
              </w:rPr>
              <w:t>e</w:t>
            </w:r>
            <w:r w:rsidRPr="00742407">
              <w:rPr>
                <w:lang w:val="fr-FR"/>
              </w:rPr>
              <w:t xml:space="preserve">s. </w:t>
            </w:r>
          </w:p>
        </w:tc>
      </w:tr>
      <w:tr w:rsidR="00742407" w:rsidRPr="006B0660" w14:paraId="2399B5FD" w14:textId="77777777" w:rsidTr="00121382">
        <w:tc>
          <w:tcPr>
            <w:tcW w:w="3443" w:type="dxa"/>
            <w:shd w:val="clear" w:color="auto" w:fill="auto"/>
          </w:tcPr>
          <w:p w14:paraId="1A093AC1" w14:textId="77777777" w:rsidR="00742407" w:rsidRPr="00742407" w:rsidRDefault="00742407" w:rsidP="00742407">
            <w:pPr>
              <w:jc w:val="both"/>
              <w:rPr>
                <w:lang w:val="fr-FR"/>
              </w:rPr>
            </w:pPr>
            <w:r w:rsidRPr="00742407">
              <w:rPr>
                <w:b/>
                <w:bCs/>
                <w:u w:val="single"/>
                <w:lang w:val="fr-FR"/>
              </w:rPr>
              <w:t>Evaluation :</w:t>
            </w:r>
            <w:r w:rsidRPr="00742407">
              <w:rPr>
                <w:lang w:val="fr-FR"/>
              </w:rPr>
              <w:t xml:space="preserve"> Est-ce qu’un exercice évaluatif a été conduit pendant la période du rapport ?</w:t>
            </w:r>
          </w:p>
          <w:p w14:paraId="6F1FC405" w14:textId="77777777" w:rsidR="00742407" w:rsidRPr="00742407" w:rsidRDefault="00742407" w:rsidP="00742407">
            <w:r w:rsidRPr="00742407">
              <w:t>NON</w:t>
            </w:r>
          </w:p>
        </w:tc>
        <w:tc>
          <w:tcPr>
            <w:tcW w:w="5629" w:type="dxa"/>
            <w:shd w:val="clear" w:color="auto" w:fill="auto"/>
          </w:tcPr>
          <w:p w14:paraId="30AFDFB7" w14:textId="77777777" w:rsidR="00742407" w:rsidRPr="00742407" w:rsidRDefault="00742407" w:rsidP="00742407">
            <w:pPr>
              <w:rPr>
                <w:lang w:val="fr-FR"/>
              </w:rPr>
            </w:pPr>
            <w:r w:rsidRPr="00742407">
              <w:rPr>
                <w:lang w:val="fr-FR"/>
              </w:rPr>
              <w:t>Budget pour évaluation finale (réponse obligatoire) :  145 000 USD.</w:t>
            </w:r>
          </w:p>
          <w:p w14:paraId="66263889" w14:textId="77777777" w:rsidR="00742407" w:rsidRPr="00742407" w:rsidRDefault="00742407" w:rsidP="00742407">
            <w:pPr>
              <w:rPr>
                <w:lang w:val="fr-FR"/>
              </w:rPr>
            </w:pPr>
          </w:p>
          <w:p w14:paraId="6353BD6E" w14:textId="77777777" w:rsidR="00742407" w:rsidRPr="00742407" w:rsidRDefault="00742407" w:rsidP="00742407">
            <w:pPr>
              <w:jc w:val="both"/>
              <w:rPr>
                <w:lang w:val="fr-FR"/>
              </w:rPr>
            </w:pPr>
            <w:r w:rsidRPr="00742407">
              <w:rPr>
                <w:lang w:val="fr-FR"/>
              </w:rPr>
              <w:t xml:space="preserve">Si le projet se termine dans les 6 prochains mois, décrire les préparatifs pour l’évaluation </w:t>
            </w:r>
            <w:r w:rsidRPr="00742407">
              <w:rPr>
                <w:i/>
                <w:lang w:val="fr-FR"/>
              </w:rPr>
              <w:t>(</w:t>
            </w:r>
            <w:r w:rsidRPr="00742407">
              <w:rPr>
                <w:lang w:val="fr-FR"/>
              </w:rPr>
              <w:t>Limite de 1500 caractères</w:t>
            </w:r>
            <w:r w:rsidRPr="00742407">
              <w:rPr>
                <w:i/>
                <w:lang w:val="fr-FR"/>
              </w:rPr>
              <w:t>)</w:t>
            </w:r>
            <w:r w:rsidRPr="00742407">
              <w:rPr>
                <w:lang w:val="fr-FR"/>
              </w:rPr>
              <w:t xml:space="preserve"> : </w:t>
            </w:r>
          </w:p>
          <w:p w14:paraId="1E9700C0" w14:textId="77777777" w:rsidR="00742407" w:rsidRPr="00742407" w:rsidRDefault="00742407" w:rsidP="00742407">
            <w:pPr>
              <w:jc w:val="both"/>
              <w:rPr>
                <w:lang w:val="fr-FR"/>
              </w:rPr>
            </w:pPr>
          </w:p>
          <w:p w14:paraId="22048CC9" w14:textId="69F21A02" w:rsidR="00742407" w:rsidRPr="00742407" w:rsidRDefault="00742407" w:rsidP="00742407">
            <w:pPr>
              <w:jc w:val="both"/>
              <w:rPr>
                <w:lang w:val="fr-FR"/>
              </w:rPr>
            </w:pPr>
            <w:r w:rsidRPr="00742407">
              <w:rPr>
                <w:lang w:val="fr-FR"/>
              </w:rPr>
              <w:t xml:space="preserve">Les termes de référence pour le recrutement de deux consultants </w:t>
            </w:r>
            <w:r w:rsidR="005346EF">
              <w:rPr>
                <w:lang w:val="fr-FR"/>
              </w:rPr>
              <w:t>dont un</w:t>
            </w:r>
            <w:r w:rsidRPr="00742407">
              <w:rPr>
                <w:lang w:val="fr-FR"/>
              </w:rPr>
              <w:t xml:space="preserve"> international et un national</w:t>
            </w:r>
            <w:r w:rsidR="005346EF">
              <w:rPr>
                <w:lang w:val="fr-FR"/>
              </w:rPr>
              <w:t xml:space="preserve"> </w:t>
            </w:r>
            <w:r w:rsidR="00F9505E">
              <w:rPr>
                <w:lang w:val="fr-FR"/>
              </w:rPr>
              <w:t xml:space="preserve">ont été partagés </w:t>
            </w:r>
            <w:r w:rsidR="005346EF">
              <w:rPr>
                <w:lang w:val="fr-FR"/>
              </w:rPr>
              <w:t>avec la Coordination du Secrétariat du PBF en RCA</w:t>
            </w:r>
            <w:r w:rsidR="00F9505E">
              <w:rPr>
                <w:lang w:val="fr-FR"/>
              </w:rPr>
              <w:t xml:space="preserve"> durant la période de ce rapport. A date</w:t>
            </w:r>
            <w:r w:rsidR="005346EF">
              <w:rPr>
                <w:lang w:val="fr-FR"/>
              </w:rPr>
              <w:t>,</w:t>
            </w:r>
            <w:r w:rsidR="00F9505E">
              <w:rPr>
                <w:lang w:val="fr-FR"/>
              </w:rPr>
              <w:t xml:space="preserve"> </w:t>
            </w:r>
            <w:r w:rsidR="005346EF">
              <w:rPr>
                <w:lang w:val="fr-FR"/>
              </w:rPr>
              <w:t>l’évaluation finale du Projet</w:t>
            </w:r>
            <w:r w:rsidR="00F9505E">
              <w:rPr>
                <w:lang w:val="fr-FR"/>
              </w:rPr>
              <w:t xml:space="preserve"> est disponible et</w:t>
            </w:r>
            <w:r w:rsidR="005346EF">
              <w:rPr>
                <w:lang w:val="fr-FR"/>
              </w:rPr>
              <w:t xml:space="preserve"> </w:t>
            </w:r>
            <w:r w:rsidR="00F9505E">
              <w:rPr>
                <w:lang w:val="fr-FR"/>
              </w:rPr>
              <w:t xml:space="preserve">le </w:t>
            </w:r>
            <w:r w:rsidR="005346EF">
              <w:rPr>
                <w:lang w:val="fr-FR"/>
              </w:rPr>
              <w:t xml:space="preserve">rapport </w:t>
            </w:r>
            <w:r w:rsidR="00F9505E">
              <w:rPr>
                <w:lang w:val="fr-FR"/>
              </w:rPr>
              <w:t xml:space="preserve">de cet important exercice </w:t>
            </w:r>
            <w:r w:rsidR="005346EF">
              <w:rPr>
                <w:lang w:val="fr-FR"/>
              </w:rPr>
              <w:t>a été validé par les différents acteurs.</w:t>
            </w:r>
            <w:r w:rsidRPr="00742407">
              <w:rPr>
                <w:lang w:val="fr-FR"/>
              </w:rPr>
              <w:t xml:space="preserve"> </w:t>
            </w:r>
          </w:p>
        </w:tc>
      </w:tr>
      <w:tr w:rsidR="00742407" w:rsidRPr="006B0660" w14:paraId="08F7F9BF" w14:textId="77777777" w:rsidTr="00121382">
        <w:tc>
          <w:tcPr>
            <w:tcW w:w="3443" w:type="dxa"/>
            <w:shd w:val="clear" w:color="auto" w:fill="auto"/>
          </w:tcPr>
          <w:p w14:paraId="5AE782E0" w14:textId="77777777" w:rsidR="00742407" w:rsidRPr="00742407" w:rsidRDefault="00742407" w:rsidP="00742407">
            <w:pPr>
              <w:jc w:val="both"/>
              <w:rPr>
                <w:lang w:val="fr-FR"/>
              </w:rPr>
            </w:pPr>
            <w:r w:rsidRPr="00742407">
              <w:rPr>
                <w:b/>
                <w:bCs/>
                <w:u w:val="single"/>
                <w:lang w:val="fr-FR"/>
              </w:rPr>
              <w:t>Effets catalytiques (financiers)</w:t>
            </w:r>
            <w:r w:rsidRPr="00742407">
              <w:rPr>
                <w:b/>
                <w:bCs/>
                <w:lang w:val="fr-FR"/>
              </w:rPr>
              <w:t xml:space="preserve"> :</w:t>
            </w:r>
            <w:r w:rsidRPr="00742407">
              <w:rPr>
                <w:lang w:val="fr-FR"/>
              </w:rPr>
              <w:t xml:space="preserve"> Indiquez le nom de l'agent de financement et le montant du soutien financier non PBF supplémentaire qui a été obtenu par le projet.</w:t>
            </w:r>
          </w:p>
        </w:tc>
        <w:tc>
          <w:tcPr>
            <w:tcW w:w="5629" w:type="dxa"/>
            <w:shd w:val="clear" w:color="auto" w:fill="auto"/>
          </w:tcPr>
          <w:p w14:paraId="7E94AEA7" w14:textId="77777777" w:rsidR="00742407" w:rsidRPr="00742407" w:rsidRDefault="00742407" w:rsidP="00742407">
            <w:pPr>
              <w:rPr>
                <w:lang w:val="fr-FR"/>
              </w:rPr>
            </w:pPr>
            <w:r w:rsidRPr="00742407">
              <w:rPr>
                <w:lang w:val="fr-FR"/>
              </w:rPr>
              <w:t>Nom de donateur :     Montant ($) :</w:t>
            </w:r>
          </w:p>
          <w:p w14:paraId="28FD305C" w14:textId="77777777" w:rsidR="00742407" w:rsidRPr="00742407" w:rsidRDefault="00742407" w:rsidP="00742407">
            <w:pPr>
              <w:rPr>
                <w:b/>
                <w:lang w:val="fr-FR"/>
              </w:rPr>
            </w:pPr>
          </w:p>
          <w:p w14:paraId="1434FE49" w14:textId="77777777" w:rsidR="00742407" w:rsidRPr="00742407" w:rsidRDefault="00742407" w:rsidP="00742407">
            <w:pPr>
              <w:rPr>
                <w:b/>
                <w:lang w:val="fr-FR"/>
              </w:rPr>
            </w:pPr>
            <w:r w:rsidRPr="00742407">
              <w:rPr>
                <w:b/>
                <w:lang w:val="fr-FR"/>
              </w:rPr>
              <w:t xml:space="preserve">Pour études de perception : </w:t>
            </w:r>
          </w:p>
          <w:p w14:paraId="500BE739" w14:textId="77777777" w:rsidR="00742407" w:rsidRPr="00742407" w:rsidRDefault="00742407" w:rsidP="00742407">
            <w:pPr>
              <w:rPr>
                <w:lang w:val="fr-FR"/>
              </w:rPr>
            </w:pPr>
          </w:p>
          <w:p w14:paraId="73B25217" w14:textId="77777777" w:rsidR="00742407" w:rsidRPr="00742407" w:rsidRDefault="00742407" w:rsidP="00742407">
            <w:pPr>
              <w:rPr>
                <w:b/>
                <w:bCs/>
                <w:lang w:val="fr-FR"/>
              </w:rPr>
            </w:pPr>
            <w:r w:rsidRPr="00742407">
              <w:rPr>
                <w:b/>
                <w:bCs/>
                <w:lang w:val="fr-FR"/>
              </w:rPr>
              <w:t xml:space="preserve">MINUSCA (SCIPI) : 100 000 USD </w:t>
            </w:r>
          </w:p>
          <w:p w14:paraId="1B043B23" w14:textId="77777777" w:rsidR="00742407" w:rsidRPr="00742407" w:rsidRDefault="00742407" w:rsidP="00742407">
            <w:pPr>
              <w:jc w:val="both"/>
              <w:rPr>
                <w:lang w:val="fr-FR"/>
              </w:rPr>
            </w:pPr>
            <w:r w:rsidRPr="00742407">
              <w:rPr>
                <w:lang w:val="fr-FR"/>
              </w:rPr>
              <w:t xml:space="preserve">Equipe d’experts des Nations Unies sur l’Etat de droit et sur les violences sexuelles liées au conflit : </w:t>
            </w:r>
            <w:r w:rsidRPr="00742407">
              <w:rPr>
                <w:b/>
                <w:bCs/>
                <w:lang w:val="fr-FR"/>
              </w:rPr>
              <w:t>100 000USD</w:t>
            </w:r>
          </w:p>
          <w:p w14:paraId="0C5D6E15" w14:textId="77777777" w:rsidR="00742407" w:rsidRPr="00742407" w:rsidRDefault="00742407" w:rsidP="00742407">
            <w:pPr>
              <w:jc w:val="both"/>
              <w:rPr>
                <w:lang w:val="fr-FR"/>
              </w:rPr>
            </w:pPr>
            <w:r w:rsidRPr="00742407">
              <w:rPr>
                <w:lang w:val="fr-FR"/>
              </w:rPr>
              <w:t xml:space="preserve">Etats-Unis : </w:t>
            </w:r>
            <w:r w:rsidRPr="00742407">
              <w:rPr>
                <w:b/>
                <w:bCs/>
                <w:lang w:val="fr-FR"/>
              </w:rPr>
              <w:t>235 000 USD</w:t>
            </w:r>
          </w:p>
          <w:p w14:paraId="7754D03A" w14:textId="77777777" w:rsidR="00742407" w:rsidRPr="00742407" w:rsidRDefault="00742407" w:rsidP="00742407">
            <w:pPr>
              <w:jc w:val="both"/>
              <w:rPr>
                <w:lang w:val="fr-FR"/>
              </w:rPr>
            </w:pPr>
          </w:p>
          <w:p w14:paraId="0BC52E8B" w14:textId="6209651F" w:rsidR="00742407" w:rsidRPr="00742407" w:rsidRDefault="00742407" w:rsidP="00742407">
            <w:pPr>
              <w:jc w:val="both"/>
              <w:rPr>
                <w:lang w:val="fr-FR"/>
              </w:rPr>
            </w:pPr>
            <w:r w:rsidRPr="00742407">
              <w:rPr>
                <w:lang w:val="fr-FR"/>
              </w:rPr>
              <w:t xml:space="preserve">Suisse : Contribution par la mise à disposition d’abord d’une P2 </w:t>
            </w:r>
            <w:r w:rsidR="00AF1DA3" w:rsidRPr="00742407">
              <w:rPr>
                <w:lang w:val="fr-FR"/>
              </w:rPr>
              <w:t>de l’expert</w:t>
            </w:r>
            <w:r w:rsidRPr="00742407">
              <w:rPr>
                <w:lang w:val="fr-FR"/>
              </w:rPr>
              <w:t xml:space="preserve"> pool suisse (2019 – 2021) puis d’une JPO (</w:t>
            </w:r>
            <w:proofErr w:type="spellStart"/>
            <w:r w:rsidRPr="00742407">
              <w:rPr>
                <w:lang w:val="fr-FR"/>
              </w:rPr>
              <w:t>Expert.e</w:t>
            </w:r>
            <w:proofErr w:type="spellEnd"/>
            <w:r w:rsidRPr="00742407">
              <w:rPr>
                <w:lang w:val="fr-FR"/>
              </w:rPr>
              <w:t xml:space="preserve"> justice transitionnelle) pour un cout estimé de </w:t>
            </w:r>
            <w:r w:rsidRPr="00742407">
              <w:rPr>
                <w:b/>
                <w:bCs/>
                <w:lang w:val="fr-FR"/>
              </w:rPr>
              <w:t>200 000 USD/an</w:t>
            </w:r>
            <w:r w:rsidRPr="00742407">
              <w:rPr>
                <w:lang w:val="fr-FR"/>
              </w:rPr>
              <w:t xml:space="preserve">, à partir de janvier </w:t>
            </w:r>
            <w:r w:rsidR="00AF1DA3" w:rsidRPr="00742407">
              <w:rPr>
                <w:lang w:val="fr-FR"/>
              </w:rPr>
              <w:t>2022.</w:t>
            </w:r>
            <w:r w:rsidRPr="00742407">
              <w:rPr>
                <w:lang w:val="fr-FR"/>
              </w:rPr>
              <w:t xml:space="preserve"> </w:t>
            </w:r>
          </w:p>
          <w:p w14:paraId="26974C83" w14:textId="77777777" w:rsidR="00742407" w:rsidRPr="00AF1DA3" w:rsidRDefault="00742407" w:rsidP="00742407">
            <w:pPr>
              <w:jc w:val="both"/>
              <w:rPr>
                <w:sz w:val="14"/>
                <w:szCs w:val="14"/>
                <w:lang w:val="fr-FR"/>
              </w:rPr>
            </w:pPr>
          </w:p>
          <w:p w14:paraId="155EF20B" w14:textId="77777777" w:rsidR="00742407" w:rsidRPr="00742407" w:rsidRDefault="00742407" w:rsidP="00742407">
            <w:pPr>
              <w:jc w:val="both"/>
              <w:rPr>
                <w:lang w:val="fr-FR"/>
              </w:rPr>
            </w:pPr>
            <w:r w:rsidRPr="00742407">
              <w:rPr>
                <w:lang w:val="fr-FR"/>
              </w:rPr>
              <w:t xml:space="preserve">Union Européenne : </w:t>
            </w:r>
            <w:r w:rsidRPr="00742407">
              <w:rPr>
                <w:b/>
                <w:bCs/>
                <w:lang w:val="fr-FR"/>
              </w:rPr>
              <w:t>139 000 USD</w:t>
            </w:r>
            <w:r w:rsidRPr="00742407">
              <w:rPr>
                <w:lang w:val="fr-FR"/>
              </w:rPr>
              <w:t xml:space="preserve"> d’appui budgétaire au secteur de la Justice pour la mise en place des mécanismes de l’aide légale.</w:t>
            </w:r>
          </w:p>
          <w:p w14:paraId="7678492A" w14:textId="77777777" w:rsidR="00742407" w:rsidRPr="00AF1DA3" w:rsidRDefault="00742407" w:rsidP="00742407">
            <w:pPr>
              <w:jc w:val="both"/>
              <w:rPr>
                <w:sz w:val="12"/>
                <w:szCs w:val="12"/>
                <w:lang w:val="fr-FR"/>
              </w:rPr>
            </w:pPr>
          </w:p>
          <w:p w14:paraId="7F9BC0CC" w14:textId="77777777" w:rsidR="00742407" w:rsidRPr="00742407" w:rsidRDefault="00742407" w:rsidP="00742407">
            <w:pPr>
              <w:jc w:val="both"/>
              <w:rPr>
                <w:lang w:val="fr-FR"/>
              </w:rPr>
            </w:pPr>
            <w:r w:rsidRPr="00742407">
              <w:rPr>
                <w:lang w:val="fr-FR"/>
              </w:rPr>
              <w:t xml:space="preserve">ONU Femmes : </w:t>
            </w:r>
            <w:r w:rsidRPr="00742407">
              <w:rPr>
                <w:b/>
                <w:bCs/>
                <w:lang w:val="fr-FR"/>
              </w:rPr>
              <w:t>30 000 USD</w:t>
            </w:r>
            <w:r w:rsidRPr="00742407">
              <w:rPr>
                <w:lang w:val="fr-FR"/>
              </w:rPr>
              <w:t xml:space="preserve"> pour réaliser une étude sur les lois discriminatoires à l’accès des femmes à la justice.</w:t>
            </w:r>
          </w:p>
          <w:p w14:paraId="15404BB9" w14:textId="77777777" w:rsidR="00742407" w:rsidRPr="00AF1DA3" w:rsidRDefault="00742407" w:rsidP="00742407">
            <w:pPr>
              <w:rPr>
                <w:sz w:val="16"/>
                <w:szCs w:val="16"/>
                <w:lang w:val="fr-FR"/>
              </w:rPr>
            </w:pPr>
          </w:p>
          <w:p w14:paraId="5EA5A430" w14:textId="77777777" w:rsidR="00742407" w:rsidRPr="00742407" w:rsidRDefault="00742407" w:rsidP="00742407">
            <w:pPr>
              <w:jc w:val="both"/>
              <w:rPr>
                <w:lang w:val="fr-FR"/>
              </w:rPr>
            </w:pPr>
            <w:r w:rsidRPr="00742407">
              <w:rPr>
                <w:lang w:val="fr-FR"/>
              </w:rPr>
              <w:t xml:space="preserve">ONU SIDA : </w:t>
            </w:r>
            <w:r w:rsidRPr="00742407">
              <w:rPr>
                <w:b/>
                <w:bCs/>
                <w:lang w:val="fr-FR"/>
              </w:rPr>
              <w:t>44 600 USD</w:t>
            </w:r>
            <w:r w:rsidRPr="00742407">
              <w:rPr>
                <w:lang w:val="fr-FR"/>
              </w:rPr>
              <w:t xml:space="preserve"> dans le cadre de l’enveloppe pays a contribué aux efforts du projet.</w:t>
            </w:r>
          </w:p>
          <w:p w14:paraId="1398B72F" w14:textId="77777777" w:rsidR="00742407" w:rsidRPr="00AF1DA3" w:rsidRDefault="00742407" w:rsidP="00742407">
            <w:pPr>
              <w:jc w:val="both"/>
              <w:rPr>
                <w:sz w:val="16"/>
                <w:szCs w:val="16"/>
                <w:lang w:val="fr-CH"/>
              </w:rPr>
            </w:pPr>
          </w:p>
          <w:p w14:paraId="64B82F35" w14:textId="77777777" w:rsidR="00742407" w:rsidRPr="00742407" w:rsidRDefault="00742407" w:rsidP="00742407">
            <w:pPr>
              <w:jc w:val="both"/>
              <w:rPr>
                <w:color w:val="002060"/>
                <w:lang w:val="fr-CH"/>
              </w:rPr>
            </w:pPr>
            <w:r w:rsidRPr="00742407">
              <w:rPr>
                <w:lang w:val="fr-CH"/>
              </w:rPr>
              <w:t xml:space="preserve">MINUSCA DDH/OHCHR : Fonds Programmatiques estimés à </w:t>
            </w:r>
            <w:r w:rsidRPr="00742407">
              <w:rPr>
                <w:b/>
                <w:bCs/>
                <w:lang w:val="fr-CH"/>
              </w:rPr>
              <w:t>300 000 USD</w:t>
            </w:r>
            <w:r w:rsidRPr="00742407">
              <w:rPr>
                <w:lang w:val="fr-CH"/>
              </w:rPr>
              <w:t xml:space="preserve"> pour l’appui à la CVJRR à partir de début 2022 (</w:t>
            </w:r>
            <w:proofErr w:type="spellStart"/>
            <w:r w:rsidRPr="00742407">
              <w:rPr>
                <w:lang w:val="fr-CH"/>
              </w:rPr>
              <w:t>tbc</w:t>
            </w:r>
            <w:proofErr w:type="spellEnd"/>
            <w:r w:rsidRPr="00742407">
              <w:rPr>
                <w:lang w:val="fr-CH"/>
              </w:rPr>
              <w:t>).</w:t>
            </w:r>
          </w:p>
        </w:tc>
      </w:tr>
      <w:tr w:rsidR="00742407" w:rsidRPr="006B0660" w14:paraId="49E2B787" w14:textId="77777777" w:rsidTr="00121382">
        <w:tc>
          <w:tcPr>
            <w:tcW w:w="9072" w:type="dxa"/>
            <w:gridSpan w:val="2"/>
            <w:shd w:val="clear" w:color="auto" w:fill="auto"/>
          </w:tcPr>
          <w:p w14:paraId="2C34C0AC" w14:textId="77777777" w:rsidR="00742407" w:rsidRPr="00C85EC4" w:rsidRDefault="00742407" w:rsidP="00742407">
            <w:pPr>
              <w:rPr>
                <w:lang w:val="fr-FR"/>
              </w:rPr>
            </w:pPr>
            <w:r w:rsidRPr="00742407">
              <w:rPr>
                <w:b/>
                <w:bCs/>
                <w:u w:val="single"/>
                <w:lang w:val="fr-FR"/>
              </w:rPr>
              <w:t>Durabilité :</w:t>
            </w:r>
            <w:r w:rsidRPr="00742407">
              <w:rPr>
                <w:lang w:val="fr-FR"/>
              </w:rPr>
              <w:t xml:space="preserve"> Le projet a-t-il un plan de sortie explicite ? Veuillez décrire les mesures prises pour assurer la pérennisation des acquis de la consolidation de la paix au-delà de la durée du projet (limite de 350 mots)</w:t>
            </w:r>
          </w:p>
          <w:p w14:paraId="1C88803F" w14:textId="77777777" w:rsidR="00742407" w:rsidRPr="00AF1DA3" w:rsidRDefault="00742407" w:rsidP="00742407">
            <w:pPr>
              <w:rPr>
                <w:sz w:val="10"/>
                <w:szCs w:val="10"/>
                <w:highlight w:val="yellow"/>
                <w:lang w:val="fr-FR"/>
              </w:rPr>
            </w:pPr>
          </w:p>
          <w:p w14:paraId="174EECE4" w14:textId="01AA54CD" w:rsidR="00742407" w:rsidRPr="00B83736" w:rsidRDefault="00742407" w:rsidP="00C85EC4">
            <w:pPr>
              <w:jc w:val="both"/>
              <w:rPr>
                <w:lang w:val="fr-FR"/>
              </w:rPr>
            </w:pPr>
            <w:r w:rsidRPr="00742407">
              <w:rPr>
                <w:lang w:val="fr-FR"/>
              </w:rPr>
              <w:t xml:space="preserve">La conception de l’intervention comprenait une stratégie de durabilité et de sortie appropriée. Le Ministère de la </w:t>
            </w:r>
            <w:r w:rsidR="00F9505E">
              <w:rPr>
                <w:lang w:val="fr-FR"/>
              </w:rPr>
              <w:t>J</w:t>
            </w:r>
            <w:r w:rsidRPr="00742407">
              <w:rPr>
                <w:lang w:val="fr-FR"/>
              </w:rPr>
              <w:t>ustice</w:t>
            </w:r>
            <w:r w:rsidR="00F9505E">
              <w:rPr>
                <w:lang w:val="fr-FR"/>
              </w:rPr>
              <w:t xml:space="preserve"> qui assure le leadership</w:t>
            </w:r>
            <w:r w:rsidRPr="00742407">
              <w:rPr>
                <w:lang w:val="fr-FR"/>
              </w:rPr>
              <w:t xml:space="preserve"> </w:t>
            </w:r>
            <w:r w:rsidR="00F9505E">
              <w:rPr>
                <w:lang w:val="fr-FR"/>
              </w:rPr>
              <w:t>d</w:t>
            </w:r>
            <w:r w:rsidRPr="00742407">
              <w:rPr>
                <w:lang w:val="fr-FR"/>
              </w:rPr>
              <w:t>es groupes de travail thématiques la CVJRR</w:t>
            </w:r>
            <w:r w:rsidR="00F9505E">
              <w:rPr>
                <w:lang w:val="fr-FR"/>
              </w:rPr>
              <w:t xml:space="preserve">, </w:t>
            </w:r>
            <w:r w:rsidRPr="00742407">
              <w:rPr>
                <w:lang w:val="fr-FR"/>
              </w:rPr>
              <w:t>les cliniques juridiques et les centres d’écoutent représente</w:t>
            </w:r>
            <w:r w:rsidR="00C85EC4">
              <w:rPr>
                <w:lang w:val="fr-FR"/>
              </w:rPr>
              <w:t>nt</w:t>
            </w:r>
            <w:r w:rsidRPr="00742407">
              <w:rPr>
                <w:lang w:val="fr-FR"/>
              </w:rPr>
              <w:t xml:space="preserve">, l’architecture nationale d’appropriation et de pérennisation des acquis du projet. </w:t>
            </w:r>
            <w:r w:rsidR="00AF1DA3">
              <w:rPr>
                <w:lang w:val="fr-FR"/>
              </w:rPr>
              <w:t>Les</w:t>
            </w:r>
            <w:r w:rsidR="00F9505E">
              <w:rPr>
                <w:lang w:val="fr-FR"/>
              </w:rPr>
              <w:t xml:space="preserve"> initiatives développées</w:t>
            </w:r>
            <w:r w:rsidRPr="00742407">
              <w:rPr>
                <w:lang w:val="fr-FR"/>
              </w:rPr>
              <w:t xml:space="preserve"> </w:t>
            </w:r>
            <w:r w:rsidR="00F9505E">
              <w:rPr>
                <w:lang w:val="fr-FR"/>
              </w:rPr>
              <w:t>ont énormément</w:t>
            </w:r>
            <w:r w:rsidRPr="00742407">
              <w:rPr>
                <w:lang w:val="fr-FR"/>
              </w:rPr>
              <w:t xml:space="preserve"> contribué à l’amélioration et au </w:t>
            </w:r>
            <w:r w:rsidR="00F9505E">
              <w:rPr>
                <w:lang w:val="fr-FR"/>
              </w:rPr>
              <w:t>renforcement</w:t>
            </w:r>
            <w:r w:rsidR="00F9505E" w:rsidRPr="00742407">
              <w:rPr>
                <w:lang w:val="fr-FR"/>
              </w:rPr>
              <w:t xml:space="preserve"> </w:t>
            </w:r>
            <w:r w:rsidRPr="00742407">
              <w:rPr>
                <w:lang w:val="fr-FR"/>
              </w:rPr>
              <w:t xml:space="preserve">des capacités nationales en matière de justice transitionnelle. De nombreux appuis financiers, techniques et matériels ainsi que </w:t>
            </w:r>
            <w:r w:rsidR="00AF1DA3">
              <w:rPr>
                <w:lang w:val="fr-FR"/>
              </w:rPr>
              <w:t xml:space="preserve">plusieurs </w:t>
            </w:r>
            <w:r w:rsidR="00AF1DA3" w:rsidRPr="00742407">
              <w:rPr>
                <w:lang w:val="fr-FR"/>
              </w:rPr>
              <w:t>formations</w:t>
            </w:r>
            <w:r w:rsidRPr="00742407">
              <w:rPr>
                <w:lang w:val="fr-FR"/>
              </w:rPr>
              <w:t xml:space="preserve"> thématiques ont été </w:t>
            </w:r>
            <w:r w:rsidR="00F9505E">
              <w:rPr>
                <w:lang w:val="fr-FR"/>
              </w:rPr>
              <w:t>assurés</w:t>
            </w:r>
            <w:r w:rsidR="00F9505E" w:rsidRPr="00742407">
              <w:rPr>
                <w:lang w:val="fr-FR"/>
              </w:rPr>
              <w:t xml:space="preserve"> </w:t>
            </w:r>
            <w:r w:rsidRPr="00742407">
              <w:rPr>
                <w:lang w:val="fr-FR"/>
              </w:rPr>
              <w:t xml:space="preserve">par le projet pour </w:t>
            </w:r>
            <w:r w:rsidR="00F9505E">
              <w:rPr>
                <w:lang w:val="fr-FR"/>
              </w:rPr>
              <w:t>rehausser</w:t>
            </w:r>
            <w:r w:rsidR="00F9505E" w:rsidRPr="00742407">
              <w:rPr>
                <w:lang w:val="fr-FR"/>
              </w:rPr>
              <w:t xml:space="preserve"> </w:t>
            </w:r>
            <w:r w:rsidRPr="00742407">
              <w:rPr>
                <w:lang w:val="fr-FR"/>
              </w:rPr>
              <w:t xml:space="preserve">les capacités des acteurs nationaux </w:t>
            </w:r>
            <w:r w:rsidR="00F9505E">
              <w:rPr>
                <w:lang w:val="fr-FR"/>
              </w:rPr>
              <w:t>en vue de</w:t>
            </w:r>
            <w:r w:rsidRPr="00742407">
              <w:rPr>
                <w:lang w:val="fr-FR"/>
              </w:rPr>
              <w:t xml:space="preserve"> garantir la durabilité des interventions et </w:t>
            </w:r>
            <w:r w:rsidR="00F9505E">
              <w:rPr>
                <w:lang w:val="fr-FR"/>
              </w:rPr>
              <w:t xml:space="preserve">de </w:t>
            </w:r>
            <w:r w:rsidRPr="00742407">
              <w:rPr>
                <w:lang w:val="fr-FR"/>
              </w:rPr>
              <w:t xml:space="preserve">capitaliser sur les acquis. </w:t>
            </w:r>
          </w:p>
        </w:tc>
      </w:tr>
      <w:tr w:rsidR="00742407" w:rsidRPr="006B0660" w14:paraId="28157E2C" w14:textId="77777777" w:rsidTr="00121382">
        <w:tc>
          <w:tcPr>
            <w:tcW w:w="9072" w:type="dxa"/>
            <w:gridSpan w:val="2"/>
            <w:shd w:val="clear" w:color="auto" w:fill="auto"/>
          </w:tcPr>
          <w:p w14:paraId="19A78193" w14:textId="04E4D826" w:rsidR="00742407" w:rsidRPr="00742407" w:rsidRDefault="00742407" w:rsidP="00742407">
            <w:pPr>
              <w:jc w:val="both"/>
              <w:rPr>
                <w:lang w:val="fr-FR"/>
              </w:rPr>
            </w:pPr>
            <w:r w:rsidRPr="00742407">
              <w:rPr>
                <w:b/>
                <w:bCs/>
                <w:u w:val="single"/>
                <w:lang w:val="fr-FR"/>
              </w:rPr>
              <w:t>Autre</w:t>
            </w:r>
            <w:r w:rsidRPr="00742407">
              <w:rPr>
                <w:lang w:val="fr-FR"/>
              </w:rPr>
              <w:t xml:space="preserve"> : Y a-t-il d'autres points concernant la mise en œuvre du projet que vous souhaitez partager, y compris sur les besoins en capacité des organisations bénéficiaires ? (Limite de 1500 caractères)</w:t>
            </w:r>
          </w:p>
          <w:p w14:paraId="4A229B79" w14:textId="77777777" w:rsidR="00742407" w:rsidRPr="00AF1DA3" w:rsidRDefault="00742407" w:rsidP="00742407">
            <w:pPr>
              <w:jc w:val="both"/>
              <w:rPr>
                <w:sz w:val="6"/>
                <w:szCs w:val="6"/>
                <w:lang w:val="fr-FR"/>
              </w:rPr>
            </w:pPr>
          </w:p>
          <w:p w14:paraId="2CB35E34" w14:textId="77777777" w:rsidR="00742407" w:rsidRPr="00742407" w:rsidRDefault="00742407" w:rsidP="00742407">
            <w:pPr>
              <w:jc w:val="both"/>
              <w:rPr>
                <w:lang w:val="fr-FR"/>
              </w:rPr>
            </w:pPr>
            <w:r w:rsidRPr="00742407">
              <w:rPr>
                <w:lang w:val="fr-FR"/>
              </w:rPr>
              <w:t xml:space="preserve">Le démarrage tardif de la CVJRR a entrainé un retard dans la mise en œuvre de certaines activités du projet, en dépit de l’extension sans cout jusqu’à janvier 2021. </w:t>
            </w:r>
          </w:p>
          <w:p w14:paraId="7831C448" w14:textId="26E6AB76" w:rsidR="00742407" w:rsidRPr="00742407" w:rsidRDefault="00742407" w:rsidP="00742407">
            <w:pPr>
              <w:jc w:val="both"/>
              <w:rPr>
                <w:lang w:val="fr-FR"/>
              </w:rPr>
            </w:pPr>
            <w:r w:rsidRPr="00742407">
              <w:rPr>
                <w:lang w:val="fr-FR"/>
              </w:rPr>
              <w:t xml:space="preserve">Au vu de la sensibilité de la mission de la CVJRR et </w:t>
            </w:r>
            <w:r w:rsidR="003B39C7">
              <w:rPr>
                <w:lang w:val="fr-FR"/>
              </w:rPr>
              <w:t xml:space="preserve">de la </w:t>
            </w:r>
            <w:r w:rsidR="00AF1DA3">
              <w:rPr>
                <w:lang w:val="fr-FR"/>
              </w:rPr>
              <w:t>clôture</w:t>
            </w:r>
            <w:r w:rsidRPr="00742407">
              <w:rPr>
                <w:lang w:val="fr-FR"/>
              </w:rPr>
              <w:t xml:space="preserve"> du financement du PBF (en janvier), il </w:t>
            </w:r>
            <w:r w:rsidR="003B39C7">
              <w:rPr>
                <w:lang w:val="fr-FR"/>
              </w:rPr>
              <w:t xml:space="preserve">était </w:t>
            </w:r>
            <w:r w:rsidRPr="00742407">
              <w:rPr>
                <w:lang w:val="fr-FR"/>
              </w:rPr>
              <w:t>nécessaire de développer un projet conjoint des Nations Unies qui couvrira</w:t>
            </w:r>
            <w:r w:rsidR="003B39C7">
              <w:rPr>
                <w:lang w:val="fr-FR"/>
              </w:rPr>
              <w:t>it</w:t>
            </w:r>
            <w:r w:rsidRPr="00742407">
              <w:rPr>
                <w:lang w:val="fr-FR"/>
              </w:rPr>
              <w:t xml:space="preserve"> la durée du mandat de la </w:t>
            </w:r>
            <w:r w:rsidR="003B39C7">
              <w:rPr>
                <w:lang w:val="fr-FR"/>
              </w:rPr>
              <w:t>C</w:t>
            </w:r>
            <w:r w:rsidRPr="00742407">
              <w:rPr>
                <w:lang w:val="fr-FR"/>
              </w:rPr>
              <w:t xml:space="preserve">ommission et permettrait aux PTF de s’engager dans la durée. A cet effet, une personne ressource du PNUD – RDC a été déployée à Bangui pour appuyer l’élaboration d’un document de projet conjoint (avec OHCHR et ONU Femmes), en consultation avec les autorités nationales. </w:t>
            </w:r>
          </w:p>
          <w:p w14:paraId="284404BB" w14:textId="77777777" w:rsidR="00742407" w:rsidRPr="00AF1DA3" w:rsidRDefault="00742407" w:rsidP="00742407">
            <w:pPr>
              <w:jc w:val="both"/>
              <w:rPr>
                <w:sz w:val="4"/>
                <w:szCs w:val="4"/>
                <w:lang w:val="fr-FR"/>
              </w:rPr>
            </w:pPr>
          </w:p>
          <w:p w14:paraId="5476361A" w14:textId="5E801950" w:rsidR="00742407" w:rsidRPr="00742407" w:rsidRDefault="003B39C7" w:rsidP="00742407">
            <w:pPr>
              <w:jc w:val="both"/>
              <w:rPr>
                <w:color w:val="002060"/>
                <w:lang w:val="fr-FR"/>
              </w:rPr>
            </w:pPr>
            <w:r>
              <w:rPr>
                <w:lang w:val="fr-FR"/>
              </w:rPr>
              <w:t xml:space="preserve">Pour </w:t>
            </w:r>
            <w:r w:rsidR="00742407" w:rsidRPr="00742407">
              <w:rPr>
                <w:lang w:val="fr-FR"/>
              </w:rPr>
              <w:t>éviter la dispersion des ressources techniques et financières, et renforcer les synergies, un groupe de coordination des partenaires techniques et financiers qui viennent en appui à la CVJRR est établi (PNUD, OHCHR, ONU Femmes, Centre pour le Dialogue Humanitaire, IFJD). Ce mécanisme est complémentaire au groupe thématique de la PSJ et des réunions mensuelles des PTF sur la justice.</w:t>
            </w:r>
            <w:r w:rsidR="00742407" w:rsidRPr="00742407">
              <w:rPr>
                <w:color w:val="002060"/>
                <w:lang w:val="fr-FR"/>
              </w:rPr>
              <w:t xml:space="preserve">  </w:t>
            </w:r>
          </w:p>
          <w:p w14:paraId="4C63B4A2" w14:textId="20F1F1A5" w:rsidR="00742407" w:rsidRPr="00742407" w:rsidRDefault="00742407" w:rsidP="00742407">
            <w:pPr>
              <w:jc w:val="both"/>
              <w:rPr>
                <w:lang w:val="fr-FR"/>
              </w:rPr>
            </w:pPr>
            <w:r w:rsidRPr="00742407">
              <w:rPr>
                <w:lang w:val="fr-FR"/>
              </w:rPr>
              <w:t xml:space="preserve">Par ailleurs, la </w:t>
            </w:r>
            <w:r w:rsidR="003B39C7">
              <w:rPr>
                <w:lang w:val="fr-FR"/>
              </w:rPr>
              <w:t xml:space="preserve">clôture </w:t>
            </w:r>
            <w:r w:rsidRPr="00742407">
              <w:rPr>
                <w:lang w:val="fr-FR"/>
              </w:rPr>
              <w:t xml:space="preserve">de ce projet marquera la fin de l’appui des Nations Unies aux cliniques juridiques, qui </w:t>
            </w:r>
            <w:r w:rsidR="007624D0">
              <w:rPr>
                <w:lang w:val="fr-FR"/>
              </w:rPr>
              <w:t xml:space="preserve">pourtant constituent </w:t>
            </w:r>
            <w:r w:rsidRPr="00742407">
              <w:rPr>
                <w:lang w:val="fr-FR"/>
              </w:rPr>
              <w:t>souvent les portes d’entrées</w:t>
            </w:r>
            <w:r w:rsidR="003B39C7">
              <w:rPr>
                <w:lang w:val="fr-FR"/>
              </w:rPr>
              <w:t xml:space="preserve"> les plus accessibles</w:t>
            </w:r>
            <w:r w:rsidRPr="00742407">
              <w:rPr>
                <w:lang w:val="fr-FR"/>
              </w:rPr>
              <w:t xml:space="preserve"> pour les populations</w:t>
            </w:r>
            <w:r w:rsidR="003B39C7">
              <w:rPr>
                <w:lang w:val="fr-FR"/>
              </w:rPr>
              <w:t xml:space="preserve"> en matière d’assistance juridique et judiciaire</w:t>
            </w:r>
          </w:p>
        </w:tc>
      </w:tr>
    </w:tbl>
    <w:p w14:paraId="7AE8FF20" w14:textId="77777777" w:rsidR="00DF24B9" w:rsidRPr="00742407" w:rsidRDefault="00DF24B9" w:rsidP="00742407">
      <w:pPr>
        <w:pStyle w:val="PrformatHTML"/>
        <w:shd w:val="clear" w:color="auto" w:fill="FFFFFF"/>
        <w:rPr>
          <w:rFonts w:ascii="Times New Roman" w:hAnsi="Times New Roman" w:cs="Times New Roman"/>
          <w:b/>
          <w:sz w:val="24"/>
          <w:szCs w:val="24"/>
          <w:u w:val="single"/>
          <w:lang w:val="fr-FR" w:eastAsia="en-GB"/>
        </w:rPr>
      </w:pPr>
    </w:p>
    <w:sectPr w:rsidR="00DF24B9" w:rsidRPr="00742407" w:rsidSect="003B73E2">
      <w:headerReference w:type="default" r:id="rId15"/>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0F77" w14:textId="77777777" w:rsidR="00B872A5" w:rsidRDefault="00B872A5" w:rsidP="00E76CA1">
      <w:r>
        <w:separator/>
      </w:r>
    </w:p>
  </w:endnote>
  <w:endnote w:type="continuationSeparator" w:id="0">
    <w:p w14:paraId="2C1A3C7A" w14:textId="77777777" w:rsidR="00B872A5" w:rsidRDefault="00B872A5" w:rsidP="00E76CA1">
      <w:r>
        <w:continuationSeparator/>
      </w:r>
    </w:p>
  </w:endnote>
  <w:endnote w:type="continuationNotice" w:id="1">
    <w:p w14:paraId="524BA681" w14:textId="77777777" w:rsidR="00B872A5" w:rsidRDefault="00B87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A223" w14:textId="77777777" w:rsidR="00B872A5" w:rsidRDefault="00B872A5" w:rsidP="00E76CA1">
      <w:r>
        <w:separator/>
      </w:r>
    </w:p>
  </w:footnote>
  <w:footnote w:type="continuationSeparator" w:id="0">
    <w:p w14:paraId="71859695" w14:textId="77777777" w:rsidR="00B872A5" w:rsidRDefault="00B872A5" w:rsidP="00E76CA1">
      <w:r>
        <w:continuationSeparator/>
      </w:r>
    </w:p>
  </w:footnote>
  <w:footnote w:type="continuationNotice" w:id="1">
    <w:p w14:paraId="610AB86B" w14:textId="77777777" w:rsidR="00B872A5" w:rsidRDefault="00B872A5"/>
  </w:footnote>
  <w:footnote w:id="2">
    <w:p w14:paraId="3AF64B20" w14:textId="678234C5" w:rsidR="00CF626E" w:rsidRPr="00CF626E" w:rsidRDefault="00CF626E">
      <w:pPr>
        <w:pStyle w:val="Notedebasdepage"/>
        <w:rPr>
          <w:lang w:val="fr-FR"/>
        </w:rPr>
      </w:pPr>
      <w:r>
        <w:rPr>
          <w:rStyle w:val="Appelnotedebasdep"/>
        </w:rPr>
        <w:footnoteRef/>
      </w:r>
      <w:r w:rsidRPr="00CF626E">
        <w:rPr>
          <w:lang w:val="fr-FR"/>
        </w:rPr>
        <w:t xml:space="preserve"> </w:t>
      </w:r>
      <w:r>
        <w:rPr>
          <w:lang w:val="fr-FR"/>
        </w:rPr>
        <w:t>Rapport d’évaluation finale du projet, page 28.</w:t>
      </w:r>
    </w:p>
  </w:footnote>
  <w:footnote w:id="3">
    <w:p w14:paraId="55E3B4B8" w14:textId="77777777" w:rsidR="00E2086E" w:rsidRPr="00BE1061" w:rsidRDefault="00E2086E" w:rsidP="00E2086E">
      <w:pPr>
        <w:pStyle w:val="Notedebasdepage"/>
        <w:jc w:val="both"/>
        <w:rPr>
          <w:lang w:val="fr-C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215830" w:rsidRPr="00653559" w:rsidRDefault="00215830" w:rsidP="00215830">
    <w:pPr>
      <w:pStyle w:val="En-tte"/>
      <w:tabs>
        <w:tab w:val="clear" w:pos="9360"/>
        <w:tab w:val="right" w:pos="8910"/>
      </w:tabs>
      <w:ind w:left="-720" w:right="26" w:firstLine="360"/>
      <w:jc w:val="center"/>
      <w:rPr>
        <w:color w:val="FF0000"/>
        <w:lang w:val="fr-FR"/>
      </w:rPr>
    </w:pPr>
    <w:r w:rsidRPr="00653559">
      <w:rPr>
        <w:color w:val="FF0000"/>
        <w:lang w:val="fr-FR"/>
      </w:rPr>
      <w:t xml:space="preserve">CE MODÈLE DONNE UNE VUE D'ENSEMBLE DES QUESTIONS DU RAPPORT EN </w:t>
    </w:r>
    <w:proofErr w:type="gramStart"/>
    <w:r w:rsidRPr="00653559">
      <w:rPr>
        <w:color w:val="FF0000"/>
        <w:lang w:val="fr-FR"/>
      </w:rPr>
      <w:t>LIGNE:</w:t>
    </w:r>
    <w:proofErr w:type="gramEnd"/>
    <w:r w:rsidRPr="00653559">
      <w:rPr>
        <w:color w:val="FF0000"/>
        <w:lang w:val="fr-FR"/>
      </w:rPr>
      <w:t xml:space="preserve"> IL EST DESTINÉ À VOUS GUIDER DANS LES QUESTIONS DU RAPPORT</w:t>
    </w:r>
  </w:p>
  <w:p w14:paraId="67B3CCD1" w14:textId="140C58BC" w:rsidR="00117EE7" w:rsidRPr="00215830" w:rsidRDefault="00117EE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F34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0C684"/>
    <w:multiLevelType w:val="multilevel"/>
    <w:tmpl w:val="FFFFFFFF"/>
    <w:lvl w:ilvl="0">
      <w:start w:val="1"/>
      <w:numFmt w:val="ideographDigital"/>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B30D0"/>
    <w:multiLevelType w:val="hybridMultilevel"/>
    <w:tmpl w:val="945288F8"/>
    <w:lvl w:ilvl="0" w:tplc="72D6F53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6" w15:restartNumberingAfterBreak="0">
    <w:nsid w:val="42E34C21"/>
    <w:multiLevelType w:val="multilevel"/>
    <w:tmpl w:val="963AB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53287351"/>
    <w:multiLevelType w:val="multilevel"/>
    <w:tmpl w:val="71E6EF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3C1B6C"/>
    <w:multiLevelType w:val="multilevel"/>
    <w:tmpl w:val="828A7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183A32"/>
    <w:multiLevelType w:val="multilevel"/>
    <w:tmpl w:val="B04612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A878CF"/>
    <w:multiLevelType w:val="hybridMultilevel"/>
    <w:tmpl w:val="3738BB6A"/>
    <w:lvl w:ilvl="0" w:tplc="EA041942">
      <w:start w:val="1"/>
      <w:numFmt w:val="lowerRoman"/>
      <w:lvlText w:val="%1)"/>
      <w:lvlJc w:val="left"/>
      <w:pPr>
        <w:ind w:left="1080" w:hanging="720"/>
      </w:pPr>
      <w:rPr>
        <w:rFonts w:hint="default"/>
        <w:color w:val="002060"/>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2" w15:restartNumberingAfterBreak="0">
    <w:nsid w:val="64253531"/>
    <w:multiLevelType w:val="hybridMultilevel"/>
    <w:tmpl w:val="C71E6E12"/>
    <w:lvl w:ilvl="0" w:tplc="12E2A8E8">
      <w:start w:val="1"/>
      <w:numFmt w:val="bullet"/>
      <w:lvlText w:val="•"/>
      <w:lvlJc w:val="left"/>
      <w:pPr>
        <w:ind w:left="672" w:firstLine="0"/>
      </w:pPr>
      <w:rPr>
        <w:rFonts w:ascii="Arial" w:eastAsia="Arial" w:hAnsi="Arial" w:cs="Arial"/>
        <w:b w:val="0"/>
        <w:i w:val="0"/>
        <w:strike w:val="0"/>
        <w:dstrike w:val="0"/>
        <w:color w:val="000000"/>
        <w:sz w:val="21"/>
        <w:u w:val="none" w:color="000000"/>
        <w:effect w:val="none"/>
        <w:bdr w:val="none" w:sz="0" w:space="0" w:color="auto" w:frame="1"/>
        <w:vertAlign w:val="baseline"/>
      </w:rPr>
    </w:lvl>
    <w:lvl w:ilvl="1" w:tplc="76B4778E">
      <w:start w:val="1"/>
      <w:numFmt w:val="bullet"/>
      <w:lvlText w:val="o"/>
      <w:lvlJc w:val="left"/>
      <w:pPr>
        <w:ind w:left="1403" w:firstLine="0"/>
      </w:pPr>
      <w:rPr>
        <w:rFonts w:ascii="Segoe UI Symbol" w:eastAsia="Segoe UI Symbol" w:hAnsi="Segoe UI Symbol" w:cs="Segoe UI Symbol"/>
        <w:b w:val="0"/>
        <w:i w:val="0"/>
        <w:strike w:val="0"/>
        <w:dstrike w:val="0"/>
        <w:color w:val="000000"/>
        <w:sz w:val="21"/>
        <w:u w:val="none" w:color="000000"/>
        <w:effect w:val="none"/>
        <w:bdr w:val="none" w:sz="0" w:space="0" w:color="auto" w:frame="1"/>
        <w:vertAlign w:val="baseline"/>
      </w:rPr>
    </w:lvl>
    <w:lvl w:ilvl="2" w:tplc="DFA09CAA">
      <w:start w:val="1"/>
      <w:numFmt w:val="bullet"/>
      <w:lvlText w:val="▪"/>
      <w:lvlJc w:val="left"/>
      <w:pPr>
        <w:ind w:left="2123" w:firstLine="0"/>
      </w:pPr>
      <w:rPr>
        <w:rFonts w:ascii="Segoe UI Symbol" w:eastAsia="Segoe UI Symbol" w:hAnsi="Segoe UI Symbol" w:cs="Segoe UI Symbol"/>
        <w:b w:val="0"/>
        <w:i w:val="0"/>
        <w:strike w:val="0"/>
        <w:dstrike w:val="0"/>
        <w:color w:val="000000"/>
        <w:sz w:val="21"/>
        <w:u w:val="none" w:color="000000"/>
        <w:effect w:val="none"/>
        <w:bdr w:val="none" w:sz="0" w:space="0" w:color="auto" w:frame="1"/>
        <w:vertAlign w:val="baseline"/>
      </w:rPr>
    </w:lvl>
    <w:lvl w:ilvl="3" w:tplc="BC28C6C0">
      <w:start w:val="1"/>
      <w:numFmt w:val="bullet"/>
      <w:lvlText w:val="•"/>
      <w:lvlJc w:val="left"/>
      <w:pPr>
        <w:ind w:left="2843" w:firstLine="0"/>
      </w:pPr>
      <w:rPr>
        <w:rFonts w:ascii="Arial" w:eastAsia="Arial" w:hAnsi="Arial" w:cs="Arial"/>
        <w:b w:val="0"/>
        <w:i w:val="0"/>
        <w:strike w:val="0"/>
        <w:dstrike w:val="0"/>
        <w:color w:val="000000"/>
        <w:sz w:val="21"/>
        <w:u w:val="none" w:color="000000"/>
        <w:effect w:val="none"/>
        <w:bdr w:val="none" w:sz="0" w:space="0" w:color="auto" w:frame="1"/>
        <w:vertAlign w:val="baseline"/>
      </w:rPr>
    </w:lvl>
    <w:lvl w:ilvl="4" w:tplc="5692A0A4">
      <w:start w:val="1"/>
      <w:numFmt w:val="bullet"/>
      <w:lvlText w:val="o"/>
      <w:lvlJc w:val="left"/>
      <w:pPr>
        <w:ind w:left="3563" w:firstLine="0"/>
      </w:pPr>
      <w:rPr>
        <w:rFonts w:ascii="Segoe UI Symbol" w:eastAsia="Segoe UI Symbol" w:hAnsi="Segoe UI Symbol" w:cs="Segoe UI Symbol"/>
        <w:b w:val="0"/>
        <w:i w:val="0"/>
        <w:strike w:val="0"/>
        <w:dstrike w:val="0"/>
        <w:color w:val="000000"/>
        <w:sz w:val="21"/>
        <w:u w:val="none" w:color="000000"/>
        <w:effect w:val="none"/>
        <w:bdr w:val="none" w:sz="0" w:space="0" w:color="auto" w:frame="1"/>
        <w:vertAlign w:val="baseline"/>
      </w:rPr>
    </w:lvl>
    <w:lvl w:ilvl="5" w:tplc="206C3DEC">
      <w:start w:val="1"/>
      <w:numFmt w:val="bullet"/>
      <w:lvlText w:val="▪"/>
      <w:lvlJc w:val="left"/>
      <w:pPr>
        <w:ind w:left="4283" w:firstLine="0"/>
      </w:pPr>
      <w:rPr>
        <w:rFonts w:ascii="Segoe UI Symbol" w:eastAsia="Segoe UI Symbol" w:hAnsi="Segoe UI Symbol" w:cs="Segoe UI Symbol"/>
        <w:b w:val="0"/>
        <w:i w:val="0"/>
        <w:strike w:val="0"/>
        <w:dstrike w:val="0"/>
        <w:color w:val="000000"/>
        <w:sz w:val="21"/>
        <w:u w:val="none" w:color="000000"/>
        <w:effect w:val="none"/>
        <w:bdr w:val="none" w:sz="0" w:space="0" w:color="auto" w:frame="1"/>
        <w:vertAlign w:val="baseline"/>
      </w:rPr>
    </w:lvl>
    <w:lvl w:ilvl="6" w:tplc="F97ED8C2">
      <w:start w:val="1"/>
      <w:numFmt w:val="bullet"/>
      <w:lvlText w:val="•"/>
      <w:lvlJc w:val="left"/>
      <w:pPr>
        <w:ind w:left="5003" w:firstLine="0"/>
      </w:pPr>
      <w:rPr>
        <w:rFonts w:ascii="Arial" w:eastAsia="Arial" w:hAnsi="Arial" w:cs="Arial"/>
        <w:b w:val="0"/>
        <w:i w:val="0"/>
        <w:strike w:val="0"/>
        <w:dstrike w:val="0"/>
        <w:color w:val="000000"/>
        <w:sz w:val="21"/>
        <w:u w:val="none" w:color="000000"/>
        <w:effect w:val="none"/>
        <w:bdr w:val="none" w:sz="0" w:space="0" w:color="auto" w:frame="1"/>
        <w:vertAlign w:val="baseline"/>
      </w:rPr>
    </w:lvl>
    <w:lvl w:ilvl="7" w:tplc="35D0B676">
      <w:start w:val="1"/>
      <w:numFmt w:val="bullet"/>
      <w:lvlText w:val="o"/>
      <w:lvlJc w:val="left"/>
      <w:pPr>
        <w:ind w:left="5723" w:firstLine="0"/>
      </w:pPr>
      <w:rPr>
        <w:rFonts w:ascii="Segoe UI Symbol" w:eastAsia="Segoe UI Symbol" w:hAnsi="Segoe UI Symbol" w:cs="Segoe UI Symbol"/>
        <w:b w:val="0"/>
        <w:i w:val="0"/>
        <w:strike w:val="0"/>
        <w:dstrike w:val="0"/>
        <w:color w:val="000000"/>
        <w:sz w:val="21"/>
        <w:u w:val="none" w:color="000000"/>
        <w:effect w:val="none"/>
        <w:bdr w:val="none" w:sz="0" w:space="0" w:color="auto" w:frame="1"/>
        <w:vertAlign w:val="baseline"/>
      </w:rPr>
    </w:lvl>
    <w:lvl w:ilvl="8" w:tplc="46A2316C">
      <w:start w:val="1"/>
      <w:numFmt w:val="bullet"/>
      <w:lvlText w:val="▪"/>
      <w:lvlJc w:val="left"/>
      <w:pPr>
        <w:ind w:left="6443" w:firstLine="0"/>
      </w:pPr>
      <w:rPr>
        <w:rFonts w:ascii="Segoe UI Symbol" w:eastAsia="Segoe UI Symbol" w:hAnsi="Segoe UI Symbol" w:cs="Segoe UI Symbol"/>
        <w:b w:val="0"/>
        <w:i w:val="0"/>
        <w:strike w:val="0"/>
        <w:dstrike w:val="0"/>
        <w:color w:val="000000"/>
        <w:sz w:val="21"/>
        <w:u w:val="none" w:color="000000"/>
        <w:effect w:val="none"/>
        <w:bdr w:val="none" w:sz="0" w:space="0" w:color="auto" w:frame="1"/>
        <w:vertAlign w:val="baseline"/>
      </w:rPr>
    </w:lvl>
  </w:abstractNum>
  <w:abstractNum w:abstractNumId="1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78232018"/>
    <w:multiLevelType w:val="hybridMultilevel"/>
    <w:tmpl w:val="8DBCF4A8"/>
    <w:lvl w:ilvl="0" w:tplc="C9FEA864">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023691">
    <w:abstractNumId w:val="13"/>
  </w:num>
  <w:num w:numId="2" w16cid:durableId="409161124">
    <w:abstractNumId w:val="15"/>
  </w:num>
  <w:num w:numId="3" w16cid:durableId="2131893956">
    <w:abstractNumId w:val="5"/>
  </w:num>
  <w:num w:numId="4" w16cid:durableId="1617055510">
    <w:abstractNumId w:val="7"/>
  </w:num>
  <w:num w:numId="5" w16cid:durableId="195509369">
    <w:abstractNumId w:val="2"/>
  </w:num>
  <w:num w:numId="6" w16cid:durableId="2051954602">
    <w:abstractNumId w:val="4"/>
  </w:num>
  <w:num w:numId="7" w16cid:durableId="1724521680">
    <w:abstractNumId w:val="11"/>
  </w:num>
  <w:num w:numId="8" w16cid:durableId="147019019">
    <w:abstractNumId w:val="6"/>
  </w:num>
  <w:num w:numId="9" w16cid:durableId="168370313">
    <w:abstractNumId w:val="10"/>
  </w:num>
  <w:num w:numId="10" w16cid:durableId="1181310519">
    <w:abstractNumId w:val="9"/>
  </w:num>
  <w:num w:numId="11" w16cid:durableId="251620698">
    <w:abstractNumId w:val="8"/>
  </w:num>
  <w:num w:numId="12" w16cid:durableId="665403648">
    <w:abstractNumId w:val="0"/>
  </w:num>
  <w:num w:numId="13" w16cid:durableId="1538815524">
    <w:abstractNumId w:val="1"/>
  </w:num>
  <w:num w:numId="14" w16cid:durableId="22370515">
    <w:abstractNumId w:val="3"/>
  </w:num>
  <w:num w:numId="15" w16cid:durableId="1017657619">
    <w:abstractNumId w:val="14"/>
  </w:num>
  <w:num w:numId="16" w16cid:durableId="3832192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350AC"/>
    <w:rsid w:val="00040F81"/>
    <w:rsid w:val="00045C24"/>
    <w:rsid w:val="00050759"/>
    <w:rsid w:val="00051F71"/>
    <w:rsid w:val="0005216F"/>
    <w:rsid w:val="00052745"/>
    <w:rsid w:val="00052DE5"/>
    <w:rsid w:val="000554F8"/>
    <w:rsid w:val="00063017"/>
    <w:rsid w:val="00066E25"/>
    <w:rsid w:val="000731D0"/>
    <w:rsid w:val="00075D98"/>
    <w:rsid w:val="0008134A"/>
    <w:rsid w:val="0008233D"/>
    <w:rsid w:val="00082738"/>
    <w:rsid w:val="00084F64"/>
    <w:rsid w:val="00091CFD"/>
    <w:rsid w:val="00092442"/>
    <w:rsid w:val="000960DC"/>
    <w:rsid w:val="000A0FD3"/>
    <w:rsid w:val="000A45F4"/>
    <w:rsid w:val="000A4660"/>
    <w:rsid w:val="000A51DA"/>
    <w:rsid w:val="000A6719"/>
    <w:rsid w:val="000B0BB5"/>
    <w:rsid w:val="000B1E6F"/>
    <w:rsid w:val="000B4E5C"/>
    <w:rsid w:val="000B7954"/>
    <w:rsid w:val="000C7EA0"/>
    <w:rsid w:val="000D43DC"/>
    <w:rsid w:val="000D4F4B"/>
    <w:rsid w:val="000E05AE"/>
    <w:rsid w:val="000E32FF"/>
    <w:rsid w:val="000E6A96"/>
    <w:rsid w:val="000F05A2"/>
    <w:rsid w:val="000F13B1"/>
    <w:rsid w:val="000F19E8"/>
    <w:rsid w:val="000F43A8"/>
    <w:rsid w:val="00101C07"/>
    <w:rsid w:val="00102C0E"/>
    <w:rsid w:val="00105C06"/>
    <w:rsid w:val="001102A9"/>
    <w:rsid w:val="00112741"/>
    <w:rsid w:val="00113D2B"/>
    <w:rsid w:val="00113EC4"/>
    <w:rsid w:val="00114BF9"/>
    <w:rsid w:val="00116449"/>
    <w:rsid w:val="0011666C"/>
    <w:rsid w:val="00116E27"/>
    <w:rsid w:val="00117EE7"/>
    <w:rsid w:val="00121382"/>
    <w:rsid w:val="00121B2D"/>
    <w:rsid w:val="001307FA"/>
    <w:rsid w:val="00131824"/>
    <w:rsid w:val="00136B32"/>
    <w:rsid w:val="00141A6C"/>
    <w:rsid w:val="001444EE"/>
    <w:rsid w:val="00145766"/>
    <w:rsid w:val="001458E9"/>
    <w:rsid w:val="00153CD9"/>
    <w:rsid w:val="001545F2"/>
    <w:rsid w:val="00155AFB"/>
    <w:rsid w:val="00156AFA"/>
    <w:rsid w:val="00156C4C"/>
    <w:rsid w:val="00157BF2"/>
    <w:rsid w:val="001607B2"/>
    <w:rsid w:val="0016088D"/>
    <w:rsid w:val="00161D02"/>
    <w:rsid w:val="00165FE6"/>
    <w:rsid w:val="00166F9A"/>
    <w:rsid w:val="001745E8"/>
    <w:rsid w:val="00175657"/>
    <w:rsid w:val="00176D49"/>
    <w:rsid w:val="0018095F"/>
    <w:rsid w:val="00182E9D"/>
    <w:rsid w:val="0018313E"/>
    <w:rsid w:val="0018446E"/>
    <w:rsid w:val="001849B1"/>
    <w:rsid w:val="00185425"/>
    <w:rsid w:val="00186529"/>
    <w:rsid w:val="00186D58"/>
    <w:rsid w:val="001914EC"/>
    <w:rsid w:val="00192F1D"/>
    <w:rsid w:val="001935D4"/>
    <w:rsid w:val="001948EA"/>
    <w:rsid w:val="00194D4C"/>
    <w:rsid w:val="00196AA8"/>
    <w:rsid w:val="001A0F5F"/>
    <w:rsid w:val="001A1E86"/>
    <w:rsid w:val="001A2539"/>
    <w:rsid w:val="001A3157"/>
    <w:rsid w:val="001A374F"/>
    <w:rsid w:val="001A4786"/>
    <w:rsid w:val="001B1EAF"/>
    <w:rsid w:val="001B23C2"/>
    <w:rsid w:val="001B458D"/>
    <w:rsid w:val="001B4FC7"/>
    <w:rsid w:val="001B5D16"/>
    <w:rsid w:val="001B6DFD"/>
    <w:rsid w:val="001B7DD1"/>
    <w:rsid w:val="001C15CC"/>
    <w:rsid w:val="001C417E"/>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830"/>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54BF"/>
    <w:rsid w:val="002627EC"/>
    <w:rsid w:val="00264DA0"/>
    <w:rsid w:val="0027242A"/>
    <w:rsid w:val="00272A58"/>
    <w:rsid w:val="00273AD0"/>
    <w:rsid w:val="00275546"/>
    <w:rsid w:val="00280FEA"/>
    <w:rsid w:val="002822AF"/>
    <w:rsid w:val="00282BD9"/>
    <w:rsid w:val="00284188"/>
    <w:rsid w:val="0028605B"/>
    <w:rsid w:val="00286F66"/>
    <w:rsid w:val="00287878"/>
    <w:rsid w:val="002940E8"/>
    <w:rsid w:val="00296B0D"/>
    <w:rsid w:val="00296C15"/>
    <w:rsid w:val="002A1877"/>
    <w:rsid w:val="002A4292"/>
    <w:rsid w:val="002A4F7C"/>
    <w:rsid w:val="002A5B56"/>
    <w:rsid w:val="002B0F98"/>
    <w:rsid w:val="002B3207"/>
    <w:rsid w:val="002B346A"/>
    <w:rsid w:val="002B351E"/>
    <w:rsid w:val="002B4426"/>
    <w:rsid w:val="002B48FC"/>
    <w:rsid w:val="002B5F4F"/>
    <w:rsid w:val="002B740B"/>
    <w:rsid w:val="002C187A"/>
    <w:rsid w:val="002C20A8"/>
    <w:rsid w:val="002C356E"/>
    <w:rsid w:val="002C5DD0"/>
    <w:rsid w:val="002C7051"/>
    <w:rsid w:val="002D2FBB"/>
    <w:rsid w:val="002D4247"/>
    <w:rsid w:val="002D68D7"/>
    <w:rsid w:val="002D6DA0"/>
    <w:rsid w:val="002E10E6"/>
    <w:rsid w:val="002E1CED"/>
    <w:rsid w:val="002E3796"/>
    <w:rsid w:val="002E454D"/>
    <w:rsid w:val="002E5250"/>
    <w:rsid w:val="002E61AA"/>
    <w:rsid w:val="002E6F58"/>
    <w:rsid w:val="002E745D"/>
    <w:rsid w:val="002F10F6"/>
    <w:rsid w:val="002F15D9"/>
    <w:rsid w:val="002F26EC"/>
    <w:rsid w:val="002F42EA"/>
    <w:rsid w:val="003040D8"/>
    <w:rsid w:val="0030455E"/>
    <w:rsid w:val="00305147"/>
    <w:rsid w:val="00305626"/>
    <w:rsid w:val="003107C9"/>
    <w:rsid w:val="00316C40"/>
    <w:rsid w:val="00316D58"/>
    <w:rsid w:val="003212BB"/>
    <w:rsid w:val="00321C92"/>
    <w:rsid w:val="003235DF"/>
    <w:rsid w:val="00323ABC"/>
    <w:rsid w:val="00324A7C"/>
    <w:rsid w:val="00324FE5"/>
    <w:rsid w:val="00326298"/>
    <w:rsid w:val="00333EC9"/>
    <w:rsid w:val="0033515C"/>
    <w:rsid w:val="00335F56"/>
    <w:rsid w:val="00336BF8"/>
    <w:rsid w:val="00342356"/>
    <w:rsid w:val="00343425"/>
    <w:rsid w:val="0034386B"/>
    <w:rsid w:val="00346D73"/>
    <w:rsid w:val="00347154"/>
    <w:rsid w:val="003473C6"/>
    <w:rsid w:val="00347B59"/>
    <w:rsid w:val="00352332"/>
    <w:rsid w:val="00355C69"/>
    <w:rsid w:val="0035676B"/>
    <w:rsid w:val="0036386A"/>
    <w:rsid w:val="00364080"/>
    <w:rsid w:val="00366549"/>
    <w:rsid w:val="003712C1"/>
    <w:rsid w:val="00372156"/>
    <w:rsid w:val="003722AE"/>
    <w:rsid w:val="0037561F"/>
    <w:rsid w:val="0037563A"/>
    <w:rsid w:val="003758E5"/>
    <w:rsid w:val="00380849"/>
    <w:rsid w:val="003818DB"/>
    <w:rsid w:val="003821C9"/>
    <w:rsid w:val="003834CD"/>
    <w:rsid w:val="00383908"/>
    <w:rsid w:val="00390E93"/>
    <w:rsid w:val="00391614"/>
    <w:rsid w:val="003966E6"/>
    <w:rsid w:val="003968D7"/>
    <w:rsid w:val="003A0887"/>
    <w:rsid w:val="003A1096"/>
    <w:rsid w:val="003A613D"/>
    <w:rsid w:val="003A6341"/>
    <w:rsid w:val="003A7E2B"/>
    <w:rsid w:val="003B39C7"/>
    <w:rsid w:val="003B3A5F"/>
    <w:rsid w:val="003B4F6E"/>
    <w:rsid w:val="003B5338"/>
    <w:rsid w:val="003B73E2"/>
    <w:rsid w:val="003C5283"/>
    <w:rsid w:val="003C5CC6"/>
    <w:rsid w:val="003D12C7"/>
    <w:rsid w:val="003D228B"/>
    <w:rsid w:val="003D4CD7"/>
    <w:rsid w:val="003D4D7C"/>
    <w:rsid w:val="003F08B1"/>
    <w:rsid w:val="003F21BE"/>
    <w:rsid w:val="003F36FB"/>
    <w:rsid w:val="003F527B"/>
    <w:rsid w:val="003F5999"/>
    <w:rsid w:val="003F660A"/>
    <w:rsid w:val="004006D6"/>
    <w:rsid w:val="004017BD"/>
    <w:rsid w:val="00402083"/>
    <w:rsid w:val="004023AC"/>
    <w:rsid w:val="00402514"/>
    <w:rsid w:val="0040513F"/>
    <w:rsid w:val="00405DE7"/>
    <w:rsid w:val="00411A5F"/>
    <w:rsid w:val="00413EAF"/>
    <w:rsid w:val="00414097"/>
    <w:rsid w:val="00415060"/>
    <w:rsid w:val="004213AF"/>
    <w:rsid w:val="004217DF"/>
    <w:rsid w:val="00423E4E"/>
    <w:rsid w:val="00425AF8"/>
    <w:rsid w:val="00435A87"/>
    <w:rsid w:val="00437FF5"/>
    <w:rsid w:val="0045149A"/>
    <w:rsid w:val="00456874"/>
    <w:rsid w:val="00457F26"/>
    <w:rsid w:val="0046101E"/>
    <w:rsid w:val="00461944"/>
    <w:rsid w:val="00464188"/>
    <w:rsid w:val="00470EC3"/>
    <w:rsid w:val="00476758"/>
    <w:rsid w:val="00477CF8"/>
    <w:rsid w:val="00480A02"/>
    <w:rsid w:val="0048168F"/>
    <w:rsid w:val="00484092"/>
    <w:rsid w:val="00484169"/>
    <w:rsid w:val="00495AC5"/>
    <w:rsid w:val="00495C66"/>
    <w:rsid w:val="004965A3"/>
    <w:rsid w:val="004973DD"/>
    <w:rsid w:val="004A210E"/>
    <w:rsid w:val="004A3338"/>
    <w:rsid w:val="004A49E6"/>
    <w:rsid w:val="004B1E1E"/>
    <w:rsid w:val="004B4560"/>
    <w:rsid w:val="004B5601"/>
    <w:rsid w:val="004B5B20"/>
    <w:rsid w:val="004B6D84"/>
    <w:rsid w:val="004B7933"/>
    <w:rsid w:val="004C3DC3"/>
    <w:rsid w:val="004C4272"/>
    <w:rsid w:val="004C4F3B"/>
    <w:rsid w:val="004D141E"/>
    <w:rsid w:val="004D2003"/>
    <w:rsid w:val="004E33A8"/>
    <w:rsid w:val="004E3B3E"/>
    <w:rsid w:val="004E3BD7"/>
    <w:rsid w:val="004E45CD"/>
    <w:rsid w:val="004E6614"/>
    <w:rsid w:val="004F016F"/>
    <w:rsid w:val="004F7D22"/>
    <w:rsid w:val="00500587"/>
    <w:rsid w:val="005006C3"/>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46EF"/>
    <w:rsid w:val="00535054"/>
    <w:rsid w:val="005357D9"/>
    <w:rsid w:val="0053586E"/>
    <w:rsid w:val="00536175"/>
    <w:rsid w:val="00537C36"/>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0AD4"/>
    <w:rsid w:val="005718ED"/>
    <w:rsid w:val="005732A1"/>
    <w:rsid w:val="0058153F"/>
    <w:rsid w:val="005820EE"/>
    <w:rsid w:val="0058301B"/>
    <w:rsid w:val="0059090C"/>
    <w:rsid w:val="00590937"/>
    <w:rsid w:val="0059166A"/>
    <w:rsid w:val="00592733"/>
    <w:rsid w:val="00593B59"/>
    <w:rsid w:val="00595DBA"/>
    <w:rsid w:val="005A2661"/>
    <w:rsid w:val="005A26F8"/>
    <w:rsid w:val="005A404F"/>
    <w:rsid w:val="005A56E0"/>
    <w:rsid w:val="005B4331"/>
    <w:rsid w:val="005C187A"/>
    <w:rsid w:val="005C1FC7"/>
    <w:rsid w:val="005C4963"/>
    <w:rsid w:val="005C4BBA"/>
    <w:rsid w:val="005C68B4"/>
    <w:rsid w:val="005D15A3"/>
    <w:rsid w:val="005D1AC8"/>
    <w:rsid w:val="005D2343"/>
    <w:rsid w:val="005D3939"/>
    <w:rsid w:val="005D545C"/>
    <w:rsid w:val="005D5A4A"/>
    <w:rsid w:val="005D5A86"/>
    <w:rsid w:val="005D653E"/>
    <w:rsid w:val="005E227A"/>
    <w:rsid w:val="005E3B28"/>
    <w:rsid w:val="005F0CC2"/>
    <w:rsid w:val="005F23DE"/>
    <w:rsid w:val="005F439F"/>
    <w:rsid w:val="005F75BC"/>
    <w:rsid w:val="005F77DA"/>
    <w:rsid w:val="00600560"/>
    <w:rsid w:val="00600B5F"/>
    <w:rsid w:val="00600E1A"/>
    <w:rsid w:val="006015E2"/>
    <w:rsid w:val="006017A2"/>
    <w:rsid w:val="00601809"/>
    <w:rsid w:val="00605275"/>
    <w:rsid w:val="006073A2"/>
    <w:rsid w:val="006073AB"/>
    <w:rsid w:val="0060796B"/>
    <w:rsid w:val="006100F5"/>
    <w:rsid w:val="0061467E"/>
    <w:rsid w:val="00615C30"/>
    <w:rsid w:val="00624881"/>
    <w:rsid w:val="00624B2F"/>
    <w:rsid w:val="00624F31"/>
    <w:rsid w:val="00626B3F"/>
    <w:rsid w:val="00627A1C"/>
    <w:rsid w:val="00631B01"/>
    <w:rsid w:val="00631B6F"/>
    <w:rsid w:val="00632971"/>
    <w:rsid w:val="00635112"/>
    <w:rsid w:val="00643A9E"/>
    <w:rsid w:val="00646FF7"/>
    <w:rsid w:val="006500AC"/>
    <w:rsid w:val="00651323"/>
    <w:rsid w:val="00653559"/>
    <w:rsid w:val="00655D6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85D"/>
    <w:rsid w:val="006811AD"/>
    <w:rsid w:val="006907EE"/>
    <w:rsid w:val="00691C2F"/>
    <w:rsid w:val="006947B7"/>
    <w:rsid w:val="0069567F"/>
    <w:rsid w:val="006969E7"/>
    <w:rsid w:val="006A07CA"/>
    <w:rsid w:val="006A207B"/>
    <w:rsid w:val="006A2E42"/>
    <w:rsid w:val="006A5032"/>
    <w:rsid w:val="006A5B0E"/>
    <w:rsid w:val="006B0660"/>
    <w:rsid w:val="006B0833"/>
    <w:rsid w:val="006B28BE"/>
    <w:rsid w:val="006B4DED"/>
    <w:rsid w:val="006C1819"/>
    <w:rsid w:val="006C29FB"/>
    <w:rsid w:val="006D0366"/>
    <w:rsid w:val="006D3593"/>
    <w:rsid w:val="006D3F0B"/>
    <w:rsid w:val="006D5799"/>
    <w:rsid w:val="006D60AB"/>
    <w:rsid w:val="006D6B92"/>
    <w:rsid w:val="006E10BF"/>
    <w:rsid w:val="006E2489"/>
    <w:rsid w:val="006E4DA8"/>
    <w:rsid w:val="006E7C1C"/>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4364"/>
    <w:rsid w:val="0071506D"/>
    <w:rsid w:val="00715EC6"/>
    <w:rsid w:val="00717443"/>
    <w:rsid w:val="00720431"/>
    <w:rsid w:val="00722974"/>
    <w:rsid w:val="007308CD"/>
    <w:rsid w:val="007317AD"/>
    <w:rsid w:val="0073324E"/>
    <w:rsid w:val="00734278"/>
    <w:rsid w:val="00734F0B"/>
    <w:rsid w:val="00740B1E"/>
    <w:rsid w:val="0074108E"/>
    <w:rsid w:val="00741135"/>
    <w:rsid w:val="00742407"/>
    <w:rsid w:val="00742F27"/>
    <w:rsid w:val="00742FDD"/>
    <w:rsid w:val="007435E3"/>
    <w:rsid w:val="00744AB6"/>
    <w:rsid w:val="007451EC"/>
    <w:rsid w:val="00745803"/>
    <w:rsid w:val="0075039D"/>
    <w:rsid w:val="00751279"/>
    <w:rsid w:val="00751324"/>
    <w:rsid w:val="00751DAF"/>
    <w:rsid w:val="007530A1"/>
    <w:rsid w:val="00753159"/>
    <w:rsid w:val="007569BB"/>
    <w:rsid w:val="00757327"/>
    <w:rsid w:val="00761508"/>
    <w:rsid w:val="007624D0"/>
    <w:rsid w:val="007626C9"/>
    <w:rsid w:val="00764773"/>
    <w:rsid w:val="00764B9C"/>
    <w:rsid w:val="0076624E"/>
    <w:rsid w:val="00770CBF"/>
    <w:rsid w:val="007712FB"/>
    <w:rsid w:val="007717E2"/>
    <w:rsid w:val="007740D4"/>
    <w:rsid w:val="007756B0"/>
    <w:rsid w:val="00782959"/>
    <w:rsid w:val="00782E30"/>
    <w:rsid w:val="0078387C"/>
    <w:rsid w:val="00785E5E"/>
    <w:rsid w:val="0078600B"/>
    <w:rsid w:val="00790676"/>
    <w:rsid w:val="00790A8A"/>
    <w:rsid w:val="007912B3"/>
    <w:rsid w:val="00791410"/>
    <w:rsid w:val="007937AE"/>
    <w:rsid w:val="00793DE6"/>
    <w:rsid w:val="00793E8B"/>
    <w:rsid w:val="007958F2"/>
    <w:rsid w:val="007A11A0"/>
    <w:rsid w:val="007A1B5F"/>
    <w:rsid w:val="007A4F3E"/>
    <w:rsid w:val="007A5985"/>
    <w:rsid w:val="007A777F"/>
    <w:rsid w:val="007B10F6"/>
    <w:rsid w:val="007B1BE5"/>
    <w:rsid w:val="007B368E"/>
    <w:rsid w:val="007B4069"/>
    <w:rsid w:val="007B5B14"/>
    <w:rsid w:val="007B5D05"/>
    <w:rsid w:val="007C304F"/>
    <w:rsid w:val="007C78D3"/>
    <w:rsid w:val="007C7B57"/>
    <w:rsid w:val="007D127B"/>
    <w:rsid w:val="007D2DD6"/>
    <w:rsid w:val="007D5138"/>
    <w:rsid w:val="007D6A05"/>
    <w:rsid w:val="007D6E52"/>
    <w:rsid w:val="007E1330"/>
    <w:rsid w:val="007E1D18"/>
    <w:rsid w:val="007E3EB8"/>
    <w:rsid w:val="007E4FA1"/>
    <w:rsid w:val="007E7BE8"/>
    <w:rsid w:val="007F1CC1"/>
    <w:rsid w:val="007F4C86"/>
    <w:rsid w:val="007F6A18"/>
    <w:rsid w:val="007F6F6D"/>
    <w:rsid w:val="007F7257"/>
    <w:rsid w:val="00805ADB"/>
    <w:rsid w:val="00812452"/>
    <w:rsid w:val="0082091E"/>
    <w:rsid w:val="00822354"/>
    <w:rsid w:val="00826923"/>
    <w:rsid w:val="00832774"/>
    <w:rsid w:val="008342F5"/>
    <w:rsid w:val="0083461E"/>
    <w:rsid w:val="00834A9F"/>
    <w:rsid w:val="008364E5"/>
    <w:rsid w:val="00837B04"/>
    <w:rsid w:val="00841290"/>
    <w:rsid w:val="00841D4B"/>
    <w:rsid w:val="0084221C"/>
    <w:rsid w:val="0084393C"/>
    <w:rsid w:val="00847A89"/>
    <w:rsid w:val="00853068"/>
    <w:rsid w:val="00861669"/>
    <w:rsid w:val="008632DB"/>
    <w:rsid w:val="008640A5"/>
    <w:rsid w:val="00865821"/>
    <w:rsid w:val="00865AFA"/>
    <w:rsid w:val="00865FA0"/>
    <w:rsid w:val="008664A8"/>
    <w:rsid w:val="00866E96"/>
    <w:rsid w:val="00872F0D"/>
    <w:rsid w:val="00874634"/>
    <w:rsid w:val="00875A34"/>
    <w:rsid w:val="00875EA5"/>
    <w:rsid w:val="00881D4B"/>
    <w:rsid w:val="00891AE7"/>
    <w:rsid w:val="00892A25"/>
    <w:rsid w:val="00895870"/>
    <w:rsid w:val="008A0324"/>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5108"/>
    <w:rsid w:val="0092673B"/>
    <w:rsid w:val="0093134E"/>
    <w:rsid w:val="00931671"/>
    <w:rsid w:val="00931786"/>
    <w:rsid w:val="00937ABE"/>
    <w:rsid w:val="00940F1B"/>
    <w:rsid w:val="0094333D"/>
    <w:rsid w:val="0094536D"/>
    <w:rsid w:val="00945925"/>
    <w:rsid w:val="00945B0C"/>
    <w:rsid w:val="0095216E"/>
    <w:rsid w:val="00952DE4"/>
    <w:rsid w:val="00953C30"/>
    <w:rsid w:val="009568EF"/>
    <w:rsid w:val="00956B79"/>
    <w:rsid w:val="009621FA"/>
    <w:rsid w:val="00965F6B"/>
    <w:rsid w:val="00970D92"/>
    <w:rsid w:val="00970F4C"/>
    <w:rsid w:val="0097130A"/>
    <w:rsid w:val="00974D94"/>
    <w:rsid w:val="009751B0"/>
    <w:rsid w:val="009774FE"/>
    <w:rsid w:val="00981894"/>
    <w:rsid w:val="009832F8"/>
    <w:rsid w:val="009839DA"/>
    <w:rsid w:val="00984110"/>
    <w:rsid w:val="00985E49"/>
    <w:rsid w:val="00991418"/>
    <w:rsid w:val="00994476"/>
    <w:rsid w:val="00994B0E"/>
    <w:rsid w:val="00996479"/>
    <w:rsid w:val="0099700D"/>
    <w:rsid w:val="00997347"/>
    <w:rsid w:val="009A012A"/>
    <w:rsid w:val="009A0338"/>
    <w:rsid w:val="009A1CD3"/>
    <w:rsid w:val="009A44A4"/>
    <w:rsid w:val="009A4A5D"/>
    <w:rsid w:val="009A5EEF"/>
    <w:rsid w:val="009B18EB"/>
    <w:rsid w:val="009B368A"/>
    <w:rsid w:val="009B5D1A"/>
    <w:rsid w:val="009C01A9"/>
    <w:rsid w:val="009C153E"/>
    <w:rsid w:val="009C28DE"/>
    <w:rsid w:val="009C2C5E"/>
    <w:rsid w:val="009C40E7"/>
    <w:rsid w:val="009D0838"/>
    <w:rsid w:val="009D0C9F"/>
    <w:rsid w:val="009D10B2"/>
    <w:rsid w:val="009D2543"/>
    <w:rsid w:val="009D64E4"/>
    <w:rsid w:val="009E1697"/>
    <w:rsid w:val="009E20F1"/>
    <w:rsid w:val="009E329B"/>
    <w:rsid w:val="009E38EA"/>
    <w:rsid w:val="009E5594"/>
    <w:rsid w:val="009F10CD"/>
    <w:rsid w:val="009F32CC"/>
    <w:rsid w:val="009F517D"/>
    <w:rsid w:val="009F6554"/>
    <w:rsid w:val="009F7BE9"/>
    <w:rsid w:val="009F7F98"/>
    <w:rsid w:val="00A02F58"/>
    <w:rsid w:val="00A032AE"/>
    <w:rsid w:val="00A048D2"/>
    <w:rsid w:val="00A10DAC"/>
    <w:rsid w:val="00A31988"/>
    <w:rsid w:val="00A34FE2"/>
    <w:rsid w:val="00A35FDA"/>
    <w:rsid w:val="00A360E8"/>
    <w:rsid w:val="00A41474"/>
    <w:rsid w:val="00A41736"/>
    <w:rsid w:val="00A4395F"/>
    <w:rsid w:val="00A43B9C"/>
    <w:rsid w:val="00A4581B"/>
    <w:rsid w:val="00A45BD4"/>
    <w:rsid w:val="00A46B06"/>
    <w:rsid w:val="00A471E3"/>
    <w:rsid w:val="00A47DDA"/>
    <w:rsid w:val="00A509C6"/>
    <w:rsid w:val="00A52A49"/>
    <w:rsid w:val="00A53C94"/>
    <w:rsid w:val="00A53DBD"/>
    <w:rsid w:val="00A54EC4"/>
    <w:rsid w:val="00A55CCC"/>
    <w:rsid w:val="00A56DD8"/>
    <w:rsid w:val="00A6017D"/>
    <w:rsid w:val="00A60E0D"/>
    <w:rsid w:val="00A63104"/>
    <w:rsid w:val="00A64309"/>
    <w:rsid w:val="00A6484C"/>
    <w:rsid w:val="00A64A02"/>
    <w:rsid w:val="00A656C0"/>
    <w:rsid w:val="00A66688"/>
    <w:rsid w:val="00A70C1B"/>
    <w:rsid w:val="00A73BEF"/>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5218"/>
    <w:rsid w:val="00AA7C77"/>
    <w:rsid w:val="00AB0428"/>
    <w:rsid w:val="00AB1368"/>
    <w:rsid w:val="00AB37F4"/>
    <w:rsid w:val="00AB6561"/>
    <w:rsid w:val="00AB6BAD"/>
    <w:rsid w:val="00AB7A6C"/>
    <w:rsid w:val="00AC433F"/>
    <w:rsid w:val="00AC4B04"/>
    <w:rsid w:val="00AC5D55"/>
    <w:rsid w:val="00AC64F5"/>
    <w:rsid w:val="00AC7088"/>
    <w:rsid w:val="00AD0A31"/>
    <w:rsid w:val="00AD1B06"/>
    <w:rsid w:val="00AD6104"/>
    <w:rsid w:val="00AD6C55"/>
    <w:rsid w:val="00AD73D3"/>
    <w:rsid w:val="00AE00A9"/>
    <w:rsid w:val="00AE0D84"/>
    <w:rsid w:val="00AF05B5"/>
    <w:rsid w:val="00AF1DA3"/>
    <w:rsid w:val="00AF2D89"/>
    <w:rsid w:val="00AF422A"/>
    <w:rsid w:val="00AF7DA4"/>
    <w:rsid w:val="00B00EBD"/>
    <w:rsid w:val="00B0370E"/>
    <w:rsid w:val="00B03E68"/>
    <w:rsid w:val="00B05E35"/>
    <w:rsid w:val="00B07AF5"/>
    <w:rsid w:val="00B124BD"/>
    <w:rsid w:val="00B12FB8"/>
    <w:rsid w:val="00B15785"/>
    <w:rsid w:val="00B21466"/>
    <w:rsid w:val="00B22390"/>
    <w:rsid w:val="00B244A1"/>
    <w:rsid w:val="00B24F72"/>
    <w:rsid w:val="00B27419"/>
    <w:rsid w:val="00B3106D"/>
    <w:rsid w:val="00B3227D"/>
    <w:rsid w:val="00B329B9"/>
    <w:rsid w:val="00B330C2"/>
    <w:rsid w:val="00B37406"/>
    <w:rsid w:val="00B404DF"/>
    <w:rsid w:val="00B419C8"/>
    <w:rsid w:val="00B4227A"/>
    <w:rsid w:val="00B43B8D"/>
    <w:rsid w:val="00B43EEA"/>
    <w:rsid w:val="00B43F6D"/>
    <w:rsid w:val="00B442A2"/>
    <w:rsid w:val="00B46712"/>
    <w:rsid w:val="00B46D4B"/>
    <w:rsid w:val="00B47CFB"/>
    <w:rsid w:val="00B47F3D"/>
    <w:rsid w:val="00B524EE"/>
    <w:rsid w:val="00B55E33"/>
    <w:rsid w:val="00B6401E"/>
    <w:rsid w:val="00B652A1"/>
    <w:rsid w:val="00B702C0"/>
    <w:rsid w:val="00B735DD"/>
    <w:rsid w:val="00B73603"/>
    <w:rsid w:val="00B737D1"/>
    <w:rsid w:val="00B7459B"/>
    <w:rsid w:val="00B749E2"/>
    <w:rsid w:val="00B74CE9"/>
    <w:rsid w:val="00B7553C"/>
    <w:rsid w:val="00B75C20"/>
    <w:rsid w:val="00B80C2F"/>
    <w:rsid w:val="00B82635"/>
    <w:rsid w:val="00B82C51"/>
    <w:rsid w:val="00B82E71"/>
    <w:rsid w:val="00B83736"/>
    <w:rsid w:val="00B872A5"/>
    <w:rsid w:val="00B87913"/>
    <w:rsid w:val="00B91F39"/>
    <w:rsid w:val="00B931AF"/>
    <w:rsid w:val="00B961DF"/>
    <w:rsid w:val="00B97FAA"/>
    <w:rsid w:val="00BA1EBD"/>
    <w:rsid w:val="00BA4F96"/>
    <w:rsid w:val="00BA5D85"/>
    <w:rsid w:val="00BA64A1"/>
    <w:rsid w:val="00BA6688"/>
    <w:rsid w:val="00BA6F4B"/>
    <w:rsid w:val="00BB20E5"/>
    <w:rsid w:val="00BC1A5D"/>
    <w:rsid w:val="00BC34D3"/>
    <w:rsid w:val="00BC6808"/>
    <w:rsid w:val="00BC71E1"/>
    <w:rsid w:val="00BD27E5"/>
    <w:rsid w:val="00BD2962"/>
    <w:rsid w:val="00BD5D49"/>
    <w:rsid w:val="00BD643D"/>
    <w:rsid w:val="00BE28AA"/>
    <w:rsid w:val="00BE41D3"/>
    <w:rsid w:val="00BE720A"/>
    <w:rsid w:val="00BE7698"/>
    <w:rsid w:val="00BF1BFB"/>
    <w:rsid w:val="00BF3ECC"/>
    <w:rsid w:val="00BF41E2"/>
    <w:rsid w:val="00BF43F8"/>
    <w:rsid w:val="00BF4E1E"/>
    <w:rsid w:val="00BF53FF"/>
    <w:rsid w:val="00C0670D"/>
    <w:rsid w:val="00C06BF8"/>
    <w:rsid w:val="00C07A0C"/>
    <w:rsid w:val="00C107F6"/>
    <w:rsid w:val="00C12D6A"/>
    <w:rsid w:val="00C13590"/>
    <w:rsid w:val="00C145CF"/>
    <w:rsid w:val="00C221D7"/>
    <w:rsid w:val="00C2331C"/>
    <w:rsid w:val="00C25259"/>
    <w:rsid w:val="00C27302"/>
    <w:rsid w:val="00C30188"/>
    <w:rsid w:val="00C30F72"/>
    <w:rsid w:val="00C312C0"/>
    <w:rsid w:val="00C33758"/>
    <w:rsid w:val="00C41926"/>
    <w:rsid w:val="00C423A7"/>
    <w:rsid w:val="00C42FB9"/>
    <w:rsid w:val="00C47968"/>
    <w:rsid w:val="00C52BDA"/>
    <w:rsid w:val="00C55C17"/>
    <w:rsid w:val="00C578BE"/>
    <w:rsid w:val="00C61129"/>
    <w:rsid w:val="00C640B2"/>
    <w:rsid w:val="00C72CF8"/>
    <w:rsid w:val="00C74E37"/>
    <w:rsid w:val="00C7756D"/>
    <w:rsid w:val="00C846A4"/>
    <w:rsid w:val="00C847EE"/>
    <w:rsid w:val="00C853D5"/>
    <w:rsid w:val="00C85EC4"/>
    <w:rsid w:val="00C93751"/>
    <w:rsid w:val="00C955F4"/>
    <w:rsid w:val="00C96336"/>
    <w:rsid w:val="00CA0A6F"/>
    <w:rsid w:val="00CA1B43"/>
    <w:rsid w:val="00CA6C99"/>
    <w:rsid w:val="00CB02F7"/>
    <w:rsid w:val="00CB25A2"/>
    <w:rsid w:val="00CB4B5C"/>
    <w:rsid w:val="00CB5499"/>
    <w:rsid w:val="00CB7336"/>
    <w:rsid w:val="00CC2015"/>
    <w:rsid w:val="00CC26EB"/>
    <w:rsid w:val="00CC59E5"/>
    <w:rsid w:val="00CD2F67"/>
    <w:rsid w:val="00CD3754"/>
    <w:rsid w:val="00CD5E04"/>
    <w:rsid w:val="00CD5E74"/>
    <w:rsid w:val="00CD6EB2"/>
    <w:rsid w:val="00CE0239"/>
    <w:rsid w:val="00CE132D"/>
    <w:rsid w:val="00CE3BEA"/>
    <w:rsid w:val="00CE499C"/>
    <w:rsid w:val="00CE7C3A"/>
    <w:rsid w:val="00CF04AE"/>
    <w:rsid w:val="00CF626E"/>
    <w:rsid w:val="00D03D06"/>
    <w:rsid w:val="00D06A43"/>
    <w:rsid w:val="00D079BC"/>
    <w:rsid w:val="00D129A7"/>
    <w:rsid w:val="00D12CC9"/>
    <w:rsid w:val="00D13792"/>
    <w:rsid w:val="00D147C9"/>
    <w:rsid w:val="00D169DA"/>
    <w:rsid w:val="00D20BD9"/>
    <w:rsid w:val="00D21E2D"/>
    <w:rsid w:val="00D22B42"/>
    <w:rsid w:val="00D26972"/>
    <w:rsid w:val="00D30647"/>
    <w:rsid w:val="00D3351A"/>
    <w:rsid w:val="00D34147"/>
    <w:rsid w:val="00D343F2"/>
    <w:rsid w:val="00D36AF6"/>
    <w:rsid w:val="00D36E09"/>
    <w:rsid w:val="00D405F8"/>
    <w:rsid w:val="00D41969"/>
    <w:rsid w:val="00D44632"/>
    <w:rsid w:val="00D44EA3"/>
    <w:rsid w:val="00D450BB"/>
    <w:rsid w:val="00D5552B"/>
    <w:rsid w:val="00D557FD"/>
    <w:rsid w:val="00D569A1"/>
    <w:rsid w:val="00D61557"/>
    <w:rsid w:val="00D632A3"/>
    <w:rsid w:val="00D65589"/>
    <w:rsid w:val="00D65BB5"/>
    <w:rsid w:val="00D6788F"/>
    <w:rsid w:val="00D70EC5"/>
    <w:rsid w:val="00D755D9"/>
    <w:rsid w:val="00D764DB"/>
    <w:rsid w:val="00D76947"/>
    <w:rsid w:val="00D82C29"/>
    <w:rsid w:val="00D84A39"/>
    <w:rsid w:val="00D85131"/>
    <w:rsid w:val="00D8543B"/>
    <w:rsid w:val="00D925BD"/>
    <w:rsid w:val="00DA064C"/>
    <w:rsid w:val="00DA2795"/>
    <w:rsid w:val="00DA2CD8"/>
    <w:rsid w:val="00DA7B93"/>
    <w:rsid w:val="00DC1151"/>
    <w:rsid w:val="00DC3579"/>
    <w:rsid w:val="00DC3612"/>
    <w:rsid w:val="00DC4D0A"/>
    <w:rsid w:val="00DC5066"/>
    <w:rsid w:val="00DD12A0"/>
    <w:rsid w:val="00DE2383"/>
    <w:rsid w:val="00DE71B1"/>
    <w:rsid w:val="00DE794D"/>
    <w:rsid w:val="00DF24B9"/>
    <w:rsid w:val="00DF3624"/>
    <w:rsid w:val="00DF5EB7"/>
    <w:rsid w:val="00DF5FD1"/>
    <w:rsid w:val="00DF6A23"/>
    <w:rsid w:val="00E0176A"/>
    <w:rsid w:val="00E021C1"/>
    <w:rsid w:val="00E02DCD"/>
    <w:rsid w:val="00E04A24"/>
    <w:rsid w:val="00E0564D"/>
    <w:rsid w:val="00E07987"/>
    <w:rsid w:val="00E10926"/>
    <w:rsid w:val="00E13590"/>
    <w:rsid w:val="00E2086E"/>
    <w:rsid w:val="00E271E4"/>
    <w:rsid w:val="00E31B37"/>
    <w:rsid w:val="00E33CB7"/>
    <w:rsid w:val="00E34912"/>
    <w:rsid w:val="00E3564C"/>
    <w:rsid w:val="00E35E72"/>
    <w:rsid w:val="00E36380"/>
    <w:rsid w:val="00E40C1B"/>
    <w:rsid w:val="00E41079"/>
    <w:rsid w:val="00E42721"/>
    <w:rsid w:val="00E43490"/>
    <w:rsid w:val="00E44AF0"/>
    <w:rsid w:val="00E44BC4"/>
    <w:rsid w:val="00E45377"/>
    <w:rsid w:val="00E5082E"/>
    <w:rsid w:val="00E513CC"/>
    <w:rsid w:val="00E51A66"/>
    <w:rsid w:val="00E5415A"/>
    <w:rsid w:val="00E5487E"/>
    <w:rsid w:val="00E54C30"/>
    <w:rsid w:val="00E55349"/>
    <w:rsid w:val="00E55557"/>
    <w:rsid w:val="00E62ED2"/>
    <w:rsid w:val="00E658A1"/>
    <w:rsid w:val="00E671FC"/>
    <w:rsid w:val="00E73672"/>
    <w:rsid w:val="00E7397F"/>
    <w:rsid w:val="00E753FD"/>
    <w:rsid w:val="00E75D3B"/>
    <w:rsid w:val="00E76BB5"/>
    <w:rsid w:val="00E76CA1"/>
    <w:rsid w:val="00E76F75"/>
    <w:rsid w:val="00E84BB9"/>
    <w:rsid w:val="00E84FA2"/>
    <w:rsid w:val="00E876A0"/>
    <w:rsid w:val="00E9134F"/>
    <w:rsid w:val="00E928D7"/>
    <w:rsid w:val="00E97C4A"/>
    <w:rsid w:val="00EA0448"/>
    <w:rsid w:val="00EB1536"/>
    <w:rsid w:val="00EB1988"/>
    <w:rsid w:val="00EB1C20"/>
    <w:rsid w:val="00EB2B6A"/>
    <w:rsid w:val="00EB4C46"/>
    <w:rsid w:val="00EC18C3"/>
    <w:rsid w:val="00EC19E1"/>
    <w:rsid w:val="00EC3126"/>
    <w:rsid w:val="00EC3396"/>
    <w:rsid w:val="00EC454E"/>
    <w:rsid w:val="00EC5F32"/>
    <w:rsid w:val="00EC5F36"/>
    <w:rsid w:val="00EC6777"/>
    <w:rsid w:val="00EC6E52"/>
    <w:rsid w:val="00EC7108"/>
    <w:rsid w:val="00ED1554"/>
    <w:rsid w:val="00ED15F7"/>
    <w:rsid w:val="00ED4F8D"/>
    <w:rsid w:val="00ED6399"/>
    <w:rsid w:val="00ED6C8A"/>
    <w:rsid w:val="00ED7365"/>
    <w:rsid w:val="00ED7FBD"/>
    <w:rsid w:val="00EE0A91"/>
    <w:rsid w:val="00EE28CD"/>
    <w:rsid w:val="00EE45FD"/>
    <w:rsid w:val="00EE5DF0"/>
    <w:rsid w:val="00EE6B58"/>
    <w:rsid w:val="00EF10E8"/>
    <w:rsid w:val="00EF146E"/>
    <w:rsid w:val="00EF34F7"/>
    <w:rsid w:val="00EF3746"/>
    <w:rsid w:val="00EF4134"/>
    <w:rsid w:val="00F05682"/>
    <w:rsid w:val="00F13655"/>
    <w:rsid w:val="00F17161"/>
    <w:rsid w:val="00F177AC"/>
    <w:rsid w:val="00F20F55"/>
    <w:rsid w:val="00F2227D"/>
    <w:rsid w:val="00F2233A"/>
    <w:rsid w:val="00F23D0F"/>
    <w:rsid w:val="00F2629E"/>
    <w:rsid w:val="00F32725"/>
    <w:rsid w:val="00F34857"/>
    <w:rsid w:val="00F3653F"/>
    <w:rsid w:val="00F36607"/>
    <w:rsid w:val="00F36B57"/>
    <w:rsid w:val="00F434C7"/>
    <w:rsid w:val="00F470D1"/>
    <w:rsid w:val="00F536DD"/>
    <w:rsid w:val="00F5504F"/>
    <w:rsid w:val="00F5578A"/>
    <w:rsid w:val="00F63B1C"/>
    <w:rsid w:val="00F63FBE"/>
    <w:rsid w:val="00F7113C"/>
    <w:rsid w:val="00F71684"/>
    <w:rsid w:val="00F72415"/>
    <w:rsid w:val="00F73AA8"/>
    <w:rsid w:val="00F75EBF"/>
    <w:rsid w:val="00F76C54"/>
    <w:rsid w:val="00F76F11"/>
    <w:rsid w:val="00F773B2"/>
    <w:rsid w:val="00F778A1"/>
    <w:rsid w:val="00F80B98"/>
    <w:rsid w:val="00F81B93"/>
    <w:rsid w:val="00F84319"/>
    <w:rsid w:val="00F84F79"/>
    <w:rsid w:val="00F858BA"/>
    <w:rsid w:val="00F86077"/>
    <w:rsid w:val="00F86697"/>
    <w:rsid w:val="00F90494"/>
    <w:rsid w:val="00F90BC0"/>
    <w:rsid w:val="00F92DC8"/>
    <w:rsid w:val="00F933A1"/>
    <w:rsid w:val="00F9505E"/>
    <w:rsid w:val="00FA0393"/>
    <w:rsid w:val="00FA1F56"/>
    <w:rsid w:val="00FA2ECD"/>
    <w:rsid w:val="00FA3B7C"/>
    <w:rsid w:val="00FA49A7"/>
    <w:rsid w:val="00FA703B"/>
    <w:rsid w:val="00FB1CB1"/>
    <w:rsid w:val="00FB27F5"/>
    <w:rsid w:val="00FB3323"/>
    <w:rsid w:val="00FB55F4"/>
    <w:rsid w:val="00FB5C17"/>
    <w:rsid w:val="00FC14D4"/>
    <w:rsid w:val="00FC1C72"/>
    <w:rsid w:val="00FC3FCB"/>
    <w:rsid w:val="00FC5060"/>
    <w:rsid w:val="00FC7475"/>
    <w:rsid w:val="00FD00AA"/>
    <w:rsid w:val="00FD0105"/>
    <w:rsid w:val="00FD0B1C"/>
    <w:rsid w:val="00FD2745"/>
    <w:rsid w:val="00FD2F25"/>
    <w:rsid w:val="00FD68EE"/>
    <w:rsid w:val="00FD7A4A"/>
    <w:rsid w:val="00FE2242"/>
    <w:rsid w:val="00FE41B0"/>
    <w:rsid w:val="00FE4F08"/>
    <w:rsid w:val="00FE63C1"/>
    <w:rsid w:val="00FF44A9"/>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Fodnotetekst Tegn,Footnote Text1,footnote text Char,Fodnotetekst Tegn Char,single space Char,footnote text Char Char Char,Fodnotetekst Tegn Char1"/>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Fodnotetekst Tegn Car,Footnote Text1 Car,footnote text Char Car,Fodnotetekst Tegn Char Car,single space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aliases w:val="Error-Fußnotenzeichen5,Error-Fußnotenzeichen6,Error-Fußnotenzeichen3,Liste à puces Car,Appel note de bas de p. Car,Car Car,Appel note de bas de p. Car Car Char Car Car Car Car Car,Car,16 Point Car Car Car Car Car Car Car"/>
    <w:link w:val="16PointCarCarCarCarCarCar"/>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remier,Style 3,Lapis Bulleted List,List Paragraph1,List Paragraph (numbered (a)),Dot pt,F5 List Paragraph,No Spacing1,List Paragraph Char Char Char,Indicator Text,Numbered Para 1,Bullet 1,List Paragraph12,Bullet Points,MAIN CONTENT"/>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character" w:customStyle="1" w:styleId="CommentaireCar">
    <w:name w:val="Commentaire Car"/>
    <w:basedOn w:val="Policepardfaut"/>
    <w:link w:val="Commentaire"/>
    <w:uiPriority w:val="99"/>
    <w:rsid w:val="00D925BD"/>
    <w:rPr>
      <w:rFonts w:ascii="Times New Roman" w:eastAsia="Times New Roman" w:hAnsi="Times New Roman"/>
      <w:lang w:val="en-GB" w:eastAsia="en-GB"/>
    </w:rPr>
  </w:style>
  <w:style w:type="paragraph" w:customStyle="1" w:styleId="16PointCarCarCarCarCarCar">
    <w:name w:val="16 Point Car Car Car Car Car Car"/>
    <w:aliases w:val="Superscript 6 Point Car Car Car Car Car Car,BVI fnr Car Char Char Car Car Car Car Car Car,BVI fnr Car Car Car Char Char Car Car Car Car Car Car"/>
    <w:basedOn w:val="Normal"/>
    <w:link w:val="Appelnotedebasdep"/>
    <w:uiPriority w:val="99"/>
    <w:rsid w:val="00D925BD"/>
    <w:pPr>
      <w:spacing w:after="160" w:line="240" w:lineRule="exact"/>
    </w:pPr>
    <w:rPr>
      <w:rFonts w:ascii="Calibri" w:eastAsia="Calibri" w:hAnsi="Calibri"/>
      <w:sz w:val="20"/>
      <w:szCs w:val="20"/>
      <w:vertAlign w:val="superscript"/>
      <w:lang w:val="en-US" w:eastAsia="zh-CN"/>
    </w:rPr>
  </w:style>
  <w:style w:type="character" w:customStyle="1" w:styleId="ParagraphedelisteCar">
    <w:name w:val="Paragraphe de liste Car"/>
    <w:aliases w:val="Premier Car,Style 3 Car,Lapis Bulleted List Car,List Paragraph1 Car,List Paragraph (numbered (a)) Car,Dot pt Car,F5 List Paragraph Car,No Spacing1 Car,List Paragraph Char Char Char Car,Indicator Text Car,Numbered Para 1 Car"/>
    <w:link w:val="Paragraphedeliste"/>
    <w:qFormat/>
    <w:locked/>
    <w:rsid w:val="001914EC"/>
    <w:rPr>
      <w:rFonts w:ascii="Times New Roman" w:eastAsia="Times New Roman" w:hAnsi="Times New Roman"/>
      <w:sz w:val="24"/>
      <w:szCs w:val="24"/>
      <w:lang w:val="en-GB" w:eastAsia="en-GB"/>
    </w:rPr>
  </w:style>
  <w:style w:type="paragraph" w:styleId="Lgende">
    <w:name w:val="caption"/>
    <w:basedOn w:val="Normal"/>
    <w:next w:val="Normal"/>
    <w:uiPriority w:val="35"/>
    <w:unhideWhenUsed/>
    <w:qFormat/>
    <w:rsid w:val="00CF626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C5237E" w:rsidRDefault="00EB067A">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0F26DE"/>
    <w:rsid w:val="002D2574"/>
    <w:rsid w:val="002D3988"/>
    <w:rsid w:val="00306CF7"/>
    <w:rsid w:val="00344597"/>
    <w:rsid w:val="004643FD"/>
    <w:rsid w:val="006D0F34"/>
    <w:rsid w:val="00707FF7"/>
    <w:rsid w:val="00975E93"/>
    <w:rsid w:val="009D24B7"/>
    <w:rsid w:val="00A27CDE"/>
    <w:rsid w:val="00AA2D76"/>
    <w:rsid w:val="00B50C28"/>
    <w:rsid w:val="00C07375"/>
    <w:rsid w:val="00C5237E"/>
    <w:rsid w:val="00C5652C"/>
    <w:rsid w:val="00D33836"/>
    <w:rsid w:val="00E01737"/>
    <w:rsid w:val="00E133CA"/>
    <w:rsid w:val="00EB06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39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gabriel.velastegui@undp.org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MPTF_00006_00633</ProjectId>
    <FundCode xmlns="f9695bc1-6109-4dcd-a27a-f8a0370b00e2">MPTF_00006</FundCode>
    <Comments xmlns="f9695bc1-6109-4dcd-a27a-f8a0370b00e2" xsi:nil="true"/>
    <Active xmlns="f9695bc1-6109-4dcd-a27a-f8a0370b00e2">Yes</Active>
    <DocumentDate xmlns="b1528a4b-5ccb-40f7-a09e-43427183cd95">2023-12-14T08:00:00+00:00</DocumentDate>
    <Featured xmlns="b1528a4b-5ccb-40f7-a09e-43427183cd95">1</Featured>
    <FormTypeCode xmlns="b1528a4b-5ccb-40f7-a09e-43427183cd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39865283-B693-4179-BB10-7633BE8474C8}"/>
</file>

<file path=customXml/itemProps3.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9119</Words>
  <Characters>51984</Characters>
  <Application>Microsoft Office Word</Application>
  <DocSecurity>0</DocSecurity>
  <Lines>433</Lines>
  <Paragraphs>121</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60982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Rapport_final_Projet_Acces victimes justice et verite_ PNUD ONU_Femmes - Version finale.docx</dc:title>
  <dc:subject/>
  <dc:creator>Technical P. Advisor</dc:creator>
  <cp:keywords/>
  <cp:lastModifiedBy>Joseph Aristide Kadouno</cp:lastModifiedBy>
  <cp:revision>2</cp:revision>
  <cp:lastPrinted>2014-02-10T17:12:00Z</cp:lastPrinted>
  <dcterms:created xsi:type="dcterms:W3CDTF">2023-08-05T09:07:00Z</dcterms:created>
  <dcterms:modified xsi:type="dcterms:W3CDTF">2023-08-05T09:07:00Z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