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53"/>
        <w:gridCol w:w="5105"/>
        <w:gridCol w:w="1710"/>
      </w:tblGrid>
      <w:tr w:rsidR="00A93A47" w:rsidRPr="00574596" w14:paraId="2BF1FFC1" w14:textId="77777777" w:rsidTr="007E376D">
        <w:trPr>
          <w:trHeight w:val="1710"/>
        </w:trPr>
        <w:tc>
          <w:tcPr>
            <w:tcW w:w="3553" w:type="dxa"/>
            <w:shd w:val="clear" w:color="auto" w:fill="auto"/>
          </w:tcPr>
          <w:p w14:paraId="6E753DF8" w14:textId="77777777" w:rsidR="00A93A47" w:rsidRPr="00574596" w:rsidRDefault="00A93A47" w:rsidP="007E376D">
            <w:pPr>
              <w:jc w:val="both"/>
              <w:rPr>
                <w:sz w:val="28"/>
                <w:szCs w:val="28"/>
                <w:lang w:val="en-GB"/>
              </w:rPr>
            </w:pPr>
            <w:r w:rsidRPr="00253C57">
              <w:rPr>
                <w:noProof/>
              </w:rPr>
              <w:drawing>
                <wp:anchor distT="0" distB="0" distL="114300" distR="114300" simplePos="0" relativeHeight="251661317" behindDoc="1" locked="0" layoutInCell="1" allowOverlap="1" wp14:anchorId="3A4C63FD" wp14:editId="1FA4C5FE">
                  <wp:simplePos x="0" y="0"/>
                  <wp:positionH relativeFrom="column">
                    <wp:posOffset>0</wp:posOffset>
                  </wp:positionH>
                  <wp:positionV relativeFrom="page">
                    <wp:posOffset>204470</wp:posOffset>
                  </wp:positionV>
                  <wp:extent cx="2019300" cy="563880"/>
                  <wp:effectExtent l="0" t="0" r="0" b="7620"/>
                  <wp:wrapTight wrapText="bothSides">
                    <wp:wrapPolygon edited="0">
                      <wp:start x="2242" y="0"/>
                      <wp:lineTo x="0" y="730"/>
                      <wp:lineTo x="0" y="15324"/>
                      <wp:lineTo x="1223" y="21162"/>
                      <wp:lineTo x="5706" y="21162"/>
                      <wp:lineTo x="21396" y="19703"/>
                      <wp:lineTo x="21396" y="16054"/>
                      <wp:lineTo x="16098" y="11676"/>
                      <wp:lineTo x="21396" y="8027"/>
                      <wp:lineTo x="21396" y="2189"/>
                      <wp:lineTo x="4891" y="0"/>
                      <wp:lineTo x="2242" y="0"/>
                    </wp:wrapPolygon>
                  </wp:wrapTight>
                  <wp:docPr id="58742935" name="Picture 587429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pic:nvPicPr>
                        <pic:blipFill>
                          <a:blip r:embed="rId11">
                            <a:extLst>
                              <a:ext uri="{28A0092B-C50C-407E-A947-70E740481C1C}">
                                <a14:useLocalDpi xmlns:a14="http://schemas.microsoft.com/office/drawing/2010/main" val="0"/>
                              </a:ext>
                            </a:extLst>
                          </a:blip>
                          <a:stretch>
                            <a:fillRect/>
                          </a:stretch>
                        </pic:blipFill>
                        <pic:spPr>
                          <a:xfrm>
                            <a:off x="0" y="0"/>
                            <a:ext cx="2019300" cy="563880"/>
                          </a:xfrm>
                          <a:prstGeom prst="rect">
                            <a:avLst/>
                          </a:prstGeom>
                        </pic:spPr>
                      </pic:pic>
                    </a:graphicData>
                  </a:graphic>
                  <wp14:sizeRelH relativeFrom="margin">
                    <wp14:pctWidth>0</wp14:pctWidth>
                  </wp14:sizeRelH>
                  <wp14:sizeRelV relativeFrom="margin">
                    <wp14:pctHeight>0</wp14:pctHeight>
                  </wp14:sizeRelV>
                </wp:anchor>
              </w:drawing>
            </w:r>
          </w:p>
        </w:tc>
        <w:tc>
          <w:tcPr>
            <w:tcW w:w="5105" w:type="dxa"/>
            <w:shd w:val="clear" w:color="auto" w:fill="auto"/>
          </w:tcPr>
          <w:p w14:paraId="22D7455D" w14:textId="77777777" w:rsidR="00A93A47" w:rsidRPr="00574596" w:rsidRDefault="00A93A47" w:rsidP="007E376D">
            <w:pPr>
              <w:jc w:val="both"/>
              <w:rPr>
                <w:b/>
                <w:sz w:val="28"/>
                <w:szCs w:val="28"/>
                <w:u w:val="single"/>
                <w:lang w:val="en-GB"/>
              </w:rPr>
            </w:pPr>
            <w:r w:rsidRPr="00574596">
              <w:rPr>
                <w:noProof/>
                <w:lang w:val="en-GB"/>
              </w:rPr>
              <w:drawing>
                <wp:anchor distT="0" distB="0" distL="114300" distR="114300" simplePos="0" relativeHeight="251660293" behindDoc="0" locked="0" layoutInCell="1" allowOverlap="1" wp14:anchorId="0F4C5607" wp14:editId="7E8CF938">
                  <wp:simplePos x="0" y="0"/>
                  <wp:positionH relativeFrom="column">
                    <wp:posOffset>702945</wp:posOffset>
                  </wp:positionH>
                  <wp:positionV relativeFrom="paragraph">
                    <wp:posOffset>182245</wp:posOffset>
                  </wp:positionV>
                  <wp:extent cx="1495425" cy="5403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40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10" w:type="dxa"/>
            <w:shd w:val="clear" w:color="auto" w:fill="auto"/>
          </w:tcPr>
          <w:p w14:paraId="378CB469" w14:textId="77777777" w:rsidR="00A93A47" w:rsidRPr="00574596" w:rsidRDefault="00A93A47" w:rsidP="007E376D">
            <w:pPr>
              <w:jc w:val="both"/>
              <w:rPr>
                <w:b/>
                <w:sz w:val="28"/>
                <w:szCs w:val="28"/>
                <w:lang w:val="en-GB"/>
              </w:rPr>
            </w:pPr>
            <w:r w:rsidRPr="00574596">
              <w:rPr>
                <w:b/>
                <w:noProof/>
                <w:sz w:val="28"/>
                <w:szCs w:val="28"/>
                <w:lang w:val="en-GB"/>
              </w:rPr>
              <w:drawing>
                <wp:inline distT="0" distB="0" distL="0" distR="0" wp14:anchorId="0141DFC5" wp14:editId="573236F2">
                  <wp:extent cx="619125"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1000125"/>
                          </a:xfrm>
                          <a:prstGeom prst="rect">
                            <a:avLst/>
                          </a:prstGeom>
                          <a:noFill/>
                          <a:ln>
                            <a:noFill/>
                          </a:ln>
                        </pic:spPr>
                      </pic:pic>
                    </a:graphicData>
                  </a:graphic>
                </wp:inline>
              </w:drawing>
            </w:r>
          </w:p>
        </w:tc>
      </w:tr>
    </w:tbl>
    <w:p w14:paraId="7DED6042" w14:textId="440E9D81" w:rsidR="00A93A47" w:rsidRPr="00574596" w:rsidRDefault="00A93A47" w:rsidP="00A93A47">
      <w:pPr>
        <w:jc w:val="center"/>
        <w:rPr>
          <w:b/>
          <w:lang w:val="en-GB"/>
        </w:rPr>
      </w:pPr>
      <w:r w:rsidRPr="00574596">
        <w:rPr>
          <w:b/>
          <w:lang w:val="en-GB"/>
        </w:rPr>
        <w:t xml:space="preserve">KIGOMA JOINT PROGRAMME </w:t>
      </w:r>
      <w:r>
        <w:rPr>
          <w:b/>
          <w:lang w:val="en-GB"/>
        </w:rPr>
        <w:t>PHASE</w:t>
      </w:r>
      <w:r w:rsidRPr="00574596">
        <w:rPr>
          <w:b/>
          <w:lang w:val="en-GB"/>
        </w:rPr>
        <w:t>II</w:t>
      </w:r>
    </w:p>
    <w:p w14:paraId="1692B951" w14:textId="77777777" w:rsidR="00A93A47" w:rsidRPr="00574596" w:rsidRDefault="00A93A47" w:rsidP="00A93A47">
      <w:pPr>
        <w:jc w:val="center"/>
        <w:rPr>
          <w:b/>
          <w:bCs/>
          <w:caps/>
          <w:lang w:val="en-GB"/>
        </w:rPr>
      </w:pPr>
      <w:r w:rsidRPr="00574596">
        <w:rPr>
          <w:b/>
          <w:bCs/>
          <w:caps/>
          <w:lang w:val="en-GB"/>
        </w:rPr>
        <w:t>NARRATIVE progress report</w:t>
      </w:r>
    </w:p>
    <w:p w14:paraId="385C5096" w14:textId="46ABBB70" w:rsidR="00A93A47" w:rsidRPr="00574596" w:rsidRDefault="00A93A47" w:rsidP="00A93A47">
      <w:pPr>
        <w:jc w:val="center"/>
        <w:rPr>
          <w:b/>
          <w:bCs/>
          <w:caps/>
          <w:lang w:val="en-GB"/>
        </w:rPr>
      </w:pPr>
      <w:r w:rsidRPr="00574596">
        <w:rPr>
          <w:b/>
          <w:bCs/>
          <w:caps/>
          <w:lang w:val="en-GB"/>
        </w:rPr>
        <w:t>REPORTING PERIOD: 1 january – 31 December 2023</w:t>
      </w:r>
    </w:p>
    <w:tbl>
      <w:tblPr>
        <w:tblW w:w="96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2"/>
        <w:gridCol w:w="164"/>
        <w:gridCol w:w="106"/>
        <w:gridCol w:w="5040"/>
      </w:tblGrid>
      <w:tr w:rsidR="00A93A47" w:rsidRPr="0047626C" w14:paraId="65CD05A3" w14:textId="77777777" w:rsidTr="007E376D">
        <w:trPr>
          <w:trHeight w:val="206"/>
        </w:trPr>
        <w:tc>
          <w:tcPr>
            <w:tcW w:w="4372" w:type="dxa"/>
            <w:shd w:val="clear" w:color="auto" w:fill="F3F3F3"/>
          </w:tcPr>
          <w:p w14:paraId="488C66E1" w14:textId="77777777" w:rsidR="00A93A47" w:rsidRPr="0047626C" w:rsidRDefault="00A93A47" w:rsidP="007E376D">
            <w:pPr>
              <w:pStyle w:val="H1"/>
              <w:jc w:val="both"/>
              <w:rPr>
                <w:rFonts w:cs="Times New Roman"/>
                <w:sz w:val="20"/>
                <w:szCs w:val="20"/>
              </w:rPr>
            </w:pPr>
            <w:r w:rsidRPr="0047626C">
              <w:rPr>
                <w:rFonts w:cs="Times New Roman"/>
                <w:sz w:val="20"/>
                <w:szCs w:val="20"/>
              </w:rPr>
              <w:t>Programme Title &amp; Project Number</w:t>
            </w:r>
          </w:p>
        </w:tc>
        <w:tc>
          <w:tcPr>
            <w:tcW w:w="270" w:type="dxa"/>
            <w:gridSpan w:val="2"/>
            <w:vMerge w:val="restart"/>
            <w:vAlign w:val="center"/>
          </w:tcPr>
          <w:p w14:paraId="4D539E27" w14:textId="77777777" w:rsidR="00A93A47" w:rsidRPr="0047626C" w:rsidRDefault="00A93A47" w:rsidP="007E376D">
            <w:pPr>
              <w:jc w:val="both"/>
              <w:rPr>
                <w:sz w:val="20"/>
                <w:szCs w:val="20"/>
                <w:lang w:val="en-GB"/>
              </w:rPr>
            </w:pPr>
          </w:p>
        </w:tc>
        <w:tc>
          <w:tcPr>
            <w:tcW w:w="5040" w:type="dxa"/>
            <w:shd w:val="clear" w:color="auto" w:fill="F3F3F3"/>
            <w:vAlign w:val="center"/>
          </w:tcPr>
          <w:p w14:paraId="1BE724E6" w14:textId="77777777" w:rsidR="00A93A47" w:rsidRDefault="00A93A47" w:rsidP="007E376D">
            <w:pPr>
              <w:pStyle w:val="H1"/>
              <w:jc w:val="both"/>
              <w:rPr>
                <w:rFonts w:cs="Times New Roman"/>
                <w:sz w:val="20"/>
                <w:szCs w:val="20"/>
              </w:rPr>
            </w:pPr>
            <w:r w:rsidRPr="0047626C">
              <w:rPr>
                <w:rFonts w:cs="Times New Roman"/>
                <w:sz w:val="20"/>
                <w:szCs w:val="20"/>
              </w:rPr>
              <w:t>Country, Locality(s), Priority Area(s) / Strategic Results</w:t>
            </w:r>
            <w:r w:rsidRPr="0047626C">
              <w:rPr>
                <w:rStyle w:val="FootnoteReference"/>
                <w:rFonts w:cs="Times New Roman"/>
                <w:sz w:val="20"/>
                <w:szCs w:val="20"/>
              </w:rPr>
              <w:footnoteReference w:id="2"/>
            </w:r>
          </w:p>
          <w:p w14:paraId="0D7F4028" w14:textId="77777777" w:rsidR="00A93A47" w:rsidRPr="0047626C" w:rsidRDefault="00A93A47" w:rsidP="007E376D">
            <w:pPr>
              <w:pStyle w:val="H1"/>
              <w:jc w:val="both"/>
              <w:rPr>
                <w:rFonts w:cs="Times New Roman"/>
                <w:sz w:val="20"/>
                <w:szCs w:val="20"/>
              </w:rPr>
            </w:pPr>
          </w:p>
        </w:tc>
      </w:tr>
      <w:tr w:rsidR="00A93A47" w:rsidRPr="0047626C" w14:paraId="6BBEF2E8" w14:textId="77777777" w:rsidTr="007E376D">
        <w:trPr>
          <w:trHeight w:val="122"/>
        </w:trPr>
        <w:tc>
          <w:tcPr>
            <w:tcW w:w="4372" w:type="dxa"/>
            <w:vMerge w:val="restart"/>
          </w:tcPr>
          <w:p w14:paraId="055E2685" w14:textId="77777777" w:rsidR="00A93A47" w:rsidRPr="0016434F" w:rsidRDefault="00A93A47" w:rsidP="007E376D">
            <w:pPr>
              <w:pStyle w:val="BodyText"/>
              <w:spacing w:before="60" w:after="60"/>
              <w:jc w:val="both"/>
              <w:rPr>
                <w:rFonts w:ascii="Times New Roman" w:hAnsi="Times New Roman" w:cs="Times New Roman"/>
                <w:bCs/>
                <w:iCs/>
                <w:snapToGrid w:val="0"/>
                <w:lang w:val="en-GB"/>
              </w:rPr>
            </w:pPr>
            <w:r w:rsidRPr="00847C69">
              <w:rPr>
                <w:rFonts w:ascii="Times New Roman" w:hAnsi="Times New Roman" w:cs="Times New Roman"/>
                <w:b/>
                <w:iCs/>
                <w:snapToGrid w:val="0"/>
                <w:lang w:val="en-GB"/>
              </w:rPr>
              <w:t>Programme Title:</w:t>
            </w:r>
            <w:r w:rsidRPr="0016434F">
              <w:rPr>
                <w:rFonts w:ascii="Times New Roman" w:hAnsi="Times New Roman" w:cs="Times New Roman"/>
                <w:bCs/>
                <w:iCs/>
                <w:snapToGrid w:val="0"/>
                <w:lang w:val="en-GB"/>
              </w:rPr>
              <w:t xml:space="preserve"> Kigoma Joint Programme </w:t>
            </w:r>
            <w:r>
              <w:rPr>
                <w:rFonts w:ascii="Times New Roman" w:hAnsi="Times New Roman" w:cs="Times New Roman"/>
                <w:bCs/>
                <w:iCs/>
                <w:snapToGrid w:val="0"/>
                <w:lang w:val="en-GB"/>
              </w:rPr>
              <w:t xml:space="preserve">Phase </w:t>
            </w:r>
            <w:r w:rsidRPr="0016434F">
              <w:rPr>
                <w:rFonts w:ascii="Times New Roman" w:hAnsi="Times New Roman" w:cs="Times New Roman"/>
                <w:bCs/>
                <w:iCs/>
                <w:snapToGrid w:val="0"/>
                <w:lang w:val="en-GB"/>
              </w:rPr>
              <w:t>II</w:t>
            </w:r>
          </w:p>
          <w:p w14:paraId="07F869CD" w14:textId="77777777" w:rsidR="00A93A47" w:rsidRPr="0016434F" w:rsidRDefault="00A93A47" w:rsidP="007E376D">
            <w:pPr>
              <w:pStyle w:val="BodyText"/>
              <w:spacing w:before="60" w:after="60"/>
              <w:jc w:val="both"/>
              <w:rPr>
                <w:rFonts w:ascii="Times New Roman" w:hAnsi="Times New Roman" w:cs="Times New Roman"/>
                <w:i/>
                <w:lang w:val="en-GB"/>
              </w:rPr>
            </w:pPr>
            <w:r w:rsidRPr="00847C69">
              <w:rPr>
                <w:rFonts w:ascii="Times New Roman" w:hAnsi="Times New Roman" w:cs="Times New Roman"/>
                <w:b/>
                <w:iCs/>
                <w:snapToGrid w:val="0"/>
                <w:lang w:val="en-GB"/>
              </w:rPr>
              <w:t>MPTF Office Project Reference Number:</w:t>
            </w:r>
            <w:r w:rsidRPr="0047626C">
              <w:rPr>
                <w:rFonts w:ascii="Times New Roman" w:hAnsi="Times New Roman" w:cs="Times New Roman"/>
                <w:color w:val="0563C1"/>
                <w:u w:val="single"/>
              </w:rPr>
              <w:t xml:space="preserve"> </w:t>
            </w:r>
            <w:r w:rsidRPr="00847C69">
              <w:rPr>
                <w:rFonts w:ascii="Times New Roman" w:hAnsi="Times New Roman" w:cs="Times New Roman"/>
              </w:rPr>
              <w:t>00140239</w:t>
            </w:r>
            <w:r w:rsidRPr="00847C69">
              <w:rPr>
                <w:rFonts w:ascii="Times New Roman" w:hAnsi="Times New Roman" w:cs="Times New Roman"/>
                <w:i/>
                <w:lang w:val="en-GB"/>
              </w:rPr>
              <w:t xml:space="preserve"> </w:t>
            </w:r>
          </w:p>
        </w:tc>
        <w:tc>
          <w:tcPr>
            <w:tcW w:w="270" w:type="dxa"/>
            <w:gridSpan w:val="2"/>
            <w:vMerge/>
          </w:tcPr>
          <w:p w14:paraId="5FFF9AC3" w14:textId="77777777" w:rsidR="00A93A47" w:rsidRPr="0016434F" w:rsidRDefault="00A93A47" w:rsidP="007E376D">
            <w:pPr>
              <w:pStyle w:val="BodyText"/>
              <w:ind w:left="360"/>
              <w:jc w:val="both"/>
              <w:rPr>
                <w:rFonts w:ascii="Times New Roman" w:hAnsi="Times New Roman" w:cs="Times New Roman"/>
                <w:lang w:val="en-GB"/>
              </w:rPr>
            </w:pPr>
          </w:p>
        </w:tc>
        <w:tc>
          <w:tcPr>
            <w:tcW w:w="5040" w:type="dxa"/>
          </w:tcPr>
          <w:p w14:paraId="6BE11B01" w14:textId="77777777" w:rsidR="00A93A47" w:rsidRPr="00847C69" w:rsidRDefault="00A93A47" w:rsidP="007E376D">
            <w:pPr>
              <w:pStyle w:val="BodyText"/>
              <w:jc w:val="both"/>
              <w:rPr>
                <w:rFonts w:ascii="Times New Roman" w:hAnsi="Times New Roman" w:cs="Times New Roman"/>
                <w:bCs/>
                <w:snapToGrid w:val="0"/>
                <w:lang w:val="en-GB"/>
              </w:rPr>
            </w:pPr>
            <w:r w:rsidRPr="00847C69">
              <w:rPr>
                <w:rFonts w:ascii="Times New Roman" w:hAnsi="Times New Roman" w:cs="Times New Roman"/>
                <w:b/>
                <w:snapToGrid w:val="0"/>
                <w:lang w:val="en-GB"/>
              </w:rPr>
              <w:t>Country/Region:</w:t>
            </w:r>
            <w:r w:rsidRPr="00847C69">
              <w:rPr>
                <w:rFonts w:ascii="Times New Roman" w:hAnsi="Times New Roman" w:cs="Times New Roman"/>
                <w:bCs/>
                <w:snapToGrid w:val="0"/>
                <w:lang w:val="en-GB"/>
              </w:rPr>
              <w:t xml:space="preserve"> United Republic of Tanzania, </w:t>
            </w:r>
          </w:p>
          <w:p w14:paraId="35D5F258" w14:textId="77777777" w:rsidR="00A93A47" w:rsidRPr="0010122D" w:rsidRDefault="00A93A47" w:rsidP="007E376D">
            <w:pPr>
              <w:pStyle w:val="BodyText"/>
              <w:jc w:val="both"/>
              <w:rPr>
                <w:rFonts w:ascii="Times New Roman" w:hAnsi="Times New Roman" w:cs="Times New Roman"/>
                <w:bCs/>
                <w:snapToGrid w:val="0"/>
                <w:lang w:val="en-GB"/>
              </w:rPr>
            </w:pPr>
            <w:r w:rsidRPr="00847C69">
              <w:rPr>
                <w:rFonts w:ascii="Times New Roman" w:hAnsi="Times New Roman" w:cs="Times New Roman"/>
                <w:bCs/>
                <w:snapToGrid w:val="0"/>
                <w:lang w:val="en-GB"/>
              </w:rPr>
              <w:t xml:space="preserve">                            </w:t>
            </w:r>
            <w:r>
              <w:rPr>
                <w:rFonts w:ascii="Times New Roman" w:hAnsi="Times New Roman" w:cs="Times New Roman"/>
                <w:bCs/>
                <w:snapToGrid w:val="0"/>
                <w:lang w:val="en-GB"/>
              </w:rPr>
              <w:t xml:space="preserve">   </w:t>
            </w:r>
            <w:r w:rsidRPr="00847C69">
              <w:rPr>
                <w:rFonts w:ascii="Times New Roman" w:hAnsi="Times New Roman" w:cs="Times New Roman"/>
                <w:bCs/>
                <w:snapToGrid w:val="0"/>
                <w:lang w:val="en-GB"/>
              </w:rPr>
              <w:t>Kigoma Region</w:t>
            </w:r>
          </w:p>
        </w:tc>
      </w:tr>
      <w:tr w:rsidR="00A93A47" w:rsidRPr="0047626C" w14:paraId="7F150CE3" w14:textId="77777777" w:rsidTr="007E376D">
        <w:trPr>
          <w:trHeight w:val="421"/>
        </w:trPr>
        <w:tc>
          <w:tcPr>
            <w:tcW w:w="4372" w:type="dxa"/>
            <w:vMerge/>
          </w:tcPr>
          <w:p w14:paraId="17799F6D" w14:textId="77777777" w:rsidR="00A93A47" w:rsidRPr="0016434F" w:rsidRDefault="00A93A47" w:rsidP="007E376D">
            <w:pPr>
              <w:pStyle w:val="BodyText"/>
              <w:spacing w:before="60" w:after="60"/>
              <w:ind w:left="360"/>
              <w:jc w:val="both"/>
              <w:rPr>
                <w:rFonts w:ascii="Times New Roman" w:hAnsi="Times New Roman" w:cs="Times New Roman"/>
                <w:bCs/>
                <w:iCs/>
                <w:snapToGrid w:val="0"/>
                <w:lang w:val="en-GB"/>
              </w:rPr>
            </w:pPr>
          </w:p>
        </w:tc>
        <w:tc>
          <w:tcPr>
            <w:tcW w:w="270" w:type="dxa"/>
            <w:gridSpan w:val="2"/>
            <w:vMerge/>
          </w:tcPr>
          <w:p w14:paraId="2FE5D6DD" w14:textId="77777777" w:rsidR="00A93A47" w:rsidRPr="0016434F" w:rsidRDefault="00A93A47" w:rsidP="007E376D">
            <w:pPr>
              <w:pStyle w:val="BodyText"/>
              <w:ind w:left="360"/>
              <w:jc w:val="both"/>
              <w:rPr>
                <w:rFonts w:ascii="Times New Roman" w:hAnsi="Times New Roman" w:cs="Times New Roman"/>
                <w:lang w:val="en-GB"/>
              </w:rPr>
            </w:pPr>
          </w:p>
        </w:tc>
        <w:tc>
          <w:tcPr>
            <w:tcW w:w="5040" w:type="dxa"/>
          </w:tcPr>
          <w:p w14:paraId="1F70B3F4" w14:textId="77777777" w:rsidR="00A93A47" w:rsidRPr="00847C69" w:rsidRDefault="00A93A47" w:rsidP="007E376D">
            <w:pPr>
              <w:pStyle w:val="BodyText"/>
              <w:jc w:val="both"/>
              <w:rPr>
                <w:rFonts w:ascii="Times New Roman" w:hAnsi="Times New Roman" w:cs="Times New Roman"/>
                <w:b/>
                <w:snapToGrid w:val="0"/>
                <w:lang w:val="en-GB"/>
              </w:rPr>
            </w:pPr>
            <w:r w:rsidRPr="00847C69">
              <w:rPr>
                <w:rFonts w:ascii="Times New Roman" w:hAnsi="Times New Roman" w:cs="Times New Roman"/>
                <w:b/>
                <w:snapToGrid w:val="0"/>
                <w:lang w:val="en-GB"/>
              </w:rPr>
              <w:t>Priority area/ strategic results</w:t>
            </w:r>
            <w:r>
              <w:rPr>
                <w:rFonts w:ascii="Times New Roman" w:hAnsi="Times New Roman" w:cs="Times New Roman"/>
                <w:b/>
                <w:snapToGrid w:val="0"/>
                <w:lang w:val="en-GB"/>
              </w:rPr>
              <w:t xml:space="preserve"> and themes</w:t>
            </w:r>
            <w:r w:rsidRPr="00847C69">
              <w:rPr>
                <w:rFonts w:ascii="Times New Roman" w:hAnsi="Times New Roman" w:cs="Times New Roman"/>
                <w:b/>
                <w:snapToGrid w:val="0"/>
                <w:lang w:val="en-GB"/>
              </w:rPr>
              <w:t>:</w:t>
            </w:r>
          </w:p>
          <w:p w14:paraId="41B45F0C" w14:textId="77777777" w:rsidR="00A93A47" w:rsidRDefault="00A93A47" w:rsidP="007E376D">
            <w:pPr>
              <w:pStyle w:val="BodyText"/>
              <w:jc w:val="both"/>
              <w:rPr>
                <w:rFonts w:ascii="Times New Roman" w:hAnsi="Times New Roman" w:cs="Times New Roman"/>
                <w:bCs/>
                <w:iCs/>
                <w:snapToGrid w:val="0"/>
                <w:lang w:val="en-GB"/>
              </w:rPr>
            </w:pPr>
            <w:r w:rsidRPr="00D17902">
              <w:rPr>
                <w:rFonts w:ascii="Times New Roman" w:hAnsi="Times New Roman" w:cs="Times New Roman"/>
                <w:bCs/>
                <w:iCs/>
                <w:snapToGrid w:val="0"/>
                <w:lang w:val="en-GB"/>
              </w:rPr>
              <w:t xml:space="preserve">People: education, health, and nutrition; WASH; </w:t>
            </w:r>
            <w:r>
              <w:rPr>
                <w:rFonts w:ascii="Times New Roman" w:hAnsi="Times New Roman" w:cs="Times New Roman"/>
                <w:bCs/>
                <w:iCs/>
                <w:snapToGrid w:val="0"/>
                <w:lang w:val="en-GB"/>
              </w:rPr>
              <w:t>VAWC</w:t>
            </w:r>
          </w:p>
          <w:p w14:paraId="3FAF2D2C" w14:textId="77777777" w:rsidR="00A93A47" w:rsidRDefault="00A93A47" w:rsidP="007E376D">
            <w:pPr>
              <w:pStyle w:val="BodyText"/>
              <w:jc w:val="both"/>
              <w:rPr>
                <w:rFonts w:ascii="Times New Roman" w:hAnsi="Times New Roman" w:cs="Times New Roman"/>
                <w:bCs/>
                <w:iCs/>
                <w:snapToGrid w:val="0"/>
                <w:lang w:val="en-GB"/>
              </w:rPr>
            </w:pPr>
            <w:r>
              <w:rPr>
                <w:rFonts w:ascii="Times New Roman" w:hAnsi="Times New Roman" w:cs="Times New Roman"/>
                <w:bCs/>
                <w:iCs/>
                <w:snapToGrid w:val="0"/>
                <w:lang w:val="en-GB"/>
              </w:rPr>
              <w:t>Prosperity: agriculture and economic empowerment</w:t>
            </w:r>
          </w:p>
          <w:p w14:paraId="3E64B458" w14:textId="77777777" w:rsidR="00A93A47" w:rsidRDefault="00A93A47" w:rsidP="007E376D">
            <w:pPr>
              <w:pStyle w:val="BodyText"/>
              <w:jc w:val="both"/>
              <w:rPr>
                <w:rFonts w:ascii="Times New Roman" w:hAnsi="Times New Roman" w:cs="Times New Roman"/>
                <w:bCs/>
                <w:iCs/>
                <w:snapToGrid w:val="0"/>
                <w:lang w:val="en-GB"/>
              </w:rPr>
            </w:pPr>
            <w:r>
              <w:rPr>
                <w:rFonts w:ascii="Times New Roman" w:hAnsi="Times New Roman" w:cs="Times New Roman"/>
                <w:bCs/>
                <w:iCs/>
                <w:snapToGrid w:val="0"/>
                <w:lang w:val="en-GB"/>
              </w:rPr>
              <w:t>Planet:</w:t>
            </w:r>
            <w:r w:rsidRPr="00847C69">
              <w:rPr>
                <w:rFonts w:ascii="Times New Roman" w:hAnsi="Times New Roman" w:cs="Times New Roman"/>
                <w:bCs/>
                <w:iCs/>
                <w:snapToGrid w:val="0"/>
                <w:lang w:val="en-GB"/>
              </w:rPr>
              <w:t xml:space="preserve"> CSA/NRM</w:t>
            </w:r>
            <w:r>
              <w:rPr>
                <w:rFonts w:ascii="Times New Roman" w:hAnsi="Times New Roman" w:cs="Times New Roman"/>
                <w:bCs/>
                <w:iCs/>
                <w:snapToGrid w:val="0"/>
                <w:lang w:val="en-GB"/>
              </w:rPr>
              <w:t xml:space="preserve">, </w:t>
            </w:r>
            <w:r w:rsidRPr="00847C69">
              <w:rPr>
                <w:rFonts w:ascii="Times New Roman" w:hAnsi="Times New Roman" w:cs="Times New Roman"/>
                <w:bCs/>
                <w:iCs/>
                <w:snapToGrid w:val="0"/>
                <w:lang w:val="en-GB"/>
              </w:rPr>
              <w:t xml:space="preserve"> DRR</w:t>
            </w:r>
            <w:r>
              <w:rPr>
                <w:rFonts w:ascii="Times New Roman" w:hAnsi="Times New Roman" w:cs="Times New Roman"/>
                <w:bCs/>
                <w:iCs/>
                <w:snapToGrid w:val="0"/>
                <w:lang w:val="en-GB"/>
              </w:rPr>
              <w:t xml:space="preserve">, </w:t>
            </w:r>
            <w:r w:rsidRPr="00847C69">
              <w:rPr>
                <w:rFonts w:ascii="Times New Roman" w:hAnsi="Times New Roman" w:cs="Times New Roman"/>
                <w:bCs/>
                <w:iCs/>
                <w:snapToGrid w:val="0"/>
                <w:lang w:val="en-GB"/>
              </w:rPr>
              <w:t>Energy</w:t>
            </w:r>
          </w:p>
          <w:p w14:paraId="3867791F" w14:textId="77777777" w:rsidR="00A93A47" w:rsidRDefault="00A93A47" w:rsidP="007E376D">
            <w:pPr>
              <w:pStyle w:val="BodyText"/>
              <w:jc w:val="both"/>
              <w:rPr>
                <w:rFonts w:ascii="Times New Roman" w:hAnsi="Times New Roman" w:cs="Times New Roman"/>
                <w:bCs/>
                <w:iCs/>
                <w:snapToGrid w:val="0"/>
                <w:lang w:val="en-GB"/>
              </w:rPr>
            </w:pPr>
            <w:r w:rsidRPr="00847C69">
              <w:rPr>
                <w:rFonts w:ascii="Times New Roman" w:hAnsi="Times New Roman" w:cs="Times New Roman"/>
                <w:bCs/>
                <w:iCs/>
                <w:snapToGrid w:val="0"/>
                <w:lang w:val="en-GB"/>
              </w:rPr>
              <w:t>Enabling Environment: G</w:t>
            </w:r>
            <w:r>
              <w:rPr>
                <w:rFonts w:ascii="Times New Roman" w:hAnsi="Times New Roman" w:cs="Times New Roman"/>
                <w:bCs/>
                <w:iCs/>
                <w:snapToGrid w:val="0"/>
                <w:lang w:val="en-GB"/>
              </w:rPr>
              <w:t>o</w:t>
            </w:r>
            <w:r w:rsidRPr="00847C69">
              <w:rPr>
                <w:rFonts w:ascii="Times New Roman" w:hAnsi="Times New Roman" w:cs="Times New Roman"/>
                <w:bCs/>
                <w:iCs/>
                <w:snapToGrid w:val="0"/>
                <w:lang w:val="en-GB"/>
              </w:rPr>
              <w:t>vernance</w:t>
            </w:r>
          </w:p>
          <w:p w14:paraId="749E7C57" w14:textId="77777777" w:rsidR="00A93A47" w:rsidRPr="007F2833" w:rsidRDefault="00A93A47" w:rsidP="007E376D">
            <w:pPr>
              <w:pStyle w:val="BodyText"/>
              <w:jc w:val="both"/>
              <w:rPr>
                <w:rFonts w:ascii="Times New Roman" w:hAnsi="Times New Roman" w:cs="Times New Roman"/>
                <w:bCs/>
                <w:iCs/>
                <w:snapToGrid w:val="0"/>
                <w:lang w:val="en-GB"/>
              </w:rPr>
            </w:pPr>
            <w:r>
              <w:rPr>
                <w:rFonts w:ascii="Times New Roman" w:hAnsi="Times New Roman" w:cs="Times New Roman"/>
                <w:bCs/>
                <w:iCs/>
                <w:snapToGrid w:val="0"/>
                <w:lang w:val="en-GB"/>
              </w:rPr>
              <w:t>Coordination</w:t>
            </w:r>
          </w:p>
        </w:tc>
      </w:tr>
      <w:tr w:rsidR="00A93A47" w:rsidRPr="0047626C" w14:paraId="3F33B2AD" w14:textId="77777777" w:rsidTr="007E376D">
        <w:trPr>
          <w:trHeight w:val="206"/>
        </w:trPr>
        <w:tc>
          <w:tcPr>
            <w:tcW w:w="4372" w:type="dxa"/>
            <w:shd w:val="clear" w:color="auto" w:fill="F3F3F3"/>
          </w:tcPr>
          <w:p w14:paraId="659C6742" w14:textId="77777777" w:rsidR="00A93A47" w:rsidRPr="0047626C" w:rsidRDefault="00A93A47" w:rsidP="007E376D">
            <w:pPr>
              <w:pStyle w:val="H1"/>
              <w:ind w:left="360"/>
              <w:jc w:val="both"/>
              <w:rPr>
                <w:rFonts w:cs="Times New Roman"/>
                <w:sz w:val="20"/>
                <w:szCs w:val="20"/>
              </w:rPr>
            </w:pPr>
            <w:r w:rsidRPr="0047626C">
              <w:rPr>
                <w:rFonts w:cs="Times New Roman"/>
                <w:sz w:val="20"/>
                <w:szCs w:val="20"/>
              </w:rPr>
              <w:t>Participating Organization(s)</w:t>
            </w:r>
          </w:p>
        </w:tc>
        <w:tc>
          <w:tcPr>
            <w:tcW w:w="270" w:type="dxa"/>
            <w:gridSpan w:val="2"/>
            <w:vMerge w:val="restart"/>
            <w:vAlign w:val="center"/>
          </w:tcPr>
          <w:p w14:paraId="3C32467D" w14:textId="77777777" w:rsidR="00A93A47" w:rsidRPr="0047626C" w:rsidRDefault="00A93A47" w:rsidP="007E376D">
            <w:pPr>
              <w:ind w:left="360"/>
              <w:jc w:val="both"/>
              <w:rPr>
                <w:sz w:val="20"/>
                <w:szCs w:val="20"/>
                <w:lang w:val="en-GB"/>
              </w:rPr>
            </w:pPr>
          </w:p>
        </w:tc>
        <w:tc>
          <w:tcPr>
            <w:tcW w:w="5040" w:type="dxa"/>
            <w:shd w:val="clear" w:color="auto" w:fill="F3F3F3"/>
            <w:vAlign w:val="center"/>
          </w:tcPr>
          <w:p w14:paraId="6FC6F862" w14:textId="77777777" w:rsidR="00A93A47" w:rsidRPr="0016434F" w:rsidRDefault="00A93A47" w:rsidP="007E376D">
            <w:pPr>
              <w:pStyle w:val="H1"/>
              <w:ind w:left="360"/>
              <w:jc w:val="both"/>
              <w:rPr>
                <w:rFonts w:cs="Times New Roman"/>
                <w:sz w:val="20"/>
                <w:szCs w:val="20"/>
              </w:rPr>
            </w:pPr>
            <w:r w:rsidRPr="0047626C">
              <w:rPr>
                <w:rFonts w:cs="Times New Roman"/>
                <w:sz w:val="20"/>
                <w:szCs w:val="20"/>
              </w:rPr>
              <w:t>Implementing Partners</w:t>
            </w:r>
          </w:p>
        </w:tc>
      </w:tr>
      <w:tr w:rsidR="00A93A47" w:rsidRPr="0047626C" w14:paraId="49065A78" w14:textId="77777777" w:rsidTr="007E376D">
        <w:trPr>
          <w:trHeight w:val="1487"/>
        </w:trPr>
        <w:tc>
          <w:tcPr>
            <w:tcW w:w="4372" w:type="dxa"/>
          </w:tcPr>
          <w:p w14:paraId="3D5A600E" w14:textId="77777777" w:rsidR="00A93A47" w:rsidRPr="0047626C" w:rsidRDefault="00A93A47" w:rsidP="007E376D">
            <w:pPr>
              <w:pStyle w:val="BodyText"/>
              <w:jc w:val="both"/>
              <w:rPr>
                <w:rFonts w:ascii="Times New Roman" w:hAnsi="Times New Roman" w:cs="Times New Roman"/>
                <w:i/>
                <w:lang w:val="en-GB"/>
              </w:rPr>
            </w:pPr>
            <w:r w:rsidRPr="0016434F">
              <w:rPr>
                <w:rFonts w:ascii="Times New Roman" w:hAnsi="Times New Roman" w:cs="Times New Roman"/>
                <w:lang w:val="en-GB"/>
              </w:rPr>
              <w:t>FAO, ILO, ITC, IOM, UNDP, UNICEF, UNHCR, UN WOMEN, UNFPA, UNIDO, UNCDF, UN Habitat, WFP and WHO.</w:t>
            </w:r>
          </w:p>
        </w:tc>
        <w:tc>
          <w:tcPr>
            <w:tcW w:w="270" w:type="dxa"/>
            <w:gridSpan w:val="2"/>
            <w:vMerge/>
          </w:tcPr>
          <w:p w14:paraId="4F23BE52" w14:textId="77777777" w:rsidR="00A93A47" w:rsidRPr="0016434F" w:rsidRDefault="00A93A47" w:rsidP="007E376D">
            <w:pPr>
              <w:pStyle w:val="BodyText"/>
              <w:ind w:left="360"/>
              <w:jc w:val="both"/>
              <w:rPr>
                <w:rFonts w:ascii="Times New Roman" w:hAnsi="Times New Roman" w:cs="Times New Roman"/>
                <w:lang w:val="en-GB"/>
              </w:rPr>
            </w:pPr>
          </w:p>
        </w:tc>
        <w:tc>
          <w:tcPr>
            <w:tcW w:w="5040" w:type="dxa"/>
          </w:tcPr>
          <w:p w14:paraId="29492356" w14:textId="77777777" w:rsidR="00A93A47" w:rsidRDefault="00A93A47" w:rsidP="007E376D">
            <w:pPr>
              <w:pStyle w:val="BodyText"/>
              <w:spacing w:before="60" w:after="60"/>
              <w:jc w:val="both"/>
              <w:rPr>
                <w:rFonts w:ascii="Times New Roman" w:hAnsi="Times New Roman" w:cs="Times New Roman"/>
                <w:bCs/>
                <w:iCs/>
                <w:snapToGrid w:val="0"/>
                <w:lang w:val="en-GB"/>
              </w:rPr>
            </w:pPr>
            <w:r w:rsidRPr="0016434F">
              <w:rPr>
                <w:rFonts w:ascii="Times New Roman" w:hAnsi="Times New Roman" w:cs="Times New Roman"/>
                <w:bCs/>
                <w:iCs/>
                <w:snapToGrid w:val="0"/>
                <w:lang w:val="en-GB"/>
              </w:rPr>
              <w:t>Kigoma Regional Administration, Small Industries Development Organisation (SIDO), International Rescue Committee (IRC), Tanzania Gender National Programme (TGNP), Kiota Women Health and Development (KIWOHEDE), Rural Water and Sanitation Agency (RUWASA), Tanganyika Christian Refugee Services (TCRS), Ministry of Agriculture, Ministry of Livestock and Fisheries and Tanzania Forestry Services</w:t>
            </w:r>
          </w:p>
          <w:p w14:paraId="75DD6205" w14:textId="77777777" w:rsidR="00A93A47" w:rsidRPr="0016434F" w:rsidRDefault="00A93A47" w:rsidP="007E376D">
            <w:pPr>
              <w:pStyle w:val="BodyText"/>
              <w:spacing w:before="60" w:after="60"/>
              <w:jc w:val="both"/>
              <w:rPr>
                <w:rFonts w:ascii="Times New Roman" w:hAnsi="Times New Roman" w:cs="Times New Roman"/>
                <w:bCs/>
                <w:iCs/>
                <w:snapToGrid w:val="0"/>
                <w:lang w:val="en-GB"/>
              </w:rPr>
            </w:pPr>
          </w:p>
        </w:tc>
      </w:tr>
      <w:tr w:rsidR="00A93A47" w:rsidRPr="0047626C" w14:paraId="4FC56071" w14:textId="77777777" w:rsidTr="007E376D">
        <w:trPr>
          <w:trHeight w:val="440"/>
        </w:trPr>
        <w:tc>
          <w:tcPr>
            <w:tcW w:w="4372" w:type="dxa"/>
            <w:shd w:val="clear" w:color="auto" w:fill="F2F2F2"/>
          </w:tcPr>
          <w:p w14:paraId="13C982CA" w14:textId="77777777" w:rsidR="00A93A47" w:rsidRDefault="00A93A47" w:rsidP="007E376D">
            <w:pPr>
              <w:pStyle w:val="H1"/>
              <w:jc w:val="both"/>
              <w:rPr>
                <w:rFonts w:cs="Times New Roman"/>
                <w:sz w:val="20"/>
                <w:szCs w:val="20"/>
              </w:rPr>
            </w:pPr>
            <w:r w:rsidRPr="005A638A">
              <w:rPr>
                <w:rFonts w:cs="Times New Roman"/>
                <w:sz w:val="20"/>
                <w:szCs w:val="20"/>
              </w:rPr>
              <w:t>Programme Duration</w:t>
            </w:r>
          </w:p>
        </w:tc>
        <w:tc>
          <w:tcPr>
            <w:tcW w:w="270" w:type="dxa"/>
            <w:gridSpan w:val="2"/>
            <w:shd w:val="clear" w:color="auto" w:fill="auto"/>
          </w:tcPr>
          <w:p w14:paraId="34AB4704" w14:textId="77777777" w:rsidR="00A93A47" w:rsidRDefault="00A93A47" w:rsidP="007E376D">
            <w:pPr>
              <w:pStyle w:val="H1"/>
              <w:jc w:val="both"/>
              <w:rPr>
                <w:rFonts w:cs="Times New Roman"/>
                <w:sz w:val="20"/>
                <w:szCs w:val="20"/>
              </w:rPr>
            </w:pPr>
          </w:p>
        </w:tc>
        <w:tc>
          <w:tcPr>
            <w:tcW w:w="5040" w:type="dxa"/>
            <w:shd w:val="clear" w:color="auto" w:fill="auto"/>
          </w:tcPr>
          <w:p w14:paraId="29D030CF" w14:textId="77777777" w:rsidR="00A93A47" w:rsidRPr="00847C69" w:rsidRDefault="00A93A47" w:rsidP="007E376D">
            <w:pPr>
              <w:pStyle w:val="H1"/>
              <w:jc w:val="both"/>
              <w:rPr>
                <w:rFonts w:cs="Times New Roman"/>
                <w:sz w:val="20"/>
                <w:szCs w:val="20"/>
              </w:rPr>
            </w:pPr>
            <w:r w:rsidRPr="00847C69">
              <w:rPr>
                <w:rFonts w:cs="Times New Roman"/>
                <w:sz w:val="20"/>
                <w:szCs w:val="20"/>
              </w:rPr>
              <w:t xml:space="preserve">Overall Duration: </w:t>
            </w:r>
            <w:r w:rsidRPr="00847C69">
              <w:rPr>
                <w:rFonts w:cs="Times New Roman"/>
                <w:b w:val="0"/>
                <w:bCs w:val="0"/>
                <w:sz w:val="20"/>
                <w:szCs w:val="20"/>
              </w:rPr>
              <w:t>November 2022-June 2027</w:t>
            </w:r>
          </w:p>
          <w:p w14:paraId="32ED2C33" w14:textId="77777777" w:rsidR="00A93A47" w:rsidRPr="0047626C" w:rsidRDefault="00A93A47" w:rsidP="007E376D">
            <w:pPr>
              <w:pStyle w:val="H1"/>
              <w:jc w:val="both"/>
              <w:rPr>
                <w:rFonts w:cs="Times New Roman"/>
                <w:sz w:val="20"/>
                <w:szCs w:val="20"/>
              </w:rPr>
            </w:pPr>
            <w:r w:rsidRPr="00847C69">
              <w:rPr>
                <w:rFonts w:cs="Times New Roman"/>
                <w:sz w:val="20"/>
                <w:szCs w:val="20"/>
              </w:rPr>
              <w:t>Start date</w:t>
            </w:r>
            <w:r>
              <w:rPr>
                <w:rFonts w:cs="Times New Roman"/>
                <w:sz w:val="20"/>
                <w:szCs w:val="20"/>
              </w:rPr>
              <w:t xml:space="preserve"> </w:t>
            </w:r>
            <w:r w:rsidRPr="00E53485">
              <w:rPr>
                <w:rFonts w:cs="Times New Roman"/>
                <w:b w:val="0"/>
                <w:bCs w:val="0"/>
                <w:sz w:val="20"/>
                <w:szCs w:val="20"/>
              </w:rPr>
              <w:t>(the date of the first transfer of the funds from the MPTF):</w:t>
            </w:r>
            <w:r w:rsidRPr="007724CB">
              <w:rPr>
                <w:rFonts w:cs="Times New Roman"/>
                <w:b w:val="0"/>
                <w:bCs w:val="0"/>
                <w:sz w:val="20"/>
                <w:szCs w:val="20"/>
              </w:rPr>
              <w:t xml:space="preserve"> </w:t>
            </w:r>
            <w:r w:rsidRPr="00847C69">
              <w:rPr>
                <w:rFonts w:cs="Times New Roman"/>
                <w:sz w:val="20"/>
                <w:szCs w:val="20"/>
              </w:rPr>
              <w:t>July 2023</w:t>
            </w:r>
            <w:r w:rsidRPr="007724CB">
              <w:rPr>
                <w:rFonts w:cs="Times New Roman"/>
                <w:sz w:val="20"/>
                <w:szCs w:val="20"/>
              </w:rPr>
              <w:t xml:space="preserve">         </w:t>
            </w:r>
          </w:p>
        </w:tc>
      </w:tr>
      <w:tr w:rsidR="00A93A47" w:rsidRPr="0047626C" w14:paraId="5A2FE882" w14:textId="77777777" w:rsidTr="007E376D">
        <w:trPr>
          <w:trHeight w:val="440"/>
        </w:trPr>
        <w:tc>
          <w:tcPr>
            <w:tcW w:w="9682" w:type="dxa"/>
            <w:gridSpan w:val="4"/>
            <w:tcBorders>
              <w:bottom w:val="nil"/>
            </w:tcBorders>
            <w:shd w:val="clear" w:color="auto" w:fill="F2F2F2"/>
          </w:tcPr>
          <w:p w14:paraId="6211A691" w14:textId="77777777" w:rsidR="00A93A47" w:rsidRPr="0047626C" w:rsidRDefault="00A93A47" w:rsidP="007E376D">
            <w:pPr>
              <w:pStyle w:val="H1"/>
              <w:jc w:val="both"/>
              <w:rPr>
                <w:rFonts w:cs="Times New Roman"/>
                <w:sz w:val="20"/>
                <w:szCs w:val="20"/>
              </w:rPr>
            </w:pPr>
            <w:r w:rsidRPr="0047626C">
              <w:rPr>
                <w:rFonts w:cs="Times New Roman"/>
                <w:sz w:val="20"/>
                <w:szCs w:val="20"/>
              </w:rPr>
              <w:t>Programme/Project Cost (US$)</w:t>
            </w:r>
          </w:p>
        </w:tc>
      </w:tr>
      <w:tr w:rsidR="00A93A47" w:rsidRPr="0047626C" w14:paraId="0A5585DB" w14:textId="77777777" w:rsidTr="007E376D">
        <w:trPr>
          <w:trHeight w:val="440"/>
        </w:trPr>
        <w:tc>
          <w:tcPr>
            <w:tcW w:w="9682" w:type="dxa"/>
            <w:gridSpan w:val="4"/>
            <w:tcBorders>
              <w:bottom w:val="nil"/>
            </w:tcBorders>
            <w:shd w:val="clear" w:color="auto" w:fill="auto"/>
          </w:tcPr>
          <w:p w14:paraId="7AF7A947" w14:textId="77777777" w:rsidR="00A93A47" w:rsidRDefault="00A93A47" w:rsidP="007E376D">
            <w:pPr>
              <w:pStyle w:val="H1"/>
              <w:jc w:val="both"/>
              <w:rPr>
                <w:rFonts w:cs="Times New Roman"/>
                <w:sz w:val="20"/>
                <w:szCs w:val="20"/>
              </w:rPr>
            </w:pPr>
            <w:r w:rsidRPr="005A638A">
              <w:rPr>
                <w:rFonts w:cs="Times New Roman"/>
                <w:b w:val="0"/>
                <w:bCs w:val="0"/>
                <w:sz w:val="20"/>
                <w:szCs w:val="20"/>
              </w:rPr>
              <w:t>Total annual approved budget as per project document:</w:t>
            </w:r>
            <w:r w:rsidRPr="005A638A">
              <w:rPr>
                <w:rFonts w:cs="Times New Roman"/>
                <w:sz w:val="20"/>
                <w:szCs w:val="20"/>
              </w:rPr>
              <w:t xml:space="preserve"> $ 24,696,005</w:t>
            </w:r>
          </w:p>
          <w:p w14:paraId="0A25F1C5" w14:textId="77777777" w:rsidR="00A93A47" w:rsidRDefault="00A93A47" w:rsidP="007E376D">
            <w:pPr>
              <w:pStyle w:val="H2"/>
              <w:jc w:val="both"/>
              <w:rPr>
                <w:rFonts w:cs="Times New Roman"/>
                <w:bCs w:val="0"/>
                <w:sz w:val="20"/>
                <w:szCs w:val="20"/>
              </w:rPr>
            </w:pPr>
            <w:r w:rsidRPr="00690BC0">
              <w:rPr>
                <w:rFonts w:cs="Times New Roman"/>
                <w:b w:val="0"/>
                <w:sz w:val="20"/>
                <w:szCs w:val="20"/>
              </w:rPr>
              <w:t>of which MPTF contribution:</w:t>
            </w:r>
            <w:r>
              <w:rPr>
                <w:rFonts w:cs="Times New Roman"/>
                <w:b w:val="0"/>
                <w:sz w:val="20"/>
                <w:szCs w:val="20"/>
              </w:rPr>
              <w:t xml:space="preserve"> </w:t>
            </w:r>
            <w:r w:rsidRPr="007724CB">
              <w:rPr>
                <w:rFonts w:cs="Times New Roman"/>
                <w:bCs w:val="0"/>
                <w:sz w:val="20"/>
                <w:szCs w:val="20"/>
              </w:rPr>
              <w:t>USD 6,548,256</w:t>
            </w:r>
          </w:p>
          <w:p w14:paraId="6CB8D879" w14:textId="77777777" w:rsidR="00A93A47" w:rsidRPr="00690BC0" w:rsidRDefault="00A93A47" w:rsidP="007E376D">
            <w:pPr>
              <w:pStyle w:val="H2"/>
              <w:jc w:val="both"/>
              <w:rPr>
                <w:rFonts w:cs="Times New Roman"/>
                <w:b w:val="0"/>
                <w:sz w:val="20"/>
                <w:szCs w:val="20"/>
              </w:rPr>
            </w:pPr>
            <w:r w:rsidRPr="00AE26E7">
              <w:rPr>
                <w:rFonts w:cs="Times New Roman"/>
                <w:sz w:val="24"/>
                <w:szCs w:val="24"/>
              </w:rPr>
              <w:t xml:space="preserve"> </w:t>
            </w:r>
            <w:r w:rsidRPr="00574596">
              <w:rPr>
                <w:rFonts w:cs="Times New Roman"/>
                <w:b w:val="0"/>
                <w:sz w:val="20"/>
                <w:szCs w:val="20"/>
              </w:rPr>
              <w:t xml:space="preserve">  </w:t>
            </w:r>
          </w:p>
        </w:tc>
      </w:tr>
      <w:tr w:rsidR="00A93A47" w:rsidRPr="0047626C" w14:paraId="173FFE46" w14:textId="77777777" w:rsidTr="007E376D">
        <w:trPr>
          <w:trHeight w:val="440"/>
        </w:trPr>
        <w:tc>
          <w:tcPr>
            <w:tcW w:w="4536" w:type="dxa"/>
            <w:gridSpan w:val="2"/>
            <w:tcBorders>
              <w:top w:val="nil"/>
              <w:left w:val="single" w:sz="4" w:space="0" w:color="auto"/>
              <w:bottom w:val="nil"/>
              <w:right w:val="nil"/>
            </w:tcBorders>
            <w:shd w:val="clear" w:color="auto" w:fill="auto"/>
          </w:tcPr>
          <w:p w14:paraId="0DFCEB9E" w14:textId="77777777" w:rsidR="00A93A47" w:rsidRPr="00690BC0" w:rsidRDefault="00A93A47" w:rsidP="007E376D">
            <w:pPr>
              <w:pStyle w:val="H2"/>
              <w:numPr>
                <w:ilvl w:val="0"/>
                <w:numId w:val="4"/>
              </w:numPr>
              <w:ind w:left="162" w:hanging="180"/>
              <w:jc w:val="both"/>
              <w:rPr>
                <w:rFonts w:cs="Times New Roman"/>
                <w:b w:val="0"/>
                <w:bCs w:val="0"/>
                <w:iCs w:val="0"/>
                <w:sz w:val="18"/>
                <w:szCs w:val="18"/>
              </w:rPr>
            </w:pPr>
            <w:r w:rsidRPr="00690BC0">
              <w:rPr>
                <w:rFonts w:cs="Times New Roman"/>
                <w:b w:val="0"/>
                <w:bCs w:val="0"/>
                <w:iCs w:val="0"/>
                <w:sz w:val="18"/>
                <w:szCs w:val="18"/>
              </w:rPr>
              <w:t>FAO- USD 958,353</w:t>
            </w:r>
          </w:p>
          <w:p w14:paraId="3AE7C3B2" w14:textId="77777777" w:rsidR="00A93A47" w:rsidRPr="00690BC0" w:rsidRDefault="00A93A47" w:rsidP="007E376D">
            <w:pPr>
              <w:pStyle w:val="H2"/>
              <w:numPr>
                <w:ilvl w:val="0"/>
                <w:numId w:val="4"/>
              </w:numPr>
              <w:ind w:left="162" w:hanging="180"/>
              <w:jc w:val="both"/>
              <w:rPr>
                <w:rFonts w:cs="Times New Roman"/>
                <w:b w:val="0"/>
                <w:bCs w:val="0"/>
                <w:iCs w:val="0"/>
                <w:sz w:val="18"/>
                <w:szCs w:val="18"/>
              </w:rPr>
            </w:pPr>
            <w:r w:rsidRPr="00690BC0">
              <w:rPr>
                <w:rFonts w:cs="Times New Roman"/>
                <w:b w:val="0"/>
                <w:bCs w:val="0"/>
                <w:iCs w:val="0"/>
                <w:sz w:val="18"/>
                <w:szCs w:val="18"/>
              </w:rPr>
              <w:t>ILO- USD 332,144</w:t>
            </w:r>
          </w:p>
          <w:p w14:paraId="684B5F73" w14:textId="77777777" w:rsidR="00A93A47" w:rsidRPr="00690BC0" w:rsidRDefault="00A93A47" w:rsidP="007E376D">
            <w:pPr>
              <w:pStyle w:val="H2"/>
              <w:numPr>
                <w:ilvl w:val="0"/>
                <w:numId w:val="4"/>
              </w:numPr>
              <w:ind w:left="162" w:hanging="180"/>
              <w:jc w:val="both"/>
              <w:rPr>
                <w:rFonts w:cs="Times New Roman"/>
                <w:b w:val="0"/>
                <w:bCs w:val="0"/>
                <w:iCs w:val="0"/>
                <w:sz w:val="18"/>
                <w:szCs w:val="18"/>
              </w:rPr>
            </w:pPr>
            <w:r w:rsidRPr="00690BC0">
              <w:rPr>
                <w:rFonts w:cs="Times New Roman"/>
                <w:b w:val="0"/>
                <w:bCs w:val="0"/>
                <w:iCs w:val="0"/>
                <w:sz w:val="18"/>
                <w:szCs w:val="18"/>
              </w:rPr>
              <w:t>IOM- USD 117,620</w:t>
            </w:r>
          </w:p>
          <w:p w14:paraId="2E99AC2D" w14:textId="77777777" w:rsidR="00A93A47" w:rsidRPr="00690BC0" w:rsidRDefault="00A93A47" w:rsidP="007E376D">
            <w:pPr>
              <w:pStyle w:val="H2"/>
              <w:numPr>
                <w:ilvl w:val="0"/>
                <w:numId w:val="4"/>
              </w:numPr>
              <w:ind w:left="162" w:hanging="180"/>
              <w:jc w:val="both"/>
              <w:rPr>
                <w:rFonts w:cs="Times New Roman"/>
                <w:b w:val="0"/>
                <w:bCs w:val="0"/>
                <w:iCs w:val="0"/>
                <w:sz w:val="18"/>
                <w:szCs w:val="18"/>
              </w:rPr>
            </w:pPr>
            <w:r w:rsidRPr="00690BC0">
              <w:rPr>
                <w:rFonts w:cs="Times New Roman"/>
                <w:b w:val="0"/>
                <w:bCs w:val="0"/>
                <w:iCs w:val="0"/>
                <w:sz w:val="18"/>
                <w:szCs w:val="18"/>
              </w:rPr>
              <w:t>ITC- USD 100,000</w:t>
            </w:r>
          </w:p>
          <w:p w14:paraId="586EF551" w14:textId="77777777" w:rsidR="00A93A47" w:rsidRPr="00690BC0" w:rsidRDefault="00A93A47" w:rsidP="007E376D">
            <w:pPr>
              <w:pStyle w:val="H2"/>
              <w:numPr>
                <w:ilvl w:val="0"/>
                <w:numId w:val="4"/>
              </w:numPr>
              <w:ind w:left="162" w:hanging="180"/>
              <w:jc w:val="both"/>
              <w:rPr>
                <w:rFonts w:cs="Times New Roman"/>
                <w:b w:val="0"/>
                <w:bCs w:val="0"/>
                <w:iCs w:val="0"/>
                <w:sz w:val="18"/>
                <w:szCs w:val="18"/>
              </w:rPr>
            </w:pPr>
            <w:r w:rsidRPr="00690BC0">
              <w:rPr>
                <w:rFonts w:cs="Times New Roman"/>
                <w:b w:val="0"/>
                <w:bCs w:val="0"/>
                <w:iCs w:val="0"/>
                <w:sz w:val="18"/>
                <w:szCs w:val="18"/>
              </w:rPr>
              <w:t>UNCDF USD 1,185,678</w:t>
            </w:r>
          </w:p>
          <w:p w14:paraId="33C5FC65" w14:textId="77777777" w:rsidR="00A93A47" w:rsidRPr="00690BC0" w:rsidRDefault="00A93A47" w:rsidP="007E376D">
            <w:pPr>
              <w:pStyle w:val="H2"/>
              <w:numPr>
                <w:ilvl w:val="0"/>
                <w:numId w:val="4"/>
              </w:numPr>
              <w:ind w:left="162" w:hanging="180"/>
              <w:jc w:val="both"/>
              <w:rPr>
                <w:rFonts w:cs="Times New Roman"/>
                <w:b w:val="0"/>
                <w:bCs w:val="0"/>
                <w:iCs w:val="0"/>
                <w:sz w:val="18"/>
                <w:szCs w:val="18"/>
              </w:rPr>
            </w:pPr>
            <w:r w:rsidRPr="00690BC0">
              <w:rPr>
                <w:rFonts w:cs="Times New Roman"/>
                <w:b w:val="0"/>
                <w:bCs w:val="0"/>
                <w:iCs w:val="0"/>
                <w:sz w:val="18"/>
                <w:szCs w:val="18"/>
              </w:rPr>
              <w:t>UNDP USD 608,553</w:t>
            </w:r>
          </w:p>
          <w:p w14:paraId="4D706B9C" w14:textId="77777777" w:rsidR="00A93A47" w:rsidRPr="00690BC0" w:rsidRDefault="00A93A47" w:rsidP="007E376D">
            <w:pPr>
              <w:pStyle w:val="H2"/>
              <w:numPr>
                <w:ilvl w:val="0"/>
                <w:numId w:val="4"/>
              </w:numPr>
              <w:ind w:left="162" w:hanging="180"/>
              <w:jc w:val="both"/>
              <w:rPr>
                <w:rFonts w:cs="Times New Roman"/>
                <w:b w:val="0"/>
                <w:bCs w:val="0"/>
                <w:iCs w:val="0"/>
                <w:sz w:val="18"/>
                <w:szCs w:val="18"/>
              </w:rPr>
            </w:pPr>
            <w:r w:rsidRPr="00690BC0">
              <w:rPr>
                <w:rFonts w:cs="Times New Roman"/>
                <w:b w:val="0"/>
                <w:bCs w:val="0"/>
                <w:iCs w:val="0"/>
                <w:sz w:val="18"/>
                <w:szCs w:val="18"/>
              </w:rPr>
              <w:t>UNFPA USD 548,692</w:t>
            </w:r>
          </w:p>
        </w:tc>
        <w:tc>
          <w:tcPr>
            <w:tcW w:w="5146" w:type="dxa"/>
            <w:gridSpan w:val="2"/>
            <w:tcBorders>
              <w:top w:val="nil"/>
              <w:left w:val="nil"/>
              <w:bottom w:val="nil"/>
              <w:right w:val="single" w:sz="4" w:space="0" w:color="auto"/>
            </w:tcBorders>
            <w:shd w:val="clear" w:color="auto" w:fill="auto"/>
          </w:tcPr>
          <w:p w14:paraId="6CDD0CFF" w14:textId="77777777" w:rsidR="00A93A47" w:rsidRPr="00690BC0" w:rsidRDefault="00A93A47" w:rsidP="007E376D">
            <w:pPr>
              <w:pStyle w:val="H2"/>
              <w:numPr>
                <w:ilvl w:val="0"/>
                <w:numId w:val="4"/>
              </w:numPr>
              <w:ind w:left="162" w:hanging="180"/>
              <w:jc w:val="both"/>
              <w:rPr>
                <w:rFonts w:cs="Times New Roman"/>
                <w:b w:val="0"/>
                <w:bCs w:val="0"/>
                <w:iCs w:val="0"/>
                <w:sz w:val="18"/>
                <w:szCs w:val="18"/>
              </w:rPr>
            </w:pPr>
            <w:r w:rsidRPr="00690BC0">
              <w:rPr>
                <w:rFonts w:cs="Times New Roman"/>
                <w:b w:val="0"/>
                <w:bCs w:val="0"/>
                <w:iCs w:val="0"/>
                <w:sz w:val="18"/>
                <w:szCs w:val="18"/>
              </w:rPr>
              <w:t>UN-HABITAT USD 166,500</w:t>
            </w:r>
          </w:p>
          <w:p w14:paraId="77487DDB" w14:textId="77777777" w:rsidR="00A93A47" w:rsidRPr="00690BC0" w:rsidRDefault="00A93A47" w:rsidP="007E376D">
            <w:pPr>
              <w:pStyle w:val="H2"/>
              <w:numPr>
                <w:ilvl w:val="0"/>
                <w:numId w:val="4"/>
              </w:numPr>
              <w:ind w:left="162" w:hanging="180"/>
              <w:jc w:val="both"/>
              <w:rPr>
                <w:rFonts w:cs="Times New Roman"/>
                <w:b w:val="0"/>
                <w:bCs w:val="0"/>
                <w:iCs w:val="0"/>
                <w:sz w:val="18"/>
                <w:szCs w:val="18"/>
              </w:rPr>
            </w:pPr>
            <w:r w:rsidRPr="00690BC0">
              <w:rPr>
                <w:rFonts w:cs="Times New Roman"/>
                <w:b w:val="0"/>
                <w:bCs w:val="0"/>
                <w:iCs w:val="0"/>
                <w:sz w:val="18"/>
                <w:szCs w:val="18"/>
              </w:rPr>
              <w:t>UNHCR USD 424,517</w:t>
            </w:r>
          </w:p>
          <w:p w14:paraId="33113811" w14:textId="77777777" w:rsidR="00A93A47" w:rsidRPr="00690BC0" w:rsidRDefault="00A93A47" w:rsidP="007E376D">
            <w:pPr>
              <w:pStyle w:val="H2"/>
              <w:numPr>
                <w:ilvl w:val="0"/>
                <w:numId w:val="4"/>
              </w:numPr>
              <w:ind w:left="162" w:hanging="180"/>
              <w:jc w:val="both"/>
              <w:rPr>
                <w:rFonts w:cs="Times New Roman"/>
                <w:b w:val="0"/>
                <w:bCs w:val="0"/>
                <w:iCs w:val="0"/>
                <w:sz w:val="18"/>
                <w:szCs w:val="18"/>
              </w:rPr>
            </w:pPr>
            <w:r w:rsidRPr="00690BC0">
              <w:rPr>
                <w:rFonts w:cs="Times New Roman"/>
                <w:b w:val="0"/>
                <w:bCs w:val="0"/>
                <w:iCs w:val="0"/>
                <w:sz w:val="18"/>
                <w:szCs w:val="18"/>
              </w:rPr>
              <w:t>UN WOMEN- USD 108,969</w:t>
            </w:r>
          </w:p>
          <w:p w14:paraId="36A0A13E" w14:textId="77777777" w:rsidR="00A93A47" w:rsidRPr="00690BC0" w:rsidRDefault="00A93A47" w:rsidP="007E376D">
            <w:pPr>
              <w:pStyle w:val="H2"/>
              <w:numPr>
                <w:ilvl w:val="0"/>
                <w:numId w:val="4"/>
              </w:numPr>
              <w:ind w:left="162" w:hanging="180"/>
              <w:jc w:val="both"/>
              <w:rPr>
                <w:rFonts w:cs="Times New Roman"/>
                <w:b w:val="0"/>
                <w:bCs w:val="0"/>
                <w:iCs w:val="0"/>
                <w:sz w:val="18"/>
                <w:szCs w:val="18"/>
              </w:rPr>
            </w:pPr>
            <w:r w:rsidRPr="00690BC0">
              <w:rPr>
                <w:rFonts w:cs="Times New Roman"/>
                <w:b w:val="0"/>
                <w:bCs w:val="0"/>
                <w:iCs w:val="0"/>
                <w:sz w:val="18"/>
                <w:szCs w:val="18"/>
              </w:rPr>
              <w:t>UNICEF- USD 783,914</w:t>
            </w:r>
          </w:p>
          <w:p w14:paraId="4B56A2C9" w14:textId="77777777" w:rsidR="00A93A47" w:rsidRPr="00690BC0" w:rsidRDefault="00A93A47" w:rsidP="007E376D">
            <w:pPr>
              <w:pStyle w:val="H2"/>
              <w:numPr>
                <w:ilvl w:val="0"/>
                <w:numId w:val="4"/>
              </w:numPr>
              <w:ind w:left="162" w:hanging="180"/>
              <w:jc w:val="both"/>
              <w:rPr>
                <w:rFonts w:cs="Times New Roman"/>
                <w:b w:val="0"/>
                <w:bCs w:val="0"/>
                <w:iCs w:val="0"/>
                <w:sz w:val="18"/>
                <w:szCs w:val="18"/>
              </w:rPr>
            </w:pPr>
            <w:r w:rsidRPr="00690BC0">
              <w:rPr>
                <w:rFonts w:cs="Times New Roman"/>
                <w:b w:val="0"/>
                <w:bCs w:val="0"/>
                <w:iCs w:val="0"/>
                <w:sz w:val="18"/>
                <w:szCs w:val="18"/>
              </w:rPr>
              <w:t>UNIDO- USD 123,307</w:t>
            </w:r>
          </w:p>
          <w:p w14:paraId="55AFDC00" w14:textId="77777777" w:rsidR="00A93A47" w:rsidRPr="00690BC0" w:rsidRDefault="00A93A47" w:rsidP="007E376D">
            <w:pPr>
              <w:pStyle w:val="H2"/>
              <w:numPr>
                <w:ilvl w:val="0"/>
                <w:numId w:val="4"/>
              </w:numPr>
              <w:ind w:left="162" w:hanging="180"/>
              <w:jc w:val="both"/>
              <w:rPr>
                <w:rFonts w:cs="Times New Roman"/>
                <w:b w:val="0"/>
                <w:bCs w:val="0"/>
                <w:iCs w:val="0"/>
                <w:sz w:val="18"/>
                <w:szCs w:val="18"/>
              </w:rPr>
            </w:pPr>
            <w:r w:rsidRPr="00690BC0">
              <w:rPr>
                <w:rFonts w:cs="Times New Roman"/>
                <w:b w:val="0"/>
                <w:bCs w:val="0"/>
                <w:iCs w:val="0"/>
                <w:sz w:val="18"/>
                <w:szCs w:val="18"/>
              </w:rPr>
              <w:t>WFP- USD 746,641</w:t>
            </w:r>
          </w:p>
          <w:p w14:paraId="5697C3D1" w14:textId="77777777" w:rsidR="00A93A47" w:rsidRPr="00847C69" w:rsidRDefault="00A93A47" w:rsidP="007E376D">
            <w:pPr>
              <w:pStyle w:val="H2"/>
              <w:numPr>
                <w:ilvl w:val="0"/>
                <w:numId w:val="4"/>
              </w:numPr>
              <w:ind w:left="162" w:hanging="180"/>
              <w:jc w:val="both"/>
              <w:rPr>
                <w:rFonts w:cs="Times New Roman"/>
                <w:b w:val="0"/>
                <w:bCs w:val="0"/>
                <w:iCs w:val="0"/>
                <w:sz w:val="18"/>
                <w:szCs w:val="18"/>
              </w:rPr>
            </w:pPr>
            <w:r w:rsidRPr="00690BC0">
              <w:rPr>
                <w:rFonts w:cs="Times New Roman"/>
                <w:b w:val="0"/>
                <w:bCs w:val="0"/>
                <w:iCs w:val="0"/>
                <w:sz w:val="18"/>
                <w:szCs w:val="18"/>
              </w:rPr>
              <w:t>WHO- USD 343,138</w:t>
            </w:r>
          </w:p>
        </w:tc>
      </w:tr>
      <w:tr w:rsidR="00A93A47" w:rsidRPr="0047626C" w14:paraId="7E3F9D42" w14:textId="77777777" w:rsidTr="00A93A47">
        <w:trPr>
          <w:trHeight w:val="372"/>
        </w:trPr>
        <w:tc>
          <w:tcPr>
            <w:tcW w:w="9682" w:type="dxa"/>
            <w:gridSpan w:val="4"/>
            <w:tcBorders>
              <w:top w:val="nil"/>
            </w:tcBorders>
            <w:shd w:val="clear" w:color="auto" w:fill="auto"/>
          </w:tcPr>
          <w:p w14:paraId="64DC9B53" w14:textId="77777777" w:rsidR="00A93A47" w:rsidRPr="00847C69" w:rsidRDefault="00A93A47" w:rsidP="007E376D">
            <w:pPr>
              <w:pStyle w:val="H1"/>
              <w:jc w:val="both"/>
              <w:rPr>
                <w:rFonts w:cs="Times New Roman"/>
                <w:sz w:val="20"/>
                <w:szCs w:val="20"/>
              </w:rPr>
            </w:pPr>
            <w:r w:rsidRPr="00690BC0">
              <w:rPr>
                <w:rFonts w:cs="Times New Roman"/>
                <w:b w:val="0"/>
                <w:bCs w:val="0"/>
                <w:sz w:val="20"/>
                <w:szCs w:val="20"/>
              </w:rPr>
              <w:t xml:space="preserve">Other </w:t>
            </w:r>
            <w:r>
              <w:rPr>
                <w:rFonts w:cs="Times New Roman"/>
                <w:b w:val="0"/>
                <w:bCs w:val="0"/>
                <w:sz w:val="20"/>
                <w:szCs w:val="20"/>
              </w:rPr>
              <w:t>c</w:t>
            </w:r>
            <w:r w:rsidRPr="00690BC0">
              <w:rPr>
                <w:rFonts w:cs="Times New Roman"/>
                <w:b w:val="0"/>
                <w:bCs w:val="0"/>
                <w:sz w:val="20"/>
                <w:szCs w:val="20"/>
              </w:rPr>
              <w:t>ontributions, including Agency contributions:</w:t>
            </w:r>
            <w:r>
              <w:rPr>
                <w:rFonts w:cs="Times New Roman"/>
                <w:sz w:val="20"/>
                <w:szCs w:val="20"/>
              </w:rPr>
              <w:t xml:space="preserve"> </w:t>
            </w:r>
            <w:r w:rsidRPr="00690BC0">
              <w:rPr>
                <w:rFonts w:cs="Times New Roman"/>
                <w:sz w:val="20"/>
                <w:szCs w:val="20"/>
              </w:rPr>
              <w:t>USD 6,006,111</w:t>
            </w:r>
          </w:p>
        </w:tc>
      </w:tr>
      <w:tr w:rsidR="00A93A47" w:rsidRPr="0047626C" w14:paraId="12E6C626" w14:textId="77777777" w:rsidTr="007E376D">
        <w:trPr>
          <w:trHeight w:val="312"/>
        </w:trPr>
        <w:tc>
          <w:tcPr>
            <w:tcW w:w="9682" w:type="dxa"/>
            <w:gridSpan w:val="4"/>
            <w:shd w:val="clear" w:color="auto" w:fill="F3F3F3"/>
          </w:tcPr>
          <w:p w14:paraId="6980F292" w14:textId="77777777" w:rsidR="00A93A47" w:rsidRPr="0047626C" w:rsidRDefault="00A93A47" w:rsidP="007E376D">
            <w:pPr>
              <w:jc w:val="both"/>
              <w:rPr>
                <w:bCs/>
                <w:sz w:val="20"/>
                <w:szCs w:val="20"/>
              </w:rPr>
            </w:pPr>
            <w:r w:rsidRPr="00847C69">
              <w:rPr>
                <w:b/>
                <w:bCs/>
                <w:sz w:val="20"/>
                <w:szCs w:val="20"/>
              </w:rPr>
              <w:t>Report Submitted By</w:t>
            </w:r>
            <w:r>
              <w:rPr>
                <w:bCs/>
                <w:sz w:val="20"/>
                <w:szCs w:val="20"/>
              </w:rPr>
              <w:t xml:space="preserve">: </w:t>
            </w:r>
            <w:r w:rsidRPr="0016434F">
              <w:rPr>
                <w:sz w:val="20"/>
                <w:szCs w:val="20"/>
                <w:lang w:val="en-GB"/>
              </w:rPr>
              <w:t>Kanali Rankho</w:t>
            </w:r>
            <w:r>
              <w:rPr>
                <w:sz w:val="20"/>
                <w:szCs w:val="20"/>
                <w:lang w:val="en-GB"/>
              </w:rPr>
              <w:t xml:space="preserve">, </w:t>
            </w:r>
            <w:r w:rsidRPr="0016434F">
              <w:rPr>
                <w:sz w:val="20"/>
                <w:szCs w:val="20"/>
                <w:lang w:val="en-GB"/>
              </w:rPr>
              <w:t xml:space="preserve">UN </w:t>
            </w:r>
            <w:r>
              <w:rPr>
                <w:sz w:val="20"/>
                <w:szCs w:val="20"/>
                <w:lang w:val="en-GB"/>
              </w:rPr>
              <w:t xml:space="preserve">KJP </w:t>
            </w:r>
            <w:r w:rsidRPr="0016434F">
              <w:rPr>
                <w:sz w:val="20"/>
                <w:szCs w:val="20"/>
                <w:lang w:val="en-GB"/>
              </w:rPr>
              <w:t>Coordinator</w:t>
            </w:r>
            <w:r>
              <w:rPr>
                <w:sz w:val="20"/>
                <w:szCs w:val="20"/>
                <w:lang w:val="en-GB"/>
              </w:rPr>
              <w:t xml:space="preserve">, </w:t>
            </w:r>
            <w:r w:rsidRPr="00847C69">
              <w:rPr>
                <w:sz w:val="20"/>
                <w:szCs w:val="20"/>
                <w:lang w:val="en-GB"/>
              </w:rPr>
              <w:t>kanali.rankho@undp.org</w:t>
            </w:r>
          </w:p>
        </w:tc>
      </w:tr>
    </w:tbl>
    <w:p w14:paraId="2FD6277F" w14:textId="09BE69A1" w:rsidR="00836380" w:rsidRDefault="00836380">
      <w:pPr>
        <w:rPr>
          <w:lang w:val="en-GB" w:eastAsia="x-none"/>
        </w:rPr>
      </w:pPr>
      <w:bookmarkStart w:id="0" w:name="_Toc249364483"/>
      <w:r>
        <w:rPr>
          <w:lang w:val="en-GB" w:eastAsia="x-none"/>
        </w:rPr>
        <w:br w:type="page"/>
      </w:r>
    </w:p>
    <w:tbl>
      <w:tblPr>
        <w:tblW w:w="9360" w:type="dxa"/>
        <w:tblInd w:w="108" w:type="dxa"/>
        <w:tblLook w:val="04A0" w:firstRow="1" w:lastRow="0" w:firstColumn="1" w:lastColumn="0" w:noHBand="0" w:noVBand="1"/>
      </w:tblPr>
      <w:tblGrid>
        <w:gridCol w:w="1670"/>
        <w:gridCol w:w="8084"/>
      </w:tblGrid>
      <w:tr w:rsidR="00223198" w:rsidRPr="00223198" w14:paraId="17AA9AC4" w14:textId="77777777" w:rsidTr="0027749E">
        <w:trPr>
          <w:trHeight w:val="315"/>
        </w:trPr>
        <w:tc>
          <w:tcPr>
            <w:tcW w:w="1276" w:type="dxa"/>
            <w:shd w:val="clear" w:color="auto" w:fill="auto"/>
            <w:noWrap/>
            <w:vAlign w:val="center"/>
            <w:hideMark/>
          </w:tcPr>
          <w:p w14:paraId="4031F3D0" w14:textId="77777777" w:rsidR="00223198" w:rsidRPr="00223198" w:rsidRDefault="00223198" w:rsidP="00223198">
            <w:pPr>
              <w:jc w:val="both"/>
              <w:rPr>
                <w:b/>
                <w:bCs/>
                <w:color w:val="000000"/>
                <w:lang w:val="en-GB" w:eastAsia="en-GB"/>
              </w:rPr>
            </w:pPr>
            <w:r w:rsidRPr="00223198">
              <w:rPr>
                <w:rFonts w:eastAsia="Symbol"/>
                <w:b/>
                <w:bCs/>
                <w:color w:val="000000"/>
                <w:lang w:eastAsia="en-GB"/>
              </w:rPr>
              <w:lastRenderedPageBreak/>
              <w:t xml:space="preserve">Abbreviations </w:t>
            </w:r>
          </w:p>
        </w:tc>
        <w:tc>
          <w:tcPr>
            <w:tcW w:w="8084" w:type="dxa"/>
            <w:shd w:val="clear" w:color="auto" w:fill="auto"/>
            <w:noWrap/>
            <w:vAlign w:val="center"/>
            <w:hideMark/>
          </w:tcPr>
          <w:p w14:paraId="57634DC0" w14:textId="77777777" w:rsidR="00223198" w:rsidRPr="00223198" w:rsidRDefault="00223198" w:rsidP="00223198">
            <w:pPr>
              <w:jc w:val="both"/>
              <w:rPr>
                <w:b/>
                <w:bCs/>
                <w:color w:val="000000"/>
                <w:lang w:val="en-GB" w:eastAsia="en-GB"/>
              </w:rPr>
            </w:pPr>
          </w:p>
        </w:tc>
      </w:tr>
      <w:tr w:rsidR="00223198" w:rsidRPr="00F31284" w14:paraId="4BD2446E" w14:textId="77777777" w:rsidTr="0027749E">
        <w:trPr>
          <w:trHeight w:val="315"/>
        </w:trPr>
        <w:tc>
          <w:tcPr>
            <w:tcW w:w="1276" w:type="dxa"/>
            <w:shd w:val="clear" w:color="auto" w:fill="auto"/>
            <w:noWrap/>
            <w:vAlign w:val="center"/>
            <w:hideMark/>
          </w:tcPr>
          <w:p w14:paraId="070006C8" w14:textId="77777777" w:rsidR="00223198" w:rsidRPr="00F31284" w:rsidRDefault="00223198" w:rsidP="00223198">
            <w:pPr>
              <w:rPr>
                <w:color w:val="000000"/>
                <w:lang w:val="en-GB" w:eastAsia="en-GB"/>
              </w:rPr>
            </w:pPr>
            <w:r w:rsidRPr="00F31284">
              <w:rPr>
                <w:rFonts w:eastAsia="Aptos"/>
                <w:color w:val="000000"/>
                <w:lang w:eastAsia="en-GB"/>
              </w:rPr>
              <w:t xml:space="preserve">ABD </w:t>
            </w:r>
          </w:p>
        </w:tc>
        <w:tc>
          <w:tcPr>
            <w:tcW w:w="8084" w:type="dxa"/>
            <w:shd w:val="clear" w:color="auto" w:fill="auto"/>
            <w:noWrap/>
            <w:vAlign w:val="center"/>
            <w:hideMark/>
          </w:tcPr>
          <w:p w14:paraId="2710D543" w14:textId="77777777" w:rsidR="00223198" w:rsidRPr="00F31284" w:rsidRDefault="00223198" w:rsidP="00223198">
            <w:pPr>
              <w:rPr>
                <w:color w:val="000000"/>
                <w:lang w:val="en-GB" w:eastAsia="en-GB"/>
              </w:rPr>
            </w:pPr>
            <w:r w:rsidRPr="00F31284">
              <w:rPr>
                <w:color w:val="000000"/>
                <w:lang w:val="en-GB" w:eastAsia="en-GB"/>
              </w:rPr>
              <w:t>Area-Based Development</w:t>
            </w:r>
          </w:p>
        </w:tc>
      </w:tr>
      <w:tr w:rsidR="00223198" w:rsidRPr="00F31284" w14:paraId="23436379" w14:textId="77777777" w:rsidTr="0027749E">
        <w:trPr>
          <w:trHeight w:val="315"/>
        </w:trPr>
        <w:tc>
          <w:tcPr>
            <w:tcW w:w="1276" w:type="dxa"/>
            <w:shd w:val="clear" w:color="auto" w:fill="auto"/>
            <w:noWrap/>
            <w:vAlign w:val="center"/>
            <w:hideMark/>
          </w:tcPr>
          <w:p w14:paraId="5C9808AD" w14:textId="77777777" w:rsidR="00223198" w:rsidRPr="00F31284" w:rsidRDefault="00223198" w:rsidP="00223198">
            <w:pPr>
              <w:rPr>
                <w:color w:val="000000"/>
                <w:lang w:val="en-GB" w:eastAsia="en-GB"/>
              </w:rPr>
            </w:pPr>
            <w:r w:rsidRPr="00F31284">
              <w:rPr>
                <w:rFonts w:eastAsia="Aptos"/>
                <w:color w:val="000000"/>
                <w:lang w:eastAsia="en-GB"/>
              </w:rPr>
              <w:t xml:space="preserve">AMCOS </w:t>
            </w:r>
          </w:p>
        </w:tc>
        <w:tc>
          <w:tcPr>
            <w:tcW w:w="8084" w:type="dxa"/>
            <w:shd w:val="clear" w:color="auto" w:fill="auto"/>
            <w:noWrap/>
            <w:vAlign w:val="center"/>
            <w:hideMark/>
          </w:tcPr>
          <w:p w14:paraId="4F91B115" w14:textId="77777777" w:rsidR="00223198" w:rsidRPr="00F31284" w:rsidRDefault="00223198" w:rsidP="00223198">
            <w:pPr>
              <w:rPr>
                <w:color w:val="000000"/>
                <w:lang w:val="en-GB" w:eastAsia="en-GB"/>
              </w:rPr>
            </w:pPr>
            <w:r w:rsidRPr="00F31284">
              <w:rPr>
                <w:color w:val="000000"/>
                <w:lang w:val="en-GB" w:eastAsia="en-GB"/>
              </w:rPr>
              <w:t>Agriculture and Marketing Cooperatives</w:t>
            </w:r>
          </w:p>
        </w:tc>
      </w:tr>
      <w:tr w:rsidR="00223198" w:rsidRPr="00F31284" w14:paraId="35A7A832" w14:textId="77777777" w:rsidTr="0027749E">
        <w:trPr>
          <w:trHeight w:val="315"/>
        </w:trPr>
        <w:tc>
          <w:tcPr>
            <w:tcW w:w="1276" w:type="dxa"/>
            <w:shd w:val="clear" w:color="auto" w:fill="auto"/>
            <w:noWrap/>
            <w:vAlign w:val="center"/>
            <w:hideMark/>
          </w:tcPr>
          <w:p w14:paraId="6B4BE18F" w14:textId="77777777" w:rsidR="00223198" w:rsidRPr="00F31284" w:rsidRDefault="00223198" w:rsidP="00223198">
            <w:pPr>
              <w:rPr>
                <w:color w:val="000000"/>
                <w:lang w:val="en-GB" w:eastAsia="en-GB"/>
              </w:rPr>
            </w:pPr>
            <w:r w:rsidRPr="00F31284">
              <w:rPr>
                <w:rFonts w:eastAsia="Aptos"/>
                <w:color w:val="000000"/>
                <w:lang w:eastAsia="en-GB"/>
              </w:rPr>
              <w:t xml:space="preserve">ASDP 2 </w:t>
            </w:r>
          </w:p>
        </w:tc>
        <w:tc>
          <w:tcPr>
            <w:tcW w:w="8084" w:type="dxa"/>
            <w:shd w:val="clear" w:color="auto" w:fill="auto"/>
            <w:noWrap/>
            <w:vAlign w:val="center"/>
            <w:hideMark/>
          </w:tcPr>
          <w:p w14:paraId="59192B86" w14:textId="77777777" w:rsidR="00223198" w:rsidRPr="00F31284" w:rsidRDefault="00223198" w:rsidP="00223198">
            <w:pPr>
              <w:rPr>
                <w:color w:val="000000"/>
                <w:lang w:val="en-GB" w:eastAsia="en-GB"/>
              </w:rPr>
            </w:pPr>
            <w:r w:rsidRPr="00F31284">
              <w:rPr>
                <w:color w:val="000000"/>
                <w:lang w:val="en-GB" w:eastAsia="en-GB"/>
              </w:rPr>
              <w:t>Agricultural Sector Development Plan II</w:t>
            </w:r>
          </w:p>
        </w:tc>
      </w:tr>
      <w:tr w:rsidR="00223198" w:rsidRPr="00F31284" w14:paraId="3FC16F75" w14:textId="77777777" w:rsidTr="0027749E">
        <w:trPr>
          <w:trHeight w:val="315"/>
        </w:trPr>
        <w:tc>
          <w:tcPr>
            <w:tcW w:w="1276" w:type="dxa"/>
            <w:shd w:val="clear" w:color="auto" w:fill="auto"/>
            <w:noWrap/>
            <w:vAlign w:val="center"/>
            <w:hideMark/>
          </w:tcPr>
          <w:p w14:paraId="7BEC4AF2" w14:textId="77777777" w:rsidR="00223198" w:rsidRPr="00F31284" w:rsidRDefault="00223198" w:rsidP="00223198">
            <w:pPr>
              <w:rPr>
                <w:color w:val="000000"/>
                <w:lang w:val="en-GB" w:eastAsia="en-GB"/>
              </w:rPr>
            </w:pPr>
            <w:r w:rsidRPr="00F31284">
              <w:rPr>
                <w:rFonts w:eastAsia="Aptos"/>
                <w:color w:val="000000"/>
                <w:lang w:eastAsia="en-GB"/>
              </w:rPr>
              <w:t xml:space="preserve">ASRHR </w:t>
            </w:r>
          </w:p>
        </w:tc>
        <w:tc>
          <w:tcPr>
            <w:tcW w:w="8084" w:type="dxa"/>
            <w:shd w:val="clear" w:color="auto" w:fill="auto"/>
            <w:noWrap/>
            <w:vAlign w:val="center"/>
            <w:hideMark/>
          </w:tcPr>
          <w:p w14:paraId="33041C60" w14:textId="77777777" w:rsidR="00223198" w:rsidRPr="00F31284" w:rsidRDefault="00223198" w:rsidP="00223198">
            <w:pPr>
              <w:rPr>
                <w:color w:val="000000"/>
                <w:lang w:val="en-GB" w:eastAsia="en-GB"/>
              </w:rPr>
            </w:pPr>
            <w:r w:rsidRPr="00F31284">
              <w:rPr>
                <w:color w:val="000000"/>
                <w:lang w:val="en-GB" w:eastAsia="en-GB"/>
              </w:rPr>
              <w:t>Adolescent Sexual and Reproductive Health and Rights</w:t>
            </w:r>
          </w:p>
        </w:tc>
      </w:tr>
      <w:tr w:rsidR="00223198" w:rsidRPr="00F31284" w14:paraId="3A6C7180" w14:textId="77777777" w:rsidTr="0027749E">
        <w:trPr>
          <w:trHeight w:val="315"/>
        </w:trPr>
        <w:tc>
          <w:tcPr>
            <w:tcW w:w="1276" w:type="dxa"/>
            <w:shd w:val="clear" w:color="auto" w:fill="auto"/>
            <w:noWrap/>
            <w:vAlign w:val="center"/>
            <w:hideMark/>
          </w:tcPr>
          <w:p w14:paraId="7ADDBA82" w14:textId="77777777" w:rsidR="00223198" w:rsidRPr="00F31284" w:rsidRDefault="00223198" w:rsidP="00223198">
            <w:pPr>
              <w:rPr>
                <w:color w:val="000000"/>
                <w:lang w:val="en-GB" w:eastAsia="en-GB"/>
              </w:rPr>
            </w:pPr>
            <w:r w:rsidRPr="00F31284">
              <w:rPr>
                <w:rFonts w:eastAsia="Aptos"/>
                <w:color w:val="000000"/>
                <w:lang w:eastAsia="en-GB"/>
              </w:rPr>
              <w:t>AYFS</w:t>
            </w:r>
          </w:p>
        </w:tc>
        <w:tc>
          <w:tcPr>
            <w:tcW w:w="8084" w:type="dxa"/>
            <w:shd w:val="clear" w:color="auto" w:fill="auto"/>
            <w:noWrap/>
            <w:vAlign w:val="center"/>
            <w:hideMark/>
          </w:tcPr>
          <w:p w14:paraId="274919B8" w14:textId="77777777" w:rsidR="00223198" w:rsidRPr="00F31284" w:rsidRDefault="00223198" w:rsidP="00223198">
            <w:pPr>
              <w:rPr>
                <w:color w:val="000000"/>
                <w:lang w:val="en-GB" w:eastAsia="en-GB"/>
              </w:rPr>
            </w:pPr>
            <w:r w:rsidRPr="00F31284">
              <w:rPr>
                <w:color w:val="000000"/>
                <w:lang w:val="en-GB" w:eastAsia="en-GB"/>
              </w:rPr>
              <w:t>Adolescent and Youth-Friendly Services</w:t>
            </w:r>
          </w:p>
        </w:tc>
      </w:tr>
      <w:tr w:rsidR="00223198" w:rsidRPr="00F31284" w14:paraId="0E75D04D" w14:textId="77777777" w:rsidTr="0027749E">
        <w:trPr>
          <w:trHeight w:val="315"/>
        </w:trPr>
        <w:tc>
          <w:tcPr>
            <w:tcW w:w="1276" w:type="dxa"/>
            <w:shd w:val="clear" w:color="auto" w:fill="auto"/>
            <w:noWrap/>
            <w:vAlign w:val="center"/>
            <w:hideMark/>
          </w:tcPr>
          <w:p w14:paraId="6D4B042E" w14:textId="77777777" w:rsidR="00223198" w:rsidRPr="00F31284" w:rsidRDefault="00223198" w:rsidP="00223198">
            <w:pPr>
              <w:rPr>
                <w:color w:val="000000"/>
                <w:lang w:val="en-GB" w:eastAsia="en-GB"/>
              </w:rPr>
            </w:pPr>
            <w:r w:rsidRPr="00F31284">
              <w:rPr>
                <w:rFonts w:eastAsia="Aptos"/>
                <w:color w:val="000000"/>
                <w:lang w:eastAsia="en-GB"/>
              </w:rPr>
              <w:t xml:space="preserve">BEmONC </w:t>
            </w:r>
          </w:p>
        </w:tc>
        <w:tc>
          <w:tcPr>
            <w:tcW w:w="8084" w:type="dxa"/>
            <w:shd w:val="clear" w:color="auto" w:fill="auto"/>
            <w:noWrap/>
            <w:vAlign w:val="center"/>
            <w:hideMark/>
          </w:tcPr>
          <w:p w14:paraId="71EC39E4" w14:textId="77777777" w:rsidR="00223198" w:rsidRPr="00F31284" w:rsidRDefault="00223198" w:rsidP="00223198">
            <w:pPr>
              <w:rPr>
                <w:color w:val="000000"/>
                <w:lang w:val="en-GB" w:eastAsia="en-GB"/>
              </w:rPr>
            </w:pPr>
            <w:r w:rsidRPr="00F31284">
              <w:rPr>
                <w:color w:val="000000"/>
                <w:lang w:val="en-GB" w:eastAsia="en-GB"/>
              </w:rPr>
              <w:t>Basic Emergency Obstetric Care</w:t>
            </w:r>
          </w:p>
        </w:tc>
      </w:tr>
      <w:tr w:rsidR="00223198" w:rsidRPr="00F31284" w14:paraId="75C57B10" w14:textId="77777777" w:rsidTr="0027749E">
        <w:trPr>
          <w:trHeight w:val="315"/>
        </w:trPr>
        <w:tc>
          <w:tcPr>
            <w:tcW w:w="1276" w:type="dxa"/>
            <w:shd w:val="clear" w:color="auto" w:fill="auto"/>
            <w:noWrap/>
            <w:vAlign w:val="center"/>
            <w:hideMark/>
          </w:tcPr>
          <w:p w14:paraId="58C4BFCF" w14:textId="77777777" w:rsidR="00223198" w:rsidRPr="00F31284" w:rsidRDefault="00223198" w:rsidP="00223198">
            <w:pPr>
              <w:rPr>
                <w:color w:val="000000"/>
                <w:lang w:val="en-GB" w:eastAsia="en-GB"/>
              </w:rPr>
            </w:pPr>
            <w:r w:rsidRPr="00F31284">
              <w:rPr>
                <w:rFonts w:eastAsia="Aptos"/>
                <w:color w:val="000000"/>
                <w:lang w:eastAsia="en-GB"/>
              </w:rPr>
              <w:t xml:space="preserve">BDS </w:t>
            </w:r>
          </w:p>
        </w:tc>
        <w:tc>
          <w:tcPr>
            <w:tcW w:w="8084" w:type="dxa"/>
            <w:shd w:val="clear" w:color="auto" w:fill="auto"/>
            <w:noWrap/>
            <w:vAlign w:val="center"/>
            <w:hideMark/>
          </w:tcPr>
          <w:p w14:paraId="0EFF5DFD" w14:textId="77777777" w:rsidR="00223198" w:rsidRPr="00F31284" w:rsidRDefault="00223198" w:rsidP="00223198">
            <w:pPr>
              <w:rPr>
                <w:color w:val="000000"/>
                <w:lang w:val="en-GB" w:eastAsia="en-GB"/>
              </w:rPr>
            </w:pPr>
            <w:r w:rsidRPr="00F31284">
              <w:rPr>
                <w:color w:val="000000"/>
                <w:lang w:val="en-GB" w:eastAsia="en-GB"/>
              </w:rPr>
              <w:t>Business Development Service</w:t>
            </w:r>
          </w:p>
        </w:tc>
      </w:tr>
      <w:tr w:rsidR="00223198" w:rsidRPr="00F31284" w14:paraId="70EACB3C" w14:textId="77777777" w:rsidTr="0027749E">
        <w:trPr>
          <w:trHeight w:val="315"/>
        </w:trPr>
        <w:tc>
          <w:tcPr>
            <w:tcW w:w="1276" w:type="dxa"/>
            <w:shd w:val="clear" w:color="auto" w:fill="auto"/>
            <w:noWrap/>
            <w:vAlign w:val="center"/>
            <w:hideMark/>
          </w:tcPr>
          <w:p w14:paraId="340F11F2" w14:textId="77777777" w:rsidR="00223198" w:rsidRPr="00F31284" w:rsidRDefault="00223198" w:rsidP="00223198">
            <w:pPr>
              <w:rPr>
                <w:color w:val="000000"/>
                <w:lang w:val="en-GB" w:eastAsia="en-GB"/>
              </w:rPr>
            </w:pPr>
            <w:r w:rsidRPr="00F31284">
              <w:rPr>
                <w:rFonts w:eastAsia="Aptos"/>
                <w:color w:val="000000"/>
                <w:lang w:eastAsia="en-GB"/>
              </w:rPr>
              <w:t xml:space="preserve">BDSP </w:t>
            </w:r>
          </w:p>
        </w:tc>
        <w:tc>
          <w:tcPr>
            <w:tcW w:w="8084" w:type="dxa"/>
            <w:shd w:val="clear" w:color="auto" w:fill="auto"/>
            <w:noWrap/>
            <w:vAlign w:val="center"/>
            <w:hideMark/>
          </w:tcPr>
          <w:p w14:paraId="41303194" w14:textId="77777777" w:rsidR="00223198" w:rsidRPr="00F31284" w:rsidRDefault="00223198" w:rsidP="00223198">
            <w:pPr>
              <w:rPr>
                <w:color w:val="000000"/>
                <w:lang w:val="en-GB" w:eastAsia="en-GB"/>
              </w:rPr>
            </w:pPr>
            <w:r w:rsidRPr="00F31284">
              <w:rPr>
                <w:color w:val="000000"/>
                <w:lang w:val="en-GB" w:eastAsia="en-GB"/>
              </w:rPr>
              <w:t>Business Development Service Providers</w:t>
            </w:r>
          </w:p>
        </w:tc>
      </w:tr>
      <w:tr w:rsidR="00223198" w:rsidRPr="00F31284" w14:paraId="645D313A" w14:textId="77777777" w:rsidTr="0027749E">
        <w:trPr>
          <w:trHeight w:val="315"/>
        </w:trPr>
        <w:tc>
          <w:tcPr>
            <w:tcW w:w="1276" w:type="dxa"/>
            <w:shd w:val="clear" w:color="auto" w:fill="auto"/>
            <w:noWrap/>
            <w:vAlign w:val="center"/>
            <w:hideMark/>
          </w:tcPr>
          <w:p w14:paraId="7A83C025" w14:textId="77777777" w:rsidR="00223198" w:rsidRPr="00F31284" w:rsidRDefault="00223198" w:rsidP="00223198">
            <w:pPr>
              <w:rPr>
                <w:color w:val="000000"/>
                <w:lang w:val="en-GB" w:eastAsia="en-GB"/>
              </w:rPr>
            </w:pPr>
            <w:r w:rsidRPr="00F31284">
              <w:rPr>
                <w:rFonts w:eastAsia="Aptos"/>
                <w:color w:val="000000"/>
                <w:lang w:eastAsia="en-GB"/>
              </w:rPr>
              <w:t xml:space="preserve">CA </w:t>
            </w:r>
          </w:p>
        </w:tc>
        <w:tc>
          <w:tcPr>
            <w:tcW w:w="8084" w:type="dxa"/>
            <w:shd w:val="clear" w:color="auto" w:fill="auto"/>
            <w:noWrap/>
            <w:vAlign w:val="center"/>
            <w:hideMark/>
          </w:tcPr>
          <w:p w14:paraId="2B6F3551" w14:textId="77777777" w:rsidR="00223198" w:rsidRPr="00F31284" w:rsidRDefault="00223198" w:rsidP="00223198">
            <w:pPr>
              <w:rPr>
                <w:color w:val="000000"/>
                <w:lang w:val="en-GB" w:eastAsia="en-GB"/>
              </w:rPr>
            </w:pPr>
            <w:r w:rsidRPr="00F31284">
              <w:rPr>
                <w:color w:val="000000"/>
                <w:lang w:val="en-GB" w:eastAsia="en-GB"/>
              </w:rPr>
              <w:t>Conservative Agriculture</w:t>
            </w:r>
          </w:p>
        </w:tc>
      </w:tr>
      <w:tr w:rsidR="00223198" w:rsidRPr="00F31284" w14:paraId="68D20FA5" w14:textId="77777777" w:rsidTr="0027749E">
        <w:trPr>
          <w:trHeight w:val="315"/>
        </w:trPr>
        <w:tc>
          <w:tcPr>
            <w:tcW w:w="1276" w:type="dxa"/>
            <w:shd w:val="clear" w:color="auto" w:fill="auto"/>
            <w:noWrap/>
            <w:vAlign w:val="center"/>
            <w:hideMark/>
          </w:tcPr>
          <w:p w14:paraId="66365EE0" w14:textId="77777777" w:rsidR="00223198" w:rsidRPr="00F31284" w:rsidRDefault="00223198" w:rsidP="00223198">
            <w:pPr>
              <w:rPr>
                <w:color w:val="000000"/>
                <w:lang w:val="en-GB" w:eastAsia="en-GB"/>
              </w:rPr>
            </w:pPr>
            <w:r w:rsidRPr="00F31284">
              <w:rPr>
                <w:rFonts w:eastAsia="Aptos"/>
                <w:color w:val="000000"/>
                <w:lang w:eastAsia="en-GB"/>
              </w:rPr>
              <w:t xml:space="preserve">CBHP </w:t>
            </w:r>
          </w:p>
        </w:tc>
        <w:tc>
          <w:tcPr>
            <w:tcW w:w="8084" w:type="dxa"/>
            <w:shd w:val="clear" w:color="auto" w:fill="auto"/>
            <w:noWrap/>
            <w:vAlign w:val="center"/>
            <w:hideMark/>
          </w:tcPr>
          <w:p w14:paraId="4EE2AB4A" w14:textId="77777777" w:rsidR="00223198" w:rsidRPr="00F31284" w:rsidRDefault="00223198" w:rsidP="00223198">
            <w:pPr>
              <w:rPr>
                <w:color w:val="000000"/>
                <w:lang w:val="en-GB" w:eastAsia="en-GB"/>
              </w:rPr>
            </w:pPr>
            <w:r w:rsidRPr="00F31284">
              <w:rPr>
                <w:color w:val="000000"/>
                <w:lang w:val="en-GB" w:eastAsia="en-GB"/>
              </w:rPr>
              <w:t>Community Based Health Programme</w:t>
            </w:r>
          </w:p>
        </w:tc>
      </w:tr>
      <w:tr w:rsidR="00223198" w:rsidRPr="00F31284" w14:paraId="1CBEC203" w14:textId="77777777" w:rsidTr="0027749E">
        <w:trPr>
          <w:trHeight w:val="315"/>
        </w:trPr>
        <w:tc>
          <w:tcPr>
            <w:tcW w:w="1276" w:type="dxa"/>
            <w:shd w:val="clear" w:color="auto" w:fill="auto"/>
            <w:noWrap/>
            <w:vAlign w:val="center"/>
            <w:hideMark/>
          </w:tcPr>
          <w:p w14:paraId="5DAF1E02" w14:textId="77777777" w:rsidR="00223198" w:rsidRPr="00F31284" w:rsidRDefault="00223198" w:rsidP="00223198">
            <w:pPr>
              <w:rPr>
                <w:color w:val="000000"/>
                <w:lang w:val="en-GB" w:eastAsia="en-GB"/>
              </w:rPr>
            </w:pPr>
            <w:r w:rsidRPr="00F31284">
              <w:rPr>
                <w:rFonts w:eastAsia="Aptos"/>
                <w:color w:val="000000"/>
                <w:lang w:eastAsia="en-GB"/>
              </w:rPr>
              <w:t xml:space="preserve">CBWSO </w:t>
            </w:r>
          </w:p>
        </w:tc>
        <w:tc>
          <w:tcPr>
            <w:tcW w:w="8084" w:type="dxa"/>
            <w:shd w:val="clear" w:color="auto" w:fill="auto"/>
            <w:noWrap/>
            <w:vAlign w:val="center"/>
            <w:hideMark/>
          </w:tcPr>
          <w:p w14:paraId="221F103D" w14:textId="77777777" w:rsidR="00223198" w:rsidRPr="00F31284" w:rsidRDefault="00223198" w:rsidP="00223198">
            <w:pPr>
              <w:rPr>
                <w:color w:val="000000"/>
                <w:lang w:val="en-GB" w:eastAsia="en-GB"/>
              </w:rPr>
            </w:pPr>
            <w:r w:rsidRPr="00F31284">
              <w:rPr>
                <w:color w:val="000000"/>
                <w:lang w:val="en-GB" w:eastAsia="en-GB"/>
              </w:rPr>
              <w:t>Community Based Water and Sanitation Organization</w:t>
            </w:r>
          </w:p>
        </w:tc>
      </w:tr>
      <w:tr w:rsidR="00223198" w:rsidRPr="00F31284" w14:paraId="31252129" w14:textId="77777777" w:rsidTr="0027749E">
        <w:trPr>
          <w:trHeight w:val="315"/>
        </w:trPr>
        <w:tc>
          <w:tcPr>
            <w:tcW w:w="1276" w:type="dxa"/>
            <w:shd w:val="clear" w:color="auto" w:fill="auto"/>
            <w:noWrap/>
            <w:vAlign w:val="center"/>
            <w:hideMark/>
          </w:tcPr>
          <w:p w14:paraId="5D25BC5D" w14:textId="77777777" w:rsidR="00223198" w:rsidRPr="00F31284" w:rsidRDefault="00223198" w:rsidP="00223198">
            <w:pPr>
              <w:rPr>
                <w:color w:val="000000"/>
                <w:lang w:val="en-GB" w:eastAsia="en-GB"/>
              </w:rPr>
            </w:pPr>
            <w:r w:rsidRPr="00F31284">
              <w:rPr>
                <w:rFonts w:eastAsia="Aptos"/>
                <w:color w:val="000000"/>
                <w:lang w:eastAsia="en-GB"/>
              </w:rPr>
              <w:t>CHMT</w:t>
            </w:r>
          </w:p>
        </w:tc>
        <w:tc>
          <w:tcPr>
            <w:tcW w:w="8084" w:type="dxa"/>
            <w:shd w:val="clear" w:color="auto" w:fill="auto"/>
            <w:noWrap/>
            <w:vAlign w:val="center"/>
            <w:hideMark/>
          </w:tcPr>
          <w:p w14:paraId="0BB81C5F" w14:textId="77777777" w:rsidR="00223198" w:rsidRPr="00F31284" w:rsidRDefault="00223198" w:rsidP="00223198">
            <w:pPr>
              <w:rPr>
                <w:color w:val="000000"/>
                <w:lang w:val="en-GB" w:eastAsia="en-GB"/>
              </w:rPr>
            </w:pPr>
            <w:r w:rsidRPr="00F31284">
              <w:rPr>
                <w:color w:val="000000"/>
                <w:lang w:val="en-GB" w:eastAsia="en-GB"/>
              </w:rPr>
              <w:t>Council Health Management Teams</w:t>
            </w:r>
          </w:p>
        </w:tc>
      </w:tr>
      <w:tr w:rsidR="00223198" w:rsidRPr="00F31284" w14:paraId="1ADD0DAF" w14:textId="77777777" w:rsidTr="0027749E">
        <w:trPr>
          <w:trHeight w:val="315"/>
        </w:trPr>
        <w:tc>
          <w:tcPr>
            <w:tcW w:w="1276" w:type="dxa"/>
            <w:shd w:val="clear" w:color="auto" w:fill="auto"/>
            <w:noWrap/>
            <w:vAlign w:val="center"/>
            <w:hideMark/>
          </w:tcPr>
          <w:p w14:paraId="7875E1A8" w14:textId="77777777" w:rsidR="00223198" w:rsidRPr="00F31284" w:rsidRDefault="00223198" w:rsidP="00223198">
            <w:pPr>
              <w:rPr>
                <w:color w:val="000000"/>
                <w:lang w:val="en-GB" w:eastAsia="en-GB"/>
              </w:rPr>
            </w:pPr>
            <w:r w:rsidRPr="00F31284">
              <w:rPr>
                <w:rFonts w:eastAsia="Aptos"/>
                <w:color w:val="000000"/>
                <w:lang w:eastAsia="en-GB"/>
              </w:rPr>
              <w:t>CHW</w:t>
            </w:r>
          </w:p>
        </w:tc>
        <w:tc>
          <w:tcPr>
            <w:tcW w:w="8084" w:type="dxa"/>
            <w:shd w:val="clear" w:color="auto" w:fill="auto"/>
            <w:noWrap/>
            <w:vAlign w:val="center"/>
            <w:hideMark/>
          </w:tcPr>
          <w:p w14:paraId="5D5ED9F9" w14:textId="77777777" w:rsidR="00223198" w:rsidRPr="00F31284" w:rsidRDefault="00223198" w:rsidP="00223198">
            <w:pPr>
              <w:rPr>
                <w:color w:val="000000"/>
                <w:lang w:val="en-GB" w:eastAsia="en-GB"/>
              </w:rPr>
            </w:pPr>
            <w:r w:rsidRPr="00F31284">
              <w:rPr>
                <w:color w:val="000000"/>
                <w:lang w:val="en-GB" w:eastAsia="en-GB"/>
              </w:rPr>
              <w:t>Community Health Worker</w:t>
            </w:r>
          </w:p>
        </w:tc>
      </w:tr>
      <w:tr w:rsidR="00223198" w:rsidRPr="00F31284" w14:paraId="78D1BF03" w14:textId="77777777" w:rsidTr="0027749E">
        <w:trPr>
          <w:trHeight w:val="315"/>
        </w:trPr>
        <w:tc>
          <w:tcPr>
            <w:tcW w:w="1276" w:type="dxa"/>
            <w:shd w:val="clear" w:color="auto" w:fill="auto"/>
            <w:noWrap/>
            <w:vAlign w:val="center"/>
            <w:hideMark/>
          </w:tcPr>
          <w:p w14:paraId="2D62BF74" w14:textId="77777777" w:rsidR="00223198" w:rsidRPr="00F31284" w:rsidRDefault="00223198" w:rsidP="00223198">
            <w:pPr>
              <w:rPr>
                <w:color w:val="000000"/>
                <w:lang w:val="en-GB" w:eastAsia="en-GB"/>
              </w:rPr>
            </w:pPr>
            <w:r w:rsidRPr="00F31284">
              <w:rPr>
                <w:rFonts w:eastAsia="Aptos"/>
                <w:color w:val="000000"/>
                <w:lang w:eastAsia="en-GB"/>
              </w:rPr>
              <w:t>CMT</w:t>
            </w:r>
          </w:p>
        </w:tc>
        <w:tc>
          <w:tcPr>
            <w:tcW w:w="8084" w:type="dxa"/>
            <w:shd w:val="clear" w:color="auto" w:fill="auto"/>
            <w:noWrap/>
            <w:vAlign w:val="center"/>
            <w:hideMark/>
          </w:tcPr>
          <w:p w14:paraId="4057868E" w14:textId="77777777" w:rsidR="00223198" w:rsidRPr="00F31284" w:rsidRDefault="00223198" w:rsidP="00223198">
            <w:pPr>
              <w:rPr>
                <w:color w:val="000000"/>
                <w:lang w:val="en-GB" w:eastAsia="en-GB"/>
              </w:rPr>
            </w:pPr>
            <w:r w:rsidRPr="00F31284">
              <w:rPr>
                <w:color w:val="000000"/>
                <w:lang w:val="en-GB" w:eastAsia="en-GB"/>
              </w:rPr>
              <w:t>Council Management Team</w:t>
            </w:r>
          </w:p>
        </w:tc>
      </w:tr>
      <w:tr w:rsidR="00223198" w:rsidRPr="00F31284" w14:paraId="5CE4B431" w14:textId="77777777" w:rsidTr="0027749E">
        <w:trPr>
          <w:trHeight w:val="315"/>
        </w:trPr>
        <w:tc>
          <w:tcPr>
            <w:tcW w:w="1276" w:type="dxa"/>
            <w:shd w:val="clear" w:color="auto" w:fill="auto"/>
            <w:noWrap/>
            <w:vAlign w:val="center"/>
            <w:hideMark/>
          </w:tcPr>
          <w:p w14:paraId="2199D698" w14:textId="77777777" w:rsidR="00223198" w:rsidRPr="00F31284" w:rsidRDefault="00223198" w:rsidP="00223198">
            <w:pPr>
              <w:rPr>
                <w:color w:val="000000"/>
                <w:lang w:val="en-GB" w:eastAsia="en-GB"/>
              </w:rPr>
            </w:pPr>
            <w:r w:rsidRPr="00F31284">
              <w:rPr>
                <w:rFonts w:eastAsia="Aptos"/>
                <w:color w:val="000000"/>
                <w:lang w:eastAsia="en-GB"/>
              </w:rPr>
              <w:t xml:space="preserve">CSA </w:t>
            </w:r>
          </w:p>
        </w:tc>
        <w:tc>
          <w:tcPr>
            <w:tcW w:w="8084" w:type="dxa"/>
            <w:shd w:val="clear" w:color="auto" w:fill="auto"/>
            <w:noWrap/>
            <w:vAlign w:val="center"/>
            <w:hideMark/>
          </w:tcPr>
          <w:p w14:paraId="25CA4C7A" w14:textId="77777777" w:rsidR="00223198" w:rsidRPr="00F31284" w:rsidRDefault="00223198" w:rsidP="00223198">
            <w:pPr>
              <w:rPr>
                <w:color w:val="000000"/>
                <w:lang w:val="en-GB" w:eastAsia="en-GB"/>
              </w:rPr>
            </w:pPr>
            <w:r w:rsidRPr="00F31284">
              <w:rPr>
                <w:color w:val="000000"/>
                <w:lang w:val="en-GB" w:eastAsia="en-GB"/>
              </w:rPr>
              <w:t>Climate Smart Agriculture</w:t>
            </w:r>
          </w:p>
        </w:tc>
      </w:tr>
      <w:tr w:rsidR="00223198" w:rsidRPr="00F31284" w14:paraId="4C5A4F6F" w14:textId="77777777" w:rsidTr="0027749E">
        <w:trPr>
          <w:trHeight w:val="315"/>
        </w:trPr>
        <w:tc>
          <w:tcPr>
            <w:tcW w:w="1276" w:type="dxa"/>
            <w:shd w:val="clear" w:color="auto" w:fill="auto"/>
            <w:noWrap/>
            <w:vAlign w:val="center"/>
            <w:hideMark/>
          </w:tcPr>
          <w:p w14:paraId="4CE1ADC4" w14:textId="77777777" w:rsidR="00223198" w:rsidRPr="00F31284" w:rsidRDefault="00223198" w:rsidP="00223198">
            <w:pPr>
              <w:rPr>
                <w:color w:val="000000"/>
                <w:lang w:val="en-GB" w:eastAsia="en-GB"/>
              </w:rPr>
            </w:pPr>
            <w:r w:rsidRPr="00F31284">
              <w:rPr>
                <w:rFonts w:eastAsia="Aptos"/>
                <w:color w:val="000000"/>
                <w:lang w:eastAsia="en-GB"/>
              </w:rPr>
              <w:t xml:space="preserve">DAICO </w:t>
            </w:r>
          </w:p>
        </w:tc>
        <w:tc>
          <w:tcPr>
            <w:tcW w:w="8084" w:type="dxa"/>
            <w:shd w:val="clear" w:color="auto" w:fill="auto"/>
            <w:noWrap/>
            <w:vAlign w:val="center"/>
            <w:hideMark/>
          </w:tcPr>
          <w:p w14:paraId="08D41C9C" w14:textId="77777777" w:rsidR="00223198" w:rsidRPr="00F31284" w:rsidRDefault="00223198" w:rsidP="00223198">
            <w:pPr>
              <w:rPr>
                <w:color w:val="000000"/>
                <w:lang w:val="en-GB" w:eastAsia="en-GB"/>
              </w:rPr>
            </w:pPr>
            <w:r w:rsidRPr="00F31284">
              <w:rPr>
                <w:color w:val="000000"/>
                <w:lang w:val="en-GB" w:eastAsia="en-GB"/>
              </w:rPr>
              <w:t>District Agriculture Irrigation and Cooperative Officer</w:t>
            </w:r>
          </w:p>
        </w:tc>
      </w:tr>
      <w:tr w:rsidR="00223198" w:rsidRPr="00F31284" w14:paraId="1E3015B6" w14:textId="77777777" w:rsidTr="0027749E">
        <w:trPr>
          <w:trHeight w:val="315"/>
        </w:trPr>
        <w:tc>
          <w:tcPr>
            <w:tcW w:w="1276" w:type="dxa"/>
            <w:shd w:val="clear" w:color="auto" w:fill="auto"/>
            <w:noWrap/>
            <w:vAlign w:val="center"/>
            <w:hideMark/>
          </w:tcPr>
          <w:p w14:paraId="3FA62918" w14:textId="77777777" w:rsidR="00223198" w:rsidRPr="00F31284" w:rsidRDefault="00223198" w:rsidP="00223198">
            <w:pPr>
              <w:rPr>
                <w:color w:val="000000"/>
                <w:lang w:val="en-GB" w:eastAsia="en-GB"/>
              </w:rPr>
            </w:pPr>
            <w:r w:rsidRPr="00F31284">
              <w:rPr>
                <w:rFonts w:eastAsia="Aptos"/>
                <w:color w:val="000000"/>
                <w:lang w:eastAsia="en-GB"/>
              </w:rPr>
              <w:t xml:space="preserve">DaO </w:t>
            </w:r>
          </w:p>
        </w:tc>
        <w:tc>
          <w:tcPr>
            <w:tcW w:w="8084" w:type="dxa"/>
            <w:shd w:val="clear" w:color="auto" w:fill="auto"/>
            <w:noWrap/>
            <w:vAlign w:val="center"/>
            <w:hideMark/>
          </w:tcPr>
          <w:p w14:paraId="64835A67" w14:textId="77777777" w:rsidR="00223198" w:rsidRPr="00F31284" w:rsidRDefault="00223198" w:rsidP="00223198">
            <w:pPr>
              <w:rPr>
                <w:color w:val="000000"/>
                <w:lang w:val="en-GB" w:eastAsia="en-GB"/>
              </w:rPr>
            </w:pPr>
            <w:r w:rsidRPr="00F31284">
              <w:rPr>
                <w:color w:val="000000"/>
                <w:lang w:val="en-GB" w:eastAsia="en-GB"/>
              </w:rPr>
              <w:t>Delivering as One</w:t>
            </w:r>
          </w:p>
        </w:tc>
      </w:tr>
      <w:tr w:rsidR="00223198" w:rsidRPr="00F31284" w14:paraId="25094B78" w14:textId="77777777" w:rsidTr="0027749E">
        <w:trPr>
          <w:trHeight w:val="315"/>
        </w:trPr>
        <w:tc>
          <w:tcPr>
            <w:tcW w:w="1276" w:type="dxa"/>
            <w:shd w:val="clear" w:color="auto" w:fill="auto"/>
            <w:noWrap/>
            <w:vAlign w:val="center"/>
            <w:hideMark/>
          </w:tcPr>
          <w:p w14:paraId="35BD96FF" w14:textId="77777777" w:rsidR="00223198" w:rsidRPr="00F31284" w:rsidRDefault="00223198" w:rsidP="00223198">
            <w:pPr>
              <w:rPr>
                <w:color w:val="000000"/>
                <w:lang w:val="en-GB" w:eastAsia="en-GB"/>
              </w:rPr>
            </w:pPr>
            <w:r w:rsidRPr="00F31284">
              <w:rPr>
                <w:rFonts w:eastAsia="Aptos"/>
                <w:color w:val="000000"/>
                <w:lang w:eastAsia="en-GB"/>
              </w:rPr>
              <w:t xml:space="preserve">DC </w:t>
            </w:r>
          </w:p>
        </w:tc>
        <w:tc>
          <w:tcPr>
            <w:tcW w:w="8084" w:type="dxa"/>
            <w:shd w:val="clear" w:color="auto" w:fill="auto"/>
            <w:noWrap/>
            <w:vAlign w:val="center"/>
            <w:hideMark/>
          </w:tcPr>
          <w:p w14:paraId="45569119" w14:textId="77777777" w:rsidR="00223198" w:rsidRPr="00F31284" w:rsidRDefault="00223198" w:rsidP="00223198">
            <w:pPr>
              <w:rPr>
                <w:color w:val="000000"/>
                <w:lang w:val="en-GB" w:eastAsia="en-GB"/>
              </w:rPr>
            </w:pPr>
            <w:r w:rsidRPr="00F31284">
              <w:rPr>
                <w:color w:val="000000"/>
                <w:lang w:val="en-GB" w:eastAsia="en-GB"/>
              </w:rPr>
              <w:t>District Council</w:t>
            </w:r>
          </w:p>
        </w:tc>
      </w:tr>
      <w:tr w:rsidR="00223198" w:rsidRPr="00F31284" w14:paraId="738F2849" w14:textId="77777777" w:rsidTr="0027749E">
        <w:trPr>
          <w:trHeight w:val="315"/>
        </w:trPr>
        <w:tc>
          <w:tcPr>
            <w:tcW w:w="1276" w:type="dxa"/>
            <w:shd w:val="clear" w:color="auto" w:fill="auto"/>
            <w:noWrap/>
            <w:vAlign w:val="center"/>
            <w:hideMark/>
          </w:tcPr>
          <w:p w14:paraId="70A0F6D5" w14:textId="77777777" w:rsidR="00223198" w:rsidRPr="00F31284" w:rsidRDefault="00223198" w:rsidP="00223198">
            <w:pPr>
              <w:rPr>
                <w:color w:val="000000"/>
                <w:lang w:val="en-GB" w:eastAsia="en-GB"/>
              </w:rPr>
            </w:pPr>
            <w:r w:rsidRPr="00F31284">
              <w:rPr>
                <w:rFonts w:eastAsia="Aptos"/>
                <w:color w:val="000000"/>
                <w:lang w:eastAsia="en-GB"/>
              </w:rPr>
              <w:t xml:space="preserve">DCMIS  </w:t>
            </w:r>
          </w:p>
        </w:tc>
        <w:tc>
          <w:tcPr>
            <w:tcW w:w="8084" w:type="dxa"/>
            <w:shd w:val="clear" w:color="auto" w:fill="auto"/>
            <w:noWrap/>
            <w:vAlign w:val="center"/>
            <w:hideMark/>
          </w:tcPr>
          <w:p w14:paraId="6A2A4B14" w14:textId="77777777" w:rsidR="00223198" w:rsidRPr="00F31284" w:rsidRDefault="00223198" w:rsidP="00223198">
            <w:pPr>
              <w:rPr>
                <w:color w:val="000000"/>
                <w:lang w:val="en-GB" w:eastAsia="en-GB"/>
              </w:rPr>
            </w:pPr>
            <w:r w:rsidRPr="00F31284">
              <w:rPr>
                <w:color w:val="000000"/>
                <w:lang w:val="en-GB" w:eastAsia="en-GB"/>
              </w:rPr>
              <w:t xml:space="preserve">District Child Monitoring Information Management System </w:t>
            </w:r>
          </w:p>
        </w:tc>
      </w:tr>
      <w:tr w:rsidR="00223198" w:rsidRPr="00F31284" w14:paraId="4D7837AA" w14:textId="77777777" w:rsidTr="0027749E">
        <w:trPr>
          <w:trHeight w:val="315"/>
        </w:trPr>
        <w:tc>
          <w:tcPr>
            <w:tcW w:w="1276" w:type="dxa"/>
            <w:shd w:val="clear" w:color="auto" w:fill="auto"/>
            <w:noWrap/>
            <w:vAlign w:val="center"/>
            <w:hideMark/>
          </w:tcPr>
          <w:p w14:paraId="5609798C" w14:textId="77777777" w:rsidR="00223198" w:rsidRPr="00F31284" w:rsidRDefault="00223198" w:rsidP="00223198">
            <w:pPr>
              <w:rPr>
                <w:color w:val="000000"/>
                <w:lang w:val="en-GB" w:eastAsia="en-GB"/>
              </w:rPr>
            </w:pPr>
            <w:r w:rsidRPr="00F31284">
              <w:rPr>
                <w:rFonts w:eastAsia="Aptos"/>
                <w:color w:val="000000"/>
                <w:lang w:eastAsia="en-GB"/>
              </w:rPr>
              <w:t xml:space="preserve">DED </w:t>
            </w:r>
          </w:p>
        </w:tc>
        <w:tc>
          <w:tcPr>
            <w:tcW w:w="8084" w:type="dxa"/>
            <w:shd w:val="clear" w:color="auto" w:fill="auto"/>
            <w:noWrap/>
            <w:vAlign w:val="center"/>
            <w:hideMark/>
          </w:tcPr>
          <w:p w14:paraId="4488C19B" w14:textId="77777777" w:rsidR="00223198" w:rsidRPr="00F31284" w:rsidRDefault="00223198" w:rsidP="00223198">
            <w:pPr>
              <w:rPr>
                <w:color w:val="000000"/>
                <w:lang w:val="en-GB" w:eastAsia="en-GB"/>
              </w:rPr>
            </w:pPr>
            <w:r w:rsidRPr="00F31284">
              <w:rPr>
                <w:color w:val="000000"/>
                <w:lang w:val="en-GB" w:eastAsia="en-GB"/>
              </w:rPr>
              <w:t>District Executive Director</w:t>
            </w:r>
          </w:p>
        </w:tc>
      </w:tr>
      <w:tr w:rsidR="00223198" w:rsidRPr="00F31284" w14:paraId="292D22FC" w14:textId="77777777" w:rsidTr="0027749E">
        <w:trPr>
          <w:trHeight w:val="315"/>
        </w:trPr>
        <w:tc>
          <w:tcPr>
            <w:tcW w:w="1276" w:type="dxa"/>
            <w:shd w:val="clear" w:color="auto" w:fill="auto"/>
            <w:noWrap/>
            <w:vAlign w:val="center"/>
            <w:hideMark/>
          </w:tcPr>
          <w:p w14:paraId="17FC653A" w14:textId="77777777" w:rsidR="00223198" w:rsidRPr="00F31284" w:rsidRDefault="00223198" w:rsidP="00223198">
            <w:pPr>
              <w:rPr>
                <w:color w:val="000000"/>
                <w:lang w:val="en-GB" w:eastAsia="en-GB"/>
              </w:rPr>
            </w:pPr>
            <w:r w:rsidRPr="00F31284">
              <w:rPr>
                <w:rFonts w:eastAsia="Aptos"/>
                <w:color w:val="000000"/>
                <w:lang w:eastAsia="en-GB"/>
              </w:rPr>
              <w:t xml:space="preserve">DFP </w:t>
            </w:r>
          </w:p>
        </w:tc>
        <w:tc>
          <w:tcPr>
            <w:tcW w:w="8084" w:type="dxa"/>
            <w:shd w:val="clear" w:color="auto" w:fill="auto"/>
            <w:noWrap/>
            <w:vAlign w:val="center"/>
            <w:hideMark/>
          </w:tcPr>
          <w:p w14:paraId="48C42E32" w14:textId="77777777" w:rsidR="00223198" w:rsidRPr="00F31284" w:rsidRDefault="00223198" w:rsidP="00223198">
            <w:pPr>
              <w:rPr>
                <w:color w:val="000000"/>
                <w:lang w:val="en-GB" w:eastAsia="en-GB"/>
              </w:rPr>
            </w:pPr>
            <w:r w:rsidRPr="00F31284">
              <w:rPr>
                <w:color w:val="000000"/>
                <w:lang w:val="en-GB" w:eastAsia="en-GB"/>
              </w:rPr>
              <w:t>District Focal Person</w:t>
            </w:r>
          </w:p>
        </w:tc>
      </w:tr>
      <w:tr w:rsidR="00223198" w:rsidRPr="00F31284" w14:paraId="094A0266" w14:textId="77777777" w:rsidTr="0027749E">
        <w:trPr>
          <w:trHeight w:val="315"/>
        </w:trPr>
        <w:tc>
          <w:tcPr>
            <w:tcW w:w="1276" w:type="dxa"/>
            <w:shd w:val="clear" w:color="auto" w:fill="auto"/>
            <w:noWrap/>
            <w:vAlign w:val="center"/>
            <w:hideMark/>
          </w:tcPr>
          <w:p w14:paraId="43A3E9D3" w14:textId="77777777" w:rsidR="00223198" w:rsidRPr="00F31284" w:rsidRDefault="00223198" w:rsidP="00223198">
            <w:pPr>
              <w:rPr>
                <w:color w:val="000000"/>
                <w:lang w:val="en-GB" w:eastAsia="en-GB"/>
              </w:rPr>
            </w:pPr>
            <w:r w:rsidRPr="00F31284">
              <w:rPr>
                <w:rFonts w:eastAsia="Aptos"/>
                <w:color w:val="000000"/>
                <w:lang w:eastAsia="en-GB"/>
              </w:rPr>
              <w:t xml:space="preserve">DMA </w:t>
            </w:r>
          </w:p>
        </w:tc>
        <w:tc>
          <w:tcPr>
            <w:tcW w:w="8084" w:type="dxa"/>
            <w:shd w:val="clear" w:color="auto" w:fill="auto"/>
            <w:noWrap/>
            <w:vAlign w:val="center"/>
            <w:hideMark/>
          </w:tcPr>
          <w:p w14:paraId="024E1A0C" w14:textId="77777777" w:rsidR="00223198" w:rsidRPr="00F31284" w:rsidRDefault="00223198" w:rsidP="00223198">
            <w:pPr>
              <w:rPr>
                <w:color w:val="000000"/>
                <w:lang w:val="en-GB" w:eastAsia="en-GB"/>
              </w:rPr>
            </w:pPr>
            <w:r w:rsidRPr="00F31284">
              <w:rPr>
                <w:color w:val="000000"/>
                <w:lang w:val="en-GB" w:eastAsia="en-GB"/>
              </w:rPr>
              <w:t>Digital Mobile Africa</w:t>
            </w:r>
          </w:p>
        </w:tc>
      </w:tr>
      <w:tr w:rsidR="00223198" w:rsidRPr="00F31284" w14:paraId="01437DF5" w14:textId="77777777" w:rsidTr="0027749E">
        <w:trPr>
          <w:trHeight w:val="315"/>
        </w:trPr>
        <w:tc>
          <w:tcPr>
            <w:tcW w:w="1276" w:type="dxa"/>
            <w:shd w:val="clear" w:color="auto" w:fill="auto"/>
            <w:noWrap/>
            <w:vAlign w:val="center"/>
            <w:hideMark/>
          </w:tcPr>
          <w:p w14:paraId="774AB3D5" w14:textId="77777777" w:rsidR="00223198" w:rsidRPr="00F31284" w:rsidRDefault="00223198" w:rsidP="00223198">
            <w:pPr>
              <w:rPr>
                <w:color w:val="000000"/>
                <w:lang w:val="en-GB" w:eastAsia="en-GB"/>
              </w:rPr>
            </w:pPr>
            <w:r w:rsidRPr="00F31284">
              <w:rPr>
                <w:rFonts w:eastAsia="Aptos"/>
                <w:color w:val="000000"/>
                <w:lang w:eastAsia="en-GB"/>
              </w:rPr>
              <w:t xml:space="preserve">DRC </w:t>
            </w:r>
          </w:p>
        </w:tc>
        <w:tc>
          <w:tcPr>
            <w:tcW w:w="8084" w:type="dxa"/>
            <w:shd w:val="clear" w:color="auto" w:fill="auto"/>
            <w:noWrap/>
            <w:vAlign w:val="center"/>
            <w:hideMark/>
          </w:tcPr>
          <w:p w14:paraId="07E1ECBB" w14:textId="77777777" w:rsidR="00223198" w:rsidRPr="00F31284" w:rsidRDefault="00223198" w:rsidP="00223198">
            <w:pPr>
              <w:rPr>
                <w:color w:val="000000"/>
                <w:lang w:val="en-GB" w:eastAsia="en-GB"/>
              </w:rPr>
            </w:pPr>
            <w:r w:rsidRPr="00F31284">
              <w:rPr>
                <w:color w:val="000000"/>
                <w:lang w:val="en-GB" w:eastAsia="en-GB"/>
              </w:rPr>
              <w:t>Democratic Republic of Congo</w:t>
            </w:r>
          </w:p>
        </w:tc>
      </w:tr>
      <w:tr w:rsidR="00223198" w:rsidRPr="00F31284" w14:paraId="39BF5145" w14:textId="77777777" w:rsidTr="0027749E">
        <w:trPr>
          <w:trHeight w:val="315"/>
        </w:trPr>
        <w:tc>
          <w:tcPr>
            <w:tcW w:w="1276" w:type="dxa"/>
            <w:shd w:val="clear" w:color="auto" w:fill="auto"/>
            <w:noWrap/>
            <w:vAlign w:val="center"/>
            <w:hideMark/>
          </w:tcPr>
          <w:p w14:paraId="1543C013" w14:textId="77777777" w:rsidR="00223198" w:rsidRPr="00F31284" w:rsidRDefault="00223198" w:rsidP="00223198">
            <w:pPr>
              <w:rPr>
                <w:color w:val="000000"/>
                <w:lang w:val="en-GB" w:eastAsia="en-GB"/>
              </w:rPr>
            </w:pPr>
            <w:r w:rsidRPr="00F31284">
              <w:rPr>
                <w:rFonts w:eastAsia="Aptos"/>
                <w:color w:val="000000"/>
                <w:lang w:eastAsia="en-GB"/>
              </w:rPr>
              <w:t xml:space="preserve">DRC </w:t>
            </w:r>
          </w:p>
        </w:tc>
        <w:tc>
          <w:tcPr>
            <w:tcW w:w="8084" w:type="dxa"/>
            <w:shd w:val="clear" w:color="auto" w:fill="auto"/>
            <w:noWrap/>
            <w:vAlign w:val="center"/>
            <w:hideMark/>
          </w:tcPr>
          <w:p w14:paraId="632C68DA" w14:textId="77777777" w:rsidR="00223198" w:rsidRPr="00F31284" w:rsidRDefault="00223198" w:rsidP="00223198">
            <w:pPr>
              <w:rPr>
                <w:color w:val="000000"/>
                <w:lang w:val="en-GB" w:eastAsia="en-GB"/>
              </w:rPr>
            </w:pPr>
            <w:r w:rsidRPr="00F31284">
              <w:rPr>
                <w:color w:val="000000"/>
                <w:lang w:val="en-GB" w:eastAsia="en-GB"/>
              </w:rPr>
              <w:t>Danish Refugee Council</w:t>
            </w:r>
          </w:p>
        </w:tc>
      </w:tr>
      <w:tr w:rsidR="00223198" w:rsidRPr="00F31284" w14:paraId="18B8435D" w14:textId="77777777" w:rsidTr="0027749E">
        <w:trPr>
          <w:trHeight w:val="315"/>
        </w:trPr>
        <w:tc>
          <w:tcPr>
            <w:tcW w:w="1276" w:type="dxa"/>
            <w:shd w:val="clear" w:color="auto" w:fill="auto"/>
            <w:noWrap/>
            <w:vAlign w:val="center"/>
            <w:hideMark/>
          </w:tcPr>
          <w:p w14:paraId="7B9D8C98" w14:textId="77777777" w:rsidR="00223198" w:rsidRPr="00F31284" w:rsidRDefault="00223198" w:rsidP="00223198">
            <w:pPr>
              <w:rPr>
                <w:color w:val="000000"/>
                <w:lang w:val="en-GB" w:eastAsia="en-GB"/>
              </w:rPr>
            </w:pPr>
            <w:r w:rsidRPr="00F31284">
              <w:rPr>
                <w:rFonts w:eastAsia="Aptos"/>
                <w:color w:val="000000"/>
                <w:lang w:eastAsia="en-GB"/>
              </w:rPr>
              <w:t xml:space="preserve">EDP </w:t>
            </w:r>
          </w:p>
        </w:tc>
        <w:tc>
          <w:tcPr>
            <w:tcW w:w="8084" w:type="dxa"/>
            <w:shd w:val="clear" w:color="auto" w:fill="auto"/>
            <w:noWrap/>
            <w:vAlign w:val="center"/>
            <w:hideMark/>
          </w:tcPr>
          <w:p w14:paraId="66279CD3" w14:textId="77777777" w:rsidR="00223198" w:rsidRPr="00F31284" w:rsidRDefault="00223198" w:rsidP="00223198">
            <w:pPr>
              <w:rPr>
                <w:color w:val="000000"/>
                <w:lang w:val="en-GB" w:eastAsia="en-GB"/>
              </w:rPr>
            </w:pPr>
            <w:r w:rsidRPr="00F31284">
              <w:rPr>
                <w:color w:val="000000"/>
                <w:lang w:val="en-GB" w:eastAsia="en-GB"/>
              </w:rPr>
              <w:t>Education Development Plan</w:t>
            </w:r>
          </w:p>
        </w:tc>
      </w:tr>
      <w:tr w:rsidR="00223198" w:rsidRPr="00F31284" w14:paraId="78F375AC" w14:textId="77777777" w:rsidTr="0027749E">
        <w:trPr>
          <w:trHeight w:val="315"/>
        </w:trPr>
        <w:tc>
          <w:tcPr>
            <w:tcW w:w="1276" w:type="dxa"/>
            <w:shd w:val="clear" w:color="auto" w:fill="auto"/>
            <w:noWrap/>
            <w:vAlign w:val="center"/>
            <w:hideMark/>
          </w:tcPr>
          <w:p w14:paraId="6FFD1229" w14:textId="77777777" w:rsidR="00223198" w:rsidRPr="00F31284" w:rsidRDefault="00223198" w:rsidP="00223198">
            <w:pPr>
              <w:rPr>
                <w:color w:val="000000"/>
                <w:lang w:val="en-GB" w:eastAsia="en-GB"/>
              </w:rPr>
            </w:pPr>
            <w:r w:rsidRPr="00F31284">
              <w:rPr>
                <w:rFonts w:eastAsia="Aptos"/>
                <w:color w:val="000000"/>
                <w:lang w:eastAsia="en-GB"/>
              </w:rPr>
              <w:t xml:space="preserve">ELS  </w:t>
            </w:r>
          </w:p>
        </w:tc>
        <w:tc>
          <w:tcPr>
            <w:tcW w:w="8084" w:type="dxa"/>
            <w:shd w:val="clear" w:color="auto" w:fill="auto"/>
            <w:noWrap/>
            <w:vAlign w:val="center"/>
            <w:hideMark/>
          </w:tcPr>
          <w:p w14:paraId="5AAEA4C1" w14:textId="77777777" w:rsidR="00223198" w:rsidRPr="00F31284" w:rsidRDefault="00223198" w:rsidP="00223198">
            <w:pPr>
              <w:rPr>
                <w:color w:val="000000"/>
                <w:lang w:val="en-GB" w:eastAsia="en-GB"/>
              </w:rPr>
            </w:pPr>
            <w:r w:rsidRPr="00F31284">
              <w:rPr>
                <w:color w:val="000000"/>
                <w:lang w:val="en-GB" w:eastAsia="en-GB"/>
              </w:rPr>
              <w:t>Enhanced Living Standard</w:t>
            </w:r>
          </w:p>
        </w:tc>
      </w:tr>
      <w:tr w:rsidR="00EA7229" w:rsidRPr="00F31284" w14:paraId="54F1B577" w14:textId="77777777" w:rsidTr="0027749E">
        <w:trPr>
          <w:trHeight w:val="315"/>
        </w:trPr>
        <w:tc>
          <w:tcPr>
            <w:tcW w:w="1276" w:type="dxa"/>
            <w:shd w:val="clear" w:color="auto" w:fill="auto"/>
            <w:noWrap/>
            <w:vAlign w:val="center"/>
          </w:tcPr>
          <w:p w14:paraId="16CFD337" w14:textId="2AA18679" w:rsidR="00EA7229" w:rsidRPr="00F31284" w:rsidRDefault="00EA7229" w:rsidP="00223198">
            <w:pPr>
              <w:rPr>
                <w:rFonts w:eastAsia="Aptos"/>
                <w:color w:val="000000"/>
                <w:lang w:eastAsia="en-GB"/>
              </w:rPr>
            </w:pPr>
            <w:r w:rsidRPr="00F31284">
              <w:rPr>
                <w:color w:val="000000"/>
                <w:lang w:val="en-GB" w:eastAsia="en-GB"/>
              </w:rPr>
              <w:t>FAST</w:t>
            </w:r>
          </w:p>
        </w:tc>
        <w:tc>
          <w:tcPr>
            <w:tcW w:w="8084" w:type="dxa"/>
            <w:shd w:val="clear" w:color="auto" w:fill="auto"/>
            <w:noWrap/>
            <w:vAlign w:val="center"/>
          </w:tcPr>
          <w:p w14:paraId="3DE6A917" w14:textId="662F3090" w:rsidR="00EA7229" w:rsidRPr="00F31284" w:rsidRDefault="00EA7229" w:rsidP="00223198">
            <w:pPr>
              <w:rPr>
                <w:color w:val="000000"/>
                <w:lang w:val="en-GB" w:eastAsia="en-GB"/>
              </w:rPr>
            </w:pPr>
            <w:r w:rsidRPr="00F31284">
              <w:rPr>
                <w:color w:val="000000"/>
                <w:lang w:val="en-GB" w:eastAsia="en-GB"/>
              </w:rPr>
              <w:t>Financial Acceleration Saving Group Transformation</w:t>
            </w:r>
          </w:p>
        </w:tc>
      </w:tr>
      <w:tr w:rsidR="00223198" w:rsidRPr="00F31284" w14:paraId="299C8864" w14:textId="77777777" w:rsidTr="0027749E">
        <w:trPr>
          <w:trHeight w:val="315"/>
        </w:trPr>
        <w:tc>
          <w:tcPr>
            <w:tcW w:w="1276" w:type="dxa"/>
            <w:shd w:val="clear" w:color="auto" w:fill="auto"/>
            <w:noWrap/>
            <w:vAlign w:val="center"/>
            <w:hideMark/>
          </w:tcPr>
          <w:p w14:paraId="2EF64777" w14:textId="77777777" w:rsidR="00223198" w:rsidRPr="00F31284" w:rsidRDefault="00223198" w:rsidP="00223198">
            <w:pPr>
              <w:rPr>
                <w:color w:val="000000"/>
                <w:lang w:val="en-GB" w:eastAsia="en-GB"/>
              </w:rPr>
            </w:pPr>
            <w:r w:rsidRPr="00F31284">
              <w:rPr>
                <w:rFonts w:eastAsia="Aptos"/>
                <w:color w:val="000000"/>
                <w:lang w:eastAsia="en-GB"/>
              </w:rPr>
              <w:t xml:space="preserve">FFS </w:t>
            </w:r>
          </w:p>
        </w:tc>
        <w:tc>
          <w:tcPr>
            <w:tcW w:w="8084" w:type="dxa"/>
            <w:shd w:val="clear" w:color="auto" w:fill="auto"/>
            <w:noWrap/>
            <w:vAlign w:val="center"/>
            <w:hideMark/>
          </w:tcPr>
          <w:p w14:paraId="39205D00" w14:textId="77777777" w:rsidR="00223198" w:rsidRPr="00F31284" w:rsidRDefault="00223198" w:rsidP="00223198">
            <w:pPr>
              <w:rPr>
                <w:color w:val="000000"/>
                <w:lang w:val="en-GB" w:eastAsia="en-GB"/>
              </w:rPr>
            </w:pPr>
            <w:r w:rsidRPr="00F31284">
              <w:rPr>
                <w:color w:val="000000"/>
                <w:lang w:val="en-GB" w:eastAsia="en-GB"/>
              </w:rPr>
              <w:t>Farmer Field School</w:t>
            </w:r>
          </w:p>
        </w:tc>
      </w:tr>
      <w:tr w:rsidR="00223198" w:rsidRPr="00F31284" w14:paraId="446ECA39" w14:textId="77777777" w:rsidTr="0027749E">
        <w:trPr>
          <w:trHeight w:val="315"/>
        </w:trPr>
        <w:tc>
          <w:tcPr>
            <w:tcW w:w="1276" w:type="dxa"/>
            <w:shd w:val="clear" w:color="auto" w:fill="auto"/>
            <w:noWrap/>
            <w:vAlign w:val="center"/>
            <w:hideMark/>
          </w:tcPr>
          <w:p w14:paraId="7529316D" w14:textId="77777777" w:rsidR="00223198" w:rsidRPr="00F31284" w:rsidRDefault="00223198" w:rsidP="00223198">
            <w:pPr>
              <w:rPr>
                <w:color w:val="000000"/>
                <w:lang w:val="en-GB" w:eastAsia="en-GB"/>
              </w:rPr>
            </w:pPr>
            <w:r w:rsidRPr="00F31284">
              <w:rPr>
                <w:rFonts w:eastAsia="Aptos"/>
                <w:color w:val="000000"/>
                <w:lang w:eastAsia="en-GB"/>
              </w:rPr>
              <w:t xml:space="preserve">FSP  </w:t>
            </w:r>
          </w:p>
        </w:tc>
        <w:tc>
          <w:tcPr>
            <w:tcW w:w="8084" w:type="dxa"/>
            <w:shd w:val="clear" w:color="auto" w:fill="auto"/>
            <w:noWrap/>
            <w:vAlign w:val="center"/>
            <w:hideMark/>
          </w:tcPr>
          <w:p w14:paraId="485A1F47" w14:textId="77777777" w:rsidR="00223198" w:rsidRPr="00F31284" w:rsidRDefault="00223198" w:rsidP="00223198">
            <w:pPr>
              <w:rPr>
                <w:color w:val="000000"/>
                <w:lang w:val="en-GB" w:eastAsia="en-GB"/>
              </w:rPr>
            </w:pPr>
            <w:r w:rsidRPr="00F31284">
              <w:rPr>
                <w:color w:val="000000"/>
                <w:lang w:val="en-GB" w:eastAsia="en-GB"/>
              </w:rPr>
              <w:t xml:space="preserve">Financial Service Provider </w:t>
            </w:r>
          </w:p>
        </w:tc>
      </w:tr>
      <w:tr w:rsidR="00223198" w:rsidRPr="00F31284" w14:paraId="3683A8B8" w14:textId="77777777" w:rsidTr="0027749E">
        <w:trPr>
          <w:trHeight w:val="315"/>
        </w:trPr>
        <w:tc>
          <w:tcPr>
            <w:tcW w:w="1276" w:type="dxa"/>
            <w:shd w:val="clear" w:color="auto" w:fill="auto"/>
            <w:noWrap/>
            <w:vAlign w:val="center"/>
            <w:hideMark/>
          </w:tcPr>
          <w:p w14:paraId="6950C7F8" w14:textId="77777777" w:rsidR="00223198" w:rsidRPr="00F31284" w:rsidRDefault="00223198" w:rsidP="00223198">
            <w:pPr>
              <w:rPr>
                <w:color w:val="000000"/>
                <w:lang w:val="en-GB" w:eastAsia="en-GB"/>
              </w:rPr>
            </w:pPr>
            <w:r w:rsidRPr="00F31284">
              <w:rPr>
                <w:rFonts w:eastAsia="Aptos"/>
                <w:color w:val="000000"/>
                <w:lang w:eastAsia="en-GB"/>
              </w:rPr>
              <w:t xml:space="preserve">FYDP  </w:t>
            </w:r>
          </w:p>
        </w:tc>
        <w:tc>
          <w:tcPr>
            <w:tcW w:w="8084" w:type="dxa"/>
            <w:shd w:val="clear" w:color="auto" w:fill="auto"/>
            <w:noWrap/>
            <w:vAlign w:val="center"/>
            <w:hideMark/>
          </w:tcPr>
          <w:p w14:paraId="5B145813" w14:textId="77777777" w:rsidR="00223198" w:rsidRPr="00F31284" w:rsidRDefault="00223198" w:rsidP="00223198">
            <w:pPr>
              <w:rPr>
                <w:color w:val="000000"/>
                <w:lang w:val="en-GB" w:eastAsia="en-GB"/>
              </w:rPr>
            </w:pPr>
            <w:r w:rsidRPr="00F31284">
              <w:rPr>
                <w:color w:val="000000"/>
                <w:lang w:val="en-GB" w:eastAsia="en-GB"/>
              </w:rPr>
              <w:t>Five Year Development Plan</w:t>
            </w:r>
          </w:p>
        </w:tc>
      </w:tr>
      <w:tr w:rsidR="004E4B29" w:rsidRPr="00F31284" w14:paraId="6E31C7FB" w14:textId="77777777" w:rsidTr="0027749E">
        <w:trPr>
          <w:trHeight w:val="315"/>
        </w:trPr>
        <w:tc>
          <w:tcPr>
            <w:tcW w:w="1276" w:type="dxa"/>
            <w:shd w:val="clear" w:color="auto" w:fill="auto"/>
            <w:noWrap/>
            <w:vAlign w:val="center"/>
          </w:tcPr>
          <w:p w14:paraId="034371F3" w14:textId="65595506" w:rsidR="004E4B29" w:rsidRPr="00F31284" w:rsidRDefault="004E4B29" w:rsidP="00223198">
            <w:pPr>
              <w:rPr>
                <w:rFonts w:eastAsia="Aptos"/>
                <w:color w:val="000000"/>
                <w:lang w:eastAsia="en-GB"/>
              </w:rPr>
            </w:pPr>
            <w:r w:rsidRPr="00F31284">
              <w:rPr>
                <w:color w:val="000000"/>
                <w:lang w:val="en-GB" w:eastAsia="en-GB"/>
              </w:rPr>
              <w:t>GALs</w:t>
            </w:r>
          </w:p>
        </w:tc>
        <w:tc>
          <w:tcPr>
            <w:tcW w:w="8084" w:type="dxa"/>
            <w:shd w:val="clear" w:color="auto" w:fill="auto"/>
            <w:noWrap/>
            <w:vAlign w:val="center"/>
          </w:tcPr>
          <w:p w14:paraId="4D7720CA" w14:textId="6DEF31C7" w:rsidR="004E4B29" w:rsidRPr="00F31284" w:rsidRDefault="004E4B29" w:rsidP="00223198">
            <w:pPr>
              <w:rPr>
                <w:color w:val="000000"/>
                <w:lang w:val="en-GB" w:eastAsia="en-GB"/>
              </w:rPr>
            </w:pPr>
            <w:r w:rsidRPr="00F31284">
              <w:rPr>
                <w:color w:val="000000"/>
                <w:lang w:val="en-GB" w:eastAsia="en-GB"/>
              </w:rPr>
              <w:t xml:space="preserve">Trained Guardian Ad Litem </w:t>
            </w:r>
          </w:p>
        </w:tc>
      </w:tr>
      <w:tr w:rsidR="00223198" w:rsidRPr="00F31284" w14:paraId="0DB18BFD" w14:textId="77777777" w:rsidTr="0027749E">
        <w:trPr>
          <w:trHeight w:val="315"/>
        </w:trPr>
        <w:tc>
          <w:tcPr>
            <w:tcW w:w="1276" w:type="dxa"/>
            <w:shd w:val="clear" w:color="auto" w:fill="auto"/>
            <w:noWrap/>
            <w:vAlign w:val="center"/>
            <w:hideMark/>
          </w:tcPr>
          <w:p w14:paraId="73EC702F" w14:textId="77777777" w:rsidR="00223198" w:rsidRPr="00F31284" w:rsidRDefault="00223198" w:rsidP="00223198">
            <w:pPr>
              <w:rPr>
                <w:color w:val="000000"/>
                <w:lang w:val="en-GB" w:eastAsia="en-GB"/>
              </w:rPr>
            </w:pPr>
            <w:r w:rsidRPr="00F31284">
              <w:rPr>
                <w:rFonts w:eastAsia="Aptos"/>
                <w:color w:val="000000"/>
                <w:lang w:eastAsia="en-GB"/>
              </w:rPr>
              <w:t xml:space="preserve">GAP </w:t>
            </w:r>
          </w:p>
        </w:tc>
        <w:tc>
          <w:tcPr>
            <w:tcW w:w="8084" w:type="dxa"/>
            <w:shd w:val="clear" w:color="auto" w:fill="auto"/>
            <w:noWrap/>
            <w:vAlign w:val="center"/>
            <w:hideMark/>
          </w:tcPr>
          <w:p w14:paraId="5098B701" w14:textId="77777777" w:rsidR="00223198" w:rsidRPr="00F31284" w:rsidRDefault="00223198" w:rsidP="00223198">
            <w:pPr>
              <w:rPr>
                <w:color w:val="000000"/>
                <w:lang w:val="en-GB" w:eastAsia="en-GB"/>
              </w:rPr>
            </w:pPr>
            <w:r w:rsidRPr="00F31284">
              <w:rPr>
                <w:color w:val="000000"/>
                <w:lang w:val="en-GB" w:eastAsia="en-GB"/>
              </w:rPr>
              <w:t>Good Agricultural Practices</w:t>
            </w:r>
          </w:p>
        </w:tc>
      </w:tr>
      <w:tr w:rsidR="00223198" w:rsidRPr="00F31284" w14:paraId="2187711D" w14:textId="77777777" w:rsidTr="0027749E">
        <w:trPr>
          <w:trHeight w:val="315"/>
        </w:trPr>
        <w:tc>
          <w:tcPr>
            <w:tcW w:w="1276" w:type="dxa"/>
            <w:shd w:val="clear" w:color="auto" w:fill="auto"/>
            <w:noWrap/>
            <w:vAlign w:val="center"/>
            <w:hideMark/>
          </w:tcPr>
          <w:p w14:paraId="6F542E97" w14:textId="77777777" w:rsidR="00223198" w:rsidRPr="00F31284" w:rsidRDefault="00223198" w:rsidP="00223198">
            <w:pPr>
              <w:rPr>
                <w:color w:val="000000"/>
                <w:lang w:val="en-GB" w:eastAsia="en-GB"/>
              </w:rPr>
            </w:pPr>
            <w:r w:rsidRPr="00F31284">
              <w:rPr>
                <w:rFonts w:eastAsia="Aptos"/>
                <w:color w:val="000000"/>
                <w:lang w:eastAsia="en-GB"/>
              </w:rPr>
              <w:t xml:space="preserve">GBV  </w:t>
            </w:r>
          </w:p>
        </w:tc>
        <w:tc>
          <w:tcPr>
            <w:tcW w:w="8084" w:type="dxa"/>
            <w:shd w:val="clear" w:color="auto" w:fill="auto"/>
            <w:noWrap/>
            <w:vAlign w:val="center"/>
            <w:hideMark/>
          </w:tcPr>
          <w:p w14:paraId="0B8C5437" w14:textId="77777777" w:rsidR="00223198" w:rsidRPr="00F31284" w:rsidRDefault="00223198" w:rsidP="00223198">
            <w:pPr>
              <w:rPr>
                <w:color w:val="000000"/>
                <w:lang w:val="en-GB" w:eastAsia="en-GB"/>
              </w:rPr>
            </w:pPr>
            <w:r w:rsidRPr="00F31284">
              <w:rPr>
                <w:color w:val="000000"/>
                <w:lang w:val="en-GB" w:eastAsia="en-GB"/>
              </w:rPr>
              <w:t>Gender-Based Violence</w:t>
            </w:r>
          </w:p>
        </w:tc>
      </w:tr>
      <w:tr w:rsidR="00223198" w:rsidRPr="00F31284" w14:paraId="5DBAC320" w14:textId="77777777" w:rsidTr="0027749E">
        <w:trPr>
          <w:trHeight w:val="315"/>
        </w:trPr>
        <w:tc>
          <w:tcPr>
            <w:tcW w:w="1276" w:type="dxa"/>
            <w:shd w:val="clear" w:color="auto" w:fill="auto"/>
            <w:noWrap/>
            <w:vAlign w:val="center"/>
            <w:hideMark/>
          </w:tcPr>
          <w:p w14:paraId="640B22AD" w14:textId="77777777" w:rsidR="00223198" w:rsidRPr="00F31284" w:rsidRDefault="00223198" w:rsidP="00223198">
            <w:pPr>
              <w:rPr>
                <w:color w:val="000000"/>
                <w:lang w:val="en-GB" w:eastAsia="en-GB"/>
              </w:rPr>
            </w:pPr>
            <w:r w:rsidRPr="00F31284">
              <w:rPr>
                <w:rFonts w:eastAsia="Aptos"/>
                <w:color w:val="000000"/>
                <w:lang w:eastAsia="en-GB"/>
              </w:rPr>
              <w:t xml:space="preserve">GCD </w:t>
            </w:r>
          </w:p>
        </w:tc>
        <w:tc>
          <w:tcPr>
            <w:tcW w:w="8084" w:type="dxa"/>
            <w:shd w:val="clear" w:color="auto" w:fill="auto"/>
            <w:noWrap/>
            <w:vAlign w:val="center"/>
            <w:hideMark/>
          </w:tcPr>
          <w:p w14:paraId="1A3E2915" w14:textId="77777777" w:rsidR="00223198" w:rsidRPr="00F31284" w:rsidRDefault="00223198" w:rsidP="00223198">
            <w:pPr>
              <w:rPr>
                <w:color w:val="000000"/>
                <w:lang w:val="en-GB" w:eastAsia="en-GB"/>
              </w:rPr>
            </w:pPr>
            <w:r w:rsidRPr="00F31284">
              <w:rPr>
                <w:color w:val="000000"/>
                <w:lang w:val="en-GB" w:eastAsia="en-GB"/>
              </w:rPr>
              <w:t>Gender Children’s Desk</w:t>
            </w:r>
          </w:p>
        </w:tc>
      </w:tr>
      <w:tr w:rsidR="00223198" w:rsidRPr="00F31284" w14:paraId="609207B6" w14:textId="77777777" w:rsidTr="0027749E">
        <w:trPr>
          <w:trHeight w:val="315"/>
        </w:trPr>
        <w:tc>
          <w:tcPr>
            <w:tcW w:w="1276" w:type="dxa"/>
            <w:shd w:val="clear" w:color="auto" w:fill="auto"/>
            <w:noWrap/>
            <w:vAlign w:val="center"/>
            <w:hideMark/>
          </w:tcPr>
          <w:p w14:paraId="60DC7AD0" w14:textId="77777777" w:rsidR="00223198" w:rsidRPr="00F31284" w:rsidRDefault="00223198" w:rsidP="00223198">
            <w:pPr>
              <w:rPr>
                <w:color w:val="000000"/>
                <w:lang w:val="en-GB" w:eastAsia="en-GB"/>
              </w:rPr>
            </w:pPr>
            <w:r w:rsidRPr="00F31284">
              <w:rPr>
                <w:rFonts w:eastAsia="Aptos"/>
                <w:color w:val="000000"/>
                <w:lang w:eastAsia="en-GB"/>
              </w:rPr>
              <w:t xml:space="preserve">HCW </w:t>
            </w:r>
          </w:p>
        </w:tc>
        <w:tc>
          <w:tcPr>
            <w:tcW w:w="8084" w:type="dxa"/>
            <w:shd w:val="clear" w:color="auto" w:fill="auto"/>
            <w:noWrap/>
            <w:vAlign w:val="center"/>
            <w:hideMark/>
          </w:tcPr>
          <w:p w14:paraId="056075C0" w14:textId="77777777" w:rsidR="00223198" w:rsidRPr="00F31284" w:rsidRDefault="00223198" w:rsidP="00223198">
            <w:pPr>
              <w:rPr>
                <w:color w:val="000000"/>
                <w:lang w:val="en-GB" w:eastAsia="en-GB"/>
              </w:rPr>
            </w:pPr>
            <w:r w:rsidRPr="00F31284">
              <w:rPr>
                <w:color w:val="000000"/>
                <w:lang w:val="en-GB" w:eastAsia="en-GB"/>
              </w:rPr>
              <w:t>Health Care Worker</w:t>
            </w:r>
          </w:p>
        </w:tc>
      </w:tr>
      <w:tr w:rsidR="00223198" w:rsidRPr="00F31284" w14:paraId="0BFAD33C" w14:textId="77777777" w:rsidTr="0027749E">
        <w:trPr>
          <w:trHeight w:val="315"/>
        </w:trPr>
        <w:tc>
          <w:tcPr>
            <w:tcW w:w="1276" w:type="dxa"/>
            <w:shd w:val="clear" w:color="auto" w:fill="auto"/>
            <w:noWrap/>
            <w:vAlign w:val="center"/>
            <w:hideMark/>
          </w:tcPr>
          <w:p w14:paraId="5D3EBD76" w14:textId="77777777" w:rsidR="00223198" w:rsidRPr="00F31284" w:rsidRDefault="00223198" w:rsidP="00223198">
            <w:pPr>
              <w:rPr>
                <w:color w:val="000000"/>
                <w:lang w:val="en-GB" w:eastAsia="en-GB"/>
              </w:rPr>
            </w:pPr>
            <w:r w:rsidRPr="00F31284">
              <w:rPr>
                <w:rFonts w:eastAsia="Aptos"/>
                <w:color w:val="000000"/>
                <w:lang w:eastAsia="en-GB"/>
              </w:rPr>
              <w:t xml:space="preserve">HCWM </w:t>
            </w:r>
          </w:p>
        </w:tc>
        <w:tc>
          <w:tcPr>
            <w:tcW w:w="8084" w:type="dxa"/>
            <w:shd w:val="clear" w:color="auto" w:fill="auto"/>
            <w:noWrap/>
            <w:vAlign w:val="center"/>
            <w:hideMark/>
          </w:tcPr>
          <w:p w14:paraId="4AF74ABB" w14:textId="77777777" w:rsidR="00223198" w:rsidRPr="00F31284" w:rsidRDefault="00223198" w:rsidP="00223198">
            <w:pPr>
              <w:rPr>
                <w:color w:val="000000"/>
                <w:lang w:val="en-GB" w:eastAsia="en-GB"/>
              </w:rPr>
            </w:pPr>
            <w:r w:rsidRPr="00F31284">
              <w:rPr>
                <w:color w:val="000000"/>
                <w:lang w:val="en-GB" w:eastAsia="en-GB"/>
              </w:rPr>
              <w:t>Health Care Waste Management</w:t>
            </w:r>
          </w:p>
        </w:tc>
      </w:tr>
      <w:tr w:rsidR="00223198" w:rsidRPr="00F31284" w14:paraId="781CB3B5" w14:textId="77777777" w:rsidTr="0027749E">
        <w:trPr>
          <w:trHeight w:val="315"/>
        </w:trPr>
        <w:tc>
          <w:tcPr>
            <w:tcW w:w="1276" w:type="dxa"/>
            <w:shd w:val="clear" w:color="auto" w:fill="auto"/>
            <w:noWrap/>
            <w:vAlign w:val="center"/>
            <w:hideMark/>
          </w:tcPr>
          <w:p w14:paraId="30865C78" w14:textId="77777777" w:rsidR="00223198" w:rsidRPr="00F31284" w:rsidRDefault="00223198" w:rsidP="00223198">
            <w:pPr>
              <w:rPr>
                <w:color w:val="000000"/>
                <w:lang w:val="en-GB" w:eastAsia="en-GB"/>
              </w:rPr>
            </w:pPr>
            <w:r w:rsidRPr="00F31284">
              <w:rPr>
                <w:rFonts w:eastAsia="Aptos"/>
                <w:color w:val="000000"/>
                <w:lang w:eastAsia="en-GB"/>
              </w:rPr>
              <w:t>HSHSP</w:t>
            </w:r>
          </w:p>
        </w:tc>
        <w:tc>
          <w:tcPr>
            <w:tcW w:w="8084" w:type="dxa"/>
            <w:shd w:val="clear" w:color="auto" w:fill="auto"/>
            <w:noWrap/>
            <w:vAlign w:val="center"/>
            <w:hideMark/>
          </w:tcPr>
          <w:p w14:paraId="2D963FDC" w14:textId="77777777" w:rsidR="00223198" w:rsidRPr="00F31284" w:rsidRDefault="00223198" w:rsidP="00223198">
            <w:pPr>
              <w:rPr>
                <w:color w:val="000000"/>
                <w:lang w:val="en-GB" w:eastAsia="en-GB"/>
              </w:rPr>
            </w:pPr>
            <w:r w:rsidRPr="00F31284">
              <w:rPr>
                <w:color w:val="000000"/>
                <w:lang w:val="en-GB" w:eastAsia="en-GB"/>
              </w:rPr>
              <w:t xml:space="preserve"> Health Sector HIV and AIDS Strategic Plan</w:t>
            </w:r>
          </w:p>
        </w:tc>
      </w:tr>
      <w:tr w:rsidR="00223198" w:rsidRPr="00F31284" w14:paraId="0E81B893" w14:textId="77777777" w:rsidTr="0027749E">
        <w:trPr>
          <w:trHeight w:val="315"/>
        </w:trPr>
        <w:tc>
          <w:tcPr>
            <w:tcW w:w="1276" w:type="dxa"/>
            <w:shd w:val="clear" w:color="auto" w:fill="auto"/>
            <w:noWrap/>
            <w:vAlign w:val="center"/>
            <w:hideMark/>
          </w:tcPr>
          <w:p w14:paraId="00273054" w14:textId="77777777" w:rsidR="00223198" w:rsidRPr="00F31284" w:rsidRDefault="00223198" w:rsidP="00223198">
            <w:pPr>
              <w:rPr>
                <w:color w:val="000000"/>
                <w:lang w:val="en-GB" w:eastAsia="en-GB"/>
              </w:rPr>
            </w:pPr>
            <w:r w:rsidRPr="00F31284">
              <w:rPr>
                <w:rFonts w:eastAsia="Aptos"/>
                <w:color w:val="000000"/>
                <w:lang w:val="fr-FR" w:eastAsia="en-GB"/>
              </w:rPr>
              <w:t xml:space="preserve">IPV  </w:t>
            </w:r>
          </w:p>
        </w:tc>
        <w:tc>
          <w:tcPr>
            <w:tcW w:w="8084" w:type="dxa"/>
            <w:shd w:val="clear" w:color="auto" w:fill="auto"/>
            <w:noWrap/>
            <w:vAlign w:val="center"/>
            <w:hideMark/>
          </w:tcPr>
          <w:p w14:paraId="7A75A682" w14:textId="77777777" w:rsidR="00223198" w:rsidRPr="00F31284" w:rsidRDefault="00223198" w:rsidP="00223198">
            <w:pPr>
              <w:rPr>
                <w:color w:val="000000"/>
                <w:lang w:val="en-GB" w:eastAsia="en-GB"/>
              </w:rPr>
            </w:pPr>
            <w:r w:rsidRPr="00F31284">
              <w:rPr>
                <w:color w:val="000000"/>
                <w:lang w:val="en-GB" w:eastAsia="en-GB"/>
              </w:rPr>
              <w:t>Injectable Polio Vaccine</w:t>
            </w:r>
          </w:p>
        </w:tc>
      </w:tr>
      <w:tr w:rsidR="00223198" w:rsidRPr="00F31284" w14:paraId="007B0823" w14:textId="77777777" w:rsidTr="0027749E">
        <w:trPr>
          <w:trHeight w:val="315"/>
        </w:trPr>
        <w:tc>
          <w:tcPr>
            <w:tcW w:w="1276" w:type="dxa"/>
            <w:shd w:val="clear" w:color="auto" w:fill="auto"/>
            <w:noWrap/>
            <w:vAlign w:val="center"/>
            <w:hideMark/>
          </w:tcPr>
          <w:p w14:paraId="21929E1F" w14:textId="77777777" w:rsidR="00223198" w:rsidRPr="00F31284" w:rsidRDefault="00223198" w:rsidP="00223198">
            <w:pPr>
              <w:rPr>
                <w:color w:val="000000"/>
                <w:lang w:val="en-GB" w:eastAsia="en-GB"/>
              </w:rPr>
            </w:pPr>
            <w:r w:rsidRPr="00F31284">
              <w:rPr>
                <w:rFonts w:eastAsia="Aptos"/>
                <w:color w:val="000000"/>
                <w:lang w:val="fr-FR" w:eastAsia="en-GB"/>
              </w:rPr>
              <w:t xml:space="preserve">JKT </w:t>
            </w:r>
          </w:p>
        </w:tc>
        <w:tc>
          <w:tcPr>
            <w:tcW w:w="8084" w:type="dxa"/>
            <w:shd w:val="clear" w:color="auto" w:fill="auto"/>
            <w:noWrap/>
            <w:vAlign w:val="center"/>
            <w:hideMark/>
          </w:tcPr>
          <w:p w14:paraId="10C8C004" w14:textId="77777777" w:rsidR="00223198" w:rsidRPr="00F31284" w:rsidRDefault="00223198" w:rsidP="00223198">
            <w:pPr>
              <w:rPr>
                <w:color w:val="000000"/>
                <w:lang w:val="en-GB" w:eastAsia="en-GB"/>
              </w:rPr>
            </w:pPr>
            <w:r w:rsidRPr="00F31284">
              <w:rPr>
                <w:color w:val="000000"/>
                <w:lang w:val="en-GB" w:eastAsia="en-GB"/>
              </w:rPr>
              <w:t>Jeshi la Kujenga Taifa</w:t>
            </w:r>
          </w:p>
        </w:tc>
      </w:tr>
      <w:tr w:rsidR="00223198" w:rsidRPr="00F31284" w14:paraId="77C46AC5" w14:textId="77777777" w:rsidTr="0027749E">
        <w:trPr>
          <w:trHeight w:val="315"/>
        </w:trPr>
        <w:tc>
          <w:tcPr>
            <w:tcW w:w="1276" w:type="dxa"/>
            <w:shd w:val="clear" w:color="auto" w:fill="auto"/>
            <w:noWrap/>
            <w:vAlign w:val="center"/>
            <w:hideMark/>
          </w:tcPr>
          <w:p w14:paraId="0AF3E06A" w14:textId="77777777" w:rsidR="00223198" w:rsidRPr="00F31284" w:rsidRDefault="00223198" w:rsidP="00223198">
            <w:pPr>
              <w:rPr>
                <w:color w:val="000000"/>
                <w:lang w:val="en-GB" w:eastAsia="en-GB"/>
              </w:rPr>
            </w:pPr>
            <w:r w:rsidRPr="00F31284">
              <w:rPr>
                <w:rFonts w:eastAsia="Aptos"/>
                <w:color w:val="000000"/>
                <w:lang w:eastAsia="en-GB"/>
              </w:rPr>
              <w:t xml:space="preserve">JSC  </w:t>
            </w:r>
          </w:p>
        </w:tc>
        <w:tc>
          <w:tcPr>
            <w:tcW w:w="8084" w:type="dxa"/>
            <w:shd w:val="clear" w:color="auto" w:fill="auto"/>
            <w:noWrap/>
            <w:vAlign w:val="center"/>
            <w:hideMark/>
          </w:tcPr>
          <w:p w14:paraId="48F4F0BD" w14:textId="77777777" w:rsidR="00223198" w:rsidRPr="00F31284" w:rsidRDefault="00223198" w:rsidP="00223198">
            <w:pPr>
              <w:rPr>
                <w:color w:val="000000"/>
                <w:lang w:val="en-GB" w:eastAsia="en-GB"/>
              </w:rPr>
            </w:pPr>
            <w:r w:rsidRPr="00F31284">
              <w:rPr>
                <w:color w:val="000000"/>
                <w:lang w:val="en-GB" w:eastAsia="en-GB"/>
              </w:rPr>
              <w:t>Joint Sterring Committee</w:t>
            </w:r>
          </w:p>
        </w:tc>
      </w:tr>
      <w:tr w:rsidR="00223198" w:rsidRPr="00F31284" w14:paraId="4FF34386" w14:textId="77777777" w:rsidTr="0027749E">
        <w:trPr>
          <w:trHeight w:val="315"/>
        </w:trPr>
        <w:tc>
          <w:tcPr>
            <w:tcW w:w="1276" w:type="dxa"/>
            <w:shd w:val="clear" w:color="auto" w:fill="auto"/>
            <w:noWrap/>
            <w:vAlign w:val="center"/>
            <w:hideMark/>
          </w:tcPr>
          <w:p w14:paraId="4541037F" w14:textId="77777777" w:rsidR="00223198" w:rsidRPr="00F31284" w:rsidRDefault="00223198" w:rsidP="00223198">
            <w:pPr>
              <w:rPr>
                <w:color w:val="000000"/>
                <w:lang w:val="en-GB" w:eastAsia="en-GB"/>
              </w:rPr>
            </w:pPr>
            <w:r w:rsidRPr="00F31284">
              <w:rPr>
                <w:rFonts w:eastAsia="Aptos"/>
                <w:color w:val="000000"/>
                <w:lang w:eastAsia="en-GB"/>
              </w:rPr>
              <w:lastRenderedPageBreak/>
              <w:t xml:space="preserve">JUU  </w:t>
            </w:r>
          </w:p>
        </w:tc>
        <w:tc>
          <w:tcPr>
            <w:tcW w:w="8084" w:type="dxa"/>
            <w:shd w:val="clear" w:color="auto" w:fill="auto"/>
            <w:noWrap/>
            <w:vAlign w:val="center"/>
            <w:hideMark/>
          </w:tcPr>
          <w:p w14:paraId="6A3009C2" w14:textId="77777777" w:rsidR="00223198" w:rsidRPr="00F31284" w:rsidRDefault="00223198" w:rsidP="00223198">
            <w:pPr>
              <w:rPr>
                <w:color w:val="000000"/>
                <w:lang w:val="en-GB" w:eastAsia="en-GB"/>
              </w:rPr>
            </w:pPr>
            <w:r w:rsidRPr="00F31284">
              <w:rPr>
                <w:color w:val="000000"/>
                <w:lang w:val="en-GB" w:eastAsia="en-GB"/>
              </w:rPr>
              <w:t>Jiamini Uwezo Unao</w:t>
            </w:r>
          </w:p>
        </w:tc>
      </w:tr>
      <w:tr w:rsidR="00A03254" w:rsidRPr="00F31284" w14:paraId="41B1485F" w14:textId="77777777" w:rsidTr="0027749E">
        <w:trPr>
          <w:trHeight w:val="315"/>
        </w:trPr>
        <w:tc>
          <w:tcPr>
            <w:tcW w:w="1276" w:type="dxa"/>
            <w:shd w:val="clear" w:color="auto" w:fill="auto"/>
            <w:noWrap/>
            <w:vAlign w:val="center"/>
          </w:tcPr>
          <w:p w14:paraId="5D59C310" w14:textId="6B5AF32F" w:rsidR="00A03254" w:rsidRPr="00F31284" w:rsidRDefault="00A03254" w:rsidP="00223198">
            <w:pPr>
              <w:rPr>
                <w:rFonts w:eastAsia="Aptos"/>
                <w:color w:val="000000"/>
                <w:lang w:eastAsia="en-GB"/>
              </w:rPr>
            </w:pPr>
            <w:r w:rsidRPr="00F31284">
              <w:rPr>
                <w:rFonts w:eastAsia="Aptos"/>
                <w:color w:val="000000"/>
                <w:lang w:eastAsia="en-GB"/>
              </w:rPr>
              <w:t xml:space="preserve">KJPII </w:t>
            </w:r>
          </w:p>
        </w:tc>
        <w:tc>
          <w:tcPr>
            <w:tcW w:w="8084" w:type="dxa"/>
            <w:shd w:val="clear" w:color="auto" w:fill="auto"/>
            <w:noWrap/>
            <w:vAlign w:val="center"/>
          </w:tcPr>
          <w:p w14:paraId="579D1EBE" w14:textId="7A676D07" w:rsidR="00A03254" w:rsidRPr="00F31284" w:rsidRDefault="00A03254" w:rsidP="00223198">
            <w:pPr>
              <w:rPr>
                <w:color w:val="000000"/>
                <w:lang w:val="en-GB" w:eastAsia="en-GB"/>
              </w:rPr>
            </w:pPr>
            <w:r w:rsidRPr="00F31284">
              <w:rPr>
                <w:color w:val="000000"/>
                <w:lang w:val="en-GB" w:eastAsia="en-GB"/>
              </w:rPr>
              <w:t>Kigoma Joint Programme Phase II</w:t>
            </w:r>
          </w:p>
        </w:tc>
      </w:tr>
      <w:tr w:rsidR="00223198" w:rsidRPr="00F31284" w14:paraId="77A79B74" w14:textId="77777777" w:rsidTr="0027749E">
        <w:trPr>
          <w:trHeight w:val="315"/>
        </w:trPr>
        <w:tc>
          <w:tcPr>
            <w:tcW w:w="1276" w:type="dxa"/>
            <w:shd w:val="clear" w:color="auto" w:fill="auto"/>
            <w:noWrap/>
            <w:vAlign w:val="center"/>
            <w:hideMark/>
          </w:tcPr>
          <w:p w14:paraId="427242AC" w14:textId="77777777" w:rsidR="00223198" w:rsidRPr="00F31284" w:rsidRDefault="00223198" w:rsidP="00223198">
            <w:pPr>
              <w:rPr>
                <w:color w:val="000000"/>
                <w:lang w:val="en-GB" w:eastAsia="en-GB"/>
              </w:rPr>
            </w:pPr>
            <w:r w:rsidRPr="00F31284">
              <w:rPr>
                <w:rFonts w:eastAsia="Aptos"/>
                <w:color w:val="000000"/>
                <w:lang w:eastAsia="en-GB"/>
              </w:rPr>
              <w:t xml:space="preserve">LAPD </w:t>
            </w:r>
          </w:p>
        </w:tc>
        <w:tc>
          <w:tcPr>
            <w:tcW w:w="8084" w:type="dxa"/>
            <w:shd w:val="clear" w:color="auto" w:fill="auto"/>
            <w:noWrap/>
            <w:vAlign w:val="center"/>
            <w:hideMark/>
          </w:tcPr>
          <w:p w14:paraId="347495E7" w14:textId="77777777" w:rsidR="00223198" w:rsidRPr="00F31284" w:rsidRDefault="00223198" w:rsidP="00223198">
            <w:pPr>
              <w:rPr>
                <w:color w:val="000000"/>
                <w:lang w:val="en-GB" w:eastAsia="en-GB"/>
              </w:rPr>
            </w:pPr>
            <w:r w:rsidRPr="00F31284">
              <w:rPr>
                <w:color w:val="000000"/>
                <w:lang w:val="en-GB" w:eastAsia="en-GB"/>
              </w:rPr>
              <w:t>Local Area Development Programme</w:t>
            </w:r>
          </w:p>
        </w:tc>
      </w:tr>
      <w:tr w:rsidR="00223198" w:rsidRPr="00F31284" w14:paraId="1271CE82" w14:textId="77777777" w:rsidTr="0027749E">
        <w:trPr>
          <w:trHeight w:val="315"/>
        </w:trPr>
        <w:tc>
          <w:tcPr>
            <w:tcW w:w="1276" w:type="dxa"/>
            <w:shd w:val="clear" w:color="auto" w:fill="auto"/>
            <w:noWrap/>
            <w:vAlign w:val="center"/>
            <w:hideMark/>
          </w:tcPr>
          <w:p w14:paraId="7403977D" w14:textId="77777777" w:rsidR="00223198" w:rsidRPr="00F31284" w:rsidRDefault="00223198" w:rsidP="00223198">
            <w:pPr>
              <w:rPr>
                <w:color w:val="000000"/>
                <w:lang w:val="en-GB" w:eastAsia="en-GB"/>
              </w:rPr>
            </w:pPr>
            <w:r w:rsidRPr="00F31284">
              <w:rPr>
                <w:rFonts w:eastAsia="Aptos"/>
                <w:color w:val="000000"/>
                <w:lang w:eastAsia="en-GB"/>
              </w:rPr>
              <w:t xml:space="preserve">LGA  </w:t>
            </w:r>
          </w:p>
        </w:tc>
        <w:tc>
          <w:tcPr>
            <w:tcW w:w="8084" w:type="dxa"/>
            <w:shd w:val="clear" w:color="auto" w:fill="auto"/>
            <w:noWrap/>
            <w:vAlign w:val="center"/>
            <w:hideMark/>
          </w:tcPr>
          <w:p w14:paraId="48D79B68" w14:textId="77777777" w:rsidR="00223198" w:rsidRPr="00F31284" w:rsidRDefault="00223198" w:rsidP="00223198">
            <w:pPr>
              <w:rPr>
                <w:color w:val="000000"/>
                <w:lang w:val="en-GB" w:eastAsia="en-GB"/>
              </w:rPr>
            </w:pPr>
            <w:r w:rsidRPr="00F31284">
              <w:rPr>
                <w:color w:val="000000"/>
                <w:lang w:val="en-GB" w:eastAsia="en-GB"/>
              </w:rPr>
              <w:t>Local Government Authority</w:t>
            </w:r>
          </w:p>
        </w:tc>
      </w:tr>
      <w:tr w:rsidR="00223198" w:rsidRPr="00F31284" w14:paraId="5B9197B1" w14:textId="77777777" w:rsidTr="0027749E">
        <w:trPr>
          <w:trHeight w:val="315"/>
        </w:trPr>
        <w:tc>
          <w:tcPr>
            <w:tcW w:w="1276" w:type="dxa"/>
            <w:shd w:val="clear" w:color="auto" w:fill="auto"/>
            <w:noWrap/>
            <w:vAlign w:val="center"/>
            <w:hideMark/>
          </w:tcPr>
          <w:p w14:paraId="330C1005" w14:textId="77777777" w:rsidR="00223198" w:rsidRPr="00F31284" w:rsidRDefault="00223198" w:rsidP="00223198">
            <w:pPr>
              <w:rPr>
                <w:color w:val="000000"/>
                <w:lang w:val="en-GB" w:eastAsia="en-GB"/>
              </w:rPr>
            </w:pPr>
            <w:r w:rsidRPr="00F31284">
              <w:rPr>
                <w:rFonts w:eastAsia="Aptos"/>
                <w:color w:val="000000"/>
                <w:lang w:eastAsia="en-GB"/>
              </w:rPr>
              <w:t xml:space="preserve">MDA </w:t>
            </w:r>
          </w:p>
        </w:tc>
        <w:tc>
          <w:tcPr>
            <w:tcW w:w="8084" w:type="dxa"/>
            <w:shd w:val="clear" w:color="auto" w:fill="auto"/>
            <w:noWrap/>
            <w:vAlign w:val="center"/>
            <w:hideMark/>
          </w:tcPr>
          <w:p w14:paraId="70CF4B88" w14:textId="77777777" w:rsidR="00223198" w:rsidRPr="00F31284" w:rsidRDefault="00223198" w:rsidP="00223198">
            <w:pPr>
              <w:rPr>
                <w:color w:val="000000"/>
                <w:lang w:val="en-GB" w:eastAsia="en-GB"/>
              </w:rPr>
            </w:pPr>
            <w:r w:rsidRPr="00F31284">
              <w:rPr>
                <w:color w:val="000000"/>
                <w:lang w:val="en-GB" w:eastAsia="en-GB"/>
              </w:rPr>
              <w:t>Ministries Departments and Agencies</w:t>
            </w:r>
          </w:p>
        </w:tc>
      </w:tr>
      <w:tr w:rsidR="00223198" w:rsidRPr="00F31284" w14:paraId="0D99F6AC" w14:textId="77777777" w:rsidTr="0027749E">
        <w:trPr>
          <w:trHeight w:val="315"/>
        </w:trPr>
        <w:tc>
          <w:tcPr>
            <w:tcW w:w="1276" w:type="dxa"/>
            <w:shd w:val="clear" w:color="auto" w:fill="auto"/>
            <w:noWrap/>
            <w:vAlign w:val="center"/>
            <w:hideMark/>
          </w:tcPr>
          <w:p w14:paraId="7B7541BB" w14:textId="77777777" w:rsidR="00223198" w:rsidRPr="00F31284" w:rsidRDefault="00223198" w:rsidP="00223198">
            <w:pPr>
              <w:rPr>
                <w:color w:val="000000"/>
                <w:lang w:val="en-GB" w:eastAsia="en-GB"/>
              </w:rPr>
            </w:pPr>
            <w:r w:rsidRPr="00F31284">
              <w:rPr>
                <w:rFonts w:eastAsia="Aptos"/>
                <w:color w:val="000000"/>
                <w:lang w:eastAsia="en-GB"/>
              </w:rPr>
              <w:t xml:space="preserve">MHM  </w:t>
            </w:r>
          </w:p>
        </w:tc>
        <w:tc>
          <w:tcPr>
            <w:tcW w:w="8084" w:type="dxa"/>
            <w:shd w:val="clear" w:color="auto" w:fill="auto"/>
            <w:noWrap/>
            <w:vAlign w:val="center"/>
            <w:hideMark/>
          </w:tcPr>
          <w:p w14:paraId="5C679A5E" w14:textId="77777777" w:rsidR="00223198" w:rsidRPr="00F31284" w:rsidRDefault="00223198" w:rsidP="00223198">
            <w:pPr>
              <w:rPr>
                <w:color w:val="000000"/>
                <w:lang w:val="en-GB" w:eastAsia="en-GB"/>
              </w:rPr>
            </w:pPr>
            <w:r w:rsidRPr="00F31284">
              <w:rPr>
                <w:color w:val="000000"/>
                <w:lang w:val="en-GB" w:eastAsia="en-GB"/>
              </w:rPr>
              <w:t>Menstrual Hygiene Management</w:t>
            </w:r>
          </w:p>
        </w:tc>
      </w:tr>
      <w:tr w:rsidR="00A03254" w:rsidRPr="00F31284" w14:paraId="12F7E45A" w14:textId="77777777" w:rsidTr="0027749E">
        <w:trPr>
          <w:trHeight w:val="315"/>
        </w:trPr>
        <w:tc>
          <w:tcPr>
            <w:tcW w:w="1276" w:type="dxa"/>
            <w:shd w:val="clear" w:color="auto" w:fill="auto"/>
            <w:noWrap/>
            <w:vAlign w:val="center"/>
          </w:tcPr>
          <w:p w14:paraId="62D980CA" w14:textId="4610DADE" w:rsidR="00A03254" w:rsidRPr="00F31284" w:rsidRDefault="00A03254" w:rsidP="00223198">
            <w:pPr>
              <w:rPr>
                <w:rFonts w:eastAsia="Aptos"/>
                <w:color w:val="000000"/>
                <w:lang w:eastAsia="en-GB"/>
              </w:rPr>
            </w:pPr>
            <w:r w:rsidRPr="00F31284">
              <w:rPr>
                <w:rFonts w:eastAsia="Aptos"/>
                <w:color w:val="000000"/>
                <w:lang w:eastAsia="en-GB"/>
              </w:rPr>
              <w:t>MSME</w:t>
            </w:r>
          </w:p>
        </w:tc>
        <w:tc>
          <w:tcPr>
            <w:tcW w:w="8084" w:type="dxa"/>
            <w:shd w:val="clear" w:color="auto" w:fill="auto"/>
            <w:noWrap/>
            <w:vAlign w:val="center"/>
          </w:tcPr>
          <w:p w14:paraId="4D2EAEE2" w14:textId="76A76392" w:rsidR="00A03254" w:rsidRPr="00F31284" w:rsidRDefault="00A03254" w:rsidP="00223198">
            <w:pPr>
              <w:rPr>
                <w:color w:val="000000"/>
                <w:lang w:val="en-GB" w:eastAsia="en-GB"/>
              </w:rPr>
            </w:pPr>
            <w:r w:rsidRPr="00F31284">
              <w:rPr>
                <w:color w:val="000000"/>
                <w:lang w:val="en-GB" w:eastAsia="en-GB"/>
              </w:rPr>
              <w:t>Micro, Medium and Small-Scale Enterprises</w:t>
            </w:r>
          </w:p>
        </w:tc>
      </w:tr>
      <w:tr w:rsidR="00223198" w:rsidRPr="00F31284" w14:paraId="0089C582" w14:textId="77777777" w:rsidTr="0027749E">
        <w:trPr>
          <w:trHeight w:val="315"/>
        </w:trPr>
        <w:tc>
          <w:tcPr>
            <w:tcW w:w="1276" w:type="dxa"/>
            <w:shd w:val="clear" w:color="auto" w:fill="auto"/>
            <w:noWrap/>
            <w:vAlign w:val="center"/>
            <w:hideMark/>
          </w:tcPr>
          <w:p w14:paraId="6698D4E3" w14:textId="77777777" w:rsidR="00223198" w:rsidRPr="00F31284" w:rsidRDefault="00223198" w:rsidP="00223198">
            <w:pPr>
              <w:rPr>
                <w:color w:val="000000"/>
                <w:lang w:val="en-GB" w:eastAsia="en-GB"/>
              </w:rPr>
            </w:pPr>
            <w:r w:rsidRPr="00F31284">
              <w:rPr>
                <w:rFonts w:eastAsia="Aptos"/>
                <w:color w:val="000000"/>
                <w:lang w:eastAsia="en-GB"/>
              </w:rPr>
              <w:t xml:space="preserve">MoHCDGCE </w:t>
            </w:r>
          </w:p>
        </w:tc>
        <w:tc>
          <w:tcPr>
            <w:tcW w:w="8084" w:type="dxa"/>
            <w:shd w:val="clear" w:color="auto" w:fill="auto"/>
            <w:noWrap/>
            <w:vAlign w:val="center"/>
            <w:hideMark/>
          </w:tcPr>
          <w:p w14:paraId="102BEF58" w14:textId="77777777" w:rsidR="00223198" w:rsidRPr="00F31284" w:rsidRDefault="00223198" w:rsidP="00223198">
            <w:pPr>
              <w:rPr>
                <w:color w:val="000000"/>
                <w:lang w:val="en-GB" w:eastAsia="en-GB"/>
              </w:rPr>
            </w:pPr>
            <w:r w:rsidRPr="00F31284">
              <w:rPr>
                <w:color w:val="000000"/>
                <w:lang w:val="en-GB" w:eastAsia="en-GB"/>
              </w:rPr>
              <w:t>Ministry of Health, Community Development, Gender, Children, and the Elderly</w:t>
            </w:r>
          </w:p>
        </w:tc>
      </w:tr>
      <w:tr w:rsidR="00223198" w:rsidRPr="00F31284" w14:paraId="3E47E00C" w14:textId="77777777" w:rsidTr="0027749E">
        <w:trPr>
          <w:trHeight w:val="315"/>
        </w:trPr>
        <w:tc>
          <w:tcPr>
            <w:tcW w:w="1276" w:type="dxa"/>
            <w:shd w:val="clear" w:color="auto" w:fill="auto"/>
            <w:noWrap/>
            <w:vAlign w:val="center"/>
            <w:hideMark/>
          </w:tcPr>
          <w:p w14:paraId="406ACB17" w14:textId="77777777" w:rsidR="00223198" w:rsidRPr="00F31284" w:rsidRDefault="00223198" w:rsidP="00223198">
            <w:pPr>
              <w:rPr>
                <w:color w:val="000000"/>
                <w:lang w:val="en-GB" w:eastAsia="en-GB"/>
              </w:rPr>
            </w:pPr>
            <w:r w:rsidRPr="00F31284">
              <w:rPr>
                <w:rFonts w:eastAsia="Aptos"/>
                <w:color w:val="000000"/>
                <w:lang w:eastAsia="en-GB"/>
              </w:rPr>
              <w:t xml:space="preserve">NGO  </w:t>
            </w:r>
          </w:p>
        </w:tc>
        <w:tc>
          <w:tcPr>
            <w:tcW w:w="8084" w:type="dxa"/>
            <w:shd w:val="clear" w:color="auto" w:fill="auto"/>
            <w:noWrap/>
            <w:vAlign w:val="center"/>
            <w:hideMark/>
          </w:tcPr>
          <w:p w14:paraId="5BFE1A68" w14:textId="77777777" w:rsidR="00223198" w:rsidRPr="00F31284" w:rsidRDefault="00223198" w:rsidP="00223198">
            <w:pPr>
              <w:rPr>
                <w:color w:val="000000"/>
                <w:lang w:val="en-GB" w:eastAsia="en-GB"/>
              </w:rPr>
            </w:pPr>
            <w:r w:rsidRPr="00F31284">
              <w:rPr>
                <w:color w:val="000000"/>
                <w:lang w:val="en-GB" w:eastAsia="en-GB"/>
              </w:rPr>
              <w:t>Non-Government Organization</w:t>
            </w:r>
          </w:p>
        </w:tc>
      </w:tr>
      <w:tr w:rsidR="00223198" w:rsidRPr="00F31284" w14:paraId="5AA34772" w14:textId="77777777" w:rsidTr="0027749E">
        <w:trPr>
          <w:trHeight w:val="315"/>
        </w:trPr>
        <w:tc>
          <w:tcPr>
            <w:tcW w:w="1276" w:type="dxa"/>
            <w:shd w:val="clear" w:color="auto" w:fill="auto"/>
            <w:noWrap/>
            <w:vAlign w:val="center"/>
            <w:hideMark/>
          </w:tcPr>
          <w:p w14:paraId="666B0526" w14:textId="77777777" w:rsidR="00223198" w:rsidRPr="00F31284" w:rsidRDefault="00223198" w:rsidP="00223198">
            <w:pPr>
              <w:rPr>
                <w:color w:val="000000"/>
                <w:lang w:val="en-GB" w:eastAsia="en-GB"/>
              </w:rPr>
            </w:pPr>
            <w:r w:rsidRPr="00F31284">
              <w:rPr>
                <w:rFonts w:eastAsia="Aptos"/>
                <w:color w:val="000000"/>
                <w:lang w:eastAsia="en-GB"/>
              </w:rPr>
              <w:t xml:space="preserve">NPA-VAWC </w:t>
            </w:r>
          </w:p>
        </w:tc>
        <w:tc>
          <w:tcPr>
            <w:tcW w:w="8084" w:type="dxa"/>
            <w:shd w:val="clear" w:color="auto" w:fill="auto"/>
            <w:noWrap/>
            <w:vAlign w:val="center"/>
            <w:hideMark/>
          </w:tcPr>
          <w:p w14:paraId="32B16603" w14:textId="77777777" w:rsidR="00223198" w:rsidRPr="00F31284" w:rsidRDefault="00223198" w:rsidP="00223198">
            <w:pPr>
              <w:rPr>
                <w:color w:val="000000"/>
                <w:lang w:val="en-GB" w:eastAsia="en-GB"/>
              </w:rPr>
            </w:pPr>
            <w:r w:rsidRPr="00F31284">
              <w:rPr>
                <w:color w:val="000000"/>
                <w:lang w:val="en-GB" w:eastAsia="en-GB"/>
              </w:rPr>
              <w:t xml:space="preserve">National Plan of Action to End Violence </w:t>
            </w:r>
          </w:p>
        </w:tc>
      </w:tr>
      <w:tr w:rsidR="00223198" w:rsidRPr="00F31284" w14:paraId="7B107D87" w14:textId="77777777" w:rsidTr="0027749E">
        <w:trPr>
          <w:trHeight w:val="315"/>
        </w:trPr>
        <w:tc>
          <w:tcPr>
            <w:tcW w:w="1276" w:type="dxa"/>
            <w:shd w:val="clear" w:color="auto" w:fill="auto"/>
            <w:noWrap/>
            <w:vAlign w:val="center"/>
            <w:hideMark/>
          </w:tcPr>
          <w:p w14:paraId="44F8CFC2" w14:textId="77777777" w:rsidR="00223198" w:rsidRPr="00F31284" w:rsidRDefault="00223198" w:rsidP="00223198">
            <w:pPr>
              <w:rPr>
                <w:color w:val="000000"/>
                <w:lang w:val="en-GB" w:eastAsia="en-GB"/>
              </w:rPr>
            </w:pPr>
            <w:r w:rsidRPr="00F31284">
              <w:rPr>
                <w:rFonts w:eastAsia="Aptos"/>
                <w:color w:val="000000"/>
                <w:lang w:eastAsia="en-GB"/>
              </w:rPr>
              <w:t xml:space="preserve">RAS </w:t>
            </w:r>
          </w:p>
        </w:tc>
        <w:tc>
          <w:tcPr>
            <w:tcW w:w="8084" w:type="dxa"/>
            <w:shd w:val="clear" w:color="auto" w:fill="auto"/>
            <w:noWrap/>
            <w:vAlign w:val="center"/>
            <w:hideMark/>
          </w:tcPr>
          <w:p w14:paraId="18471C2C" w14:textId="77777777" w:rsidR="00223198" w:rsidRPr="00F31284" w:rsidRDefault="00223198" w:rsidP="00223198">
            <w:pPr>
              <w:rPr>
                <w:color w:val="000000"/>
                <w:lang w:val="en-GB" w:eastAsia="en-GB"/>
              </w:rPr>
            </w:pPr>
            <w:r w:rsidRPr="00F31284">
              <w:rPr>
                <w:color w:val="000000"/>
                <w:lang w:val="en-GB" w:eastAsia="en-GB"/>
              </w:rPr>
              <w:t>Regional Administrative Secretary</w:t>
            </w:r>
          </w:p>
        </w:tc>
      </w:tr>
      <w:tr w:rsidR="00223198" w:rsidRPr="00F31284" w14:paraId="243E0134" w14:textId="77777777" w:rsidTr="0027749E">
        <w:trPr>
          <w:trHeight w:val="315"/>
        </w:trPr>
        <w:tc>
          <w:tcPr>
            <w:tcW w:w="1276" w:type="dxa"/>
            <w:shd w:val="clear" w:color="auto" w:fill="auto"/>
            <w:noWrap/>
            <w:vAlign w:val="center"/>
            <w:hideMark/>
          </w:tcPr>
          <w:p w14:paraId="42AC9110" w14:textId="77777777" w:rsidR="00223198" w:rsidRPr="00F31284" w:rsidRDefault="00223198" w:rsidP="00223198">
            <w:pPr>
              <w:rPr>
                <w:color w:val="000000"/>
                <w:lang w:val="en-GB" w:eastAsia="en-GB"/>
              </w:rPr>
            </w:pPr>
            <w:r w:rsidRPr="00F31284">
              <w:rPr>
                <w:rFonts w:eastAsia="Aptos"/>
                <w:color w:val="000000"/>
                <w:lang w:eastAsia="en-GB"/>
              </w:rPr>
              <w:t xml:space="preserve">RMNCAH </w:t>
            </w:r>
          </w:p>
        </w:tc>
        <w:tc>
          <w:tcPr>
            <w:tcW w:w="8084" w:type="dxa"/>
            <w:shd w:val="clear" w:color="auto" w:fill="auto"/>
            <w:noWrap/>
            <w:vAlign w:val="center"/>
            <w:hideMark/>
          </w:tcPr>
          <w:p w14:paraId="7145F7BD" w14:textId="77777777" w:rsidR="00223198" w:rsidRPr="00F31284" w:rsidRDefault="00223198" w:rsidP="00223198">
            <w:pPr>
              <w:rPr>
                <w:color w:val="000000"/>
                <w:lang w:val="en-GB" w:eastAsia="en-GB"/>
              </w:rPr>
            </w:pPr>
            <w:r w:rsidRPr="00F31284">
              <w:rPr>
                <w:color w:val="000000"/>
                <w:lang w:val="en-GB" w:eastAsia="en-GB"/>
              </w:rPr>
              <w:t>Reproductive, Maternal, Newborn, Child and Adolescent Health</w:t>
            </w:r>
          </w:p>
        </w:tc>
      </w:tr>
      <w:tr w:rsidR="00223198" w:rsidRPr="00F31284" w14:paraId="7E8B0A94" w14:textId="77777777" w:rsidTr="0027749E">
        <w:trPr>
          <w:trHeight w:val="315"/>
        </w:trPr>
        <w:tc>
          <w:tcPr>
            <w:tcW w:w="1276" w:type="dxa"/>
            <w:shd w:val="clear" w:color="auto" w:fill="auto"/>
            <w:noWrap/>
            <w:vAlign w:val="center"/>
            <w:hideMark/>
          </w:tcPr>
          <w:p w14:paraId="79C0DEF6" w14:textId="77777777" w:rsidR="00223198" w:rsidRPr="00F31284" w:rsidRDefault="00223198" w:rsidP="00223198">
            <w:pPr>
              <w:rPr>
                <w:color w:val="000000"/>
                <w:lang w:val="en-GB" w:eastAsia="en-GB"/>
              </w:rPr>
            </w:pPr>
            <w:r w:rsidRPr="00F31284">
              <w:rPr>
                <w:rFonts w:eastAsia="Aptos"/>
                <w:color w:val="000000"/>
                <w:lang w:eastAsia="en-GB"/>
              </w:rPr>
              <w:t xml:space="preserve">RUWASA </w:t>
            </w:r>
          </w:p>
        </w:tc>
        <w:tc>
          <w:tcPr>
            <w:tcW w:w="8084" w:type="dxa"/>
            <w:shd w:val="clear" w:color="auto" w:fill="auto"/>
            <w:noWrap/>
            <w:vAlign w:val="center"/>
            <w:hideMark/>
          </w:tcPr>
          <w:p w14:paraId="7736709C" w14:textId="77777777" w:rsidR="00223198" w:rsidRPr="00F31284" w:rsidRDefault="00223198" w:rsidP="00223198">
            <w:pPr>
              <w:rPr>
                <w:color w:val="000000"/>
                <w:lang w:val="en-GB" w:eastAsia="en-GB"/>
              </w:rPr>
            </w:pPr>
            <w:r w:rsidRPr="00F31284">
              <w:rPr>
                <w:color w:val="000000"/>
                <w:lang w:val="en-GB" w:eastAsia="en-GB"/>
              </w:rPr>
              <w:t>Rural Water and Sanitation Agency</w:t>
            </w:r>
          </w:p>
        </w:tc>
      </w:tr>
      <w:tr w:rsidR="00A03254" w:rsidRPr="00F31284" w14:paraId="1090678D" w14:textId="77777777" w:rsidTr="0027749E">
        <w:trPr>
          <w:trHeight w:val="315"/>
        </w:trPr>
        <w:tc>
          <w:tcPr>
            <w:tcW w:w="1276" w:type="dxa"/>
            <w:shd w:val="clear" w:color="auto" w:fill="auto"/>
            <w:noWrap/>
            <w:vAlign w:val="center"/>
          </w:tcPr>
          <w:p w14:paraId="4982DAEA" w14:textId="094B5B79" w:rsidR="00A03254" w:rsidRPr="00F31284" w:rsidRDefault="00A03254" w:rsidP="00223198">
            <w:pPr>
              <w:rPr>
                <w:rFonts w:eastAsia="Aptos"/>
                <w:color w:val="000000"/>
                <w:lang w:eastAsia="en-GB"/>
              </w:rPr>
            </w:pPr>
            <w:r w:rsidRPr="00F31284">
              <w:rPr>
                <w:rFonts w:eastAsia="Aptos"/>
                <w:color w:val="000000"/>
                <w:lang w:eastAsia="en-GB"/>
              </w:rPr>
              <w:t>SDG</w:t>
            </w:r>
          </w:p>
        </w:tc>
        <w:tc>
          <w:tcPr>
            <w:tcW w:w="8084" w:type="dxa"/>
            <w:shd w:val="clear" w:color="auto" w:fill="auto"/>
            <w:noWrap/>
            <w:vAlign w:val="center"/>
          </w:tcPr>
          <w:p w14:paraId="3C1519ED" w14:textId="033523BF" w:rsidR="00A03254" w:rsidRPr="00F31284" w:rsidRDefault="00A03254" w:rsidP="00223198">
            <w:pPr>
              <w:rPr>
                <w:color w:val="000000"/>
                <w:lang w:val="en-GB" w:eastAsia="en-GB"/>
              </w:rPr>
            </w:pPr>
            <w:r w:rsidRPr="00F31284">
              <w:rPr>
                <w:color w:val="000000"/>
                <w:lang w:val="en-GB" w:eastAsia="en-GB"/>
              </w:rPr>
              <w:t>Sustainable Development Goals</w:t>
            </w:r>
          </w:p>
        </w:tc>
      </w:tr>
      <w:tr w:rsidR="00223198" w:rsidRPr="00F31284" w14:paraId="35F288B4" w14:textId="77777777" w:rsidTr="0027749E">
        <w:trPr>
          <w:trHeight w:val="315"/>
        </w:trPr>
        <w:tc>
          <w:tcPr>
            <w:tcW w:w="1276" w:type="dxa"/>
            <w:shd w:val="clear" w:color="auto" w:fill="auto"/>
            <w:noWrap/>
            <w:vAlign w:val="center"/>
            <w:hideMark/>
          </w:tcPr>
          <w:p w14:paraId="3721BDFC" w14:textId="3D192660" w:rsidR="00223198" w:rsidRPr="00F31284" w:rsidRDefault="00223198" w:rsidP="00223198">
            <w:pPr>
              <w:rPr>
                <w:color w:val="000000"/>
                <w:lang w:val="en-GB" w:eastAsia="en-GB"/>
              </w:rPr>
            </w:pPr>
            <w:r w:rsidRPr="00F31284">
              <w:rPr>
                <w:rFonts w:eastAsia="Aptos"/>
                <w:color w:val="000000"/>
                <w:lang w:eastAsia="en-GB"/>
              </w:rPr>
              <w:t>SIDO</w:t>
            </w:r>
          </w:p>
        </w:tc>
        <w:tc>
          <w:tcPr>
            <w:tcW w:w="8084" w:type="dxa"/>
            <w:shd w:val="clear" w:color="auto" w:fill="auto"/>
            <w:noWrap/>
            <w:vAlign w:val="center"/>
            <w:hideMark/>
          </w:tcPr>
          <w:p w14:paraId="24824DE1" w14:textId="77777777" w:rsidR="00223198" w:rsidRPr="00F31284" w:rsidRDefault="00223198" w:rsidP="00223198">
            <w:pPr>
              <w:rPr>
                <w:color w:val="000000"/>
                <w:lang w:val="en-GB" w:eastAsia="en-GB"/>
              </w:rPr>
            </w:pPr>
            <w:r w:rsidRPr="00F31284">
              <w:rPr>
                <w:color w:val="000000"/>
                <w:lang w:val="en-GB" w:eastAsia="en-GB"/>
              </w:rPr>
              <w:t>Small Industries Development Organization</w:t>
            </w:r>
          </w:p>
        </w:tc>
      </w:tr>
      <w:tr w:rsidR="00223198" w:rsidRPr="00F31284" w14:paraId="35B5BB6C" w14:textId="77777777" w:rsidTr="0027749E">
        <w:trPr>
          <w:trHeight w:val="315"/>
        </w:trPr>
        <w:tc>
          <w:tcPr>
            <w:tcW w:w="1276" w:type="dxa"/>
            <w:shd w:val="clear" w:color="auto" w:fill="auto"/>
            <w:noWrap/>
            <w:vAlign w:val="center"/>
            <w:hideMark/>
          </w:tcPr>
          <w:p w14:paraId="347344AC" w14:textId="77777777" w:rsidR="00223198" w:rsidRPr="00F31284" w:rsidRDefault="00223198" w:rsidP="00223198">
            <w:pPr>
              <w:rPr>
                <w:color w:val="000000"/>
                <w:lang w:val="en-GB" w:eastAsia="en-GB"/>
              </w:rPr>
            </w:pPr>
            <w:r w:rsidRPr="00F31284">
              <w:rPr>
                <w:rFonts w:eastAsia="Aptos"/>
                <w:color w:val="000000"/>
                <w:lang w:eastAsia="en-GB"/>
              </w:rPr>
              <w:t xml:space="preserve">SIYB </w:t>
            </w:r>
          </w:p>
        </w:tc>
        <w:tc>
          <w:tcPr>
            <w:tcW w:w="8084" w:type="dxa"/>
            <w:shd w:val="clear" w:color="auto" w:fill="auto"/>
            <w:noWrap/>
            <w:vAlign w:val="center"/>
            <w:hideMark/>
          </w:tcPr>
          <w:p w14:paraId="451E47CF" w14:textId="77777777" w:rsidR="00223198" w:rsidRPr="00F31284" w:rsidRDefault="00223198" w:rsidP="00223198">
            <w:pPr>
              <w:rPr>
                <w:color w:val="000000"/>
                <w:lang w:val="en-GB" w:eastAsia="en-GB"/>
              </w:rPr>
            </w:pPr>
            <w:r w:rsidRPr="00F31284">
              <w:rPr>
                <w:color w:val="000000"/>
                <w:lang w:val="en-GB" w:eastAsia="en-GB"/>
              </w:rPr>
              <w:t>Start and Improve Your Business</w:t>
            </w:r>
          </w:p>
        </w:tc>
      </w:tr>
      <w:tr w:rsidR="00223198" w:rsidRPr="00F31284" w14:paraId="6AF80CD6" w14:textId="77777777" w:rsidTr="0027749E">
        <w:trPr>
          <w:trHeight w:val="315"/>
        </w:trPr>
        <w:tc>
          <w:tcPr>
            <w:tcW w:w="1276" w:type="dxa"/>
            <w:shd w:val="clear" w:color="auto" w:fill="auto"/>
            <w:noWrap/>
            <w:vAlign w:val="center"/>
            <w:hideMark/>
          </w:tcPr>
          <w:p w14:paraId="17E3F54E" w14:textId="77777777" w:rsidR="00223198" w:rsidRPr="00F31284" w:rsidRDefault="00223198" w:rsidP="00223198">
            <w:pPr>
              <w:rPr>
                <w:color w:val="000000"/>
                <w:lang w:val="en-GB" w:eastAsia="en-GB"/>
              </w:rPr>
            </w:pPr>
            <w:r w:rsidRPr="00F31284">
              <w:rPr>
                <w:rFonts w:eastAsia="Aptos"/>
                <w:color w:val="000000"/>
                <w:lang w:eastAsia="en-GB"/>
              </w:rPr>
              <w:t>SOP</w:t>
            </w:r>
          </w:p>
        </w:tc>
        <w:tc>
          <w:tcPr>
            <w:tcW w:w="8084" w:type="dxa"/>
            <w:shd w:val="clear" w:color="auto" w:fill="auto"/>
            <w:noWrap/>
            <w:vAlign w:val="center"/>
            <w:hideMark/>
          </w:tcPr>
          <w:p w14:paraId="1F46675D" w14:textId="77777777" w:rsidR="00223198" w:rsidRPr="00F31284" w:rsidRDefault="00223198" w:rsidP="00223198">
            <w:pPr>
              <w:rPr>
                <w:color w:val="000000"/>
                <w:lang w:val="en-GB" w:eastAsia="en-GB"/>
              </w:rPr>
            </w:pPr>
            <w:r w:rsidRPr="00F31284">
              <w:rPr>
                <w:color w:val="000000"/>
                <w:lang w:val="en-GB" w:eastAsia="en-GB"/>
              </w:rPr>
              <w:t xml:space="preserve"> Standard Operating Procedures</w:t>
            </w:r>
          </w:p>
        </w:tc>
      </w:tr>
      <w:tr w:rsidR="00223198" w:rsidRPr="00F31284" w14:paraId="5EBBC6ED" w14:textId="77777777" w:rsidTr="0027749E">
        <w:trPr>
          <w:trHeight w:val="315"/>
        </w:trPr>
        <w:tc>
          <w:tcPr>
            <w:tcW w:w="1276" w:type="dxa"/>
            <w:shd w:val="clear" w:color="auto" w:fill="auto"/>
            <w:noWrap/>
            <w:vAlign w:val="center"/>
            <w:hideMark/>
          </w:tcPr>
          <w:p w14:paraId="49115478" w14:textId="77777777" w:rsidR="00223198" w:rsidRPr="00F31284" w:rsidRDefault="00223198" w:rsidP="00223198">
            <w:pPr>
              <w:rPr>
                <w:color w:val="000000"/>
                <w:lang w:val="en-GB" w:eastAsia="en-GB"/>
              </w:rPr>
            </w:pPr>
            <w:r w:rsidRPr="00F31284">
              <w:rPr>
                <w:rFonts w:eastAsia="Aptos"/>
                <w:color w:val="000000"/>
                <w:lang w:eastAsia="en-GB"/>
              </w:rPr>
              <w:t xml:space="preserve">SPV </w:t>
            </w:r>
          </w:p>
        </w:tc>
        <w:tc>
          <w:tcPr>
            <w:tcW w:w="8084" w:type="dxa"/>
            <w:shd w:val="clear" w:color="auto" w:fill="auto"/>
            <w:noWrap/>
            <w:vAlign w:val="center"/>
            <w:hideMark/>
          </w:tcPr>
          <w:p w14:paraId="38E25AA2" w14:textId="77777777" w:rsidR="00223198" w:rsidRPr="00F31284" w:rsidRDefault="00223198" w:rsidP="00223198">
            <w:pPr>
              <w:rPr>
                <w:color w:val="000000"/>
                <w:lang w:val="en-GB" w:eastAsia="en-GB"/>
              </w:rPr>
            </w:pPr>
            <w:r w:rsidRPr="00F31284">
              <w:rPr>
                <w:color w:val="000000"/>
                <w:lang w:val="en-GB" w:eastAsia="en-GB"/>
              </w:rPr>
              <w:t>Special Purpose Vehicle</w:t>
            </w:r>
          </w:p>
        </w:tc>
      </w:tr>
      <w:tr w:rsidR="00223198" w:rsidRPr="00F31284" w14:paraId="5A887139" w14:textId="77777777" w:rsidTr="0027749E">
        <w:trPr>
          <w:trHeight w:val="315"/>
        </w:trPr>
        <w:tc>
          <w:tcPr>
            <w:tcW w:w="1276" w:type="dxa"/>
            <w:shd w:val="clear" w:color="auto" w:fill="auto"/>
            <w:noWrap/>
            <w:vAlign w:val="center"/>
            <w:hideMark/>
          </w:tcPr>
          <w:p w14:paraId="64CB5646" w14:textId="77777777" w:rsidR="00223198" w:rsidRPr="00F31284" w:rsidRDefault="00223198" w:rsidP="00223198">
            <w:pPr>
              <w:rPr>
                <w:color w:val="000000"/>
                <w:lang w:val="en-GB" w:eastAsia="en-GB"/>
              </w:rPr>
            </w:pPr>
            <w:r w:rsidRPr="00F31284">
              <w:rPr>
                <w:rFonts w:eastAsia="Aptos"/>
                <w:color w:val="000000"/>
                <w:lang w:eastAsia="en-GB"/>
              </w:rPr>
              <w:t xml:space="preserve">SRH </w:t>
            </w:r>
          </w:p>
        </w:tc>
        <w:tc>
          <w:tcPr>
            <w:tcW w:w="8084" w:type="dxa"/>
            <w:shd w:val="clear" w:color="auto" w:fill="auto"/>
            <w:noWrap/>
            <w:vAlign w:val="center"/>
            <w:hideMark/>
          </w:tcPr>
          <w:p w14:paraId="67B9B603" w14:textId="77777777" w:rsidR="00223198" w:rsidRPr="00F31284" w:rsidRDefault="00223198" w:rsidP="00223198">
            <w:pPr>
              <w:rPr>
                <w:color w:val="000000"/>
                <w:lang w:val="en-GB" w:eastAsia="en-GB"/>
              </w:rPr>
            </w:pPr>
            <w:r w:rsidRPr="00F31284">
              <w:rPr>
                <w:color w:val="000000"/>
                <w:lang w:val="en-GB" w:eastAsia="en-GB"/>
              </w:rPr>
              <w:t>Sexual and Reproductive Health</w:t>
            </w:r>
          </w:p>
        </w:tc>
      </w:tr>
      <w:tr w:rsidR="004E4B29" w:rsidRPr="00F31284" w14:paraId="6949FE14" w14:textId="77777777" w:rsidTr="0027749E">
        <w:trPr>
          <w:trHeight w:val="315"/>
        </w:trPr>
        <w:tc>
          <w:tcPr>
            <w:tcW w:w="1276" w:type="dxa"/>
            <w:shd w:val="clear" w:color="auto" w:fill="auto"/>
            <w:noWrap/>
            <w:vAlign w:val="center"/>
          </w:tcPr>
          <w:p w14:paraId="1AFB0995" w14:textId="1B3F968D" w:rsidR="004E4B29" w:rsidRPr="00F31284" w:rsidRDefault="004E4B29" w:rsidP="00223198">
            <w:pPr>
              <w:rPr>
                <w:rFonts w:eastAsia="Aptos"/>
                <w:color w:val="000000"/>
                <w:lang w:eastAsia="en-GB"/>
              </w:rPr>
            </w:pPr>
            <w:r w:rsidRPr="00F31284">
              <w:rPr>
                <w:color w:val="000000"/>
                <w:lang w:val="en-GB" w:eastAsia="en-GB"/>
              </w:rPr>
              <w:t>TIP</w:t>
            </w:r>
          </w:p>
        </w:tc>
        <w:tc>
          <w:tcPr>
            <w:tcW w:w="8084" w:type="dxa"/>
            <w:shd w:val="clear" w:color="auto" w:fill="auto"/>
            <w:noWrap/>
            <w:vAlign w:val="center"/>
          </w:tcPr>
          <w:p w14:paraId="2BAB64E2" w14:textId="09139208" w:rsidR="004E4B29" w:rsidRPr="00F31284" w:rsidRDefault="004E4B29" w:rsidP="00223198">
            <w:pPr>
              <w:rPr>
                <w:color w:val="000000"/>
                <w:lang w:val="en-GB" w:eastAsia="en-GB"/>
              </w:rPr>
            </w:pPr>
            <w:r w:rsidRPr="00F31284">
              <w:rPr>
                <w:color w:val="000000"/>
                <w:lang w:val="en-GB" w:eastAsia="en-GB"/>
              </w:rPr>
              <w:t>Trafficking in Persons</w:t>
            </w:r>
          </w:p>
        </w:tc>
      </w:tr>
      <w:tr w:rsidR="00223198" w:rsidRPr="00F31284" w14:paraId="0D959349" w14:textId="77777777" w:rsidTr="0027749E">
        <w:trPr>
          <w:trHeight w:val="315"/>
        </w:trPr>
        <w:tc>
          <w:tcPr>
            <w:tcW w:w="1276" w:type="dxa"/>
            <w:shd w:val="clear" w:color="auto" w:fill="auto"/>
            <w:noWrap/>
            <w:vAlign w:val="center"/>
            <w:hideMark/>
          </w:tcPr>
          <w:p w14:paraId="3F6C7345" w14:textId="77777777" w:rsidR="00223198" w:rsidRPr="00F31284" w:rsidRDefault="00223198" w:rsidP="00223198">
            <w:pPr>
              <w:rPr>
                <w:color w:val="000000"/>
                <w:lang w:val="en-GB" w:eastAsia="en-GB"/>
              </w:rPr>
            </w:pPr>
            <w:r w:rsidRPr="00F31284">
              <w:rPr>
                <w:rFonts w:eastAsia="Aptos"/>
                <w:color w:val="000000"/>
                <w:lang w:eastAsia="en-GB"/>
              </w:rPr>
              <w:t xml:space="preserve">UNCT </w:t>
            </w:r>
          </w:p>
        </w:tc>
        <w:tc>
          <w:tcPr>
            <w:tcW w:w="8084" w:type="dxa"/>
            <w:shd w:val="clear" w:color="auto" w:fill="auto"/>
            <w:noWrap/>
            <w:vAlign w:val="center"/>
            <w:hideMark/>
          </w:tcPr>
          <w:p w14:paraId="3E8EF68F" w14:textId="77777777" w:rsidR="00223198" w:rsidRPr="00F31284" w:rsidRDefault="00223198" w:rsidP="00223198">
            <w:pPr>
              <w:rPr>
                <w:color w:val="000000"/>
                <w:lang w:val="en-GB" w:eastAsia="en-GB"/>
              </w:rPr>
            </w:pPr>
            <w:r w:rsidRPr="00F31284">
              <w:rPr>
                <w:color w:val="000000"/>
                <w:lang w:val="en-GB" w:eastAsia="en-GB"/>
              </w:rPr>
              <w:t xml:space="preserve"> United Nations Country Team</w:t>
            </w:r>
          </w:p>
        </w:tc>
      </w:tr>
      <w:tr w:rsidR="00223198" w:rsidRPr="00F31284" w14:paraId="727BE676" w14:textId="77777777" w:rsidTr="0027749E">
        <w:trPr>
          <w:trHeight w:val="315"/>
        </w:trPr>
        <w:tc>
          <w:tcPr>
            <w:tcW w:w="1276" w:type="dxa"/>
            <w:shd w:val="clear" w:color="auto" w:fill="auto"/>
            <w:noWrap/>
            <w:vAlign w:val="center"/>
            <w:hideMark/>
          </w:tcPr>
          <w:p w14:paraId="3E400800" w14:textId="77777777" w:rsidR="00223198" w:rsidRPr="00F31284" w:rsidRDefault="00223198" w:rsidP="00223198">
            <w:pPr>
              <w:rPr>
                <w:color w:val="000000"/>
                <w:lang w:val="en-GB" w:eastAsia="en-GB"/>
              </w:rPr>
            </w:pPr>
            <w:r w:rsidRPr="00F31284">
              <w:rPr>
                <w:rFonts w:eastAsia="Aptos"/>
                <w:color w:val="000000"/>
                <w:lang w:eastAsia="en-GB"/>
              </w:rPr>
              <w:t xml:space="preserve">UNDAP II </w:t>
            </w:r>
          </w:p>
        </w:tc>
        <w:tc>
          <w:tcPr>
            <w:tcW w:w="8084" w:type="dxa"/>
            <w:shd w:val="clear" w:color="auto" w:fill="auto"/>
            <w:noWrap/>
            <w:vAlign w:val="center"/>
            <w:hideMark/>
          </w:tcPr>
          <w:p w14:paraId="397FAF7B" w14:textId="77777777" w:rsidR="00223198" w:rsidRPr="00F31284" w:rsidRDefault="00223198" w:rsidP="00223198">
            <w:pPr>
              <w:rPr>
                <w:color w:val="000000"/>
                <w:lang w:val="en-GB" w:eastAsia="en-GB"/>
              </w:rPr>
            </w:pPr>
            <w:r w:rsidRPr="00F31284">
              <w:rPr>
                <w:color w:val="000000"/>
                <w:lang w:val="en-GB" w:eastAsia="en-GB"/>
              </w:rPr>
              <w:t>United Nations’ Development Action Plan II</w:t>
            </w:r>
          </w:p>
        </w:tc>
      </w:tr>
      <w:tr w:rsidR="00A03254" w:rsidRPr="00F31284" w14:paraId="082DFD72" w14:textId="77777777" w:rsidTr="0027749E">
        <w:trPr>
          <w:trHeight w:val="315"/>
        </w:trPr>
        <w:tc>
          <w:tcPr>
            <w:tcW w:w="1276" w:type="dxa"/>
            <w:shd w:val="clear" w:color="auto" w:fill="auto"/>
            <w:noWrap/>
            <w:vAlign w:val="center"/>
          </w:tcPr>
          <w:p w14:paraId="78F1771D" w14:textId="62EC1EF8" w:rsidR="00A03254" w:rsidRPr="00F31284" w:rsidRDefault="00A03254" w:rsidP="00223198">
            <w:pPr>
              <w:rPr>
                <w:rFonts w:eastAsia="Aptos"/>
                <w:color w:val="000000"/>
                <w:lang w:eastAsia="en-GB"/>
              </w:rPr>
            </w:pPr>
            <w:r w:rsidRPr="00F31284">
              <w:rPr>
                <w:rFonts w:eastAsia="Aptos"/>
                <w:color w:val="000000"/>
                <w:lang w:eastAsia="en-GB"/>
              </w:rPr>
              <w:t>UNSDCF</w:t>
            </w:r>
          </w:p>
        </w:tc>
        <w:tc>
          <w:tcPr>
            <w:tcW w:w="8084" w:type="dxa"/>
            <w:shd w:val="clear" w:color="auto" w:fill="auto"/>
            <w:noWrap/>
            <w:vAlign w:val="center"/>
          </w:tcPr>
          <w:p w14:paraId="62739BD4" w14:textId="500F695F" w:rsidR="00A03254" w:rsidRPr="00F31284" w:rsidRDefault="00A03254" w:rsidP="00223198">
            <w:pPr>
              <w:rPr>
                <w:color w:val="000000"/>
                <w:lang w:val="en-GB" w:eastAsia="en-GB"/>
              </w:rPr>
            </w:pPr>
            <w:r w:rsidRPr="00F31284">
              <w:rPr>
                <w:color w:val="000000"/>
                <w:lang w:val="en-GB" w:eastAsia="en-GB"/>
              </w:rPr>
              <w:t xml:space="preserve">United Nations Sustainable Development Cooperation Framework </w:t>
            </w:r>
          </w:p>
        </w:tc>
      </w:tr>
      <w:tr w:rsidR="00223198" w:rsidRPr="00F31284" w14:paraId="6F10F2D2" w14:textId="77777777" w:rsidTr="0027749E">
        <w:trPr>
          <w:trHeight w:val="315"/>
        </w:trPr>
        <w:tc>
          <w:tcPr>
            <w:tcW w:w="1276" w:type="dxa"/>
            <w:shd w:val="clear" w:color="auto" w:fill="auto"/>
            <w:noWrap/>
            <w:vAlign w:val="center"/>
            <w:hideMark/>
          </w:tcPr>
          <w:p w14:paraId="16452279" w14:textId="6A81BADD" w:rsidR="00223198" w:rsidRPr="00F31284" w:rsidRDefault="00223198" w:rsidP="00223198">
            <w:pPr>
              <w:rPr>
                <w:color w:val="000000"/>
                <w:lang w:val="en-GB" w:eastAsia="en-GB"/>
              </w:rPr>
            </w:pPr>
            <w:r w:rsidRPr="00F31284">
              <w:rPr>
                <w:rFonts w:eastAsia="Aptos"/>
                <w:color w:val="000000"/>
                <w:lang w:eastAsia="en-GB"/>
              </w:rPr>
              <w:t>VA</w:t>
            </w:r>
            <w:r w:rsidR="00A03254" w:rsidRPr="00F31284">
              <w:rPr>
                <w:rFonts w:eastAsia="Aptos"/>
                <w:color w:val="000000"/>
                <w:lang w:eastAsia="en-GB"/>
              </w:rPr>
              <w:t>W</w:t>
            </w:r>
            <w:r w:rsidRPr="00F31284">
              <w:rPr>
                <w:rFonts w:eastAsia="Aptos"/>
                <w:color w:val="000000"/>
                <w:lang w:eastAsia="en-GB"/>
              </w:rPr>
              <w:t xml:space="preserve">C </w:t>
            </w:r>
          </w:p>
        </w:tc>
        <w:tc>
          <w:tcPr>
            <w:tcW w:w="8084" w:type="dxa"/>
            <w:shd w:val="clear" w:color="auto" w:fill="auto"/>
            <w:noWrap/>
            <w:vAlign w:val="center"/>
            <w:hideMark/>
          </w:tcPr>
          <w:p w14:paraId="75483B1E" w14:textId="0E019913" w:rsidR="00223198" w:rsidRPr="00F31284" w:rsidRDefault="00A03254" w:rsidP="00223198">
            <w:pPr>
              <w:rPr>
                <w:color w:val="000000"/>
                <w:lang w:val="en-GB" w:eastAsia="en-GB"/>
              </w:rPr>
            </w:pPr>
            <w:r w:rsidRPr="00F31284">
              <w:rPr>
                <w:color w:val="000000"/>
                <w:lang w:val="en-GB" w:eastAsia="en-GB"/>
              </w:rPr>
              <w:t>Violence</w:t>
            </w:r>
            <w:r w:rsidR="00223198" w:rsidRPr="00F31284">
              <w:rPr>
                <w:color w:val="000000"/>
                <w:lang w:val="en-GB" w:eastAsia="en-GB"/>
              </w:rPr>
              <w:t xml:space="preserve"> against</w:t>
            </w:r>
            <w:r w:rsidRPr="00F31284">
              <w:rPr>
                <w:color w:val="000000"/>
                <w:lang w:val="en-GB" w:eastAsia="en-GB"/>
              </w:rPr>
              <w:t xml:space="preserve"> Women and </w:t>
            </w:r>
            <w:r w:rsidR="00223198" w:rsidRPr="00F31284">
              <w:rPr>
                <w:color w:val="000000"/>
                <w:lang w:val="en-GB" w:eastAsia="en-GB"/>
              </w:rPr>
              <w:t xml:space="preserve"> Children</w:t>
            </w:r>
          </w:p>
        </w:tc>
      </w:tr>
      <w:tr w:rsidR="00223198" w:rsidRPr="00F31284" w14:paraId="5F4BA29C" w14:textId="77777777" w:rsidTr="0027749E">
        <w:trPr>
          <w:trHeight w:val="315"/>
        </w:trPr>
        <w:tc>
          <w:tcPr>
            <w:tcW w:w="1276" w:type="dxa"/>
            <w:shd w:val="clear" w:color="auto" w:fill="auto"/>
            <w:noWrap/>
            <w:vAlign w:val="center"/>
            <w:hideMark/>
          </w:tcPr>
          <w:p w14:paraId="7840451E" w14:textId="77777777" w:rsidR="00223198" w:rsidRPr="00F31284" w:rsidRDefault="00223198" w:rsidP="00223198">
            <w:pPr>
              <w:rPr>
                <w:color w:val="000000"/>
                <w:lang w:val="en-GB" w:eastAsia="en-GB"/>
              </w:rPr>
            </w:pPr>
            <w:r w:rsidRPr="00F31284">
              <w:rPr>
                <w:rFonts w:eastAsia="Aptos"/>
                <w:color w:val="000000"/>
                <w:lang w:eastAsia="en-GB"/>
              </w:rPr>
              <w:t xml:space="preserve">VBA </w:t>
            </w:r>
          </w:p>
        </w:tc>
        <w:tc>
          <w:tcPr>
            <w:tcW w:w="8084" w:type="dxa"/>
            <w:shd w:val="clear" w:color="auto" w:fill="auto"/>
            <w:noWrap/>
            <w:vAlign w:val="center"/>
            <w:hideMark/>
          </w:tcPr>
          <w:p w14:paraId="54A88037" w14:textId="77777777" w:rsidR="00223198" w:rsidRPr="00F31284" w:rsidRDefault="00223198" w:rsidP="00223198">
            <w:pPr>
              <w:rPr>
                <w:color w:val="000000"/>
                <w:lang w:val="en-GB" w:eastAsia="en-GB"/>
              </w:rPr>
            </w:pPr>
            <w:r w:rsidRPr="00F31284">
              <w:rPr>
                <w:color w:val="000000"/>
                <w:lang w:val="en-GB" w:eastAsia="en-GB"/>
              </w:rPr>
              <w:t>Village Based Agents</w:t>
            </w:r>
          </w:p>
        </w:tc>
      </w:tr>
      <w:tr w:rsidR="00223198" w:rsidRPr="00F31284" w14:paraId="16465FFA" w14:textId="77777777" w:rsidTr="0027749E">
        <w:trPr>
          <w:trHeight w:val="315"/>
        </w:trPr>
        <w:tc>
          <w:tcPr>
            <w:tcW w:w="1276" w:type="dxa"/>
            <w:shd w:val="clear" w:color="auto" w:fill="auto"/>
            <w:noWrap/>
            <w:vAlign w:val="center"/>
            <w:hideMark/>
          </w:tcPr>
          <w:p w14:paraId="73AA1256" w14:textId="77777777" w:rsidR="00223198" w:rsidRPr="00F31284" w:rsidRDefault="00223198" w:rsidP="00223198">
            <w:pPr>
              <w:rPr>
                <w:color w:val="000000"/>
                <w:lang w:val="en-GB" w:eastAsia="en-GB"/>
              </w:rPr>
            </w:pPr>
            <w:r w:rsidRPr="00F31284">
              <w:rPr>
                <w:rFonts w:eastAsia="Aptos"/>
                <w:color w:val="000000"/>
                <w:lang w:eastAsia="en-GB"/>
              </w:rPr>
              <w:t xml:space="preserve">VEO </w:t>
            </w:r>
          </w:p>
        </w:tc>
        <w:tc>
          <w:tcPr>
            <w:tcW w:w="8084" w:type="dxa"/>
            <w:shd w:val="clear" w:color="auto" w:fill="auto"/>
            <w:noWrap/>
            <w:vAlign w:val="center"/>
            <w:hideMark/>
          </w:tcPr>
          <w:p w14:paraId="5E8E5B03" w14:textId="77777777" w:rsidR="00223198" w:rsidRPr="00F31284" w:rsidRDefault="00223198" w:rsidP="00223198">
            <w:pPr>
              <w:rPr>
                <w:color w:val="000000"/>
                <w:lang w:val="en-GB" w:eastAsia="en-GB"/>
              </w:rPr>
            </w:pPr>
            <w:r w:rsidRPr="00F31284">
              <w:rPr>
                <w:color w:val="000000"/>
                <w:lang w:val="en-GB" w:eastAsia="en-GB"/>
              </w:rPr>
              <w:t>Village Executive Officer</w:t>
            </w:r>
          </w:p>
        </w:tc>
      </w:tr>
      <w:tr w:rsidR="00223198" w:rsidRPr="00F31284" w14:paraId="5CA1E232" w14:textId="77777777" w:rsidTr="0027749E">
        <w:trPr>
          <w:trHeight w:val="315"/>
        </w:trPr>
        <w:tc>
          <w:tcPr>
            <w:tcW w:w="1276" w:type="dxa"/>
            <w:shd w:val="clear" w:color="auto" w:fill="auto"/>
            <w:noWrap/>
            <w:vAlign w:val="center"/>
            <w:hideMark/>
          </w:tcPr>
          <w:p w14:paraId="24DCC427" w14:textId="77777777" w:rsidR="00223198" w:rsidRPr="00F31284" w:rsidRDefault="00223198" w:rsidP="00223198">
            <w:pPr>
              <w:rPr>
                <w:color w:val="000000"/>
                <w:lang w:val="en-GB" w:eastAsia="en-GB"/>
              </w:rPr>
            </w:pPr>
            <w:r w:rsidRPr="00F31284">
              <w:rPr>
                <w:rFonts w:eastAsia="Aptos"/>
                <w:color w:val="000000"/>
                <w:lang w:eastAsia="en-GB"/>
              </w:rPr>
              <w:t>VETA</w:t>
            </w:r>
          </w:p>
        </w:tc>
        <w:tc>
          <w:tcPr>
            <w:tcW w:w="8084" w:type="dxa"/>
            <w:shd w:val="clear" w:color="auto" w:fill="auto"/>
            <w:noWrap/>
            <w:vAlign w:val="center"/>
            <w:hideMark/>
          </w:tcPr>
          <w:p w14:paraId="445DC6D6" w14:textId="77777777" w:rsidR="00223198" w:rsidRPr="00F31284" w:rsidRDefault="00223198" w:rsidP="00223198">
            <w:pPr>
              <w:rPr>
                <w:color w:val="000000"/>
                <w:lang w:val="en-GB" w:eastAsia="en-GB"/>
              </w:rPr>
            </w:pPr>
            <w:r w:rsidRPr="00F31284">
              <w:rPr>
                <w:color w:val="000000"/>
                <w:lang w:val="en-GB" w:eastAsia="en-GB"/>
              </w:rPr>
              <w:t xml:space="preserve"> Vocational Education and Training Authority</w:t>
            </w:r>
          </w:p>
        </w:tc>
      </w:tr>
      <w:tr w:rsidR="00A03254" w:rsidRPr="00F31284" w14:paraId="189E3B6A" w14:textId="77777777" w:rsidTr="0027749E">
        <w:trPr>
          <w:trHeight w:val="315"/>
        </w:trPr>
        <w:tc>
          <w:tcPr>
            <w:tcW w:w="1276" w:type="dxa"/>
            <w:shd w:val="clear" w:color="auto" w:fill="auto"/>
            <w:noWrap/>
            <w:vAlign w:val="center"/>
          </w:tcPr>
          <w:p w14:paraId="64B0EEDE" w14:textId="19273BD3" w:rsidR="00A03254" w:rsidRPr="00F31284" w:rsidRDefault="00A03254" w:rsidP="00223198">
            <w:pPr>
              <w:rPr>
                <w:rFonts w:eastAsia="Aptos"/>
                <w:color w:val="000000"/>
                <w:lang w:eastAsia="en-GB"/>
              </w:rPr>
            </w:pPr>
            <w:r w:rsidRPr="00F31284">
              <w:rPr>
                <w:color w:val="000000"/>
                <w:lang w:val="en-GB" w:eastAsia="en-GB"/>
              </w:rPr>
              <w:t>VOT</w:t>
            </w:r>
          </w:p>
        </w:tc>
        <w:tc>
          <w:tcPr>
            <w:tcW w:w="8084" w:type="dxa"/>
            <w:shd w:val="clear" w:color="auto" w:fill="auto"/>
            <w:noWrap/>
            <w:vAlign w:val="center"/>
          </w:tcPr>
          <w:p w14:paraId="72C8B394" w14:textId="255968D6" w:rsidR="00A03254" w:rsidRPr="00F31284" w:rsidRDefault="00A03254" w:rsidP="00223198">
            <w:pPr>
              <w:rPr>
                <w:color w:val="000000"/>
                <w:lang w:val="en-GB" w:eastAsia="en-GB"/>
              </w:rPr>
            </w:pPr>
            <w:r w:rsidRPr="00F31284">
              <w:rPr>
                <w:color w:val="000000"/>
                <w:lang w:val="en-GB" w:eastAsia="en-GB"/>
              </w:rPr>
              <w:t xml:space="preserve">Victims of Trafficking </w:t>
            </w:r>
          </w:p>
        </w:tc>
      </w:tr>
      <w:tr w:rsidR="00223198" w:rsidRPr="00F31284" w14:paraId="6469EAD4" w14:textId="77777777" w:rsidTr="0027749E">
        <w:trPr>
          <w:trHeight w:val="315"/>
        </w:trPr>
        <w:tc>
          <w:tcPr>
            <w:tcW w:w="1276" w:type="dxa"/>
            <w:shd w:val="clear" w:color="auto" w:fill="auto"/>
            <w:noWrap/>
            <w:vAlign w:val="center"/>
            <w:hideMark/>
          </w:tcPr>
          <w:p w14:paraId="496F8BEE" w14:textId="77777777" w:rsidR="00223198" w:rsidRPr="00F31284" w:rsidRDefault="00223198" w:rsidP="00223198">
            <w:pPr>
              <w:rPr>
                <w:color w:val="000000"/>
                <w:lang w:val="en-GB" w:eastAsia="en-GB"/>
              </w:rPr>
            </w:pPr>
            <w:r w:rsidRPr="00F31284">
              <w:rPr>
                <w:rFonts w:eastAsia="Aptos"/>
                <w:color w:val="000000"/>
                <w:lang w:eastAsia="en-GB"/>
              </w:rPr>
              <w:t xml:space="preserve">VSLA </w:t>
            </w:r>
          </w:p>
        </w:tc>
        <w:tc>
          <w:tcPr>
            <w:tcW w:w="8084" w:type="dxa"/>
            <w:shd w:val="clear" w:color="auto" w:fill="auto"/>
            <w:noWrap/>
            <w:vAlign w:val="center"/>
            <w:hideMark/>
          </w:tcPr>
          <w:p w14:paraId="5757F54A" w14:textId="77777777" w:rsidR="00223198" w:rsidRPr="00F31284" w:rsidRDefault="00223198" w:rsidP="00223198">
            <w:pPr>
              <w:rPr>
                <w:color w:val="000000"/>
                <w:lang w:val="en-GB" w:eastAsia="en-GB"/>
              </w:rPr>
            </w:pPr>
            <w:r w:rsidRPr="00F31284">
              <w:rPr>
                <w:color w:val="000000"/>
                <w:lang w:val="en-GB" w:eastAsia="en-GB"/>
              </w:rPr>
              <w:t>Village Savings Loan Association</w:t>
            </w:r>
          </w:p>
        </w:tc>
      </w:tr>
      <w:tr w:rsidR="00223198" w:rsidRPr="00F31284" w14:paraId="4925A98F" w14:textId="77777777" w:rsidTr="0027749E">
        <w:trPr>
          <w:trHeight w:val="315"/>
        </w:trPr>
        <w:tc>
          <w:tcPr>
            <w:tcW w:w="1276" w:type="dxa"/>
            <w:shd w:val="clear" w:color="auto" w:fill="auto"/>
            <w:noWrap/>
            <w:vAlign w:val="center"/>
            <w:hideMark/>
          </w:tcPr>
          <w:p w14:paraId="4E62A3C7" w14:textId="77777777" w:rsidR="00223198" w:rsidRPr="00F31284" w:rsidRDefault="00223198" w:rsidP="00223198">
            <w:pPr>
              <w:rPr>
                <w:color w:val="000000"/>
                <w:lang w:val="en-GB" w:eastAsia="en-GB"/>
              </w:rPr>
            </w:pPr>
            <w:r w:rsidRPr="00F31284">
              <w:rPr>
                <w:rFonts w:eastAsia="Aptos"/>
                <w:color w:val="000000"/>
                <w:lang w:eastAsia="en-GB"/>
              </w:rPr>
              <w:t xml:space="preserve">VTC </w:t>
            </w:r>
          </w:p>
        </w:tc>
        <w:tc>
          <w:tcPr>
            <w:tcW w:w="8084" w:type="dxa"/>
            <w:shd w:val="clear" w:color="auto" w:fill="auto"/>
            <w:noWrap/>
            <w:vAlign w:val="center"/>
            <w:hideMark/>
          </w:tcPr>
          <w:p w14:paraId="3931DE30" w14:textId="77777777" w:rsidR="00223198" w:rsidRPr="00F31284" w:rsidRDefault="00223198" w:rsidP="00223198">
            <w:pPr>
              <w:rPr>
                <w:color w:val="000000"/>
                <w:lang w:val="en-GB" w:eastAsia="en-GB"/>
              </w:rPr>
            </w:pPr>
            <w:r w:rsidRPr="00F31284">
              <w:rPr>
                <w:color w:val="000000"/>
                <w:lang w:val="en-GB" w:eastAsia="en-GB"/>
              </w:rPr>
              <w:t xml:space="preserve"> Vocational Training Center</w:t>
            </w:r>
          </w:p>
        </w:tc>
      </w:tr>
      <w:tr w:rsidR="00223198" w:rsidRPr="00F31284" w14:paraId="5439E51A" w14:textId="77777777" w:rsidTr="0027749E">
        <w:trPr>
          <w:trHeight w:val="315"/>
        </w:trPr>
        <w:tc>
          <w:tcPr>
            <w:tcW w:w="1276" w:type="dxa"/>
            <w:shd w:val="clear" w:color="auto" w:fill="auto"/>
            <w:noWrap/>
            <w:vAlign w:val="center"/>
            <w:hideMark/>
          </w:tcPr>
          <w:p w14:paraId="44E6AFC9" w14:textId="77777777" w:rsidR="00223198" w:rsidRPr="00F31284" w:rsidRDefault="00223198" w:rsidP="00223198">
            <w:pPr>
              <w:rPr>
                <w:color w:val="000000"/>
                <w:lang w:val="en-GB" w:eastAsia="en-GB"/>
              </w:rPr>
            </w:pPr>
            <w:r w:rsidRPr="00F31284">
              <w:rPr>
                <w:rFonts w:eastAsia="Aptos"/>
                <w:color w:val="000000"/>
                <w:lang w:eastAsia="en-GB"/>
              </w:rPr>
              <w:t xml:space="preserve">WAEO </w:t>
            </w:r>
          </w:p>
        </w:tc>
        <w:tc>
          <w:tcPr>
            <w:tcW w:w="8084" w:type="dxa"/>
            <w:shd w:val="clear" w:color="auto" w:fill="auto"/>
            <w:noWrap/>
            <w:vAlign w:val="center"/>
            <w:hideMark/>
          </w:tcPr>
          <w:p w14:paraId="60F28DE1" w14:textId="77777777" w:rsidR="00223198" w:rsidRPr="00F31284" w:rsidRDefault="00223198" w:rsidP="00223198">
            <w:pPr>
              <w:rPr>
                <w:color w:val="000000"/>
                <w:lang w:val="en-GB" w:eastAsia="en-GB"/>
              </w:rPr>
            </w:pPr>
            <w:r w:rsidRPr="00F31284">
              <w:rPr>
                <w:color w:val="000000"/>
                <w:lang w:val="en-GB" w:eastAsia="en-GB"/>
              </w:rPr>
              <w:t>Ward Agriculture Extension Officer</w:t>
            </w:r>
          </w:p>
        </w:tc>
      </w:tr>
      <w:tr w:rsidR="00223198" w:rsidRPr="00F31284" w14:paraId="1914B846" w14:textId="77777777" w:rsidTr="0027749E">
        <w:trPr>
          <w:trHeight w:val="420"/>
        </w:trPr>
        <w:tc>
          <w:tcPr>
            <w:tcW w:w="1276" w:type="dxa"/>
            <w:shd w:val="clear" w:color="auto" w:fill="auto"/>
            <w:vAlign w:val="center"/>
            <w:hideMark/>
          </w:tcPr>
          <w:p w14:paraId="4C16F3A8" w14:textId="77777777" w:rsidR="00223198" w:rsidRPr="00F31284" w:rsidRDefault="00223198" w:rsidP="00223198">
            <w:pPr>
              <w:rPr>
                <w:color w:val="000000"/>
                <w:lang w:val="en-GB" w:eastAsia="en-GB"/>
              </w:rPr>
            </w:pPr>
            <w:r w:rsidRPr="00F31284">
              <w:rPr>
                <w:rFonts w:eastAsia="Aptos"/>
                <w:color w:val="000000"/>
                <w:lang w:eastAsia="en-GB"/>
              </w:rPr>
              <w:t xml:space="preserve">WASH </w:t>
            </w:r>
          </w:p>
        </w:tc>
        <w:tc>
          <w:tcPr>
            <w:tcW w:w="8084" w:type="dxa"/>
            <w:shd w:val="clear" w:color="auto" w:fill="auto"/>
            <w:vAlign w:val="center"/>
            <w:hideMark/>
          </w:tcPr>
          <w:p w14:paraId="278E4C60" w14:textId="77777777" w:rsidR="00223198" w:rsidRPr="00F31284" w:rsidRDefault="00223198" w:rsidP="00223198">
            <w:pPr>
              <w:rPr>
                <w:color w:val="000000"/>
                <w:lang w:val="en-GB" w:eastAsia="en-GB"/>
              </w:rPr>
            </w:pPr>
            <w:r w:rsidRPr="00F31284">
              <w:rPr>
                <w:color w:val="000000"/>
                <w:lang w:val="en-GB" w:eastAsia="en-GB"/>
              </w:rPr>
              <w:t>Water, Sanitation and Hygiene</w:t>
            </w:r>
          </w:p>
        </w:tc>
      </w:tr>
      <w:tr w:rsidR="00223198" w:rsidRPr="00F31284" w14:paraId="3BA5C761" w14:textId="77777777" w:rsidTr="0027749E">
        <w:trPr>
          <w:trHeight w:val="315"/>
        </w:trPr>
        <w:tc>
          <w:tcPr>
            <w:tcW w:w="1276" w:type="dxa"/>
            <w:shd w:val="clear" w:color="auto" w:fill="auto"/>
            <w:noWrap/>
            <w:vAlign w:val="center"/>
            <w:hideMark/>
          </w:tcPr>
          <w:p w14:paraId="4AEE0E26" w14:textId="77777777" w:rsidR="00223198" w:rsidRPr="00F31284" w:rsidRDefault="00223198" w:rsidP="00223198">
            <w:pPr>
              <w:rPr>
                <w:color w:val="000000"/>
                <w:lang w:val="en-GB" w:eastAsia="en-GB"/>
              </w:rPr>
            </w:pPr>
            <w:r w:rsidRPr="00F31284">
              <w:rPr>
                <w:rFonts w:eastAsia="Aptos"/>
                <w:color w:val="000000"/>
                <w:lang w:eastAsia="en-GB"/>
              </w:rPr>
              <w:t>WSDP</w:t>
            </w:r>
          </w:p>
        </w:tc>
        <w:tc>
          <w:tcPr>
            <w:tcW w:w="8084" w:type="dxa"/>
            <w:shd w:val="clear" w:color="auto" w:fill="auto"/>
            <w:noWrap/>
            <w:vAlign w:val="center"/>
            <w:hideMark/>
          </w:tcPr>
          <w:p w14:paraId="29A1B4E7" w14:textId="77777777" w:rsidR="00223198" w:rsidRPr="00F31284" w:rsidRDefault="00223198" w:rsidP="00223198">
            <w:pPr>
              <w:rPr>
                <w:color w:val="000000"/>
                <w:lang w:val="en-GB" w:eastAsia="en-GB"/>
              </w:rPr>
            </w:pPr>
            <w:r w:rsidRPr="00F31284">
              <w:rPr>
                <w:color w:val="000000"/>
                <w:lang w:val="en-GB" w:eastAsia="en-GB"/>
              </w:rPr>
              <w:t>Water Sector Development Plan</w:t>
            </w:r>
          </w:p>
        </w:tc>
      </w:tr>
    </w:tbl>
    <w:p w14:paraId="68E6F511" w14:textId="3A4F5EE9" w:rsidR="00BE3A57" w:rsidRDefault="00BE3A57" w:rsidP="00BE3A57">
      <w:pPr>
        <w:rPr>
          <w:lang w:val="en-GB" w:eastAsia="x-none"/>
        </w:rPr>
      </w:pPr>
    </w:p>
    <w:p w14:paraId="74E6CB4F" w14:textId="77777777" w:rsidR="00BE3A57" w:rsidRDefault="00BE3A57" w:rsidP="00BE3A57">
      <w:pPr>
        <w:rPr>
          <w:lang w:val="en-GB" w:eastAsia="x-none"/>
        </w:rPr>
      </w:pPr>
    </w:p>
    <w:p w14:paraId="428F6D60" w14:textId="77777777" w:rsidR="00BE3A57" w:rsidRDefault="00BE3A57" w:rsidP="00BE3A57">
      <w:pPr>
        <w:rPr>
          <w:lang w:val="en-GB" w:eastAsia="x-none"/>
        </w:rPr>
      </w:pPr>
    </w:p>
    <w:p w14:paraId="78247DFC" w14:textId="77777777" w:rsidR="00BE3A57" w:rsidRDefault="00BE3A57" w:rsidP="00BE3A57">
      <w:pPr>
        <w:rPr>
          <w:lang w:val="en-GB" w:eastAsia="x-none"/>
        </w:rPr>
      </w:pPr>
    </w:p>
    <w:p w14:paraId="0D9B3227" w14:textId="77777777" w:rsidR="00BE3A57" w:rsidRDefault="00BE3A57" w:rsidP="00BE3A57">
      <w:pPr>
        <w:rPr>
          <w:lang w:val="en-GB" w:eastAsia="x-none"/>
        </w:rPr>
      </w:pPr>
    </w:p>
    <w:p w14:paraId="4342615D" w14:textId="77777777" w:rsidR="00BE3A57" w:rsidRDefault="00BE3A57" w:rsidP="00BE3A57">
      <w:pPr>
        <w:rPr>
          <w:lang w:val="en-GB" w:eastAsia="x-none"/>
        </w:rPr>
      </w:pPr>
    </w:p>
    <w:p w14:paraId="1B62F177" w14:textId="77777777" w:rsidR="00BE3A57" w:rsidRDefault="00BE3A57" w:rsidP="00BE3A57">
      <w:pPr>
        <w:rPr>
          <w:lang w:val="en-GB" w:eastAsia="x-none"/>
        </w:rPr>
      </w:pPr>
    </w:p>
    <w:p w14:paraId="26BD7BC1" w14:textId="77777777" w:rsidR="00BE3A57" w:rsidRPr="00BE3A57" w:rsidRDefault="00BE3A57" w:rsidP="00BE3A57">
      <w:pPr>
        <w:rPr>
          <w:lang w:val="en-GB" w:eastAsia="x-none"/>
        </w:rPr>
      </w:pPr>
    </w:p>
    <w:p w14:paraId="6355EC51" w14:textId="77777777" w:rsidR="003F3B54" w:rsidRDefault="003F3B54">
      <w:pPr>
        <w:rPr>
          <w:b/>
          <w:bCs/>
          <w:lang w:val="en-GB" w:eastAsia="x-none"/>
        </w:rPr>
      </w:pPr>
      <w:r>
        <w:rPr>
          <w:lang w:val="en-GB"/>
        </w:rPr>
        <w:br w:type="page"/>
      </w:r>
    </w:p>
    <w:p w14:paraId="18B0DD73" w14:textId="166CB484" w:rsidR="003B1DFF" w:rsidRPr="00574596" w:rsidRDefault="000803A0" w:rsidP="00434A5A">
      <w:pPr>
        <w:pStyle w:val="Heading1"/>
        <w:tabs>
          <w:tab w:val="left" w:pos="360"/>
        </w:tabs>
        <w:ind w:left="0"/>
        <w:rPr>
          <w:rFonts w:ascii="Times New Roman" w:hAnsi="Times New Roman"/>
          <w:sz w:val="24"/>
          <w:szCs w:val="24"/>
          <w:lang w:val="en-GB"/>
        </w:rPr>
      </w:pPr>
      <w:bookmarkStart w:id="1" w:name="_Toc164236821"/>
      <w:r w:rsidRPr="00574596">
        <w:rPr>
          <w:rFonts w:ascii="Times New Roman" w:hAnsi="Times New Roman"/>
          <w:sz w:val="24"/>
          <w:szCs w:val="24"/>
          <w:lang w:val="en-GB"/>
        </w:rPr>
        <w:lastRenderedPageBreak/>
        <w:t xml:space="preserve">EXECUTIVE </w:t>
      </w:r>
      <w:r w:rsidR="003B1DFF" w:rsidRPr="00574596">
        <w:rPr>
          <w:rFonts w:ascii="Times New Roman" w:hAnsi="Times New Roman"/>
          <w:sz w:val="24"/>
          <w:szCs w:val="24"/>
          <w:lang w:val="en-GB"/>
        </w:rPr>
        <w:t>SUMMARY</w:t>
      </w:r>
      <w:bookmarkEnd w:id="1"/>
      <w:r w:rsidR="003B1DFF" w:rsidRPr="00574596">
        <w:rPr>
          <w:rFonts w:ascii="Times New Roman" w:hAnsi="Times New Roman"/>
          <w:sz w:val="24"/>
          <w:szCs w:val="24"/>
          <w:lang w:val="en-GB"/>
        </w:rPr>
        <w:t xml:space="preserve"> </w:t>
      </w:r>
    </w:p>
    <w:p w14:paraId="63C95A3E" w14:textId="77777777" w:rsidR="00DC4F66" w:rsidRPr="00574596" w:rsidRDefault="00DC4F66" w:rsidP="00434A5A">
      <w:pPr>
        <w:jc w:val="both"/>
        <w:rPr>
          <w:lang w:val="en-GB" w:eastAsia="x-none"/>
        </w:rPr>
      </w:pPr>
    </w:p>
    <w:p w14:paraId="2A1990F1" w14:textId="1C33DE0D" w:rsidR="00D23EF4" w:rsidRDefault="00002D88" w:rsidP="00D23EF4">
      <w:pPr>
        <w:jc w:val="both"/>
        <w:rPr>
          <w:lang w:val="en-GB" w:eastAsia="x-none"/>
        </w:rPr>
      </w:pPr>
      <w:r w:rsidRPr="00230C0B">
        <w:rPr>
          <w:lang w:val="en-GB" w:eastAsia="x-none"/>
        </w:rPr>
        <w:t xml:space="preserve">The United Nations System in Tanzania </w:t>
      </w:r>
      <w:r w:rsidR="003F3B54" w:rsidRPr="00230C0B">
        <w:rPr>
          <w:lang w:val="en-GB" w:eastAsia="x-none"/>
        </w:rPr>
        <w:t xml:space="preserve">provides </w:t>
      </w:r>
      <w:r w:rsidRPr="00230C0B">
        <w:rPr>
          <w:lang w:val="en-GB" w:eastAsia="x-none"/>
        </w:rPr>
        <w:t xml:space="preserve"> targeted support to address socio-economic challenges faced by the Kigoma region through the implementation of a second phase of the Kigoma Joint Programme (KJP II)</w:t>
      </w:r>
      <w:r w:rsidR="00FA3CAC">
        <w:rPr>
          <w:lang w:val="en-GB" w:eastAsia="x-none"/>
        </w:rPr>
        <w:t xml:space="preserve">. </w:t>
      </w:r>
      <w:r w:rsidR="00D23EF4" w:rsidRPr="00D23EF4">
        <w:rPr>
          <w:lang w:val="en-GB" w:eastAsia="x-none"/>
        </w:rPr>
        <w:t>This collaborative effort involves 17 UN Agencies working alongside the Regional Secretariat, building upon the achievements of Phase I (2017-2022) and extending its reach to all eight districts of the region, with a particular focus on refugee-hosting districts. The programme adopts a comprehensive approach aligned with the four priority areas of the 2022-2027 United Nations Sustainable Development Cooperation Framework (UNSDCF): People, Prosperity, Planet, and Enabling Environment. By aligning activities with the 2030 Agenda, the  FYDPIII, the KJP II aims to make meaningful contributions  towards sustainable development in the region.</w:t>
      </w:r>
    </w:p>
    <w:p w14:paraId="1D0E8338" w14:textId="77777777" w:rsidR="00D23EF4" w:rsidRDefault="00D23EF4" w:rsidP="00D23EF4">
      <w:pPr>
        <w:jc w:val="both"/>
      </w:pPr>
    </w:p>
    <w:p w14:paraId="3CD665B8" w14:textId="37A7EDE7" w:rsidR="00346372" w:rsidRDefault="00346372" w:rsidP="00D23EF4">
      <w:pPr>
        <w:jc w:val="both"/>
        <w:rPr>
          <w:lang w:val="en-GB" w:eastAsia="x-none"/>
        </w:rPr>
      </w:pPr>
      <w:r w:rsidRPr="00346372">
        <w:rPr>
          <w:lang w:val="en-GB" w:eastAsia="x-none"/>
        </w:rPr>
        <w:t xml:space="preserve">The People outcome is structured around four central themes: education, </w:t>
      </w:r>
      <w:r w:rsidR="0031204E" w:rsidRPr="00346372">
        <w:rPr>
          <w:lang w:val="en-GB" w:eastAsia="x-none"/>
        </w:rPr>
        <w:t>health,</w:t>
      </w:r>
      <w:r w:rsidRPr="00346372">
        <w:rPr>
          <w:lang w:val="en-GB" w:eastAsia="x-none"/>
        </w:rPr>
        <w:t xml:space="preserve"> and nutrition; WASH; and the Elimination of Violence Against Women and Children (VAWC). To unlock multi-sectoral advantages for Kigoma's most vulnerable through an integrated approach, five functional outputs have been delineated. These encompass enhanced planning and coordination, service delivery, data collection and analysis, and community engagement. </w:t>
      </w:r>
      <w:r w:rsidR="00D23EF4">
        <w:rPr>
          <w:lang w:val="en-GB" w:eastAsia="x-none"/>
        </w:rPr>
        <w:t xml:space="preserve"> </w:t>
      </w:r>
      <w:r w:rsidRPr="00346372">
        <w:rPr>
          <w:lang w:val="en-GB" w:eastAsia="x-none"/>
        </w:rPr>
        <w:t xml:space="preserve">The Prosperity outcome of KJP II focuses on empowering small-scale producers, including farmers, micro, small, and medium enterprises (MSMEs), especially those led by women and youth in the informal sector. It extends support to umbrella associations, cooperatives, Business Development Service providers, and extension service providers, aiming to foster economic growth and stability in the region. The Planet outcome of KJP II is committed to crafting a more sustainable future for the Kigoma region. It prioritizes climate resilience, renewable energy promotion, and disaster risk reduction, achieved through various interventions. These range from implementing climate-resilient water systems to boosting early warning capabilities for disaster response. By promoting green business practices and weaving climate change considerations into its fabric, it forges a sustainable, inclusive environment for all inhabitants. The Enabling Environment component is aimed at </w:t>
      </w:r>
      <w:r w:rsidR="00FA3CAC">
        <w:rPr>
          <w:lang w:val="en-GB" w:eastAsia="x-none"/>
        </w:rPr>
        <w:t xml:space="preserve">enhancing </w:t>
      </w:r>
      <w:r w:rsidRPr="00346372">
        <w:rPr>
          <w:lang w:val="en-GB" w:eastAsia="x-none"/>
        </w:rPr>
        <w:t>governance, inclusive and participatory leadership, and peaceful coexistence. These are deemed foundational elements vital for achieving results across the three</w:t>
      </w:r>
      <w:r w:rsidR="00FA3CAC">
        <w:rPr>
          <w:lang w:val="en-GB" w:eastAsia="x-none"/>
        </w:rPr>
        <w:t xml:space="preserve"> other </w:t>
      </w:r>
      <w:r w:rsidRPr="00346372">
        <w:rPr>
          <w:lang w:val="en-GB" w:eastAsia="x-none"/>
        </w:rPr>
        <w:t xml:space="preserve"> KJP II outcomes.</w:t>
      </w:r>
    </w:p>
    <w:p w14:paraId="160578E4" w14:textId="77777777" w:rsidR="00D23EF4" w:rsidRDefault="00D23EF4" w:rsidP="00434A5A">
      <w:pPr>
        <w:jc w:val="both"/>
        <w:rPr>
          <w:lang w:val="en-GB" w:eastAsia="x-none"/>
        </w:rPr>
      </w:pPr>
    </w:p>
    <w:p w14:paraId="54C1E6D4" w14:textId="40206C2F" w:rsidR="00D23EF4" w:rsidRDefault="00D23EF4" w:rsidP="00434A5A">
      <w:pPr>
        <w:jc w:val="both"/>
        <w:rPr>
          <w:lang w:val="en-GB" w:eastAsia="x-none"/>
        </w:rPr>
      </w:pPr>
      <w:r w:rsidRPr="00D23EF4">
        <w:rPr>
          <w:lang w:val="en-GB" w:eastAsia="x-none"/>
        </w:rPr>
        <w:t xml:space="preserve">In 2023, the SDG Acceleration Fund through contributions from the Governments of Norway and Ireland supported all 4 outcomes and </w:t>
      </w:r>
      <w:r w:rsidR="00FA3CAC" w:rsidRPr="00D23EF4">
        <w:rPr>
          <w:lang w:val="en-GB" w:eastAsia="x-none"/>
        </w:rPr>
        <w:t>9</w:t>
      </w:r>
      <w:r w:rsidR="00FA3CAC">
        <w:rPr>
          <w:lang w:val="en-GB" w:eastAsia="x-none"/>
        </w:rPr>
        <w:t xml:space="preserve"> </w:t>
      </w:r>
      <w:r w:rsidRPr="00D23EF4">
        <w:rPr>
          <w:lang w:val="en-GB" w:eastAsia="x-none"/>
        </w:rPr>
        <w:t>corresponding  thematic areas.</w:t>
      </w:r>
      <w:r>
        <w:rPr>
          <w:lang w:val="en-GB" w:eastAsia="x-none"/>
        </w:rPr>
        <w:t xml:space="preserve">  </w:t>
      </w:r>
      <w:r w:rsidRPr="00D23EF4">
        <w:rPr>
          <w:lang w:val="en-GB" w:eastAsia="x-none"/>
        </w:rPr>
        <w:t>The United Nations programme cycle in Tanzania is synchronized with the government's fiscal year, operating from July to June. Funding for the 2023/24 programme year facilitated through the Multi-Partner Trust Fund Office (MPTFO)</w:t>
      </w:r>
      <w:r w:rsidR="00193F0E">
        <w:rPr>
          <w:lang w:val="en-GB" w:eastAsia="x-none"/>
        </w:rPr>
        <w:t xml:space="preserve"> was disbursed </w:t>
      </w:r>
      <w:r w:rsidRPr="00D23EF4">
        <w:rPr>
          <w:lang w:val="en-GB" w:eastAsia="x-none"/>
        </w:rPr>
        <w:t>in two tranches, specifically in July and September</w:t>
      </w:r>
      <w:r w:rsidR="00193F0E">
        <w:rPr>
          <w:lang w:val="en-GB" w:eastAsia="x-none"/>
        </w:rPr>
        <w:t xml:space="preserve"> 2023</w:t>
      </w:r>
      <w:r w:rsidRPr="00D23EF4">
        <w:rPr>
          <w:lang w:val="en-GB" w:eastAsia="x-none"/>
        </w:rPr>
        <w:t>.</w:t>
      </w:r>
      <w:r w:rsidR="00193F0E">
        <w:rPr>
          <w:lang w:val="en-GB" w:eastAsia="x-none"/>
        </w:rPr>
        <w:t xml:space="preserve"> </w:t>
      </w:r>
      <w:r w:rsidRPr="00D23EF4">
        <w:rPr>
          <w:lang w:val="en-GB" w:eastAsia="x-none"/>
        </w:rPr>
        <w:t xml:space="preserve"> This report primarily highlights the achievements supported by the Fund within the 2023 timeframe, covering activities and results from </w:t>
      </w:r>
      <w:r w:rsidR="00FA3CAC">
        <w:rPr>
          <w:lang w:val="en-GB" w:eastAsia="x-none"/>
        </w:rPr>
        <w:t>July</w:t>
      </w:r>
      <w:r w:rsidRPr="00D23EF4">
        <w:rPr>
          <w:lang w:val="en-GB" w:eastAsia="x-none"/>
        </w:rPr>
        <w:t xml:space="preserve"> to December 2023. </w:t>
      </w:r>
    </w:p>
    <w:p w14:paraId="1B5B7AF5" w14:textId="77777777" w:rsidR="005364A0" w:rsidRDefault="005364A0" w:rsidP="00C35B6E">
      <w:pPr>
        <w:jc w:val="both"/>
        <w:rPr>
          <w:lang w:val="en-GB" w:eastAsia="x-none"/>
        </w:rPr>
      </w:pPr>
    </w:p>
    <w:p w14:paraId="121C96C3" w14:textId="5B9BB61F" w:rsidR="00C35B6E" w:rsidRPr="00C35B6E" w:rsidRDefault="006A263A" w:rsidP="00A93A47">
      <w:pPr>
        <w:jc w:val="both"/>
        <w:rPr>
          <w:lang w:val="en-GB" w:eastAsia="x-none"/>
        </w:rPr>
      </w:pPr>
      <w:r w:rsidRPr="006A263A">
        <w:rPr>
          <w:lang w:val="en-GB" w:eastAsia="x-none"/>
        </w:rPr>
        <w:t xml:space="preserve">During the reporting period, the Kigoma Joint Programme (KJPII) prioritized the strengthening of case management for vulnerable children and women under the Violence Against Women and Children (VAWC) theme, focusing on scaling up and rolling out national guidelines across eight LGAs. This effort aimed to ensure continuity of prevention and response services, </w:t>
      </w:r>
      <w:r w:rsidR="00FA3CAC">
        <w:rPr>
          <w:lang w:val="en-GB" w:eastAsia="x-none"/>
        </w:rPr>
        <w:t xml:space="preserve">supported </w:t>
      </w:r>
      <w:r w:rsidRPr="006A263A">
        <w:rPr>
          <w:lang w:val="en-GB" w:eastAsia="x-none"/>
        </w:rPr>
        <w:t>by laws, regulations, and enhanced case management systems. Notably, the program</w:t>
      </w:r>
      <w:r w:rsidR="00FA3CAC">
        <w:rPr>
          <w:lang w:val="en-GB" w:eastAsia="x-none"/>
        </w:rPr>
        <w:t>me</w:t>
      </w:r>
      <w:r w:rsidRPr="006A263A">
        <w:rPr>
          <w:lang w:val="en-GB" w:eastAsia="x-none"/>
        </w:rPr>
        <w:t xml:space="preserve"> has generated substantial data on women seeking services, despite some targets remaining unmet due to funding shortages. Furthermore, the KJP II significantly contributed to improving Water, Sanitation, and Hygiene (WASH) services, benefiting over 208,000 individuals in selected LGAs. This initiative led to a reduction in waterborne diseases, increased school attendance among girls, and provided women with more time for income-generating activities.</w:t>
      </w:r>
      <w:r w:rsidR="00193F0E">
        <w:rPr>
          <w:lang w:val="en-GB" w:eastAsia="x-none"/>
        </w:rPr>
        <w:t xml:space="preserve"> U</w:t>
      </w:r>
      <w:r w:rsidR="007B5C59" w:rsidRPr="007B5C59">
        <w:rPr>
          <w:lang w:val="en-GB" w:eastAsia="x-none"/>
        </w:rPr>
        <w:t xml:space="preserve">nder the Health, HIV/AIDS, and Nutrition </w:t>
      </w:r>
      <w:r w:rsidR="00193F0E">
        <w:rPr>
          <w:lang w:val="en-GB" w:eastAsia="x-none"/>
        </w:rPr>
        <w:t xml:space="preserve">(Health +) </w:t>
      </w:r>
      <w:r w:rsidR="007B5C59" w:rsidRPr="007B5C59">
        <w:rPr>
          <w:lang w:val="en-GB" w:eastAsia="x-none"/>
        </w:rPr>
        <w:t xml:space="preserve">thematic area, the KJP aimed to strengthen primary healthcare systems, extend the coverage of nutrition-specific services, and enhance the procurement of essential medical equipment. These efforts have </w:t>
      </w:r>
      <w:r w:rsidR="007B5C59" w:rsidRPr="007B5C59">
        <w:rPr>
          <w:lang w:val="en-GB" w:eastAsia="x-none"/>
        </w:rPr>
        <w:lastRenderedPageBreak/>
        <w:t xml:space="preserve">contributed to improved antenatal and intrapartum care and a decrease in </w:t>
      </w:r>
      <w:r w:rsidR="007B5C59" w:rsidRPr="0067054A">
        <w:rPr>
          <w:lang w:val="en-GB" w:eastAsia="x-none"/>
        </w:rPr>
        <w:t>maternal deaths</w:t>
      </w:r>
      <w:r w:rsidR="0067054A">
        <w:rPr>
          <w:lang w:val="en-GB" w:eastAsia="x-none"/>
        </w:rPr>
        <w:t xml:space="preserve"> to </w:t>
      </w:r>
      <w:r w:rsidR="00D8715B">
        <w:rPr>
          <w:lang w:val="en-GB" w:eastAsia="x-none"/>
        </w:rPr>
        <w:t>76 deaths in 2023</w:t>
      </w:r>
      <w:r w:rsidR="007B5C59" w:rsidRPr="0067054A">
        <w:rPr>
          <w:lang w:val="en-GB" w:eastAsia="x-none"/>
        </w:rPr>
        <w:t>.</w:t>
      </w:r>
      <w:r w:rsidR="007B5C59">
        <w:rPr>
          <w:lang w:val="en-GB" w:eastAsia="x-none"/>
        </w:rPr>
        <w:t xml:space="preserve"> </w:t>
      </w:r>
      <w:r w:rsidR="00C35B6E" w:rsidRPr="00C35B6E">
        <w:rPr>
          <w:lang w:val="en-GB" w:eastAsia="x-none"/>
        </w:rPr>
        <w:t>Moreover, the program</w:t>
      </w:r>
      <w:r w:rsidR="00FA3CAC">
        <w:rPr>
          <w:lang w:val="en-GB" w:eastAsia="x-none"/>
        </w:rPr>
        <w:t>mes</w:t>
      </w:r>
      <w:r w:rsidR="00C35B6E" w:rsidRPr="00C35B6E">
        <w:rPr>
          <w:lang w:val="en-GB" w:eastAsia="x-none"/>
        </w:rPr>
        <w:t xml:space="preserve"> bolstered referral and HIV/AIDS services through community outreach and screening campaigns, with essential healthcare information. Additionally, initiatives like school feeding program</w:t>
      </w:r>
      <w:r w:rsidR="00FA3CAC">
        <w:rPr>
          <w:lang w:val="en-GB" w:eastAsia="x-none"/>
        </w:rPr>
        <w:t>me</w:t>
      </w:r>
      <w:r w:rsidR="00C35B6E" w:rsidRPr="00C35B6E">
        <w:rPr>
          <w:lang w:val="en-GB" w:eastAsia="x-none"/>
        </w:rPr>
        <w:t>s aimed to address micronutrient deficiencies among school-aged children, further contributing to improved health outcomes.</w:t>
      </w:r>
    </w:p>
    <w:p w14:paraId="6DD07BC5" w14:textId="77777777" w:rsidR="00C35B6E" w:rsidRPr="00C35B6E" w:rsidRDefault="00C35B6E" w:rsidP="00A93A47">
      <w:pPr>
        <w:jc w:val="both"/>
        <w:rPr>
          <w:lang w:val="en-GB" w:eastAsia="x-none"/>
        </w:rPr>
      </w:pPr>
    </w:p>
    <w:p w14:paraId="378F2CFA" w14:textId="77777777" w:rsidR="00193F0E" w:rsidRDefault="00C77978" w:rsidP="00A93A47">
      <w:pPr>
        <w:spacing w:line="259" w:lineRule="auto"/>
        <w:jc w:val="both"/>
        <w:rPr>
          <w:lang w:val="en-GB"/>
        </w:rPr>
      </w:pPr>
      <w:r w:rsidRPr="00C43F58">
        <w:rPr>
          <w:lang w:val="en-GB"/>
        </w:rPr>
        <w:t>The Prosperity outcome continued to empower small-scale producers such as farmers, as well as micro, small, and medium enterprises (MSMEs), with a special emphasis on initiatives led by women and youth in the informal sector. The interventions aimed to provide support to umbrella associations, cooperatives, Business Development Service providers, and extension service providers to promote economic growth and stability in the region.</w:t>
      </w:r>
      <w:r w:rsidR="00727F59" w:rsidRPr="00C43F58">
        <w:rPr>
          <w:lang w:val="en-GB"/>
        </w:rPr>
        <w:t xml:space="preserve">  During the reporting period, the KJPII reached  400 smallholder farmers  enhancing their knowledge on Climate Smart Agriculture and Good Agricultural Practices. Under the Planet outcome</w:t>
      </w:r>
      <w:r w:rsidR="00151383" w:rsidRPr="00C43F58">
        <w:rPr>
          <w:lang w:val="en-GB"/>
        </w:rPr>
        <w:t xml:space="preserve"> 7,</w:t>
      </w:r>
      <w:r w:rsidR="00727F59" w:rsidRPr="00C43F58">
        <w:rPr>
          <w:lang w:val="en-GB"/>
        </w:rPr>
        <w:t xml:space="preserve">765 residents </w:t>
      </w:r>
      <w:r w:rsidR="00151383" w:rsidRPr="00C43F58">
        <w:rPr>
          <w:lang w:val="en-GB"/>
        </w:rPr>
        <w:t xml:space="preserve">in two villages </w:t>
      </w:r>
      <w:r w:rsidR="00727F59" w:rsidRPr="00C43F58">
        <w:rPr>
          <w:lang w:val="en-GB"/>
        </w:rPr>
        <w:t xml:space="preserve">now have access to </w:t>
      </w:r>
      <w:r w:rsidR="00151383" w:rsidRPr="00C43F58">
        <w:rPr>
          <w:lang w:val="en-GB"/>
        </w:rPr>
        <w:t xml:space="preserve">clean water as result of the installation of </w:t>
      </w:r>
      <w:r w:rsidR="00727F59" w:rsidRPr="00C43F58">
        <w:rPr>
          <w:lang w:val="en-GB"/>
        </w:rPr>
        <w:t>two new climate-sensitive water supply systems</w:t>
      </w:r>
      <w:r w:rsidR="00151383" w:rsidRPr="00C43F58">
        <w:rPr>
          <w:lang w:val="en-GB"/>
        </w:rPr>
        <w:t xml:space="preserve">. </w:t>
      </w:r>
    </w:p>
    <w:p w14:paraId="1BBCBADC" w14:textId="77777777" w:rsidR="00193F0E" w:rsidRDefault="00193F0E" w:rsidP="00A93A47">
      <w:pPr>
        <w:spacing w:line="259" w:lineRule="auto"/>
        <w:jc w:val="both"/>
        <w:rPr>
          <w:lang w:val="en-GB"/>
        </w:rPr>
      </w:pPr>
    </w:p>
    <w:p w14:paraId="67CC7C5A" w14:textId="0ABD5042" w:rsidR="009B7DBA" w:rsidRPr="00C43F58" w:rsidRDefault="009B7DBA" w:rsidP="00A93A47">
      <w:pPr>
        <w:spacing w:line="259" w:lineRule="auto"/>
        <w:jc w:val="both"/>
        <w:rPr>
          <w:lang w:val="en-GB"/>
        </w:rPr>
      </w:pPr>
      <w:r w:rsidRPr="00C43F58">
        <w:rPr>
          <w:lang w:val="en-GB"/>
        </w:rPr>
        <w:t xml:space="preserve">Under the </w:t>
      </w:r>
      <w:r w:rsidR="00151383" w:rsidRPr="00C43F58">
        <w:rPr>
          <w:lang w:val="en-GB"/>
        </w:rPr>
        <w:t>G</w:t>
      </w:r>
      <w:r w:rsidRPr="00C43F58">
        <w:rPr>
          <w:lang w:val="en-GB"/>
        </w:rPr>
        <w:t>overnance outcome</w:t>
      </w:r>
      <w:r w:rsidR="00151383" w:rsidRPr="00C43F58">
        <w:rPr>
          <w:lang w:val="en-GB"/>
        </w:rPr>
        <w:t xml:space="preserve">,  a targeted session for </w:t>
      </w:r>
      <w:r w:rsidRPr="00C43F58">
        <w:t xml:space="preserve">104 local government staff </w:t>
      </w:r>
      <w:r w:rsidR="00151383" w:rsidRPr="00C43F58">
        <w:t xml:space="preserve">enhanced their capacities </w:t>
      </w:r>
      <w:r w:rsidRPr="00C43F58">
        <w:t xml:space="preserve">to </w:t>
      </w:r>
      <w:r w:rsidRPr="00C43F58">
        <w:rPr>
          <w:lang w:val="en-GB"/>
        </w:rPr>
        <w:t>manage local development projects, generate income and improve project implementation</w:t>
      </w:r>
      <w:r w:rsidR="00151383" w:rsidRPr="00C43F58">
        <w:rPr>
          <w:lang w:val="en-GB"/>
        </w:rPr>
        <w:t>.</w:t>
      </w:r>
    </w:p>
    <w:p w14:paraId="6F8E76F2" w14:textId="77777777" w:rsidR="00D23EF4" w:rsidRDefault="00D23EF4" w:rsidP="00A93A47">
      <w:pPr>
        <w:spacing w:line="259" w:lineRule="auto"/>
        <w:jc w:val="both"/>
        <w:rPr>
          <w:lang w:val="en-GB"/>
        </w:rPr>
      </w:pPr>
    </w:p>
    <w:p w14:paraId="7E01CFBA" w14:textId="78BC6353" w:rsidR="00C35B6E" w:rsidRDefault="00C35B6E" w:rsidP="00A93A47">
      <w:pPr>
        <w:spacing w:line="259" w:lineRule="auto"/>
        <w:jc w:val="both"/>
        <w:rPr>
          <w:lang w:val="en-GB"/>
        </w:rPr>
      </w:pPr>
      <w:r w:rsidRPr="7F2F1735">
        <w:rPr>
          <w:lang w:val="en-GB"/>
        </w:rPr>
        <w:t xml:space="preserve">Overall, </w:t>
      </w:r>
      <w:r w:rsidR="00151383">
        <w:rPr>
          <w:lang w:val="en-GB"/>
        </w:rPr>
        <w:t xml:space="preserve">during the reporting period, </w:t>
      </w:r>
      <w:r w:rsidRPr="7F2F1735">
        <w:rPr>
          <w:lang w:val="en-GB"/>
        </w:rPr>
        <w:t xml:space="preserve">the Kigoma Joint Programme II made </w:t>
      </w:r>
      <w:r w:rsidR="00151383">
        <w:rPr>
          <w:lang w:val="en-GB"/>
        </w:rPr>
        <w:t>progress</w:t>
      </w:r>
      <w:r w:rsidRPr="7F2F1735">
        <w:rPr>
          <w:lang w:val="en-GB"/>
        </w:rPr>
        <w:t xml:space="preserve"> in addressing socio-economic challenges in the region, underscoring the importance of sustained support and collaboration to achieve lasting impact and sustainable development.</w:t>
      </w:r>
    </w:p>
    <w:p w14:paraId="0990A8DF" w14:textId="77777777" w:rsidR="00346372" w:rsidRDefault="00346372" w:rsidP="00434A5A">
      <w:pPr>
        <w:jc w:val="both"/>
        <w:rPr>
          <w:lang w:val="en-GB" w:eastAsia="x-none"/>
        </w:rPr>
      </w:pPr>
    </w:p>
    <w:p w14:paraId="08CE6A45" w14:textId="77777777" w:rsidR="00D23EF4" w:rsidRDefault="00D23EF4" w:rsidP="00434A5A">
      <w:pPr>
        <w:jc w:val="both"/>
        <w:rPr>
          <w:lang w:val="en-GB" w:eastAsia="x-none"/>
        </w:rPr>
      </w:pPr>
    </w:p>
    <w:p w14:paraId="41A0410D" w14:textId="77777777" w:rsidR="00D23EF4" w:rsidRDefault="00D23EF4" w:rsidP="00434A5A">
      <w:pPr>
        <w:jc w:val="both"/>
        <w:rPr>
          <w:lang w:val="en-GB" w:eastAsia="x-none"/>
        </w:rPr>
      </w:pPr>
    </w:p>
    <w:p w14:paraId="771650EE" w14:textId="77777777" w:rsidR="00D23EF4" w:rsidRDefault="00D23EF4" w:rsidP="00434A5A">
      <w:pPr>
        <w:jc w:val="both"/>
        <w:rPr>
          <w:lang w:val="en-GB" w:eastAsia="x-none"/>
        </w:rPr>
      </w:pPr>
    </w:p>
    <w:p w14:paraId="5E3D6229" w14:textId="77777777" w:rsidR="00D23EF4" w:rsidRDefault="00D23EF4" w:rsidP="00434A5A">
      <w:pPr>
        <w:jc w:val="both"/>
        <w:rPr>
          <w:lang w:val="en-GB" w:eastAsia="x-none"/>
        </w:rPr>
      </w:pPr>
    </w:p>
    <w:p w14:paraId="3085D383" w14:textId="77777777" w:rsidR="00D23EF4" w:rsidRDefault="00D23EF4" w:rsidP="00434A5A">
      <w:pPr>
        <w:jc w:val="both"/>
        <w:rPr>
          <w:lang w:val="en-GB" w:eastAsia="x-none"/>
        </w:rPr>
      </w:pPr>
    </w:p>
    <w:p w14:paraId="1ABAEAFF" w14:textId="77777777" w:rsidR="00D23EF4" w:rsidRDefault="00D23EF4" w:rsidP="00434A5A">
      <w:pPr>
        <w:jc w:val="both"/>
        <w:rPr>
          <w:lang w:val="en-GB" w:eastAsia="x-none"/>
        </w:rPr>
      </w:pPr>
    </w:p>
    <w:p w14:paraId="214DB27B" w14:textId="77777777" w:rsidR="00D23EF4" w:rsidRDefault="00D23EF4" w:rsidP="00434A5A">
      <w:pPr>
        <w:jc w:val="both"/>
        <w:rPr>
          <w:lang w:val="en-GB" w:eastAsia="x-none"/>
        </w:rPr>
      </w:pPr>
    </w:p>
    <w:p w14:paraId="64F5D145" w14:textId="77777777" w:rsidR="00D23EF4" w:rsidRDefault="00D23EF4" w:rsidP="00434A5A">
      <w:pPr>
        <w:jc w:val="both"/>
        <w:rPr>
          <w:lang w:val="en-GB" w:eastAsia="x-none"/>
        </w:rPr>
      </w:pPr>
    </w:p>
    <w:p w14:paraId="184B626E" w14:textId="77777777" w:rsidR="00D23EF4" w:rsidRDefault="00D23EF4" w:rsidP="00434A5A">
      <w:pPr>
        <w:jc w:val="both"/>
        <w:rPr>
          <w:lang w:val="en-GB" w:eastAsia="x-none"/>
        </w:rPr>
      </w:pPr>
    </w:p>
    <w:p w14:paraId="2657B007" w14:textId="77777777" w:rsidR="00D23EF4" w:rsidRDefault="00D23EF4" w:rsidP="00434A5A">
      <w:pPr>
        <w:jc w:val="both"/>
        <w:rPr>
          <w:lang w:val="en-GB" w:eastAsia="x-none"/>
        </w:rPr>
      </w:pPr>
    </w:p>
    <w:p w14:paraId="25325501" w14:textId="77777777" w:rsidR="00D23EF4" w:rsidRDefault="00D23EF4" w:rsidP="00434A5A">
      <w:pPr>
        <w:jc w:val="both"/>
        <w:rPr>
          <w:lang w:val="en-GB" w:eastAsia="x-none"/>
        </w:rPr>
      </w:pPr>
    </w:p>
    <w:p w14:paraId="1F875974" w14:textId="77777777" w:rsidR="00D23EF4" w:rsidRDefault="00D23EF4" w:rsidP="00434A5A">
      <w:pPr>
        <w:jc w:val="both"/>
        <w:rPr>
          <w:lang w:val="en-GB" w:eastAsia="x-none"/>
        </w:rPr>
      </w:pPr>
    </w:p>
    <w:p w14:paraId="017A7D74" w14:textId="77777777" w:rsidR="00D23EF4" w:rsidRDefault="00D23EF4" w:rsidP="00434A5A">
      <w:pPr>
        <w:jc w:val="both"/>
        <w:rPr>
          <w:lang w:val="en-GB" w:eastAsia="x-none"/>
        </w:rPr>
      </w:pPr>
    </w:p>
    <w:p w14:paraId="6BE2487E" w14:textId="14173047" w:rsidR="00A93A47" w:rsidRDefault="00A93A47">
      <w:pPr>
        <w:rPr>
          <w:lang w:val="en-GB" w:eastAsia="x-none"/>
        </w:rPr>
      </w:pPr>
      <w:r>
        <w:rPr>
          <w:lang w:val="en-GB" w:eastAsia="x-none"/>
        </w:rPr>
        <w:br w:type="page"/>
      </w:r>
    </w:p>
    <w:p w14:paraId="58A3BE0D" w14:textId="77777777" w:rsidR="003F3B54" w:rsidRDefault="003F3B54">
      <w:pPr>
        <w:rPr>
          <w:lang w:val="en-GB" w:eastAsia="x-none"/>
        </w:rPr>
      </w:pPr>
    </w:p>
    <w:p w14:paraId="00D39202" w14:textId="77777777" w:rsidR="00AB0274" w:rsidRDefault="00AB0274" w:rsidP="000A5FBB">
      <w:pPr>
        <w:pStyle w:val="Heading1"/>
        <w:numPr>
          <w:ilvl w:val="0"/>
          <w:numId w:val="1"/>
        </w:numPr>
        <w:tabs>
          <w:tab w:val="clear" w:pos="1080"/>
          <w:tab w:val="left" w:pos="360"/>
        </w:tabs>
        <w:ind w:left="360" w:hanging="360"/>
        <w:rPr>
          <w:rFonts w:ascii="Times New Roman" w:hAnsi="Times New Roman"/>
          <w:sz w:val="24"/>
          <w:szCs w:val="24"/>
          <w:lang w:val="en-GB"/>
        </w:rPr>
      </w:pPr>
      <w:bookmarkStart w:id="2" w:name="_Toc164176749"/>
      <w:bookmarkStart w:id="3" w:name="_Toc164177129"/>
      <w:bookmarkStart w:id="4" w:name="_Toc164176750"/>
      <w:bookmarkStart w:id="5" w:name="_Toc164177130"/>
      <w:bookmarkStart w:id="6" w:name="_Toc164236822"/>
      <w:bookmarkEnd w:id="2"/>
      <w:bookmarkEnd w:id="3"/>
      <w:bookmarkEnd w:id="4"/>
      <w:bookmarkEnd w:id="5"/>
      <w:r w:rsidRPr="00574596">
        <w:rPr>
          <w:rFonts w:ascii="Times New Roman" w:hAnsi="Times New Roman"/>
          <w:sz w:val="24"/>
          <w:szCs w:val="24"/>
          <w:lang w:val="en-GB"/>
        </w:rPr>
        <w:t>Purpose</w:t>
      </w:r>
      <w:bookmarkEnd w:id="0"/>
      <w:bookmarkEnd w:id="6"/>
    </w:p>
    <w:p w14:paraId="5047A4E1" w14:textId="77777777" w:rsidR="001608F6" w:rsidRPr="001608F6" w:rsidRDefault="001608F6" w:rsidP="001608F6">
      <w:pPr>
        <w:rPr>
          <w:lang w:val="en-GB" w:eastAsia="x-none"/>
        </w:rPr>
      </w:pPr>
    </w:p>
    <w:p w14:paraId="13F6BD6D" w14:textId="65485ACB" w:rsidR="00EB6245" w:rsidRPr="00EB6245" w:rsidRDefault="00EB6245" w:rsidP="00EB6245">
      <w:pPr>
        <w:jc w:val="both"/>
        <w:rPr>
          <w:lang w:val="en-GB" w:eastAsia="x-none"/>
        </w:rPr>
      </w:pPr>
      <w:r w:rsidRPr="00EB6245">
        <w:rPr>
          <w:lang w:val="en-GB" w:eastAsia="x-none"/>
        </w:rPr>
        <w:t xml:space="preserve">The United Nations System in Tanzania </w:t>
      </w:r>
      <w:r w:rsidR="00C15A7D">
        <w:rPr>
          <w:lang w:val="en-GB" w:eastAsia="x-none"/>
        </w:rPr>
        <w:t>provides</w:t>
      </w:r>
      <w:r w:rsidRPr="00EB6245">
        <w:rPr>
          <w:lang w:val="en-GB" w:eastAsia="x-none"/>
        </w:rPr>
        <w:t xml:space="preserve"> targeted support to address persistent socio-economic challenges faced by the Kigoma region through the implementation of a second phase of the Kigoma Joint Programme (KJP II). This phase, which commenced in December 2022 and is projected to conclude in June 2027, aligns with the duration of the UN Sustainable Development Cooperation Framework (2022-2027).</w:t>
      </w:r>
    </w:p>
    <w:p w14:paraId="7BCDB5F7" w14:textId="77777777" w:rsidR="00EB6245" w:rsidRPr="00EB6245" w:rsidRDefault="00EB6245" w:rsidP="00EB6245">
      <w:pPr>
        <w:jc w:val="both"/>
        <w:rPr>
          <w:lang w:val="en-GB" w:eastAsia="x-none"/>
        </w:rPr>
      </w:pPr>
    </w:p>
    <w:p w14:paraId="118FA568" w14:textId="7C773829" w:rsidR="00F377B6" w:rsidRDefault="00EB6245" w:rsidP="00434A5A">
      <w:pPr>
        <w:jc w:val="both"/>
        <w:rPr>
          <w:lang w:val="en-GB" w:eastAsia="x-none"/>
        </w:rPr>
      </w:pPr>
      <w:r w:rsidRPr="00EB6245">
        <w:rPr>
          <w:lang w:val="en-GB" w:eastAsia="x-none"/>
        </w:rPr>
        <w:t xml:space="preserve">The KPJ II builds on results achieved in the first phase of implementation, which took place from 2017 to 2022, drawing from lessons learned to outline proposed interventions under the overall framework of the four priority areas of the 2022-2027 United Nations Sustainable Development Cooperation Framework (UNSDCF), </w:t>
      </w:r>
      <w:r w:rsidR="001608F6">
        <w:rPr>
          <w:lang w:val="en-GB" w:eastAsia="x-none"/>
        </w:rPr>
        <w:t>t</w:t>
      </w:r>
      <w:r w:rsidRPr="00EB6245">
        <w:rPr>
          <w:lang w:val="en-GB" w:eastAsia="x-none"/>
        </w:rPr>
        <w:t xml:space="preserve">he Third National Five-Year Development Plan (FYDP III) 2021/2026, and the Agenda 2030, including its </w:t>
      </w:r>
      <w:r w:rsidR="001608F6">
        <w:rPr>
          <w:lang w:val="en-GB" w:eastAsia="x-none"/>
        </w:rPr>
        <w:t xml:space="preserve">commitment </w:t>
      </w:r>
      <w:r w:rsidRPr="00EB6245">
        <w:rPr>
          <w:lang w:val="en-GB" w:eastAsia="x-none"/>
        </w:rPr>
        <w:t>to leave no one behind, and various human rights commitments. The KJPII also leverages existing national program</w:t>
      </w:r>
      <w:r w:rsidR="00250090">
        <w:rPr>
          <w:lang w:val="en-GB" w:eastAsia="x-none"/>
        </w:rPr>
        <w:t>me</w:t>
      </w:r>
      <w:r w:rsidRPr="00EB6245">
        <w:rPr>
          <w:lang w:val="en-GB" w:eastAsia="x-none"/>
        </w:rPr>
        <w:t xml:space="preserve"> and lessons from other sub-national interventions.</w:t>
      </w:r>
      <w:r w:rsidR="006E72E9">
        <w:rPr>
          <w:lang w:val="en-GB" w:eastAsia="x-none"/>
        </w:rPr>
        <w:t xml:space="preserve"> </w:t>
      </w:r>
    </w:p>
    <w:p w14:paraId="35391FB4" w14:textId="77777777" w:rsidR="00D23EF4" w:rsidRPr="00D23EF4" w:rsidRDefault="00D23EF4" w:rsidP="00D23EF4">
      <w:pPr>
        <w:jc w:val="both"/>
        <w:rPr>
          <w:lang w:val="en-GB" w:eastAsia="x-none"/>
        </w:rPr>
      </w:pPr>
    </w:p>
    <w:p w14:paraId="6B821C85" w14:textId="77777777" w:rsidR="00D23EF4" w:rsidRPr="00D23EF4" w:rsidRDefault="00D23EF4" w:rsidP="00D23EF4">
      <w:pPr>
        <w:jc w:val="both"/>
        <w:rPr>
          <w:lang w:val="en-GB" w:eastAsia="x-none"/>
        </w:rPr>
      </w:pPr>
      <w:r w:rsidRPr="00D23EF4">
        <w:rPr>
          <w:b/>
          <w:bCs/>
          <w:lang w:val="en-GB" w:eastAsia="x-none"/>
        </w:rPr>
        <w:t>KJP II Outcomes, themes and the participating agencies</w:t>
      </w:r>
      <w:r w:rsidRPr="00D23EF4">
        <w:rPr>
          <w:lang w:val="en-GB" w:eastAsia="x-none"/>
        </w:rPr>
        <w:t>.</w:t>
      </w:r>
    </w:p>
    <w:p w14:paraId="798D1C3D" w14:textId="77777777" w:rsidR="00D23EF4" w:rsidRPr="00D23EF4" w:rsidRDefault="00D23EF4" w:rsidP="00D23EF4">
      <w:pPr>
        <w:jc w:val="both"/>
        <w:rPr>
          <w:lang w:val="en-GB" w:eastAsia="x-none"/>
        </w:rPr>
      </w:pPr>
      <w:r w:rsidRPr="00D23EF4">
        <w:rPr>
          <w:noProof/>
          <w:lang w:eastAsia="x-none"/>
        </w:rPr>
        <w:drawing>
          <wp:inline distT="0" distB="0" distL="0" distR="0" wp14:anchorId="103813AC" wp14:editId="52575DE3">
            <wp:extent cx="6216083" cy="2633189"/>
            <wp:effectExtent l="0" t="0" r="0" b="0"/>
            <wp:docPr id="29568421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6498" cy="2637601"/>
                    </a:xfrm>
                    <a:prstGeom prst="rect">
                      <a:avLst/>
                    </a:prstGeom>
                    <a:noFill/>
                    <a:ln>
                      <a:noFill/>
                    </a:ln>
                  </pic:spPr>
                </pic:pic>
              </a:graphicData>
            </a:graphic>
          </wp:inline>
        </w:drawing>
      </w:r>
    </w:p>
    <w:p w14:paraId="35814F2A" w14:textId="7E85BC58" w:rsidR="00D23EF4" w:rsidRPr="00D23EF4" w:rsidRDefault="00D23EF4" w:rsidP="00D23EF4">
      <w:pPr>
        <w:jc w:val="both"/>
        <w:rPr>
          <w:lang w:val="en-GB" w:eastAsia="x-none"/>
        </w:rPr>
      </w:pPr>
      <w:r w:rsidRPr="00D23EF4">
        <w:rPr>
          <w:lang w:val="en-GB" w:eastAsia="x-none"/>
        </w:rPr>
        <w:t xml:space="preserve">The Tanzania Sustainable Development Goals (SDG) Acceleration Fund plays a crucial role in supporting the Kigoma Joint Programme (KJP) by allocating financial resources to </w:t>
      </w:r>
      <w:r w:rsidR="005D3A1F">
        <w:rPr>
          <w:lang w:val="en-GB" w:eastAsia="x-none"/>
        </w:rPr>
        <w:t>common results</w:t>
      </w:r>
      <w:r w:rsidRPr="00D23EF4">
        <w:rPr>
          <w:lang w:val="en-GB" w:eastAsia="x-none"/>
        </w:rPr>
        <w:t xml:space="preserve"> within each thematic area that have been collaboratively identified and prioritized by the Participating United Nations Organizations (PUNOs) and the local government. This strategic funding significantly narrow</w:t>
      </w:r>
      <w:r w:rsidR="005D3A1F">
        <w:rPr>
          <w:lang w:val="en-GB" w:eastAsia="x-none"/>
        </w:rPr>
        <w:t>ed</w:t>
      </w:r>
      <w:r w:rsidRPr="00D23EF4">
        <w:rPr>
          <w:lang w:val="en-GB" w:eastAsia="x-none"/>
        </w:rPr>
        <w:t xml:space="preserve"> the financial gap for the programme, covering almost 70% of the </w:t>
      </w:r>
      <w:r w:rsidR="005D3A1F">
        <w:rPr>
          <w:lang w:val="en-GB" w:eastAsia="x-none"/>
        </w:rPr>
        <w:t xml:space="preserve">annual </w:t>
      </w:r>
      <w:r w:rsidRPr="00D23EF4">
        <w:rPr>
          <w:lang w:val="en-GB" w:eastAsia="x-none"/>
        </w:rPr>
        <w:t xml:space="preserve">required funds for each thematic area. The </w:t>
      </w:r>
      <w:r w:rsidR="001608F6">
        <w:rPr>
          <w:lang w:val="en-GB" w:eastAsia="x-none"/>
        </w:rPr>
        <w:t>F</w:t>
      </w:r>
      <w:r w:rsidRPr="00D23EF4">
        <w:rPr>
          <w:lang w:val="en-GB" w:eastAsia="x-none"/>
        </w:rPr>
        <w:t xml:space="preserve">und enables the implementation of the programme activities aimed to </w:t>
      </w:r>
      <w:r w:rsidR="005D3A1F">
        <w:rPr>
          <w:lang w:val="en-GB" w:eastAsia="x-none"/>
        </w:rPr>
        <w:t>advance</w:t>
      </w:r>
      <w:r w:rsidRPr="00D23EF4">
        <w:rPr>
          <w:lang w:val="en-GB" w:eastAsia="x-none"/>
        </w:rPr>
        <w:t xml:space="preserve"> the Sustainable Development Goals at </w:t>
      </w:r>
      <w:r w:rsidR="005D3A1F">
        <w:rPr>
          <w:lang w:val="en-GB" w:eastAsia="x-none"/>
        </w:rPr>
        <w:t>s</w:t>
      </w:r>
      <w:r w:rsidRPr="00D23EF4">
        <w:rPr>
          <w:lang w:val="en-GB" w:eastAsia="x-none"/>
        </w:rPr>
        <w:t xml:space="preserve">ub </w:t>
      </w:r>
      <w:r w:rsidR="005D3A1F">
        <w:rPr>
          <w:lang w:val="en-GB" w:eastAsia="x-none"/>
        </w:rPr>
        <w:t>n</w:t>
      </w:r>
      <w:r w:rsidRPr="00D23EF4">
        <w:rPr>
          <w:lang w:val="en-GB" w:eastAsia="x-none"/>
        </w:rPr>
        <w:t xml:space="preserve">ational </w:t>
      </w:r>
      <w:r w:rsidR="005D3A1F">
        <w:rPr>
          <w:lang w:val="en-GB" w:eastAsia="x-none"/>
        </w:rPr>
        <w:t>l</w:t>
      </w:r>
      <w:r w:rsidRPr="00D23EF4">
        <w:rPr>
          <w:lang w:val="en-GB" w:eastAsia="x-none"/>
        </w:rPr>
        <w:t>evel for a more sustainable and prosperous region.</w:t>
      </w:r>
    </w:p>
    <w:p w14:paraId="3CC6D39A" w14:textId="77777777" w:rsidR="00D23EF4" w:rsidRDefault="00D23EF4" w:rsidP="00D23EF4">
      <w:pPr>
        <w:jc w:val="both"/>
        <w:rPr>
          <w:lang w:val="en-GB" w:eastAsia="x-none"/>
        </w:rPr>
      </w:pPr>
    </w:p>
    <w:p w14:paraId="2FE38143" w14:textId="508516F8" w:rsidR="00A93A47" w:rsidRDefault="00A93A47" w:rsidP="00D23EF4">
      <w:pPr>
        <w:jc w:val="both"/>
        <w:rPr>
          <w:lang w:val="en-GB" w:eastAsia="x-none"/>
        </w:rPr>
      </w:pPr>
      <w:r w:rsidRPr="00A93A47">
        <w:rPr>
          <w:lang w:val="en-GB" w:eastAsia="x-none"/>
        </w:rPr>
        <w:t>The Tanzania Sustainable Development Goals (SDG) Acceleration Fund plays a crucial role in supporting the Kigoma Joint Programme (KJPII) by allocating financial resources to initiatives within each thematic area that have been collaboratively identified and prioritized by the Participating United Nations Organizations (PUNOs) and the local government. This strategic funding significantly narrows the financial gap for the programme, covering almost 70% of the required funds for each thematic area. The fund enables the implementation of the programme activities aimed to achieving the Sustainable Development Goals at Sub National Level, paving the way for a more sustainable and prosperous region.</w:t>
      </w:r>
    </w:p>
    <w:p w14:paraId="26AC984D" w14:textId="77777777" w:rsidR="00A93A47" w:rsidRPr="00D23EF4" w:rsidRDefault="00A93A47" w:rsidP="00D23EF4">
      <w:pPr>
        <w:jc w:val="both"/>
        <w:rPr>
          <w:lang w:val="en-GB" w:eastAsia="x-none"/>
        </w:rPr>
      </w:pPr>
    </w:p>
    <w:p w14:paraId="32B09084" w14:textId="08EF7671" w:rsidR="00D23EF4" w:rsidRPr="00D23EF4" w:rsidRDefault="00D23EF4" w:rsidP="00D23EF4">
      <w:pPr>
        <w:jc w:val="both"/>
        <w:rPr>
          <w:lang w:val="en-GB" w:eastAsia="x-none"/>
        </w:rPr>
      </w:pPr>
      <w:r w:rsidRPr="00D23EF4">
        <w:rPr>
          <w:lang w:val="en-GB" w:eastAsia="x-none"/>
        </w:rPr>
        <w:lastRenderedPageBreak/>
        <w:t xml:space="preserve">The United Nations programme cycle in Tanzania is synchronized with the government's fiscal year, operating from July to June. Funding for the 2023/24 programme year </w:t>
      </w:r>
      <w:r w:rsidR="005D3A1F">
        <w:rPr>
          <w:lang w:val="en-GB" w:eastAsia="x-none"/>
        </w:rPr>
        <w:t xml:space="preserve">the </w:t>
      </w:r>
      <w:r w:rsidRPr="00D23EF4">
        <w:rPr>
          <w:lang w:val="en-GB" w:eastAsia="x-none"/>
        </w:rPr>
        <w:t>was facilitated through the Multi-Partner Trust Fund Office (MPTFO), with disbursements made in two tranches, specifically in July and September</w:t>
      </w:r>
      <w:r w:rsidR="005D3A1F">
        <w:rPr>
          <w:lang w:val="en-GB" w:eastAsia="x-none"/>
        </w:rPr>
        <w:t>, through the SDG Acceleration Fund’s cross-cutting window</w:t>
      </w:r>
      <w:r w:rsidRPr="00D23EF4">
        <w:rPr>
          <w:lang w:val="en-GB" w:eastAsia="x-none"/>
        </w:rPr>
        <w:t xml:space="preserve">. </w:t>
      </w:r>
    </w:p>
    <w:p w14:paraId="3AA4DC10" w14:textId="77777777" w:rsidR="00D23EF4" w:rsidRPr="00D23EF4" w:rsidRDefault="00D23EF4" w:rsidP="00D23EF4">
      <w:pPr>
        <w:jc w:val="both"/>
        <w:rPr>
          <w:lang w:val="en-GB" w:eastAsia="x-none"/>
        </w:rPr>
      </w:pPr>
    </w:p>
    <w:p w14:paraId="70979BE7" w14:textId="1E900A95" w:rsidR="00A93A47" w:rsidRPr="00A93A47" w:rsidRDefault="00A93A47" w:rsidP="00A93A47">
      <w:pPr>
        <w:jc w:val="both"/>
        <w:rPr>
          <w:b/>
          <w:bCs/>
          <w:lang w:val="en-GB" w:eastAsia="x-none"/>
        </w:rPr>
      </w:pPr>
      <w:r w:rsidRPr="00A93A47">
        <w:rPr>
          <w:b/>
          <w:bCs/>
          <w:lang w:val="en-GB" w:eastAsia="x-none"/>
        </w:rPr>
        <w:t>MPTF disbursements per outcome and theme and round</w:t>
      </w:r>
      <w:r w:rsidR="00193F0E">
        <w:rPr>
          <w:b/>
          <w:bCs/>
          <w:lang w:val="en-GB" w:eastAsia="x-none"/>
        </w:rPr>
        <w:t>, 2023</w:t>
      </w:r>
    </w:p>
    <w:tbl>
      <w:tblPr>
        <w:tblW w:w="10632" w:type="dxa"/>
        <w:tblInd w:w="-5" w:type="dxa"/>
        <w:tblLayout w:type="fixed"/>
        <w:tblLook w:val="04A0" w:firstRow="1" w:lastRow="0" w:firstColumn="1" w:lastColumn="0" w:noHBand="0" w:noVBand="1"/>
      </w:tblPr>
      <w:tblGrid>
        <w:gridCol w:w="2070"/>
        <w:gridCol w:w="2140"/>
        <w:gridCol w:w="2141"/>
        <w:gridCol w:w="2140"/>
        <w:gridCol w:w="2141"/>
      </w:tblGrid>
      <w:tr w:rsidR="00A93A47" w:rsidRPr="00A93A47" w14:paraId="58EE8892" w14:textId="77777777" w:rsidTr="00A93A47">
        <w:trPr>
          <w:trHeight w:val="1176"/>
        </w:trPr>
        <w:tc>
          <w:tcPr>
            <w:tcW w:w="207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344D812" w14:textId="77777777" w:rsidR="00A93A47" w:rsidRPr="00A93A47" w:rsidRDefault="00A93A47" w:rsidP="00A93A47">
            <w:pPr>
              <w:jc w:val="both"/>
              <w:rPr>
                <w:b/>
                <w:bCs/>
                <w:lang w:eastAsia="x-none"/>
              </w:rPr>
            </w:pPr>
            <w:r w:rsidRPr="00A93A47">
              <w:rPr>
                <w:b/>
                <w:bCs/>
                <w:lang w:eastAsia="x-none"/>
              </w:rPr>
              <w:t>Outcome:</w:t>
            </w:r>
          </w:p>
        </w:tc>
        <w:tc>
          <w:tcPr>
            <w:tcW w:w="2140" w:type="dxa"/>
            <w:tcBorders>
              <w:top w:val="single" w:sz="4" w:space="0" w:color="auto"/>
              <w:left w:val="nil"/>
              <w:bottom w:val="single" w:sz="4" w:space="0" w:color="auto"/>
              <w:right w:val="single" w:sz="4" w:space="0" w:color="auto"/>
            </w:tcBorders>
            <w:shd w:val="clear" w:color="000000" w:fill="DDEBF7"/>
            <w:noWrap/>
            <w:vAlign w:val="center"/>
            <w:hideMark/>
          </w:tcPr>
          <w:p w14:paraId="0321D46E" w14:textId="77777777" w:rsidR="00A93A47" w:rsidRPr="00A93A47" w:rsidRDefault="00A93A47" w:rsidP="00A93A47">
            <w:pPr>
              <w:jc w:val="both"/>
              <w:rPr>
                <w:b/>
                <w:bCs/>
                <w:lang w:eastAsia="x-none"/>
              </w:rPr>
            </w:pPr>
            <w:r w:rsidRPr="00A93A47">
              <w:rPr>
                <w:b/>
                <w:bCs/>
                <w:lang w:eastAsia="x-none"/>
              </w:rPr>
              <w:t xml:space="preserve"> Theme: </w:t>
            </w:r>
          </w:p>
        </w:tc>
        <w:tc>
          <w:tcPr>
            <w:tcW w:w="2141" w:type="dxa"/>
            <w:tcBorders>
              <w:top w:val="single" w:sz="4" w:space="0" w:color="auto"/>
              <w:left w:val="nil"/>
              <w:bottom w:val="single" w:sz="4" w:space="0" w:color="auto"/>
              <w:right w:val="single" w:sz="4" w:space="0" w:color="auto"/>
            </w:tcBorders>
            <w:shd w:val="clear" w:color="000000" w:fill="DDEBF7"/>
            <w:vAlign w:val="center"/>
            <w:hideMark/>
          </w:tcPr>
          <w:p w14:paraId="43DF21AE" w14:textId="77777777" w:rsidR="00A93A47" w:rsidRPr="00A93A47" w:rsidRDefault="00A93A47" w:rsidP="00A93A47">
            <w:pPr>
              <w:jc w:val="both"/>
              <w:rPr>
                <w:b/>
                <w:bCs/>
                <w:lang w:eastAsia="x-none"/>
              </w:rPr>
            </w:pPr>
            <w:r w:rsidRPr="00A93A47">
              <w:rPr>
                <w:b/>
                <w:bCs/>
                <w:lang w:eastAsia="x-none"/>
              </w:rPr>
              <w:t xml:space="preserve"> 1st disbursement round </w:t>
            </w:r>
          </w:p>
        </w:tc>
        <w:tc>
          <w:tcPr>
            <w:tcW w:w="2140" w:type="dxa"/>
            <w:tcBorders>
              <w:top w:val="single" w:sz="4" w:space="0" w:color="auto"/>
              <w:left w:val="nil"/>
              <w:bottom w:val="single" w:sz="4" w:space="0" w:color="auto"/>
              <w:right w:val="single" w:sz="4" w:space="0" w:color="auto"/>
            </w:tcBorders>
            <w:shd w:val="clear" w:color="000000" w:fill="DDEBF7"/>
            <w:vAlign w:val="center"/>
            <w:hideMark/>
          </w:tcPr>
          <w:p w14:paraId="621BF702" w14:textId="77777777" w:rsidR="00A93A47" w:rsidRPr="00A93A47" w:rsidRDefault="00A93A47" w:rsidP="00A93A47">
            <w:pPr>
              <w:jc w:val="both"/>
              <w:rPr>
                <w:b/>
                <w:bCs/>
                <w:lang w:eastAsia="x-none"/>
              </w:rPr>
            </w:pPr>
            <w:r w:rsidRPr="00A93A47">
              <w:rPr>
                <w:b/>
                <w:bCs/>
                <w:lang w:eastAsia="x-none"/>
              </w:rPr>
              <w:t xml:space="preserve"> 2nd disbursement round </w:t>
            </w:r>
          </w:p>
        </w:tc>
        <w:tc>
          <w:tcPr>
            <w:tcW w:w="2141" w:type="dxa"/>
            <w:tcBorders>
              <w:top w:val="single" w:sz="4" w:space="0" w:color="auto"/>
              <w:left w:val="nil"/>
              <w:bottom w:val="single" w:sz="4" w:space="0" w:color="auto"/>
              <w:right w:val="single" w:sz="4" w:space="0" w:color="auto"/>
            </w:tcBorders>
            <w:shd w:val="clear" w:color="000000" w:fill="DDEBF7"/>
            <w:vAlign w:val="center"/>
            <w:hideMark/>
          </w:tcPr>
          <w:p w14:paraId="65DFE203" w14:textId="77777777" w:rsidR="00A93A47" w:rsidRPr="00A93A47" w:rsidRDefault="00A93A47" w:rsidP="00A93A47">
            <w:pPr>
              <w:jc w:val="both"/>
              <w:rPr>
                <w:b/>
                <w:bCs/>
                <w:lang w:eastAsia="x-none"/>
              </w:rPr>
            </w:pPr>
            <w:r w:rsidRPr="00A93A47">
              <w:rPr>
                <w:b/>
                <w:bCs/>
                <w:lang w:eastAsia="x-none"/>
              </w:rPr>
              <w:t xml:space="preserve"> Total from the SDG Acceleration Fund, US$  </w:t>
            </w:r>
          </w:p>
        </w:tc>
      </w:tr>
      <w:tr w:rsidR="00A93A47" w:rsidRPr="00A93A47" w14:paraId="0FC77AEB" w14:textId="77777777" w:rsidTr="00A93A47">
        <w:trPr>
          <w:trHeight w:val="288"/>
        </w:trPr>
        <w:tc>
          <w:tcPr>
            <w:tcW w:w="2070" w:type="dxa"/>
            <w:vMerge w:val="restart"/>
            <w:tcBorders>
              <w:top w:val="nil"/>
              <w:left w:val="single" w:sz="4" w:space="0" w:color="auto"/>
              <w:bottom w:val="single" w:sz="4" w:space="0" w:color="000000"/>
              <w:right w:val="single" w:sz="4" w:space="0" w:color="auto"/>
            </w:tcBorders>
            <w:shd w:val="clear" w:color="000000" w:fill="DDEBF7"/>
            <w:vAlign w:val="center"/>
            <w:hideMark/>
          </w:tcPr>
          <w:p w14:paraId="51FA3011" w14:textId="77777777" w:rsidR="00A93A47" w:rsidRPr="00A93A47" w:rsidRDefault="00A93A47" w:rsidP="00A93A47">
            <w:pPr>
              <w:jc w:val="both"/>
              <w:rPr>
                <w:b/>
                <w:bCs/>
                <w:lang w:eastAsia="x-none"/>
              </w:rPr>
            </w:pPr>
            <w:r w:rsidRPr="00A93A47">
              <w:rPr>
                <w:b/>
                <w:bCs/>
                <w:lang w:eastAsia="x-none"/>
              </w:rPr>
              <w:t>PEOPLE</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0612CCA7" w14:textId="77777777" w:rsidR="00A93A47" w:rsidRPr="00A93A47" w:rsidRDefault="00A93A47" w:rsidP="00A93A47">
            <w:pPr>
              <w:jc w:val="both"/>
              <w:rPr>
                <w:lang w:eastAsia="x-none"/>
              </w:rPr>
            </w:pPr>
            <w:r w:rsidRPr="00A93A47">
              <w:rPr>
                <w:lang w:eastAsia="x-none"/>
              </w:rPr>
              <w:t xml:space="preserve"> VAWC </w:t>
            </w:r>
          </w:p>
        </w:tc>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1D94B" w14:textId="77777777" w:rsidR="00A93A47" w:rsidRPr="00A93A47" w:rsidRDefault="00A93A47" w:rsidP="00A93A47">
            <w:pPr>
              <w:jc w:val="both"/>
              <w:rPr>
                <w:lang w:eastAsia="x-none"/>
              </w:rPr>
            </w:pPr>
            <w:r w:rsidRPr="00A93A47">
              <w:rPr>
                <w:lang w:eastAsia="x-none"/>
              </w:rPr>
              <w:t>435,000</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9D5AE" w14:textId="77777777" w:rsidR="00A93A47" w:rsidRPr="00A93A47" w:rsidRDefault="00A93A47" w:rsidP="00A93A47">
            <w:pPr>
              <w:jc w:val="both"/>
              <w:rPr>
                <w:lang w:eastAsia="x-none"/>
              </w:rPr>
            </w:pPr>
            <w:r w:rsidRPr="00A93A47">
              <w:rPr>
                <w:lang w:eastAsia="x-none"/>
              </w:rPr>
              <w:t>-</w:t>
            </w:r>
          </w:p>
        </w:tc>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76056" w14:textId="77777777" w:rsidR="00A93A47" w:rsidRPr="00A93A47" w:rsidRDefault="00A93A47" w:rsidP="00A93A47">
            <w:pPr>
              <w:jc w:val="both"/>
              <w:rPr>
                <w:lang w:eastAsia="x-none"/>
              </w:rPr>
            </w:pPr>
            <w:r w:rsidRPr="00A93A47">
              <w:rPr>
                <w:lang w:eastAsia="x-none"/>
              </w:rPr>
              <w:t>435,000</w:t>
            </w:r>
          </w:p>
        </w:tc>
      </w:tr>
      <w:tr w:rsidR="00A93A47" w:rsidRPr="00A93A47" w14:paraId="04317912" w14:textId="77777777" w:rsidTr="00A93A47">
        <w:trPr>
          <w:trHeight w:val="288"/>
        </w:trPr>
        <w:tc>
          <w:tcPr>
            <w:tcW w:w="2070" w:type="dxa"/>
            <w:vMerge/>
            <w:tcBorders>
              <w:top w:val="nil"/>
              <w:left w:val="single" w:sz="4" w:space="0" w:color="auto"/>
              <w:bottom w:val="single" w:sz="4" w:space="0" w:color="000000"/>
              <w:right w:val="single" w:sz="4" w:space="0" w:color="auto"/>
            </w:tcBorders>
            <w:vAlign w:val="center"/>
            <w:hideMark/>
          </w:tcPr>
          <w:p w14:paraId="72C33B45" w14:textId="77777777" w:rsidR="00A93A47" w:rsidRPr="00A93A47" w:rsidRDefault="00A93A47" w:rsidP="00A93A47">
            <w:pPr>
              <w:jc w:val="both"/>
              <w:rPr>
                <w:b/>
                <w:bCs/>
                <w:lang w:eastAsia="x-none"/>
              </w:rPr>
            </w:pP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46C5C538" w14:textId="77777777" w:rsidR="00A93A47" w:rsidRPr="00A93A47" w:rsidRDefault="00A93A47" w:rsidP="00A93A47">
            <w:pPr>
              <w:jc w:val="both"/>
              <w:rPr>
                <w:lang w:eastAsia="x-none"/>
              </w:rPr>
            </w:pPr>
            <w:r w:rsidRPr="00A93A47">
              <w:rPr>
                <w:lang w:eastAsia="x-none"/>
              </w:rPr>
              <w:t xml:space="preserve"> Education </w:t>
            </w:r>
          </w:p>
        </w:tc>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BD8A0" w14:textId="77777777" w:rsidR="00A93A47" w:rsidRPr="00A93A47" w:rsidRDefault="00A93A47" w:rsidP="00A93A47">
            <w:pPr>
              <w:jc w:val="both"/>
              <w:rPr>
                <w:lang w:eastAsia="x-none"/>
              </w:rPr>
            </w:pPr>
            <w:r w:rsidRPr="00A93A47">
              <w:rPr>
                <w:lang w:eastAsia="x-none"/>
              </w:rPr>
              <w:t>227,000</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23F74" w14:textId="77777777" w:rsidR="00A93A47" w:rsidRPr="00A93A47" w:rsidRDefault="00A93A47" w:rsidP="00A93A47">
            <w:pPr>
              <w:jc w:val="both"/>
              <w:rPr>
                <w:lang w:eastAsia="x-none"/>
              </w:rPr>
            </w:pPr>
            <w:r w:rsidRPr="00A93A47">
              <w:rPr>
                <w:lang w:eastAsia="x-none"/>
              </w:rPr>
              <w:t>-</w:t>
            </w:r>
          </w:p>
        </w:tc>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90A00" w14:textId="77777777" w:rsidR="00A93A47" w:rsidRPr="00A93A47" w:rsidRDefault="00A93A47" w:rsidP="00A93A47">
            <w:pPr>
              <w:jc w:val="both"/>
              <w:rPr>
                <w:lang w:eastAsia="x-none"/>
              </w:rPr>
            </w:pPr>
            <w:r w:rsidRPr="00A93A47">
              <w:rPr>
                <w:lang w:eastAsia="x-none"/>
              </w:rPr>
              <w:t>227,000</w:t>
            </w:r>
          </w:p>
        </w:tc>
      </w:tr>
      <w:tr w:rsidR="00A93A47" w:rsidRPr="00A93A47" w14:paraId="29FA0A87" w14:textId="77777777" w:rsidTr="00A93A47">
        <w:trPr>
          <w:trHeight w:val="288"/>
        </w:trPr>
        <w:tc>
          <w:tcPr>
            <w:tcW w:w="2070" w:type="dxa"/>
            <w:vMerge/>
            <w:tcBorders>
              <w:top w:val="nil"/>
              <w:left w:val="single" w:sz="4" w:space="0" w:color="auto"/>
              <w:bottom w:val="single" w:sz="4" w:space="0" w:color="000000"/>
              <w:right w:val="single" w:sz="4" w:space="0" w:color="auto"/>
            </w:tcBorders>
            <w:vAlign w:val="center"/>
            <w:hideMark/>
          </w:tcPr>
          <w:p w14:paraId="78FE5D8F" w14:textId="77777777" w:rsidR="00A93A47" w:rsidRPr="00A93A47" w:rsidRDefault="00A93A47" w:rsidP="00A93A47">
            <w:pPr>
              <w:jc w:val="both"/>
              <w:rPr>
                <w:b/>
                <w:bCs/>
                <w:lang w:eastAsia="x-none"/>
              </w:rPr>
            </w:pP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515835BA" w14:textId="77777777" w:rsidR="00A93A47" w:rsidRPr="00A93A47" w:rsidRDefault="00A93A47" w:rsidP="00A93A47">
            <w:pPr>
              <w:jc w:val="both"/>
              <w:rPr>
                <w:lang w:eastAsia="x-none"/>
              </w:rPr>
            </w:pPr>
            <w:r w:rsidRPr="00A93A47">
              <w:rPr>
                <w:lang w:eastAsia="x-none"/>
              </w:rPr>
              <w:t xml:space="preserve"> WASH </w:t>
            </w:r>
          </w:p>
        </w:tc>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2074C" w14:textId="77777777" w:rsidR="00A93A47" w:rsidRPr="00A93A47" w:rsidRDefault="00A93A47" w:rsidP="00A93A47">
            <w:pPr>
              <w:jc w:val="both"/>
              <w:rPr>
                <w:lang w:eastAsia="x-none"/>
              </w:rPr>
            </w:pPr>
            <w:r w:rsidRPr="00A93A47">
              <w:rPr>
                <w:lang w:eastAsia="x-none"/>
              </w:rPr>
              <w:t>151,500</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EC993" w14:textId="77777777" w:rsidR="00A93A47" w:rsidRPr="00A93A47" w:rsidRDefault="00A93A47" w:rsidP="00A93A47">
            <w:pPr>
              <w:jc w:val="both"/>
              <w:rPr>
                <w:lang w:eastAsia="x-none"/>
              </w:rPr>
            </w:pPr>
            <w:r w:rsidRPr="00A93A47">
              <w:rPr>
                <w:lang w:eastAsia="x-none"/>
              </w:rPr>
              <w:t>247,500</w:t>
            </w:r>
          </w:p>
        </w:tc>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7D382" w14:textId="77777777" w:rsidR="00A93A47" w:rsidRPr="00A93A47" w:rsidRDefault="00A93A47" w:rsidP="00A93A47">
            <w:pPr>
              <w:jc w:val="both"/>
              <w:rPr>
                <w:lang w:eastAsia="x-none"/>
              </w:rPr>
            </w:pPr>
            <w:r w:rsidRPr="00A93A47">
              <w:rPr>
                <w:lang w:eastAsia="x-none"/>
              </w:rPr>
              <w:t>399,000</w:t>
            </w:r>
          </w:p>
        </w:tc>
      </w:tr>
      <w:tr w:rsidR="00A93A47" w:rsidRPr="00A93A47" w14:paraId="3422B3DD" w14:textId="77777777" w:rsidTr="00A93A47">
        <w:trPr>
          <w:trHeight w:val="288"/>
        </w:trPr>
        <w:tc>
          <w:tcPr>
            <w:tcW w:w="2070" w:type="dxa"/>
            <w:vMerge/>
            <w:tcBorders>
              <w:top w:val="nil"/>
              <w:left w:val="single" w:sz="4" w:space="0" w:color="auto"/>
              <w:bottom w:val="single" w:sz="4" w:space="0" w:color="000000"/>
              <w:right w:val="single" w:sz="4" w:space="0" w:color="auto"/>
            </w:tcBorders>
            <w:vAlign w:val="center"/>
            <w:hideMark/>
          </w:tcPr>
          <w:p w14:paraId="7872B0E2" w14:textId="77777777" w:rsidR="00A93A47" w:rsidRPr="00A93A47" w:rsidRDefault="00A93A47" w:rsidP="00A93A47">
            <w:pPr>
              <w:jc w:val="both"/>
              <w:rPr>
                <w:b/>
                <w:bCs/>
                <w:lang w:eastAsia="x-none"/>
              </w:rPr>
            </w:pP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62F8D81E" w14:textId="77777777" w:rsidR="00A93A47" w:rsidRPr="00A93A47" w:rsidRDefault="00A93A47" w:rsidP="00A93A47">
            <w:pPr>
              <w:jc w:val="both"/>
              <w:rPr>
                <w:lang w:eastAsia="x-none"/>
              </w:rPr>
            </w:pPr>
            <w:r w:rsidRPr="00A93A47">
              <w:rPr>
                <w:lang w:eastAsia="x-none"/>
              </w:rPr>
              <w:t xml:space="preserve"> Health Plus</w:t>
            </w:r>
          </w:p>
        </w:tc>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7E736" w14:textId="77777777" w:rsidR="00A93A47" w:rsidRPr="00A93A47" w:rsidRDefault="00A93A47" w:rsidP="00A93A47">
            <w:pPr>
              <w:jc w:val="both"/>
              <w:rPr>
                <w:lang w:eastAsia="x-none"/>
              </w:rPr>
            </w:pPr>
            <w:r w:rsidRPr="00A93A47">
              <w:rPr>
                <w:lang w:eastAsia="x-none"/>
              </w:rPr>
              <w:t>522,984</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E0D89" w14:textId="77777777" w:rsidR="00A93A47" w:rsidRPr="00A93A47" w:rsidRDefault="00A93A47" w:rsidP="00A93A47">
            <w:pPr>
              <w:jc w:val="both"/>
              <w:rPr>
                <w:lang w:eastAsia="x-none"/>
              </w:rPr>
            </w:pPr>
            <w:r w:rsidRPr="00A93A47">
              <w:rPr>
                <w:lang w:eastAsia="x-none"/>
              </w:rPr>
              <w:t>729,484</w:t>
            </w:r>
          </w:p>
        </w:tc>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A119D" w14:textId="77777777" w:rsidR="00A93A47" w:rsidRPr="00A93A47" w:rsidRDefault="00A93A47" w:rsidP="00A93A47">
            <w:pPr>
              <w:jc w:val="both"/>
              <w:rPr>
                <w:lang w:eastAsia="x-none"/>
              </w:rPr>
            </w:pPr>
            <w:r w:rsidRPr="00A93A47">
              <w:rPr>
                <w:lang w:eastAsia="x-none"/>
              </w:rPr>
              <w:t>1,252,468</w:t>
            </w:r>
          </w:p>
        </w:tc>
      </w:tr>
      <w:tr w:rsidR="00A93A47" w:rsidRPr="00A93A47" w14:paraId="4DF1716E" w14:textId="77777777" w:rsidTr="00A93A47">
        <w:trPr>
          <w:trHeight w:val="288"/>
        </w:trPr>
        <w:tc>
          <w:tcPr>
            <w:tcW w:w="2070" w:type="dxa"/>
            <w:vMerge/>
            <w:tcBorders>
              <w:top w:val="nil"/>
              <w:left w:val="single" w:sz="4" w:space="0" w:color="auto"/>
              <w:bottom w:val="single" w:sz="4" w:space="0" w:color="000000"/>
              <w:right w:val="single" w:sz="4" w:space="0" w:color="auto"/>
            </w:tcBorders>
            <w:vAlign w:val="center"/>
            <w:hideMark/>
          </w:tcPr>
          <w:p w14:paraId="325AFA7B" w14:textId="77777777" w:rsidR="00A93A47" w:rsidRPr="00A93A47" w:rsidRDefault="00A93A47" w:rsidP="00A93A47">
            <w:pPr>
              <w:jc w:val="both"/>
              <w:rPr>
                <w:b/>
                <w:bCs/>
                <w:lang w:eastAsia="x-none"/>
              </w:rPr>
            </w:pPr>
          </w:p>
        </w:tc>
        <w:tc>
          <w:tcPr>
            <w:tcW w:w="2140" w:type="dxa"/>
            <w:tcBorders>
              <w:top w:val="single" w:sz="4" w:space="0" w:color="auto"/>
              <w:left w:val="nil"/>
              <w:bottom w:val="single" w:sz="4" w:space="0" w:color="auto"/>
              <w:right w:val="single" w:sz="4" w:space="0" w:color="auto"/>
            </w:tcBorders>
            <w:shd w:val="clear" w:color="000000" w:fill="DDEBF7"/>
            <w:noWrap/>
            <w:vAlign w:val="bottom"/>
            <w:hideMark/>
          </w:tcPr>
          <w:p w14:paraId="67480850" w14:textId="77777777" w:rsidR="00A93A47" w:rsidRPr="00A93A47" w:rsidRDefault="00A93A47" w:rsidP="00A93A47">
            <w:pPr>
              <w:jc w:val="both"/>
              <w:rPr>
                <w:b/>
                <w:bCs/>
                <w:lang w:eastAsia="x-none"/>
              </w:rPr>
            </w:pPr>
            <w:r w:rsidRPr="00A93A47">
              <w:rPr>
                <w:b/>
                <w:bCs/>
                <w:lang w:eastAsia="x-none"/>
              </w:rPr>
              <w:t xml:space="preserve"> Sub-Total </w:t>
            </w:r>
          </w:p>
        </w:tc>
        <w:tc>
          <w:tcPr>
            <w:tcW w:w="2141" w:type="dxa"/>
            <w:tcBorders>
              <w:top w:val="single" w:sz="4" w:space="0" w:color="auto"/>
              <w:left w:val="nil"/>
              <w:bottom w:val="single" w:sz="4" w:space="0" w:color="auto"/>
              <w:right w:val="single" w:sz="4" w:space="0" w:color="auto"/>
            </w:tcBorders>
            <w:shd w:val="clear" w:color="000000" w:fill="DDEBF7"/>
            <w:noWrap/>
            <w:vAlign w:val="bottom"/>
            <w:hideMark/>
          </w:tcPr>
          <w:p w14:paraId="5173D7C7" w14:textId="77777777" w:rsidR="00A93A47" w:rsidRPr="00A93A47" w:rsidRDefault="00A93A47" w:rsidP="00A93A47">
            <w:pPr>
              <w:jc w:val="both"/>
              <w:rPr>
                <w:b/>
                <w:bCs/>
                <w:lang w:eastAsia="x-none"/>
              </w:rPr>
            </w:pPr>
            <w:r w:rsidRPr="00A93A47">
              <w:rPr>
                <w:b/>
                <w:bCs/>
                <w:lang w:eastAsia="x-none"/>
              </w:rPr>
              <w:t>1,336,484</w:t>
            </w:r>
          </w:p>
        </w:tc>
        <w:tc>
          <w:tcPr>
            <w:tcW w:w="2140" w:type="dxa"/>
            <w:tcBorders>
              <w:top w:val="single" w:sz="4" w:space="0" w:color="auto"/>
              <w:left w:val="nil"/>
              <w:bottom w:val="single" w:sz="4" w:space="0" w:color="auto"/>
              <w:right w:val="single" w:sz="4" w:space="0" w:color="auto"/>
            </w:tcBorders>
            <w:shd w:val="clear" w:color="000000" w:fill="DDEBF7"/>
            <w:noWrap/>
            <w:vAlign w:val="bottom"/>
            <w:hideMark/>
          </w:tcPr>
          <w:p w14:paraId="6429CAA7" w14:textId="77777777" w:rsidR="00A93A47" w:rsidRPr="00A93A47" w:rsidRDefault="00A93A47" w:rsidP="00A93A47">
            <w:pPr>
              <w:jc w:val="both"/>
              <w:rPr>
                <w:b/>
                <w:bCs/>
                <w:lang w:eastAsia="x-none"/>
              </w:rPr>
            </w:pPr>
            <w:r w:rsidRPr="00A93A47">
              <w:rPr>
                <w:b/>
                <w:bCs/>
                <w:lang w:eastAsia="x-none"/>
              </w:rPr>
              <w:t>976,984</w:t>
            </w:r>
          </w:p>
        </w:tc>
        <w:tc>
          <w:tcPr>
            <w:tcW w:w="2141" w:type="dxa"/>
            <w:tcBorders>
              <w:top w:val="single" w:sz="4" w:space="0" w:color="auto"/>
              <w:left w:val="nil"/>
              <w:bottom w:val="single" w:sz="4" w:space="0" w:color="auto"/>
              <w:right w:val="single" w:sz="4" w:space="0" w:color="auto"/>
            </w:tcBorders>
            <w:shd w:val="clear" w:color="000000" w:fill="DDEBF7"/>
            <w:vAlign w:val="bottom"/>
            <w:hideMark/>
          </w:tcPr>
          <w:p w14:paraId="32504EF2" w14:textId="77777777" w:rsidR="00A93A47" w:rsidRPr="00A93A47" w:rsidRDefault="00A93A47" w:rsidP="00A93A47">
            <w:pPr>
              <w:jc w:val="both"/>
              <w:rPr>
                <w:b/>
                <w:bCs/>
                <w:lang w:eastAsia="x-none"/>
              </w:rPr>
            </w:pPr>
            <w:r w:rsidRPr="00A93A47">
              <w:rPr>
                <w:b/>
                <w:bCs/>
                <w:lang w:eastAsia="x-none"/>
              </w:rPr>
              <w:t>2,313,468</w:t>
            </w:r>
          </w:p>
        </w:tc>
      </w:tr>
      <w:tr w:rsidR="00A93A47" w:rsidRPr="00A93A47" w14:paraId="7E35E14D" w14:textId="77777777" w:rsidTr="00A93A47">
        <w:trPr>
          <w:trHeight w:val="260"/>
        </w:trPr>
        <w:tc>
          <w:tcPr>
            <w:tcW w:w="2070" w:type="dxa"/>
            <w:vMerge w:val="restart"/>
            <w:tcBorders>
              <w:top w:val="nil"/>
              <w:left w:val="single" w:sz="4" w:space="0" w:color="auto"/>
              <w:bottom w:val="single" w:sz="4" w:space="0" w:color="000000"/>
              <w:right w:val="single" w:sz="4" w:space="0" w:color="auto"/>
            </w:tcBorders>
            <w:shd w:val="clear" w:color="000000" w:fill="DDEBF7"/>
            <w:vAlign w:val="center"/>
            <w:hideMark/>
          </w:tcPr>
          <w:p w14:paraId="429968CB" w14:textId="77777777" w:rsidR="00A93A47" w:rsidRPr="00A93A47" w:rsidRDefault="00A93A47" w:rsidP="00A93A47">
            <w:pPr>
              <w:jc w:val="both"/>
              <w:rPr>
                <w:b/>
                <w:bCs/>
                <w:lang w:eastAsia="x-none"/>
              </w:rPr>
            </w:pPr>
            <w:r w:rsidRPr="00A93A47">
              <w:rPr>
                <w:b/>
                <w:bCs/>
                <w:lang w:eastAsia="x-none"/>
              </w:rPr>
              <w:t>PROSPERITY</w:t>
            </w:r>
          </w:p>
        </w:tc>
        <w:tc>
          <w:tcPr>
            <w:tcW w:w="2140" w:type="dxa"/>
            <w:tcBorders>
              <w:top w:val="single" w:sz="4" w:space="0" w:color="auto"/>
              <w:left w:val="nil"/>
              <w:bottom w:val="single" w:sz="4" w:space="0" w:color="auto"/>
              <w:right w:val="single" w:sz="4" w:space="0" w:color="auto"/>
            </w:tcBorders>
            <w:shd w:val="clear" w:color="auto" w:fill="auto"/>
            <w:vAlign w:val="bottom"/>
            <w:hideMark/>
          </w:tcPr>
          <w:p w14:paraId="125619CD" w14:textId="77777777" w:rsidR="00A93A47" w:rsidRPr="00A93A47" w:rsidRDefault="00A93A47" w:rsidP="00A93A47">
            <w:pPr>
              <w:jc w:val="both"/>
              <w:rPr>
                <w:lang w:eastAsia="x-none"/>
              </w:rPr>
            </w:pPr>
            <w:r w:rsidRPr="00A93A47">
              <w:rPr>
                <w:lang w:eastAsia="x-none"/>
              </w:rPr>
              <w:t xml:space="preserve">Agriculture and Economic Empowerment </w:t>
            </w:r>
          </w:p>
        </w:tc>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89016" w14:textId="77777777" w:rsidR="00A93A47" w:rsidRPr="00A93A47" w:rsidRDefault="00A93A47" w:rsidP="00A93A47">
            <w:pPr>
              <w:jc w:val="both"/>
              <w:rPr>
                <w:lang w:eastAsia="x-none"/>
              </w:rPr>
            </w:pPr>
            <w:r w:rsidRPr="00A93A47">
              <w:rPr>
                <w:lang w:eastAsia="x-none"/>
              </w:rPr>
              <w:t>968,332</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C61D4" w14:textId="77777777" w:rsidR="00A93A47" w:rsidRPr="00A93A47" w:rsidRDefault="00A93A47" w:rsidP="00A93A47">
            <w:pPr>
              <w:jc w:val="both"/>
              <w:rPr>
                <w:lang w:eastAsia="x-none"/>
              </w:rPr>
            </w:pPr>
            <w:r w:rsidRPr="00A93A47">
              <w:rPr>
                <w:lang w:eastAsia="x-none"/>
              </w:rPr>
              <w:t>1,358,521</w:t>
            </w:r>
          </w:p>
        </w:tc>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1C095" w14:textId="77777777" w:rsidR="00A93A47" w:rsidRPr="00A93A47" w:rsidRDefault="00A93A47" w:rsidP="00A93A47">
            <w:pPr>
              <w:jc w:val="both"/>
              <w:rPr>
                <w:lang w:eastAsia="x-none"/>
              </w:rPr>
            </w:pPr>
            <w:r w:rsidRPr="00A93A47">
              <w:rPr>
                <w:lang w:eastAsia="x-none"/>
              </w:rPr>
              <w:t>2,326,853</w:t>
            </w:r>
          </w:p>
        </w:tc>
      </w:tr>
      <w:tr w:rsidR="00A93A47" w:rsidRPr="00A93A47" w14:paraId="5B8312EE" w14:textId="77777777" w:rsidTr="00A93A47">
        <w:trPr>
          <w:trHeight w:val="288"/>
        </w:trPr>
        <w:tc>
          <w:tcPr>
            <w:tcW w:w="2070" w:type="dxa"/>
            <w:vMerge/>
            <w:tcBorders>
              <w:top w:val="nil"/>
              <w:left w:val="single" w:sz="4" w:space="0" w:color="auto"/>
              <w:bottom w:val="single" w:sz="4" w:space="0" w:color="000000"/>
              <w:right w:val="single" w:sz="4" w:space="0" w:color="auto"/>
            </w:tcBorders>
            <w:vAlign w:val="center"/>
            <w:hideMark/>
          </w:tcPr>
          <w:p w14:paraId="74114A9E" w14:textId="77777777" w:rsidR="00A93A47" w:rsidRPr="00A93A47" w:rsidRDefault="00A93A47" w:rsidP="00A93A47">
            <w:pPr>
              <w:jc w:val="both"/>
              <w:rPr>
                <w:b/>
                <w:bCs/>
                <w:lang w:eastAsia="x-none"/>
              </w:rPr>
            </w:pPr>
          </w:p>
        </w:tc>
        <w:tc>
          <w:tcPr>
            <w:tcW w:w="2140" w:type="dxa"/>
            <w:tcBorders>
              <w:top w:val="single" w:sz="4" w:space="0" w:color="auto"/>
              <w:left w:val="nil"/>
              <w:bottom w:val="single" w:sz="4" w:space="0" w:color="auto"/>
              <w:right w:val="single" w:sz="4" w:space="0" w:color="auto"/>
            </w:tcBorders>
            <w:shd w:val="clear" w:color="000000" w:fill="DDEBF7"/>
            <w:noWrap/>
            <w:vAlign w:val="bottom"/>
            <w:hideMark/>
          </w:tcPr>
          <w:p w14:paraId="56689525" w14:textId="77777777" w:rsidR="00A93A47" w:rsidRPr="00A93A47" w:rsidRDefault="00A93A47" w:rsidP="00A93A47">
            <w:pPr>
              <w:jc w:val="both"/>
              <w:rPr>
                <w:b/>
                <w:bCs/>
                <w:lang w:eastAsia="x-none"/>
              </w:rPr>
            </w:pPr>
            <w:r w:rsidRPr="00A93A47">
              <w:rPr>
                <w:b/>
                <w:bCs/>
                <w:lang w:eastAsia="x-none"/>
              </w:rPr>
              <w:t xml:space="preserve"> Sub-Total </w:t>
            </w:r>
          </w:p>
        </w:tc>
        <w:tc>
          <w:tcPr>
            <w:tcW w:w="2141" w:type="dxa"/>
            <w:tcBorders>
              <w:top w:val="single" w:sz="4" w:space="0" w:color="auto"/>
              <w:left w:val="nil"/>
              <w:bottom w:val="single" w:sz="4" w:space="0" w:color="auto"/>
              <w:right w:val="single" w:sz="4" w:space="0" w:color="auto"/>
            </w:tcBorders>
            <w:shd w:val="clear" w:color="000000" w:fill="DDEBF7"/>
            <w:noWrap/>
            <w:vAlign w:val="bottom"/>
            <w:hideMark/>
          </w:tcPr>
          <w:p w14:paraId="052E8F20" w14:textId="77777777" w:rsidR="00A93A47" w:rsidRPr="00A93A47" w:rsidRDefault="00A93A47" w:rsidP="00A93A47">
            <w:pPr>
              <w:jc w:val="both"/>
              <w:rPr>
                <w:b/>
                <w:bCs/>
                <w:lang w:eastAsia="x-none"/>
              </w:rPr>
            </w:pPr>
            <w:r w:rsidRPr="00A93A47">
              <w:rPr>
                <w:b/>
                <w:bCs/>
                <w:lang w:eastAsia="x-none"/>
              </w:rPr>
              <w:t>968,332</w:t>
            </w:r>
          </w:p>
        </w:tc>
        <w:tc>
          <w:tcPr>
            <w:tcW w:w="2140" w:type="dxa"/>
            <w:tcBorders>
              <w:top w:val="single" w:sz="4" w:space="0" w:color="auto"/>
              <w:left w:val="nil"/>
              <w:bottom w:val="single" w:sz="4" w:space="0" w:color="auto"/>
              <w:right w:val="single" w:sz="4" w:space="0" w:color="auto"/>
            </w:tcBorders>
            <w:shd w:val="clear" w:color="000000" w:fill="DDEBF7"/>
            <w:noWrap/>
            <w:vAlign w:val="bottom"/>
            <w:hideMark/>
          </w:tcPr>
          <w:p w14:paraId="66357A91" w14:textId="77777777" w:rsidR="00A93A47" w:rsidRPr="00A93A47" w:rsidRDefault="00A93A47" w:rsidP="00A93A47">
            <w:pPr>
              <w:jc w:val="both"/>
              <w:rPr>
                <w:b/>
                <w:bCs/>
                <w:lang w:eastAsia="x-none"/>
              </w:rPr>
            </w:pPr>
            <w:r w:rsidRPr="00A93A47">
              <w:rPr>
                <w:b/>
                <w:bCs/>
                <w:lang w:eastAsia="x-none"/>
              </w:rPr>
              <w:t>1,358,521</w:t>
            </w:r>
          </w:p>
        </w:tc>
        <w:tc>
          <w:tcPr>
            <w:tcW w:w="2141" w:type="dxa"/>
            <w:tcBorders>
              <w:top w:val="single" w:sz="4" w:space="0" w:color="auto"/>
              <w:left w:val="nil"/>
              <w:bottom w:val="single" w:sz="4" w:space="0" w:color="auto"/>
              <w:right w:val="single" w:sz="4" w:space="0" w:color="auto"/>
            </w:tcBorders>
            <w:shd w:val="clear" w:color="000000" w:fill="DDEBF7"/>
            <w:vAlign w:val="bottom"/>
            <w:hideMark/>
          </w:tcPr>
          <w:p w14:paraId="2CABF281" w14:textId="77777777" w:rsidR="00A93A47" w:rsidRPr="00A93A47" w:rsidRDefault="00A93A47" w:rsidP="00A93A47">
            <w:pPr>
              <w:jc w:val="both"/>
              <w:rPr>
                <w:b/>
                <w:bCs/>
                <w:lang w:eastAsia="x-none"/>
              </w:rPr>
            </w:pPr>
            <w:r w:rsidRPr="00A93A47">
              <w:rPr>
                <w:b/>
                <w:bCs/>
                <w:lang w:eastAsia="x-none"/>
              </w:rPr>
              <w:t>2,326,853</w:t>
            </w:r>
          </w:p>
        </w:tc>
      </w:tr>
      <w:tr w:rsidR="00A93A47" w:rsidRPr="00A93A47" w14:paraId="5FF8E5EE" w14:textId="77777777" w:rsidTr="00A93A47">
        <w:trPr>
          <w:trHeight w:val="288"/>
        </w:trPr>
        <w:tc>
          <w:tcPr>
            <w:tcW w:w="2070" w:type="dxa"/>
            <w:vMerge w:val="restart"/>
            <w:tcBorders>
              <w:top w:val="nil"/>
              <w:left w:val="single" w:sz="4" w:space="0" w:color="auto"/>
              <w:bottom w:val="single" w:sz="4" w:space="0" w:color="000000"/>
              <w:right w:val="single" w:sz="4" w:space="0" w:color="auto"/>
            </w:tcBorders>
            <w:shd w:val="clear" w:color="000000" w:fill="DDEBF7"/>
            <w:vAlign w:val="center"/>
            <w:hideMark/>
          </w:tcPr>
          <w:p w14:paraId="4E7A2D05" w14:textId="77777777" w:rsidR="00A93A47" w:rsidRPr="00A93A47" w:rsidRDefault="00A93A47" w:rsidP="00A93A47">
            <w:pPr>
              <w:jc w:val="both"/>
              <w:rPr>
                <w:b/>
                <w:bCs/>
                <w:lang w:eastAsia="x-none"/>
              </w:rPr>
            </w:pPr>
            <w:r w:rsidRPr="00A93A47">
              <w:rPr>
                <w:b/>
                <w:bCs/>
                <w:lang w:eastAsia="x-none"/>
              </w:rPr>
              <w:t>PLANET</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401DFC9F" w14:textId="77777777" w:rsidR="00A93A47" w:rsidRPr="00A93A47" w:rsidRDefault="00A93A47" w:rsidP="00A93A47">
            <w:pPr>
              <w:jc w:val="both"/>
              <w:rPr>
                <w:lang w:eastAsia="x-none"/>
              </w:rPr>
            </w:pPr>
            <w:r w:rsidRPr="00A93A47">
              <w:rPr>
                <w:lang w:eastAsia="x-none"/>
              </w:rPr>
              <w:t xml:space="preserve"> CSA/NRM </w:t>
            </w:r>
          </w:p>
        </w:tc>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13780" w14:textId="77777777" w:rsidR="00A93A47" w:rsidRPr="00A93A47" w:rsidRDefault="00A93A47" w:rsidP="00A93A47">
            <w:pPr>
              <w:jc w:val="both"/>
              <w:rPr>
                <w:lang w:eastAsia="x-none"/>
              </w:rPr>
            </w:pPr>
            <w:r w:rsidRPr="00A93A47">
              <w:rPr>
                <w:lang w:eastAsia="x-none"/>
              </w:rPr>
              <w:t>205,000</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B1E3C" w14:textId="77777777" w:rsidR="00A93A47" w:rsidRPr="00A93A47" w:rsidRDefault="00A93A47" w:rsidP="00A93A47">
            <w:pPr>
              <w:jc w:val="both"/>
              <w:rPr>
                <w:lang w:eastAsia="x-none"/>
              </w:rPr>
            </w:pPr>
            <w:r w:rsidRPr="00A93A47">
              <w:rPr>
                <w:lang w:eastAsia="x-none"/>
              </w:rPr>
              <w:t>147,500</w:t>
            </w:r>
          </w:p>
        </w:tc>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3E3DA" w14:textId="77777777" w:rsidR="00A93A47" w:rsidRPr="00A93A47" w:rsidRDefault="00A93A47" w:rsidP="00A93A47">
            <w:pPr>
              <w:jc w:val="both"/>
              <w:rPr>
                <w:lang w:eastAsia="x-none"/>
              </w:rPr>
            </w:pPr>
            <w:r w:rsidRPr="00A93A47">
              <w:rPr>
                <w:lang w:eastAsia="x-none"/>
              </w:rPr>
              <w:t>352,500</w:t>
            </w:r>
          </w:p>
        </w:tc>
      </w:tr>
      <w:tr w:rsidR="00A93A47" w:rsidRPr="00A93A47" w14:paraId="1FAE8790" w14:textId="77777777" w:rsidTr="00A93A47">
        <w:trPr>
          <w:trHeight w:val="288"/>
        </w:trPr>
        <w:tc>
          <w:tcPr>
            <w:tcW w:w="2070" w:type="dxa"/>
            <w:vMerge/>
            <w:tcBorders>
              <w:top w:val="nil"/>
              <w:left w:val="single" w:sz="4" w:space="0" w:color="auto"/>
              <w:bottom w:val="single" w:sz="4" w:space="0" w:color="000000"/>
              <w:right w:val="single" w:sz="4" w:space="0" w:color="auto"/>
            </w:tcBorders>
            <w:vAlign w:val="center"/>
            <w:hideMark/>
          </w:tcPr>
          <w:p w14:paraId="6A99BD17" w14:textId="77777777" w:rsidR="00A93A47" w:rsidRPr="00A93A47" w:rsidRDefault="00A93A47" w:rsidP="00A93A47">
            <w:pPr>
              <w:jc w:val="both"/>
              <w:rPr>
                <w:b/>
                <w:bCs/>
                <w:lang w:eastAsia="x-none"/>
              </w:rPr>
            </w:pP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26F80F32" w14:textId="77777777" w:rsidR="00A93A47" w:rsidRPr="00A93A47" w:rsidRDefault="00A93A47" w:rsidP="00A93A47">
            <w:pPr>
              <w:jc w:val="both"/>
              <w:rPr>
                <w:lang w:eastAsia="x-none"/>
              </w:rPr>
            </w:pPr>
            <w:r w:rsidRPr="00A93A47">
              <w:rPr>
                <w:lang w:eastAsia="x-none"/>
              </w:rPr>
              <w:t xml:space="preserve"> DRR </w:t>
            </w:r>
          </w:p>
        </w:tc>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BC3F6" w14:textId="77777777" w:rsidR="00A93A47" w:rsidRPr="00A93A47" w:rsidRDefault="00A93A47" w:rsidP="00A93A47">
            <w:pPr>
              <w:jc w:val="both"/>
              <w:rPr>
                <w:lang w:eastAsia="x-none"/>
              </w:rPr>
            </w:pPr>
            <w:r w:rsidRPr="00A93A47">
              <w:rPr>
                <w:lang w:eastAsia="x-none"/>
              </w:rPr>
              <w:t>27,620</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98331" w14:textId="77777777" w:rsidR="00A93A47" w:rsidRPr="00A93A47" w:rsidRDefault="00A93A47" w:rsidP="00A93A47">
            <w:pPr>
              <w:jc w:val="both"/>
              <w:rPr>
                <w:lang w:eastAsia="x-none"/>
              </w:rPr>
            </w:pPr>
            <w:r w:rsidRPr="00A93A47">
              <w:rPr>
                <w:lang w:eastAsia="x-none"/>
              </w:rPr>
              <w:t>107,620</w:t>
            </w:r>
          </w:p>
        </w:tc>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ACBF0" w14:textId="77777777" w:rsidR="00A93A47" w:rsidRPr="00A93A47" w:rsidRDefault="00A93A47" w:rsidP="00A93A47">
            <w:pPr>
              <w:jc w:val="both"/>
              <w:rPr>
                <w:lang w:eastAsia="x-none"/>
              </w:rPr>
            </w:pPr>
            <w:r w:rsidRPr="00A93A47">
              <w:rPr>
                <w:lang w:eastAsia="x-none"/>
              </w:rPr>
              <w:t>135,240</w:t>
            </w:r>
          </w:p>
        </w:tc>
      </w:tr>
      <w:tr w:rsidR="00A93A47" w:rsidRPr="00A93A47" w14:paraId="2E16C3D7" w14:textId="77777777" w:rsidTr="00A93A47">
        <w:trPr>
          <w:trHeight w:val="288"/>
        </w:trPr>
        <w:tc>
          <w:tcPr>
            <w:tcW w:w="2070" w:type="dxa"/>
            <w:vMerge/>
            <w:tcBorders>
              <w:top w:val="nil"/>
              <w:left w:val="single" w:sz="4" w:space="0" w:color="auto"/>
              <w:bottom w:val="single" w:sz="4" w:space="0" w:color="000000"/>
              <w:right w:val="single" w:sz="4" w:space="0" w:color="auto"/>
            </w:tcBorders>
            <w:vAlign w:val="center"/>
            <w:hideMark/>
          </w:tcPr>
          <w:p w14:paraId="05935CD5" w14:textId="77777777" w:rsidR="00A93A47" w:rsidRPr="00A93A47" w:rsidRDefault="00A93A47" w:rsidP="00A93A47">
            <w:pPr>
              <w:jc w:val="both"/>
              <w:rPr>
                <w:b/>
                <w:bCs/>
                <w:lang w:eastAsia="x-none"/>
              </w:rPr>
            </w:pP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015D0FBB" w14:textId="77777777" w:rsidR="00A93A47" w:rsidRPr="00A93A47" w:rsidRDefault="00A93A47" w:rsidP="00A93A47">
            <w:pPr>
              <w:jc w:val="both"/>
              <w:rPr>
                <w:lang w:eastAsia="x-none"/>
              </w:rPr>
            </w:pPr>
            <w:r w:rsidRPr="00A93A47">
              <w:rPr>
                <w:lang w:eastAsia="x-none"/>
              </w:rPr>
              <w:t xml:space="preserve"> Energy </w:t>
            </w:r>
          </w:p>
        </w:tc>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11CD2" w14:textId="77777777" w:rsidR="00A93A47" w:rsidRPr="00A93A47" w:rsidRDefault="00A93A47" w:rsidP="00A93A47">
            <w:pPr>
              <w:jc w:val="both"/>
              <w:rPr>
                <w:lang w:eastAsia="x-none"/>
              </w:rPr>
            </w:pPr>
            <w:r w:rsidRPr="00A93A47">
              <w:rPr>
                <w:lang w:eastAsia="x-none"/>
              </w:rPr>
              <w:t>300,806</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BA4B7" w14:textId="77777777" w:rsidR="00A93A47" w:rsidRPr="00A93A47" w:rsidRDefault="00A93A47" w:rsidP="00A93A47">
            <w:pPr>
              <w:jc w:val="both"/>
              <w:rPr>
                <w:lang w:eastAsia="x-none"/>
              </w:rPr>
            </w:pPr>
            <w:r w:rsidRPr="00A93A47">
              <w:rPr>
                <w:lang w:eastAsia="x-none"/>
              </w:rPr>
              <w:t>400,389</w:t>
            </w:r>
          </w:p>
        </w:tc>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AF286" w14:textId="77777777" w:rsidR="00A93A47" w:rsidRPr="00A93A47" w:rsidRDefault="00A93A47" w:rsidP="00A93A47">
            <w:pPr>
              <w:jc w:val="both"/>
              <w:rPr>
                <w:lang w:eastAsia="x-none"/>
              </w:rPr>
            </w:pPr>
            <w:r w:rsidRPr="00A93A47">
              <w:rPr>
                <w:lang w:eastAsia="x-none"/>
              </w:rPr>
              <w:t>701,195</w:t>
            </w:r>
          </w:p>
        </w:tc>
      </w:tr>
      <w:tr w:rsidR="00A93A47" w:rsidRPr="00A93A47" w14:paraId="02B4129C" w14:textId="77777777" w:rsidTr="00A93A47">
        <w:trPr>
          <w:trHeight w:val="288"/>
        </w:trPr>
        <w:tc>
          <w:tcPr>
            <w:tcW w:w="2070" w:type="dxa"/>
            <w:vMerge/>
            <w:tcBorders>
              <w:top w:val="nil"/>
              <w:left w:val="single" w:sz="4" w:space="0" w:color="auto"/>
              <w:bottom w:val="single" w:sz="4" w:space="0" w:color="000000"/>
              <w:right w:val="single" w:sz="4" w:space="0" w:color="auto"/>
            </w:tcBorders>
            <w:vAlign w:val="center"/>
            <w:hideMark/>
          </w:tcPr>
          <w:p w14:paraId="3A63DBAF" w14:textId="77777777" w:rsidR="00A93A47" w:rsidRPr="00A93A47" w:rsidRDefault="00A93A47" w:rsidP="00A93A47">
            <w:pPr>
              <w:jc w:val="both"/>
              <w:rPr>
                <w:b/>
                <w:bCs/>
                <w:lang w:eastAsia="x-none"/>
              </w:rPr>
            </w:pPr>
          </w:p>
        </w:tc>
        <w:tc>
          <w:tcPr>
            <w:tcW w:w="2140" w:type="dxa"/>
            <w:tcBorders>
              <w:top w:val="single" w:sz="4" w:space="0" w:color="auto"/>
              <w:left w:val="nil"/>
              <w:bottom w:val="single" w:sz="4" w:space="0" w:color="auto"/>
              <w:right w:val="single" w:sz="4" w:space="0" w:color="auto"/>
            </w:tcBorders>
            <w:shd w:val="clear" w:color="000000" w:fill="DDEBF7"/>
            <w:noWrap/>
            <w:vAlign w:val="bottom"/>
            <w:hideMark/>
          </w:tcPr>
          <w:p w14:paraId="23EF947B" w14:textId="77777777" w:rsidR="00A93A47" w:rsidRPr="00A93A47" w:rsidRDefault="00A93A47" w:rsidP="00A93A47">
            <w:pPr>
              <w:jc w:val="both"/>
              <w:rPr>
                <w:b/>
                <w:bCs/>
                <w:lang w:eastAsia="x-none"/>
              </w:rPr>
            </w:pPr>
            <w:r w:rsidRPr="00A93A47">
              <w:rPr>
                <w:b/>
                <w:bCs/>
                <w:lang w:eastAsia="x-none"/>
              </w:rPr>
              <w:t xml:space="preserve"> Sub-Total </w:t>
            </w:r>
          </w:p>
        </w:tc>
        <w:tc>
          <w:tcPr>
            <w:tcW w:w="2141" w:type="dxa"/>
            <w:tcBorders>
              <w:top w:val="single" w:sz="4" w:space="0" w:color="auto"/>
              <w:left w:val="nil"/>
              <w:bottom w:val="single" w:sz="4" w:space="0" w:color="auto"/>
              <w:right w:val="single" w:sz="4" w:space="0" w:color="auto"/>
            </w:tcBorders>
            <w:shd w:val="clear" w:color="000000" w:fill="DDEBF7"/>
            <w:noWrap/>
            <w:vAlign w:val="bottom"/>
            <w:hideMark/>
          </w:tcPr>
          <w:p w14:paraId="391FE63C" w14:textId="77777777" w:rsidR="00A93A47" w:rsidRPr="00A93A47" w:rsidRDefault="00A93A47" w:rsidP="00A93A47">
            <w:pPr>
              <w:jc w:val="both"/>
              <w:rPr>
                <w:b/>
                <w:bCs/>
                <w:lang w:eastAsia="x-none"/>
              </w:rPr>
            </w:pPr>
            <w:r w:rsidRPr="00A93A47">
              <w:rPr>
                <w:b/>
                <w:bCs/>
                <w:lang w:eastAsia="x-none"/>
              </w:rPr>
              <w:t>533,426</w:t>
            </w:r>
          </w:p>
        </w:tc>
        <w:tc>
          <w:tcPr>
            <w:tcW w:w="2140" w:type="dxa"/>
            <w:tcBorders>
              <w:top w:val="single" w:sz="4" w:space="0" w:color="auto"/>
              <w:left w:val="nil"/>
              <w:bottom w:val="single" w:sz="4" w:space="0" w:color="auto"/>
              <w:right w:val="single" w:sz="4" w:space="0" w:color="auto"/>
            </w:tcBorders>
            <w:shd w:val="clear" w:color="000000" w:fill="DDEBF7"/>
            <w:noWrap/>
            <w:vAlign w:val="bottom"/>
            <w:hideMark/>
          </w:tcPr>
          <w:p w14:paraId="17D06471" w14:textId="77777777" w:rsidR="00A93A47" w:rsidRPr="00A93A47" w:rsidRDefault="00A93A47" w:rsidP="00A93A47">
            <w:pPr>
              <w:jc w:val="both"/>
              <w:rPr>
                <w:b/>
                <w:bCs/>
                <w:lang w:eastAsia="x-none"/>
              </w:rPr>
            </w:pPr>
            <w:r w:rsidRPr="00A93A47">
              <w:rPr>
                <w:b/>
                <w:bCs/>
                <w:lang w:eastAsia="x-none"/>
              </w:rPr>
              <w:t>655,509</w:t>
            </w:r>
          </w:p>
        </w:tc>
        <w:tc>
          <w:tcPr>
            <w:tcW w:w="2141" w:type="dxa"/>
            <w:tcBorders>
              <w:top w:val="single" w:sz="4" w:space="0" w:color="auto"/>
              <w:left w:val="nil"/>
              <w:bottom w:val="single" w:sz="4" w:space="0" w:color="auto"/>
              <w:right w:val="single" w:sz="4" w:space="0" w:color="auto"/>
            </w:tcBorders>
            <w:shd w:val="clear" w:color="000000" w:fill="DDEBF7"/>
            <w:vAlign w:val="bottom"/>
            <w:hideMark/>
          </w:tcPr>
          <w:p w14:paraId="30A9F1F5" w14:textId="77777777" w:rsidR="00A93A47" w:rsidRPr="00A93A47" w:rsidRDefault="00A93A47" w:rsidP="00A93A47">
            <w:pPr>
              <w:jc w:val="both"/>
              <w:rPr>
                <w:b/>
                <w:bCs/>
                <w:lang w:eastAsia="x-none"/>
              </w:rPr>
            </w:pPr>
            <w:r w:rsidRPr="00A93A47">
              <w:rPr>
                <w:b/>
                <w:bCs/>
                <w:lang w:eastAsia="x-none"/>
              </w:rPr>
              <w:t>1,188,935</w:t>
            </w:r>
          </w:p>
        </w:tc>
      </w:tr>
      <w:tr w:rsidR="00A93A47" w:rsidRPr="00A93A47" w14:paraId="3F3D096C" w14:textId="77777777" w:rsidTr="00A93A47">
        <w:trPr>
          <w:trHeight w:val="251"/>
        </w:trPr>
        <w:tc>
          <w:tcPr>
            <w:tcW w:w="2070" w:type="dxa"/>
            <w:vMerge w:val="restart"/>
            <w:tcBorders>
              <w:top w:val="nil"/>
              <w:left w:val="single" w:sz="4" w:space="0" w:color="auto"/>
              <w:bottom w:val="single" w:sz="4" w:space="0" w:color="000000"/>
              <w:right w:val="single" w:sz="4" w:space="0" w:color="auto"/>
            </w:tcBorders>
            <w:shd w:val="clear" w:color="000000" w:fill="DDEBF7"/>
            <w:vAlign w:val="center"/>
            <w:hideMark/>
          </w:tcPr>
          <w:p w14:paraId="513A8C8A" w14:textId="77777777" w:rsidR="00A93A47" w:rsidRPr="00A93A47" w:rsidRDefault="00A93A47" w:rsidP="00A93A47">
            <w:pPr>
              <w:jc w:val="both"/>
              <w:rPr>
                <w:b/>
                <w:bCs/>
                <w:lang w:eastAsia="x-none"/>
              </w:rPr>
            </w:pPr>
            <w:r w:rsidRPr="00A93A47">
              <w:rPr>
                <w:b/>
                <w:bCs/>
                <w:lang w:eastAsia="x-none"/>
              </w:rPr>
              <w:t>ENABLING ENVIRONMENT</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4E2E67DF" w14:textId="77777777" w:rsidR="00A93A47" w:rsidRPr="00A93A47" w:rsidRDefault="00A93A47" w:rsidP="00A93A47">
            <w:pPr>
              <w:jc w:val="both"/>
              <w:rPr>
                <w:lang w:eastAsia="x-none"/>
              </w:rPr>
            </w:pPr>
            <w:r w:rsidRPr="00A93A47">
              <w:rPr>
                <w:lang w:eastAsia="x-none"/>
              </w:rPr>
              <w:t xml:space="preserve"> Governance </w:t>
            </w:r>
          </w:p>
        </w:tc>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3A968" w14:textId="77777777" w:rsidR="00A93A47" w:rsidRPr="00A93A47" w:rsidRDefault="00A93A47" w:rsidP="00A93A47">
            <w:pPr>
              <w:jc w:val="both"/>
              <w:rPr>
                <w:lang w:eastAsia="x-none"/>
              </w:rPr>
            </w:pPr>
            <w:r w:rsidRPr="00A93A47">
              <w:rPr>
                <w:lang w:eastAsia="x-none"/>
              </w:rPr>
              <w:t>549,000</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6DAFD" w14:textId="77777777" w:rsidR="00A93A47" w:rsidRPr="00A93A47" w:rsidRDefault="00A93A47" w:rsidP="00A93A47">
            <w:pPr>
              <w:jc w:val="both"/>
              <w:rPr>
                <w:lang w:eastAsia="x-none"/>
              </w:rPr>
            </w:pPr>
            <w:r w:rsidRPr="00A93A47">
              <w:rPr>
                <w:lang w:eastAsia="x-none"/>
              </w:rPr>
              <w:t>-</w:t>
            </w:r>
          </w:p>
        </w:tc>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BFE72" w14:textId="77777777" w:rsidR="00A93A47" w:rsidRPr="00A93A47" w:rsidRDefault="00A93A47" w:rsidP="00A93A47">
            <w:pPr>
              <w:jc w:val="both"/>
              <w:rPr>
                <w:lang w:eastAsia="x-none"/>
              </w:rPr>
            </w:pPr>
            <w:r w:rsidRPr="00A93A47">
              <w:rPr>
                <w:lang w:eastAsia="x-none"/>
              </w:rPr>
              <w:t>549,000</w:t>
            </w:r>
          </w:p>
        </w:tc>
      </w:tr>
      <w:tr w:rsidR="00A93A47" w:rsidRPr="00A93A47" w14:paraId="486BF13C" w14:textId="77777777" w:rsidTr="00A93A47">
        <w:trPr>
          <w:trHeight w:val="288"/>
        </w:trPr>
        <w:tc>
          <w:tcPr>
            <w:tcW w:w="2070" w:type="dxa"/>
            <w:vMerge/>
            <w:tcBorders>
              <w:top w:val="nil"/>
              <w:left w:val="single" w:sz="4" w:space="0" w:color="auto"/>
              <w:bottom w:val="single" w:sz="4" w:space="0" w:color="000000"/>
              <w:right w:val="single" w:sz="4" w:space="0" w:color="auto"/>
            </w:tcBorders>
            <w:vAlign w:val="center"/>
            <w:hideMark/>
          </w:tcPr>
          <w:p w14:paraId="239F3BF1" w14:textId="77777777" w:rsidR="00A93A47" w:rsidRPr="00A93A47" w:rsidRDefault="00A93A47" w:rsidP="00A93A47">
            <w:pPr>
              <w:jc w:val="both"/>
              <w:rPr>
                <w:b/>
                <w:bCs/>
                <w:lang w:eastAsia="x-none"/>
              </w:rPr>
            </w:pPr>
          </w:p>
        </w:tc>
        <w:tc>
          <w:tcPr>
            <w:tcW w:w="2140" w:type="dxa"/>
            <w:tcBorders>
              <w:top w:val="single" w:sz="4" w:space="0" w:color="auto"/>
              <w:left w:val="nil"/>
              <w:bottom w:val="single" w:sz="4" w:space="0" w:color="auto"/>
              <w:right w:val="single" w:sz="4" w:space="0" w:color="auto"/>
            </w:tcBorders>
            <w:shd w:val="clear" w:color="000000" w:fill="DDEBF7"/>
            <w:noWrap/>
            <w:vAlign w:val="bottom"/>
            <w:hideMark/>
          </w:tcPr>
          <w:p w14:paraId="2ECB5FDF" w14:textId="77777777" w:rsidR="00A93A47" w:rsidRPr="00A93A47" w:rsidRDefault="00A93A47" w:rsidP="00A93A47">
            <w:pPr>
              <w:jc w:val="both"/>
              <w:rPr>
                <w:b/>
                <w:bCs/>
                <w:lang w:eastAsia="x-none"/>
              </w:rPr>
            </w:pPr>
            <w:r w:rsidRPr="00A93A47">
              <w:rPr>
                <w:b/>
                <w:bCs/>
                <w:lang w:eastAsia="x-none"/>
              </w:rPr>
              <w:t xml:space="preserve"> Sub-Total </w:t>
            </w:r>
          </w:p>
        </w:tc>
        <w:tc>
          <w:tcPr>
            <w:tcW w:w="2141" w:type="dxa"/>
            <w:tcBorders>
              <w:top w:val="single" w:sz="4" w:space="0" w:color="auto"/>
              <w:left w:val="nil"/>
              <w:bottom w:val="single" w:sz="4" w:space="0" w:color="auto"/>
              <w:right w:val="single" w:sz="4" w:space="0" w:color="auto"/>
            </w:tcBorders>
            <w:shd w:val="clear" w:color="000000" w:fill="DDEBF7"/>
            <w:noWrap/>
            <w:vAlign w:val="bottom"/>
            <w:hideMark/>
          </w:tcPr>
          <w:p w14:paraId="4B29C740" w14:textId="77777777" w:rsidR="00A93A47" w:rsidRPr="00A93A47" w:rsidRDefault="00A93A47" w:rsidP="00A93A47">
            <w:pPr>
              <w:jc w:val="both"/>
              <w:rPr>
                <w:b/>
                <w:bCs/>
                <w:lang w:eastAsia="x-none"/>
              </w:rPr>
            </w:pPr>
            <w:r w:rsidRPr="00A93A47">
              <w:rPr>
                <w:b/>
                <w:bCs/>
                <w:lang w:eastAsia="x-none"/>
              </w:rPr>
              <w:t>549,000</w:t>
            </w:r>
          </w:p>
        </w:tc>
        <w:tc>
          <w:tcPr>
            <w:tcW w:w="2140" w:type="dxa"/>
            <w:tcBorders>
              <w:top w:val="single" w:sz="4" w:space="0" w:color="auto"/>
              <w:left w:val="nil"/>
              <w:bottom w:val="single" w:sz="4" w:space="0" w:color="auto"/>
              <w:right w:val="single" w:sz="4" w:space="0" w:color="auto"/>
            </w:tcBorders>
            <w:shd w:val="clear" w:color="000000" w:fill="DDEBF7"/>
            <w:noWrap/>
            <w:vAlign w:val="bottom"/>
            <w:hideMark/>
          </w:tcPr>
          <w:p w14:paraId="1CCDC8E7" w14:textId="77777777" w:rsidR="00A93A47" w:rsidRPr="00A93A47" w:rsidRDefault="00A93A47" w:rsidP="00A93A47">
            <w:pPr>
              <w:jc w:val="both"/>
              <w:rPr>
                <w:b/>
                <w:bCs/>
                <w:lang w:eastAsia="x-none"/>
              </w:rPr>
            </w:pPr>
            <w:r w:rsidRPr="00A93A47">
              <w:rPr>
                <w:b/>
                <w:bCs/>
                <w:lang w:eastAsia="x-none"/>
              </w:rPr>
              <w:t>-</w:t>
            </w:r>
          </w:p>
        </w:tc>
        <w:tc>
          <w:tcPr>
            <w:tcW w:w="2141" w:type="dxa"/>
            <w:tcBorders>
              <w:top w:val="single" w:sz="4" w:space="0" w:color="auto"/>
              <w:left w:val="nil"/>
              <w:bottom w:val="single" w:sz="4" w:space="0" w:color="auto"/>
              <w:right w:val="single" w:sz="4" w:space="0" w:color="auto"/>
            </w:tcBorders>
            <w:shd w:val="clear" w:color="000000" w:fill="DDEBF7"/>
            <w:vAlign w:val="bottom"/>
            <w:hideMark/>
          </w:tcPr>
          <w:p w14:paraId="1DA119EA" w14:textId="77777777" w:rsidR="00A93A47" w:rsidRPr="00A93A47" w:rsidRDefault="00A93A47" w:rsidP="00A93A47">
            <w:pPr>
              <w:jc w:val="both"/>
              <w:rPr>
                <w:b/>
                <w:bCs/>
                <w:lang w:eastAsia="x-none"/>
              </w:rPr>
            </w:pPr>
            <w:r w:rsidRPr="00A93A47">
              <w:rPr>
                <w:b/>
                <w:bCs/>
                <w:lang w:eastAsia="x-none"/>
              </w:rPr>
              <w:t>549,000</w:t>
            </w:r>
          </w:p>
        </w:tc>
      </w:tr>
      <w:tr w:rsidR="00A93A47" w:rsidRPr="00A93A47" w14:paraId="1BC696BA" w14:textId="77777777" w:rsidTr="00A93A47">
        <w:trPr>
          <w:trHeight w:val="288"/>
        </w:trPr>
        <w:tc>
          <w:tcPr>
            <w:tcW w:w="2070" w:type="dxa"/>
            <w:tcBorders>
              <w:top w:val="nil"/>
              <w:left w:val="single" w:sz="4" w:space="0" w:color="auto"/>
              <w:bottom w:val="single" w:sz="4" w:space="0" w:color="auto"/>
              <w:right w:val="single" w:sz="4" w:space="0" w:color="auto"/>
            </w:tcBorders>
            <w:shd w:val="clear" w:color="000000" w:fill="2F75B5"/>
            <w:vAlign w:val="center"/>
            <w:hideMark/>
          </w:tcPr>
          <w:p w14:paraId="701272B8" w14:textId="77777777" w:rsidR="00A93A47" w:rsidRPr="00A93A47" w:rsidRDefault="00A93A47" w:rsidP="00A93A47">
            <w:pPr>
              <w:jc w:val="both"/>
              <w:rPr>
                <w:b/>
                <w:bCs/>
                <w:lang w:eastAsia="x-none"/>
              </w:rPr>
            </w:pPr>
            <w:r w:rsidRPr="00A93A47">
              <w:rPr>
                <w:b/>
                <w:bCs/>
                <w:lang w:eastAsia="x-none"/>
              </w:rPr>
              <w:t>Outcomes</w:t>
            </w:r>
          </w:p>
        </w:tc>
        <w:tc>
          <w:tcPr>
            <w:tcW w:w="2140" w:type="dxa"/>
            <w:tcBorders>
              <w:top w:val="nil"/>
              <w:left w:val="nil"/>
              <w:bottom w:val="single" w:sz="4" w:space="0" w:color="auto"/>
              <w:right w:val="single" w:sz="4" w:space="0" w:color="auto"/>
            </w:tcBorders>
            <w:shd w:val="clear" w:color="000000" w:fill="2F75B5"/>
            <w:noWrap/>
            <w:vAlign w:val="bottom"/>
            <w:hideMark/>
          </w:tcPr>
          <w:p w14:paraId="0EC7FA94" w14:textId="77777777" w:rsidR="00A93A47" w:rsidRPr="00A93A47" w:rsidRDefault="00A93A47" w:rsidP="00A93A47">
            <w:pPr>
              <w:jc w:val="both"/>
              <w:rPr>
                <w:b/>
                <w:bCs/>
                <w:lang w:eastAsia="x-none"/>
              </w:rPr>
            </w:pPr>
            <w:r w:rsidRPr="00A93A47">
              <w:rPr>
                <w:b/>
                <w:bCs/>
                <w:lang w:eastAsia="x-none"/>
              </w:rPr>
              <w:t xml:space="preserve"> Total </w:t>
            </w:r>
          </w:p>
        </w:tc>
        <w:tc>
          <w:tcPr>
            <w:tcW w:w="2141" w:type="dxa"/>
            <w:tcBorders>
              <w:top w:val="nil"/>
              <w:left w:val="nil"/>
              <w:bottom w:val="single" w:sz="4" w:space="0" w:color="auto"/>
              <w:right w:val="single" w:sz="4" w:space="0" w:color="auto"/>
            </w:tcBorders>
            <w:shd w:val="clear" w:color="000000" w:fill="2F75B5"/>
            <w:noWrap/>
            <w:vAlign w:val="bottom"/>
            <w:hideMark/>
          </w:tcPr>
          <w:p w14:paraId="28E4AB73" w14:textId="77777777" w:rsidR="00A93A47" w:rsidRPr="00A93A47" w:rsidRDefault="00A93A47" w:rsidP="00A93A47">
            <w:pPr>
              <w:jc w:val="both"/>
              <w:rPr>
                <w:b/>
                <w:bCs/>
                <w:lang w:eastAsia="x-none"/>
              </w:rPr>
            </w:pPr>
            <w:r w:rsidRPr="00A93A47">
              <w:rPr>
                <w:b/>
                <w:bCs/>
                <w:lang w:eastAsia="x-none"/>
              </w:rPr>
              <w:t>3,387,242</w:t>
            </w:r>
          </w:p>
        </w:tc>
        <w:tc>
          <w:tcPr>
            <w:tcW w:w="2140" w:type="dxa"/>
            <w:tcBorders>
              <w:top w:val="nil"/>
              <w:left w:val="nil"/>
              <w:bottom w:val="single" w:sz="4" w:space="0" w:color="auto"/>
              <w:right w:val="single" w:sz="4" w:space="0" w:color="auto"/>
            </w:tcBorders>
            <w:shd w:val="clear" w:color="000000" w:fill="2F75B5"/>
            <w:noWrap/>
            <w:vAlign w:val="bottom"/>
            <w:hideMark/>
          </w:tcPr>
          <w:p w14:paraId="679230A5" w14:textId="77777777" w:rsidR="00A93A47" w:rsidRPr="00A93A47" w:rsidRDefault="00A93A47" w:rsidP="00A93A47">
            <w:pPr>
              <w:jc w:val="both"/>
              <w:rPr>
                <w:b/>
                <w:bCs/>
                <w:lang w:eastAsia="x-none"/>
              </w:rPr>
            </w:pPr>
            <w:r w:rsidRPr="00A93A47">
              <w:rPr>
                <w:b/>
                <w:bCs/>
                <w:lang w:eastAsia="x-none"/>
              </w:rPr>
              <w:t>2,991,014</w:t>
            </w:r>
          </w:p>
        </w:tc>
        <w:tc>
          <w:tcPr>
            <w:tcW w:w="2141" w:type="dxa"/>
            <w:tcBorders>
              <w:top w:val="nil"/>
              <w:left w:val="nil"/>
              <w:bottom w:val="single" w:sz="4" w:space="0" w:color="auto"/>
              <w:right w:val="single" w:sz="4" w:space="0" w:color="auto"/>
            </w:tcBorders>
            <w:shd w:val="clear" w:color="000000" w:fill="2F75B5"/>
            <w:vAlign w:val="bottom"/>
            <w:hideMark/>
          </w:tcPr>
          <w:p w14:paraId="6E6109EC" w14:textId="77777777" w:rsidR="00A93A47" w:rsidRPr="00A93A47" w:rsidRDefault="00A93A47" w:rsidP="00A93A47">
            <w:pPr>
              <w:jc w:val="both"/>
              <w:rPr>
                <w:b/>
                <w:bCs/>
                <w:lang w:eastAsia="x-none"/>
              </w:rPr>
            </w:pPr>
            <w:r w:rsidRPr="00A93A47">
              <w:rPr>
                <w:b/>
                <w:bCs/>
                <w:lang w:eastAsia="x-none"/>
              </w:rPr>
              <w:t>6,378,256</w:t>
            </w:r>
          </w:p>
        </w:tc>
      </w:tr>
      <w:tr w:rsidR="00A93A47" w:rsidRPr="00A93A47" w14:paraId="4F15AF82" w14:textId="77777777" w:rsidTr="00A93A47">
        <w:trPr>
          <w:trHeight w:val="288"/>
        </w:trPr>
        <w:tc>
          <w:tcPr>
            <w:tcW w:w="2070" w:type="dxa"/>
            <w:vMerge w:val="restart"/>
            <w:tcBorders>
              <w:top w:val="nil"/>
              <w:left w:val="single" w:sz="4" w:space="0" w:color="auto"/>
              <w:bottom w:val="single" w:sz="4" w:space="0" w:color="000000"/>
              <w:right w:val="single" w:sz="4" w:space="0" w:color="auto"/>
            </w:tcBorders>
            <w:shd w:val="clear" w:color="000000" w:fill="DDEBF7"/>
            <w:vAlign w:val="center"/>
            <w:hideMark/>
          </w:tcPr>
          <w:p w14:paraId="2C9117F1" w14:textId="77777777" w:rsidR="00A93A47" w:rsidRPr="00A93A47" w:rsidRDefault="00A93A47" w:rsidP="00A93A47">
            <w:pPr>
              <w:jc w:val="both"/>
              <w:rPr>
                <w:b/>
                <w:bCs/>
                <w:lang w:eastAsia="x-none"/>
              </w:rPr>
            </w:pPr>
            <w:r w:rsidRPr="00A93A47">
              <w:rPr>
                <w:b/>
                <w:bCs/>
                <w:lang w:eastAsia="x-none"/>
              </w:rPr>
              <w:t>Coordination</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55503F22" w14:textId="77777777" w:rsidR="00A93A47" w:rsidRPr="00A93A47" w:rsidRDefault="00A93A47" w:rsidP="00A93A47">
            <w:pPr>
              <w:jc w:val="both"/>
              <w:rPr>
                <w:lang w:eastAsia="x-none"/>
              </w:rPr>
            </w:pPr>
            <w:r w:rsidRPr="00A93A47">
              <w:rPr>
                <w:lang w:eastAsia="x-none"/>
              </w:rPr>
              <w:t xml:space="preserve"> Coordination</w:t>
            </w:r>
          </w:p>
        </w:tc>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2D93E" w14:textId="77777777" w:rsidR="00A93A47" w:rsidRPr="00A93A47" w:rsidRDefault="00A93A47" w:rsidP="00A93A47">
            <w:pPr>
              <w:jc w:val="both"/>
              <w:rPr>
                <w:lang w:eastAsia="x-none"/>
              </w:rPr>
            </w:pPr>
            <w:r w:rsidRPr="00A93A47">
              <w:rPr>
                <w:lang w:eastAsia="x-none"/>
              </w:rPr>
              <w:t>170,000</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4C37D" w14:textId="77777777" w:rsidR="00A93A47" w:rsidRPr="00A93A47" w:rsidRDefault="00A93A47" w:rsidP="00A93A47">
            <w:pPr>
              <w:jc w:val="both"/>
              <w:rPr>
                <w:lang w:eastAsia="x-none"/>
              </w:rPr>
            </w:pPr>
            <w:r w:rsidRPr="00A93A47">
              <w:rPr>
                <w:lang w:eastAsia="x-none"/>
              </w:rPr>
              <w:t>-</w:t>
            </w:r>
          </w:p>
        </w:tc>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C7373" w14:textId="77777777" w:rsidR="00A93A47" w:rsidRPr="00A93A47" w:rsidRDefault="00A93A47" w:rsidP="00A93A47">
            <w:pPr>
              <w:jc w:val="both"/>
              <w:rPr>
                <w:lang w:eastAsia="x-none"/>
              </w:rPr>
            </w:pPr>
            <w:r w:rsidRPr="00A93A47">
              <w:rPr>
                <w:lang w:eastAsia="x-none"/>
              </w:rPr>
              <w:t>170,000</w:t>
            </w:r>
          </w:p>
        </w:tc>
      </w:tr>
      <w:tr w:rsidR="00A93A47" w:rsidRPr="00A93A47" w14:paraId="1C0FCA59" w14:textId="77777777" w:rsidTr="00A93A47">
        <w:trPr>
          <w:trHeight w:val="288"/>
        </w:trPr>
        <w:tc>
          <w:tcPr>
            <w:tcW w:w="2070" w:type="dxa"/>
            <w:vMerge/>
            <w:tcBorders>
              <w:top w:val="nil"/>
              <w:left w:val="single" w:sz="4" w:space="0" w:color="auto"/>
              <w:bottom w:val="single" w:sz="4" w:space="0" w:color="000000"/>
              <w:right w:val="single" w:sz="4" w:space="0" w:color="auto"/>
            </w:tcBorders>
            <w:vAlign w:val="center"/>
            <w:hideMark/>
          </w:tcPr>
          <w:p w14:paraId="0DFAF8EE" w14:textId="77777777" w:rsidR="00A93A47" w:rsidRPr="00A93A47" w:rsidRDefault="00A93A47" w:rsidP="00A93A47">
            <w:pPr>
              <w:jc w:val="both"/>
              <w:rPr>
                <w:b/>
                <w:bCs/>
                <w:lang w:eastAsia="x-none"/>
              </w:rPr>
            </w:pPr>
          </w:p>
        </w:tc>
        <w:tc>
          <w:tcPr>
            <w:tcW w:w="2140" w:type="dxa"/>
            <w:tcBorders>
              <w:top w:val="single" w:sz="4" w:space="0" w:color="auto"/>
              <w:left w:val="nil"/>
              <w:bottom w:val="single" w:sz="4" w:space="0" w:color="auto"/>
              <w:right w:val="single" w:sz="4" w:space="0" w:color="auto"/>
            </w:tcBorders>
            <w:shd w:val="clear" w:color="000000" w:fill="DDEBF7"/>
            <w:noWrap/>
            <w:vAlign w:val="bottom"/>
            <w:hideMark/>
          </w:tcPr>
          <w:p w14:paraId="702C68BF" w14:textId="77777777" w:rsidR="00A93A47" w:rsidRPr="00A93A47" w:rsidRDefault="00A93A47" w:rsidP="00A93A47">
            <w:pPr>
              <w:jc w:val="both"/>
              <w:rPr>
                <w:b/>
                <w:bCs/>
                <w:lang w:eastAsia="x-none"/>
              </w:rPr>
            </w:pPr>
            <w:r w:rsidRPr="00A93A47">
              <w:rPr>
                <w:b/>
                <w:bCs/>
                <w:lang w:eastAsia="x-none"/>
              </w:rPr>
              <w:t xml:space="preserve"> Total </w:t>
            </w:r>
          </w:p>
        </w:tc>
        <w:tc>
          <w:tcPr>
            <w:tcW w:w="2141" w:type="dxa"/>
            <w:tcBorders>
              <w:top w:val="single" w:sz="4" w:space="0" w:color="auto"/>
              <w:left w:val="nil"/>
              <w:bottom w:val="single" w:sz="4" w:space="0" w:color="auto"/>
              <w:right w:val="single" w:sz="4" w:space="0" w:color="auto"/>
            </w:tcBorders>
            <w:shd w:val="clear" w:color="000000" w:fill="DDEBF7"/>
            <w:noWrap/>
            <w:vAlign w:val="bottom"/>
            <w:hideMark/>
          </w:tcPr>
          <w:p w14:paraId="72BB609E" w14:textId="77777777" w:rsidR="00A93A47" w:rsidRPr="00A93A47" w:rsidRDefault="00A93A47" w:rsidP="00A93A47">
            <w:pPr>
              <w:jc w:val="both"/>
              <w:rPr>
                <w:b/>
                <w:bCs/>
                <w:lang w:eastAsia="x-none"/>
              </w:rPr>
            </w:pPr>
            <w:r w:rsidRPr="00A93A47">
              <w:rPr>
                <w:b/>
                <w:bCs/>
                <w:lang w:eastAsia="x-none"/>
              </w:rPr>
              <w:t>170,000</w:t>
            </w:r>
          </w:p>
        </w:tc>
        <w:tc>
          <w:tcPr>
            <w:tcW w:w="2140" w:type="dxa"/>
            <w:tcBorders>
              <w:top w:val="single" w:sz="4" w:space="0" w:color="auto"/>
              <w:left w:val="nil"/>
              <w:bottom w:val="single" w:sz="4" w:space="0" w:color="auto"/>
              <w:right w:val="single" w:sz="4" w:space="0" w:color="auto"/>
            </w:tcBorders>
            <w:shd w:val="clear" w:color="000000" w:fill="DDEBF7"/>
            <w:noWrap/>
            <w:vAlign w:val="bottom"/>
            <w:hideMark/>
          </w:tcPr>
          <w:p w14:paraId="197689B5" w14:textId="77777777" w:rsidR="00A93A47" w:rsidRPr="00A93A47" w:rsidRDefault="00A93A47" w:rsidP="00A93A47">
            <w:pPr>
              <w:jc w:val="both"/>
              <w:rPr>
                <w:b/>
                <w:bCs/>
                <w:lang w:eastAsia="x-none"/>
              </w:rPr>
            </w:pPr>
            <w:r w:rsidRPr="00A93A47">
              <w:rPr>
                <w:b/>
                <w:bCs/>
                <w:lang w:eastAsia="x-none"/>
              </w:rPr>
              <w:t>-</w:t>
            </w:r>
          </w:p>
        </w:tc>
        <w:tc>
          <w:tcPr>
            <w:tcW w:w="2141" w:type="dxa"/>
            <w:tcBorders>
              <w:top w:val="single" w:sz="4" w:space="0" w:color="auto"/>
              <w:left w:val="nil"/>
              <w:bottom w:val="single" w:sz="4" w:space="0" w:color="auto"/>
              <w:right w:val="single" w:sz="4" w:space="0" w:color="auto"/>
            </w:tcBorders>
            <w:shd w:val="clear" w:color="000000" w:fill="DDEBF7"/>
            <w:vAlign w:val="bottom"/>
            <w:hideMark/>
          </w:tcPr>
          <w:p w14:paraId="738DA56A" w14:textId="77777777" w:rsidR="00A93A47" w:rsidRPr="00A93A47" w:rsidRDefault="00A93A47" w:rsidP="00A93A47">
            <w:pPr>
              <w:jc w:val="both"/>
              <w:rPr>
                <w:b/>
                <w:bCs/>
                <w:lang w:eastAsia="x-none"/>
              </w:rPr>
            </w:pPr>
            <w:r w:rsidRPr="00A93A47">
              <w:rPr>
                <w:b/>
                <w:bCs/>
                <w:lang w:eastAsia="x-none"/>
              </w:rPr>
              <w:t>170,000</w:t>
            </w:r>
          </w:p>
        </w:tc>
      </w:tr>
      <w:tr w:rsidR="00A93A47" w:rsidRPr="00A93A47" w14:paraId="429B4786" w14:textId="77777777" w:rsidTr="00A93A47">
        <w:trPr>
          <w:trHeight w:val="288"/>
        </w:trPr>
        <w:tc>
          <w:tcPr>
            <w:tcW w:w="2070" w:type="dxa"/>
            <w:tcBorders>
              <w:top w:val="nil"/>
              <w:left w:val="single" w:sz="4" w:space="0" w:color="auto"/>
              <w:bottom w:val="single" w:sz="4" w:space="0" w:color="auto"/>
              <w:right w:val="single" w:sz="4" w:space="0" w:color="auto"/>
            </w:tcBorders>
            <w:shd w:val="clear" w:color="000000" w:fill="2F75B5"/>
            <w:vAlign w:val="bottom"/>
            <w:hideMark/>
          </w:tcPr>
          <w:p w14:paraId="24D26F1B" w14:textId="77777777" w:rsidR="00A93A47" w:rsidRPr="00A93A47" w:rsidRDefault="00A93A47" w:rsidP="00A93A47">
            <w:pPr>
              <w:jc w:val="both"/>
              <w:rPr>
                <w:b/>
                <w:bCs/>
                <w:lang w:eastAsia="x-none"/>
              </w:rPr>
            </w:pPr>
            <w:r w:rsidRPr="00A93A47">
              <w:rPr>
                <w:b/>
                <w:bCs/>
                <w:lang w:eastAsia="x-none"/>
              </w:rPr>
              <w:t>GRAND TOTAL</w:t>
            </w:r>
          </w:p>
        </w:tc>
        <w:tc>
          <w:tcPr>
            <w:tcW w:w="2140" w:type="dxa"/>
            <w:tcBorders>
              <w:top w:val="nil"/>
              <w:left w:val="nil"/>
              <w:bottom w:val="single" w:sz="4" w:space="0" w:color="auto"/>
              <w:right w:val="nil"/>
            </w:tcBorders>
            <w:shd w:val="clear" w:color="000000" w:fill="2F75B5"/>
            <w:vAlign w:val="bottom"/>
            <w:hideMark/>
          </w:tcPr>
          <w:p w14:paraId="37FD302E" w14:textId="77777777" w:rsidR="00A93A47" w:rsidRPr="00A93A47" w:rsidRDefault="00A93A47" w:rsidP="00A93A47">
            <w:pPr>
              <w:jc w:val="both"/>
              <w:rPr>
                <w:lang w:eastAsia="x-none"/>
              </w:rPr>
            </w:pPr>
            <w:r w:rsidRPr="00A93A47">
              <w:rPr>
                <w:lang w:eastAsia="x-none"/>
              </w:rPr>
              <w:t> </w:t>
            </w:r>
          </w:p>
        </w:tc>
        <w:tc>
          <w:tcPr>
            <w:tcW w:w="2141" w:type="dxa"/>
            <w:tcBorders>
              <w:top w:val="nil"/>
              <w:left w:val="nil"/>
              <w:bottom w:val="single" w:sz="4" w:space="0" w:color="auto"/>
              <w:right w:val="nil"/>
            </w:tcBorders>
            <w:shd w:val="clear" w:color="000000" w:fill="2F75B5"/>
            <w:noWrap/>
            <w:vAlign w:val="bottom"/>
            <w:hideMark/>
          </w:tcPr>
          <w:p w14:paraId="072E3898" w14:textId="77777777" w:rsidR="00A93A47" w:rsidRPr="00A93A47" w:rsidRDefault="00A93A47" w:rsidP="00A93A47">
            <w:pPr>
              <w:jc w:val="both"/>
              <w:rPr>
                <w:b/>
                <w:bCs/>
                <w:lang w:eastAsia="x-none"/>
              </w:rPr>
            </w:pPr>
            <w:r w:rsidRPr="00A93A47">
              <w:rPr>
                <w:b/>
                <w:bCs/>
                <w:lang w:eastAsia="x-none"/>
              </w:rPr>
              <w:t>3,557,242</w:t>
            </w:r>
          </w:p>
        </w:tc>
        <w:tc>
          <w:tcPr>
            <w:tcW w:w="2140" w:type="dxa"/>
            <w:tcBorders>
              <w:top w:val="nil"/>
              <w:left w:val="nil"/>
              <w:bottom w:val="single" w:sz="4" w:space="0" w:color="auto"/>
              <w:right w:val="nil"/>
            </w:tcBorders>
            <w:shd w:val="clear" w:color="000000" w:fill="2F75B5"/>
            <w:noWrap/>
            <w:vAlign w:val="bottom"/>
            <w:hideMark/>
          </w:tcPr>
          <w:p w14:paraId="133DD791" w14:textId="77777777" w:rsidR="00A93A47" w:rsidRPr="00A93A47" w:rsidRDefault="00A93A47" w:rsidP="00A93A47">
            <w:pPr>
              <w:jc w:val="both"/>
              <w:rPr>
                <w:b/>
                <w:bCs/>
                <w:lang w:eastAsia="x-none"/>
              </w:rPr>
            </w:pPr>
            <w:r w:rsidRPr="00A93A47">
              <w:rPr>
                <w:b/>
                <w:bCs/>
                <w:lang w:eastAsia="x-none"/>
              </w:rPr>
              <w:t>2,991,014</w:t>
            </w:r>
          </w:p>
        </w:tc>
        <w:tc>
          <w:tcPr>
            <w:tcW w:w="2141" w:type="dxa"/>
            <w:tcBorders>
              <w:top w:val="nil"/>
              <w:left w:val="nil"/>
              <w:bottom w:val="single" w:sz="4" w:space="0" w:color="auto"/>
              <w:right w:val="single" w:sz="4" w:space="0" w:color="auto"/>
            </w:tcBorders>
            <w:shd w:val="clear" w:color="000000" w:fill="2F75B5"/>
            <w:noWrap/>
            <w:vAlign w:val="bottom"/>
            <w:hideMark/>
          </w:tcPr>
          <w:p w14:paraId="46839FEE" w14:textId="77777777" w:rsidR="00A93A47" w:rsidRPr="00A93A47" w:rsidRDefault="00A93A47" w:rsidP="00A93A47">
            <w:pPr>
              <w:jc w:val="both"/>
              <w:rPr>
                <w:b/>
                <w:bCs/>
                <w:lang w:eastAsia="x-none"/>
              </w:rPr>
            </w:pPr>
            <w:r w:rsidRPr="00A93A47">
              <w:rPr>
                <w:b/>
                <w:bCs/>
                <w:lang w:eastAsia="x-none"/>
              </w:rPr>
              <w:t>6,548,256</w:t>
            </w:r>
          </w:p>
        </w:tc>
      </w:tr>
    </w:tbl>
    <w:p w14:paraId="4CE0891A" w14:textId="77777777" w:rsidR="00D23EF4" w:rsidRDefault="00D23EF4" w:rsidP="00434A5A">
      <w:pPr>
        <w:jc w:val="both"/>
        <w:rPr>
          <w:lang w:val="en-GB" w:eastAsia="x-none"/>
        </w:rPr>
      </w:pPr>
    </w:p>
    <w:p w14:paraId="11C0BDFA" w14:textId="77777777" w:rsidR="009A3D4D" w:rsidRPr="009A3D4D" w:rsidRDefault="009A3D4D" w:rsidP="009A3D4D">
      <w:pPr>
        <w:jc w:val="both"/>
        <w:rPr>
          <w:b/>
          <w:bCs/>
          <w:lang w:val="en-GB" w:eastAsia="x-none"/>
        </w:rPr>
      </w:pPr>
      <w:r w:rsidRPr="009A3D4D">
        <w:rPr>
          <w:b/>
          <w:bCs/>
          <w:lang w:val="en-GB" w:eastAsia="x-none"/>
        </w:rPr>
        <w:t>Programme Coordination:</w:t>
      </w:r>
    </w:p>
    <w:p w14:paraId="2E5691AE" w14:textId="77777777" w:rsidR="009A3D4D" w:rsidRDefault="009A3D4D" w:rsidP="009A3D4D">
      <w:pPr>
        <w:jc w:val="both"/>
        <w:rPr>
          <w:lang w:val="en-GB" w:eastAsia="x-none"/>
        </w:rPr>
      </w:pPr>
    </w:p>
    <w:p w14:paraId="46C6815F" w14:textId="2E9EB7C2" w:rsidR="00D23EF4" w:rsidRDefault="009A3D4D" w:rsidP="009A3D4D">
      <w:pPr>
        <w:jc w:val="both"/>
        <w:rPr>
          <w:lang w:val="en-GB" w:eastAsia="x-none"/>
        </w:rPr>
      </w:pPr>
      <w:r w:rsidRPr="009A3D4D">
        <w:rPr>
          <w:lang w:val="en-GB" w:eastAsia="x-none"/>
        </w:rPr>
        <w:t xml:space="preserve">Through the support of the coordination team </w:t>
      </w:r>
      <w:r w:rsidR="00193F0E">
        <w:rPr>
          <w:lang w:val="en-GB" w:eastAsia="x-none"/>
        </w:rPr>
        <w:t xml:space="preserve">within </w:t>
      </w:r>
      <w:r w:rsidRPr="009A3D4D">
        <w:rPr>
          <w:lang w:val="en-GB" w:eastAsia="x-none"/>
        </w:rPr>
        <w:t>the Resident Coordinator’s Office, the programme was effectively coordinated by a close collaboration between the UN and Regional Authorities and KJP focal persons from both the regional and district levels. The coordination team facilitated liaison among all stakeholders and relevant development actors in the region to ensure that the activities identified and implemented align with both district and regional developmental priorities.</w:t>
      </w:r>
      <w:r w:rsidR="00193F0E">
        <w:rPr>
          <w:lang w:val="en-GB" w:eastAsia="x-none"/>
        </w:rPr>
        <w:t xml:space="preserve"> Close </w:t>
      </w:r>
      <w:r w:rsidRPr="009A3D4D">
        <w:rPr>
          <w:lang w:val="en-GB" w:eastAsia="x-none"/>
        </w:rPr>
        <w:t>partnership</w:t>
      </w:r>
      <w:r w:rsidR="00193F0E">
        <w:rPr>
          <w:lang w:val="en-GB" w:eastAsia="x-none"/>
        </w:rPr>
        <w:t>s</w:t>
      </w:r>
      <w:r w:rsidRPr="009A3D4D">
        <w:rPr>
          <w:lang w:val="en-GB" w:eastAsia="x-none"/>
        </w:rPr>
        <w:t xml:space="preserve"> </w:t>
      </w:r>
      <w:r w:rsidR="00193F0E">
        <w:rPr>
          <w:lang w:val="en-GB" w:eastAsia="x-none"/>
        </w:rPr>
        <w:t xml:space="preserve">with stakeholders </w:t>
      </w:r>
      <w:r w:rsidRPr="009A3D4D">
        <w:rPr>
          <w:lang w:val="en-GB" w:eastAsia="x-none"/>
        </w:rPr>
        <w:t>ha</w:t>
      </w:r>
      <w:r w:rsidR="00193F0E">
        <w:rPr>
          <w:lang w:val="en-GB" w:eastAsia="x-none"/>
        </w:rPr>
        <w:t xml:space="preserve">ve </w:t>
      </w:r>
      <w:r w:rsidRPr="009A3D4D">
        <w:rPr>
          <w:lang w:val="en-GB" w:eastAsia="x-none"/>
        </w:rPr>
        <w:t>facilitated timely implementation of the programme and enhanced complementarit</w:t>
      </w:r>
      <w:r w:rsidR="00193F0E">
        <w:rPr>
          <w:lang w:val="en-GB" w:eastAsia="x-none"/>
        </w:rPr>
        <w:t xml:space="preserve">ies </w:t>
      </w:r>
      <w:r w:rsidRPr="009A3D4D">
        <w:rPr>
          <w:lang w:val="en-GB" w:eastAsia="x-none"/>
        </w:rPr>
        <w:t>with other interventions in Kigoma region</w:t>
      </w:r>
      <w:r w:rsidR="00193F0E">
        <w:rPr>
          <w:lang w:val="en-GB" w:eastAsia="x-none"/>
        </w:rPr>
        <w:t xml:space="preserve"> for maximised impact</w:t>
      </w:r>
      <w:r w:rsidRPr="009A3D4D">
        <w:rPr>
          <w:lang w:val="en-GB" w:eastAsia="x-none"/>
        </w:rPr>
        <w:t>.</w:t>
      </w:r>
    </w:p>
    <w:p w14:paraId="32972A8C" w14:textId="77777777" w:rsidR="005D3A1F" w:rsidRDefault="005D3A1F" w:rsidP="009A3D4D">
      <w:pPr>
        <w:jc w:val="both"/>
        <w:rPr>
          <w:lang w:val="en-GB" w:eastAsia="x-none"/>
        </w:rPr>
      </w:pPr>
    </w:p>
    <w:p w14:paraId="2EFB9312" w14:textId="77777777" w:rsidR="005D3A1F" w:rsidRDefault="005D3A1F" w:rsidP="009A3D4D">
      <w:pPr>
        <w:jc w:val="both"/>
        <w:rPr>
          <w:lang w:val="en-GB" w:eastAsia="x-none"/>
        </w:rPr>
      </w:pPr>
    </w:p>
    <w:p w14:paraId="2CCB3395" w14:textId="77777777" w:rsidR="00AB0274" w:rsidRPr="00574596" w:rsidRDefault="00AB0274" w:rsidP="000A5FBB">
      <w:pPr>
        <w:pStyle w:val="Heading1"/>
        <w:numPr>
          <w:ilvl w:val="0"/>
          <w:numId w:val="1"/>
        </w:numPr>
        <w:tabs>
          <w:tab w:val="clear" w:pos="1080"/>
          <w:tab w:val="left" w:pos="360"/>
        </w:tabs>
        <w:ind w:left="360" w:hanging="360"/>
        <w:rPr>
          <w:rFonts w:ascii="Times New Roman" w:hAnsi="Times New Roman"/>
          <w:sz w:val="24"/>
          <w:szCs w:val="24"/>
          <w:lang w:val="en-GB"/>
        </w:rPr>
      </w:pPr>
      <w:bookmarkStart w:id="7" w:name="_Toc164176752"/>
      <w:bookmarkStart w:id="8" w:name="_Toc164177132"/>
      <w:bookmarkStart w:id="9" w:name="_Toc164176753"/>
      <w:bookmarkStart w:id="10" w:name="_Toc164177133"/>
      <w:bookmarkStart w:id="11" w:name="_Toc249364486"/>
      <w:bookmarkStart w:id="12" w:name="_Toc164236823"/>
      <w:bookmarkEnd w:id="7"/>
      <w:bookmarkEnd w:id="8"/>
      <w:bookmarkEnd w:id="9"/>
      <w:bookmarkEnd w:id="10"/>
      <w:r w:rsidRPr="00574596">
        <w:rPr>
          <w:rFonts w:ascii="Times New Roman" w:hAnsi="Times New Roman"/>
          <w:sz w:val="24"/>
          <w:szCs w:val="24"/>
          <w:lang w:val="en-GB"/>
        </w:rPr>
        <w:t>Results</w:t>
      </w:r>
      <w:bookmarkEnd w:id="11"/>
      <w:bookmarkEnd w:id="12"/>
      <w:r w:rsidRPr="00574596">
        <w:rPr>
          <w:rFonts w:ascii="Times New Roman" w:hAnsi="Times New Roman"/>
          <w:sz w:val="24"/>
          <w:szCs w:val="24"/>
          <w:lang w:val="en-GB"/>
        </w:rPr>
        <w:t xml:space="preserve"> </w:t>
      </w:r>
    </w:p>
    <w:p w14:paraId="20F56CBB" w14:textId="77777777" w:rsidR="005D3A1F" w:rsidRDefault="005D3A1F" w:rsidP="00434A5A">
      <w:pPr>
        <w:jc w:val="both"/>
        <w:rPr>
          <w:bCs/>
          <w:lang w:val="en-GB" w:eastAsia="x-none"/>
        </w:rPr>
      </w:pPr>
    </w:p>
    <w:p w14:paraId="4803F876" w14:textId="4E76CAAD" w:rsidR="005D3A1F" w:rsidRDefault="00A93A47" w:rsidP="00434A5A">
      <w:pPr>
        <w:jc w:val="both"/>
        <w:rPr>
          <w:b/>
          <w:lang w:val="en-GB"/>
        </w:rPr>
      </w:pPr>
      <w:r>
        <w:rPr>
          <w:bCs/>
          <w:lang w:val="en-GB" w:eastAsia="x-none"/>
        </w:rPr>
        <w:t>This report</w:t>
      </w:r>
      <w:r w:rsidR="00EB6245" w:rsidRPr="00EB6245">
        <w:rPr>
          <w:bCs/>
          <w:lang w:val="en-GB" w:eastAsia="x-none"/>
        </w:rPr>
        <w:t xml:space="preserve"> provides updates on </w:t>
      </w:r>
      <w:r w:rsidR="00C15A7D">
        <w:rPr>
          <w:bCs/>
          <w:lang w:val="en-GB" w:eastAsia="x-none"/>
        </w:rPr>
        <w:t xml:space="preserve">results achieved </w:t>
      </w:r>
      <w:r w:rsidR="00EB6245" w:rsidRPr="00EB6245">
        <w:rPr>
          <w:bCs/>
          <w:lang w:val="en-GB" w:eastAsia="x-none"/>
        </w:rPr>
        <w:t>from January to December 2023, with a particular focus on activities carried out from July to December 2023</w:t>
      </w:r>
      <w:r w:rsidR="005D3A1F">
        <w:rPr>
          <w:bCs/>
          <w:lang w:val="en-GB" w:eastAsia="x-none"/>
        </w:rPr>
        <w:t>, following the</w:t>
      </w:r>
      <w:r w:rsidR="0072725E">
        <w:rPr>
          <w:bCs/>
          <w:lang w:val="en-GB" w:eastAsia="x-none"/>
        </w:rPr>
        <w:t xml:space="preserve"> first</w:t>
      </w:r>
      <w:r w:rsidR="005D3A1F">
        <w:rPr>
          <w:bCs/>
          <w:lang w:val="en-GB" w:eastAsia="x-none"/>
        </w:rPr>
        <w:t xml:space="preserve"> disbursements of resources from the SDG Acceleration Fund</w:t>
      </w:r>
      <w:r w:rsidR="00EB6245" w:rsidRPr="00EB6245">
        <w:rPr>
          <w:bCs/>
          <w:lang w:val="en-GB" w:eastAsia="x-none"/>
        </w:rPr>
        <w:t xml:space="preserve">. Throughout the reporting period, participating agencies </w:t>
      </w:r>
      <w:r w:rsidR="005D3A1F">
        <w:rPr>
          <w:bCs/>
          <w:lang w:val="en-GB" w:eastAsia="x-none"/>
        </w:rPr>
        <w:t xml:space="preserve">also </w:t>
      </w:r>
      <w:r w:rsidR="00EB6245" w:rsidRPr="00EB6245">
        <w:rPr>
          <w:bCs/>
          <w:lang w:val="en-GB" w:eastAsia="x-none"/>
        </w:rPr>
        <w:t xml:space="preserve">relied on residual resources </w:t>
      </w:r>
      <w:r w:rsidR="00EB6245" w:rsidRPr="00EB6245">
        <w:rPr>
          <w:bCs/>
          <w:lang w:val="en-GB" w:eastAsia="x-none"/>
        </w:rPr>
        <w:lastRenderedPageBreak/>
        <w:t>from the One UN Fund, which was extended until</w:t>
      </w:r>
      <w:r w:rsidR="0072725E">
        <w:rPr>
          <w:bCs/>
          <w:lang w:val="en-GB" w:eastAsia="x-none"/>
        </w:rPr>
        <w:t xml:space="preserve"> end of</w:t>
      </w:r>
      <w:r w:rsidR="00EB6245" w:rsidRPr="00EB6245">
        <w:rPr>
          <w:bCs/>
          <w:lang w:val="en-GB" w:eastAsia="x-none"/>
        </w:rPr>
        <w:t xml:space="preserve"> June 2023. Additionally, other funding from </w:t>
      </w:r>
      <w:r w:rsidR="0072725E">
        <w:rPr>
          <w:bCs/>
          <w:lang w:val="en-GB" w:eastAsia="x-none"/>
        </w:rPr>
        <w:t>various sources</w:t>
      </w:r>
      <w:r w:rsidR="005D3A1F">
        <w:rPr>
          <w:bCs/>
          <w:lang w:val="en-GB" w:eastAsia="x-none"/>
        </w:rPr>
        <w:t>, including PUNO</w:t>
      </w:r>
      <w:r w:rsidR="0072725E">
        <w:rPr>
          <w:bCs/>
          <w:lang w:val="en-GB" w:eastAsia="x-none"/>
        </w:rPr>
        <w:t>’s</w:t>
      </w:r>
      <w:r w:rsidR="005D3A1F">
        <w:rPr>
          <w:bCs/>
          <w:lang w:val="en-GB" w:eastAsia="x-none"/>
        </w:rPr>
        <w:t xml:space="preserve"> </w:t>
      </w:r>
      <w:r w:rsidR="00EB6245" w:rsidRPr="00EB6245">
        <w:rPr>
          <w:bCs/>
          <w:lang w:val="en-GB" w:eastAsia="x-none"/>
        </w:rPr>
        <w:t>internal resources</w:t>
      </w:r>
      <w:r w:rsidR="0072725E">
        <w:rPr>
          <w:bCs/>
          <w:lang w:val="en-GB" w:eastAsia="x-none"/>
        </w:rPr>
        <w:t>,</w:t>
      </w:r>
      <w:r w:rsidR="00EB6245" w:rsidRPr="00EB6245">
        <w:rPr>
          <w:bCs/>
          <w:lang w:val="en-GB" w:eastAsia="x-none"/>
        </w:rPr>
        <w:t xml:space="preserve"> were utilized as part of agencies' commitment to joint action and the </w:t>
      </w:r>
      <w:r w:rsidR="005D3A1F">
        <w:rPr>
          <w:bCs/>
          <w:lang w:val="en-GB" w:eastAsia="x-none"/>
        </w:rPr>
        <w:t xml:space="preserve">minimum </w:t>
      </w:r>
      <w:r w:rsidR="008500FC">
        <w:rPr>
          <w:bCs/>
          <w:lang w:val="en-GB" w:eastAsia="x-none"/>
        </w:rPr>
        <w:t>co</w:t>
      </w:r>
      <w:r w:rsidR="00CC0DD6">
        <w:rPr>
          <w:bCs/>
          <w:lang w:val="en-GB" w:eastAsia="x-none"/>
        </w:rPr>
        <w:t>mmitment of 10</w:t>
      </w:r>
      <w:r w:rsidR="00D0112B">
        <w:rPr>
          <w:bCs/>
          <w:lang w:val="en-GB" w:eastAsia="x-none"/>
        </w:rPr>
        <w:t xml:space="preserve">% from agencies </w:t>
      </w:r>
      <w:r w:rsidR="005D3A1F">
        <w:rPr>
          <w:bCs/>
          <w:lang w:val="en-GB" w:eastAsia="x-none"/>
        </w:rPr>
        <w:t xml:space="preserve">towards </w:t>
      </w:r>
      <w:r w:rsidR="0072725E">
        <w:rPr>
          <w:bCs/>
          <w:lang w:val="en-GB" w:eastAsia="x-none"/>
        </w:rPr>
        <w:t>the</w:t>
      </w:r>
      <w:r w:rsidR="005D3A1F">
        <w:rPr>
          <w:bCs/>
          <w:lang w:val="en-GB" w:eastAsia="x-none"/>
        </w:rPr>
        <w:t xml:space="preserve"> joint programme</w:t>
      </w:r>
      <w:r w:rsidR="00D0112B">
        <w:rPr>
          <w:bCs/>
          <w:lang w:val="en-GB" w:eastAsia="x-none"/>
        </w:rPr>
        <w:t>.</w:t>
      </w:r>
      <w:r w:rsidR="00F377B6">
        <w:rPr>
          <w:b/>
          <w:lang w:val="en-GB"/>
        </w:rPr>
        <w:t xml:space="preserve"> </w:t>
      </w:r>
    </w:p>
    <w:p w14:paraId="7C2F8DBF" w14:textId="77777777" w:rsidR="005D3A1F" w:rsidRDefault="005D3A1F" w:rsidP="00434A5A">
      <w:pPr>
        <w:jc w:val="both"/>
        <w:rPr>
          <w:b/>
          <w:lang w:val="en-GB"/>
        </w:rPr>
      </w:pPr>
    </w:p>
    <w:p w14:paraId="405A4F6E" w14:textId="1071FA8E" w:rsidR="002D4E1A" w:rsidRPr="00574596" w:rsidRDefault="00ED2F62" w:rsidP="00434A5A">
      <w:pPr>
        <w:jc w:val="both"/>
        <w:rPr>
          <w:bCs/>
          <w:lang w:val="en-GB" w:eastAsia="x-none"/>
        </w:rPr>
      </w:pPr>
      <w:r w:rsidRPr="00ED2F62">
        <w:rPr>
          <w:bCs/>
          <w:lang w:val="en-GB" w:eastAsia="x-none"/>
        </w:rPr>
        <w:t>The KJP</w:t>
      </w:r>
      <w:r w:rsidR="005D3A1F">
        <w:rPr>
          <w:bCs/>
          <w:lang w:val="en-GB" w:eastAsia="x-none"/>
        </w:rPr>
        <w:t xml:space="preserve"> </w:t>
      </w:r>
      <w:r w:rsidRPr="00ED2F62">
        <w:rPr>
          <w:bCs/>
          <w:lang w:val="en-GB" w:eastAsia="x-none"/>
        </w:rPr>
        <w:t>II</w:t>
      </w:r>
      <w:r w:rsidR="005D3A1F">
        <w:rPr>
          <w:bCs/>
          <w:lang w:val="en-GB" w:eastAsia="x-none"/>
        </w:rPr>
        <w:t xml:space="preserve"> is an integral part of the UNSDCF 2022-2027, and the JP outcomes directly contribute to the four outcomes of the UNSDCF and the SDG Acceleration Fund.</w:t>
      </w:r>
    </w:p>
    <w:p w14:paraId="73397751" w14:textId="77777777" w:rsidR="002D4E1A" w:rsidRPr="00574596" w:rsidRDefault="002D4E1A" w:rsidP="00434A5A">
      <w:pPr>
        <w:jc w:val="both"/>
        <w:rPr>
          <w:bCs/>
          <w:lang w:val="en-GB" w:eastAsia="x-none"/>
        </w:rPr>
      </w:pPr>
    </w:p>
    <w:p w14:paraId="2885CA59" w14:textId="6235DC10" w:rsidR="00012E9E" w:rsidRDefault="004F3507" w:rsidP="0047626C">
      <w:pPr>
        <w:pStyle w:val="Heading2"/>
        <w:numPr>
          <w:ilvl w:val="0"/>
          <w:numId w:val="10"/>
        </w:numPr>
      </w:pPr>
      <w:bookmarkStart w:id="13" w:name="_Toc164177135"/>
      <w:bookmarkStart w:id="14" w:name="_Toc164177136"/>
      <w:bookmarkStart w:id="15" w:name="_Toc164177137"/>
      <w:bookmarkStart w:id="16" w:name="_Toc164177138"/>
      <w:bookmarkStart w:id="17" w:name="_Toc164177139"/>
      <w:bookmarkStart w:id="18" w:name="_Toc164177140"/>
      <w:bookmarkStart w:id="19" w:name="_Toc164177141"/>
      <w:bookmarkStart w:id="20" w:name="_Toc164177142"/>
      <w:bookmarkStart w:id="21" w:name="_Toc164177143"/>
      <w:bookmarkStart w:id="22" w:name="_Toc164177144"/>
      <w:bookmarkStart w:id="23" w:name="_Toc164177145"/>
      <w:bookmarkStart w:id="24" w:name="_Toc164236824"/>
      <w:bookmarkEnd w:id="13"/>
      <w:bookmarkEnd w:id="14"/>
      <w:bookmarkEnd w:id="15"/>
      <w:bookmarkEnd w:id="16"/>
      <w:bookmarkEnd w:id="17"/>
      <w:bookmarkEnd w:id="18"/>
      <w:bookmarkEnd w:id="19"/>
      <w:bookmarkEnd w:id="20"/>
      <w:bookmarkEnd w:id="21"/>
      <w:bookmarkEnd w:id="22"/>
      <w:bookmarkEnd w:id="23"/>
      <w:r w:rsidRPr="007D3EB5">
        <w:t>Outcome 1:</w:t>
      </w:r>
      <w:r w:rsidRPr="00574596">
        <w:t xml:space="preserve"> </w:t>
      </w:r>
      <w:r w:rsidR="00727F59">
        <w:t>People</w:t>
      </w:r>
      <w:bookmarkEnd w:id="24"/>
    </w:p>
    <w:p w14:paraId="68BE52EB" w14:textId="77777777" w:rsidR="00012E9E" w:rsidRDefault="00012E9E" w:rsidP="0047626C"/>
    <w:p w14:paraId="2D751FF9" w14:textId="7AD56CDD" w:rsidR="004F3507" w:rsidRPr="0047626C" w:rsidRDefault="004F3507" w:rsidP="0047626C">
      <w:pPr>
        <w:rPr>
          <w:b/>
          <w:i/>
          <w:iCs/>
        </w:rPr>
      </w:pPr>
      <w:r w:rsidRPr="0047626C">
        <w:rPr>
          <w:b/>
          <w:i/>
          <w:iCs/>
        </w:rPr>
        <w:t>By 2027, more people in Kigoma, particularly the most marginalized and those affected by humanitarian situations participate in equitable and inclusive quality education and skills development, climate resilient WASH services, integrated, resilient and gender-responsive health and nutrition services and protection.</w:t>
      </w:r>
    </w:p>
    <w:p w14:paraId="063EF08F" w14:textId="77777777" w:rsidR="004F3507" w:rsidRDefault="004F3507" w:rsidP="00434A5A">
      <w:pPr>
        <w:pStyle w:val="BodyText"/>
        <w:jc w:val="both"/>
        <w:rPr>
          <w:rFonts w:ascii="Times New Roman" w:hAnsi="Times New Roman" w:cs="Times New Roman"/>
          <w:b/>
          <w:bCs/>
          <w:i/>
          <w:iCs/>
          <w:sz w:val="24"/>
          <w:lang w:val="en-GB"/>
        </w:rPr>
      </w:pPr>
    </w:p>
    <w:p w14:paraId="29D9A38D" w14:textId="6758D82A" w:rsidR="00D112BC" w:rsidRPr="004E0D31" w:rsidRDefault="00D112BC" w:rsidP="00434A5A">
      <w:pPr>
        <w:pStyle w:val="BodyText"/>
        <w:jc w:val="both"/>
        <w:rPr>
          <w:rFonts w:ascii="Times New Roman" w:hAnsi="Times New Roman" w:cs="Times New Roman"/>
          <w:b/>
          <w:bCs/>
          <w:i/>
          <w:iCs/>
          <w:sz w:val="24"/>
          <w:lang w:val="en-GB"/>
        </w:rPr>
      </w:pPr>
      <w:r w:rsidRPr="004E0D31">
        <w:rPr>
          <w:rFonts w:ascii="Times New Roman" w:hAnsi="Times New Roman" w:cs="Times New Roman"/>
          <w:b/>
          <w:bCs/>
          <w:i/>
          <w:iCs/>
          <w:sz w:val="24"/>
          <w:lang w:val="en-GB"/>
        </w:rPr>
        <w:t>Output 1.1: Strengthened capacities of service providers for increased coverage of quality education, health, nutrition, WASH, and protection in the Kigoma Region</w:t>
      </w:r>
      <w:r w:rsidR="00CB3C5F" w:rsidRPr="004E0D31">
        <w:rPr>
          <w:rFonts w:ascii="Times New Roman" w:hAnsi="Times New Roman" w:cs="Times New Roman"/>
          <w:b/>
          <w:bCs/>
          <w:i/>
          <w:iCs/>
          <w:sz w:val="24"/>
          <w:lang w:val="en-GB"/>
        </w:rPr>
        <w:t xml:space="preserve">. </w:t>
      </w:r>
    </w:p>
    <w:p w14:paraId="3A059765" w14:textId="77777777" w:rsidR="00E30A93" w:rsidRDefault="00E30A93" w:rsidP="00434A5A">
      <w:pPr>
        <w:pStyle w:val="BodyText"/>
        <w:jc w:val="both"/>
        <w:rPr>
          <w:rFonts w:ascii="Times New Roman" w:hAnsi="Times New Roman" w:cs="Times New Roman"/>
          <w:sz w:val="24"/>
          <w:lang w:val="en-GB"/>
        </w:rPr>
      </w:pPr>
    </w:p>
    <w:p w14:paraId="1A55F06D" w14:textId="0FA677E3" w:rsidR="007F1811" w:rsidRPr="007F1811" w:rsidRDefault="007F1811" w:rsidP="007F1811">
      <w:pPr>
        <w:spacing w:after="160" w:line="259" w:lineRule="auto"/>
        <w:jc w:val="both"/>
        <w:rPr>
          <w:rFonts w:eastAsia="Aptos"/>
          <w:kern w:val="2"/>
          <w:lang w:val="en-GB"/>
          <w14:ligatures w14:val="standardContextual"/>
        </w:rPr>
      </w:pPr>
      <w:r w:rsidRPr="007F1811">
        <w:rPr>
          <w:rFonts w:eastAsia="Aptos"/>
          <w:kern w:val="2"/>
          <w:lang w:val="en-GB"/>
          <w14:ligatures w14:val="standardContextual"/>
        </w:rPr>
        <w:t xml:space="preserve">To provide nurturing environments for children in need, efforts </w:t>
      </w:r>
      <w:r w:rsidR="00230C0B">
        <w:rPr>
          <w:rFonts w:eastAsia="Aptos"/>
          <w:kern w:val="2"/>
          <w:lang w:val="en-GB"/>
          <w14:ligatures w14:val="standardContextual"/>
        </w:rPr>
        <w:t>were</w:t>
      </w:r>
      <w:r w:rsidRPr="007F1811">
        <w:rPr>
          <w:rFonts w:eastAsia="Aptos"/>
          <w:kern w:val="2"/>
          <w:lang w:val="en-GB"/>
          <w14:ligatures w14:val="standardContextual"/>
        </w:rPr>
        <w:t xml:space="preserve"> directed towards the establishment and reinforcement of Alternative Care Services in the region. Across four Local Government Authorities (LGAs), five additional Fit families were established </w:t>
      </w:r>
      <w:r w:rsidR="00F036C2" w:rsidRPr="007F1811">
        <w:rPr>
          <w:rFonts w:eastAsia="Aptos"/>
          <w:kern w:val="2"/>
          <w:lang w:val="en-GB"/>
          <w14:ligatures w14:val="standardContextual"/>
        </w:rPr>
        <w:t>with thorough</w:t>
      </w:r>
      <w:r w:rsidRPr="007F1811">
        <w:rPr>
          <w:rFonts w:eastAsia="Aptos"/>
          <w:kern w:val="2"/>
          <w:lang w:val="en-GB"/>
          <w14:ligatures w14:val="standardContextual"/>
        </w:rPr>
        <w:t xml:space="preserve"> orientation on the guidelines related to Family Alternative Care of Children, ensuring they are well-prepared to provide the necessary support and care. Collaboration between social welfare officers and these Fit Families has been instrumental in enhancing alternative care for survivors of Violence Against Children (VAC). Through this </w:t>
      </w:r>
      <w:r w:rsidR="00AE6FEC" w:rsidRPr="007F1811">
        <w:rPr>
          <w:rFonts w:eastAsia="Aptos"/>
          <w:kern w:val="2"/>
          <w:lang w:val="en-GB"/>
          <w14:ligatures w14:val="standardContextual"/>
        </w:rPr>
        <w:t xml:space="preserve">partnership </w:t>
      </w:r>
      <w:r w:rsidRPr="007F1811">
        <w:rPr>
          <w:rFonts w:eastAsia="Aptos"/>
          <w:kern w:val="2"/>
          <w:lang w:val="en-GB"/>
          <w14:ligatures w14:val="standardContextual"/>
        </w:rPr>
        <w:t xml:space="preserve">68 VAC survivors received vital protection services. </w:t>
      </w:r>
    </w:p>
    <w:p w14:paraId="65752710" w14:textId="2B379874" w:rsidR="00AE6FEC" w:rsidRDefault="00AE6FEC" w:rsidP="007F1811">
      <w:pPr>
        <w:spacing w:after="160" w:line="259" w:lineRule="auto"/>
        <w:jc w:val="both"/>
        <w:rPr>
          <w:rFonts w:eastAsia="Aptos"/>
          <w:kern w:val="2"/>
          <w:lang w:val="en-GB"/>
          <w14:ligatures w14:val="standardContextual"/>
        </w:rPr>
      </w:pPr>
      <w:r w:rsidRPr="007F1811">
        <w:rPr>
          <w:rFonts w:eastAsia="Aptos"/>
          <w:kern w:val="2"/>
          <w:lang w:val="en-GB"/>
          <w14:ligatures w14:val="standardContextual"/>
        </w:rPr>
        <w:t>The Cash</w:t>
      </w:r>
      <w:r w:rsidR="007F1811" w:rsidRPr="007F1811">
        <w:rPr>
          <w:rFonts w:eastAsia="Aptos"/>
          <w:kern w:val="2"/>
          <w:lang w:val="en-GB"/>
          <w14:ligatures w14:val="standardContextual"/>
        </w:rPr>
        <w:t xml:space="preserve"> Plus Ujana Salama initiative was expanded to include the remaining three districts of Buhigwe, Kigoma Municipal, and Kigoma Rural Councils. This expansion has not only broadened the geographical coverage but also facilitated the provision of vital services encompassing Sexual and Reproductive Health and Rights (SRHR), HIV/AIDS awareness, combatting Violence Against Children (VAC), addressing Gender-Based Violence (GBV), and imparting crucial life skills education. </w:t>
      </w:r>
      <w:r w:rsidR="00E85A4F">
        <w:rPr>
          <w:rFonts w:eastAsia="Aptos"/>
          <w:kern w:val="2"/>
          <w:lang w:val="en-GB"/>
          <w14:ligatures w14:val="standardContextual"/>
        </w:rPr>
        <w:t xml:space="preserve"> Two hundred and twenty -six </w:t>
      </w:r>
      <w:r w:rsidR="007F1811" w:rsidRPr="007F1811">
        <w:rPr>
          <w:rFonts w:eastAsia="Aptos"/>
          <w:kern w:val="2"/>
          <w:lang w:val="en-GB"/>
          <w14:ligatures w14:val="standardContextual"/>
        </w:rPr>
        <w:t xml:space="preserve">adolescent girls and boys have benefited from these comprehensive services through a series of capacity-building sessions conducted on livelihood enhancement and SRH education for mentors and peer educators operating within the mentioned districts. </w:t>
      </w:r>
    </w:p>
    <w:p w14:paraId="69C26009" w14:textId="3E77F916" w:rsidR="00730A35" w:rsidRPr="00730A35" w:rsidRDefault="00230C0B" w:rsidP="007F1811">
      <w:pPr>
        <w:spacing w:after="160" w:line="259" w:lineRule="auto"/>
        <w:jc w:val="both"/>
        <w:rPr>
          <w:rFonts w:eastAsia="Aptos"/>
          <w:kern w:val="2"/>
          <w:lang w:val="en-GB"/>
          <w14:ligatures w14:val="standardContextual"/>
        </w:rPr>
      </w:pPr>
      <w:r>
        <w:rPr>
          <w:rFonts w:eastAsia="Aptos"/>
          <w:kern w:val="2"/>
          <w:lang w:val="en-GB"/>
          <w14:ligatures w14:val="standardContextual"/>
        </w:rPr>
        <w:t>To</w:t>
      </w:r>
      <w:r w:rsidR="004B6BE5" w:rsidRPr="004B6BE5">
        <w:rPr>
          <w:rFonts w:eastAsia="Aptos"/>
          <w:kern w:val="2"/>
          <w:lang w:val="en-GB"/>
          <w14:ligatures w14:val="standardContextual"/>
        </w:rPr>
        <w:t xml:space="preserve"> combat Tuberculosis (TB) and protect vulnerable populations, a comprehensive Community-Based TB Screening and Mapping initiative was conducted. This targeted screening focused on at-risk populations, including refugees, miners, and prisoners, ensuring that no community was left behind in the fight against TB. Quarterly screenings were conducted utilizing the National Tuberculosis and Leprosy Program (NTLP) mobile TB screening trucks, effectively reaching out to these high-risk groups. Additionally, a mapping exercise was undertaken to identify and pinpoint communities contributing to TB transmission, providing crucial insights for targeted interventions. As the initiative progresses into 2024, efforts remain steadfast in reaching and safeguarding vulnerable populations against TB. Through community-based screenings and proactive mapping, strides are being made in identifying and addressing TB transmission hotspots, ultimately working towards the goal of a TB-free future for all</w:t>
      </w:r>
      <w:r w:rsidR="00730A35" w:rsidRPr="00730A35">
        <w:rPr>
          <w:rFonts w:eastAsia="Aptos"/>
          <w:kern w:val="2"/>
          <w:lang w:val="en-GB"/>
          <w14:ligatures w14:val="standardContextual"/>
        </w:rPr>
        <w:t>.</w:t>
      </w:r>
    </w:p>
    <w:p w14:paraId="23BD7958" w14:textId="00414B2B" w:rsidR="009D2CE7" w:rsidRDefault="00230C0B" w:rsidP="00836702">
      <w:pPr>
        <w:pStyle w:val="BodyText"/>
        <w:jc w:val="both"/>
        <w:rPr>
          <w:rFonts w:ascii="Times New Roman" w:hAnsi="Times New Roman" w:cs="Times New Roman"/>
          <w:sz w:val="24"/>
          <w:lang w:val="en-GB"/>
        </w:rPr>
      </w:pPr>
      <w:r>
        <w:rPr>
          <w:rFonts w:ascii="Times New Roman" w:hAnsi="Times New Roman" w:cs="Times New Roman"/>
          <w:sz w:val="24"/>
          <w:lang w:val="en-GB"/>
        </w:rPr>
        <w:t>Towards</w:t>
      </w:r>
      <w:r w:rsidR="00836702" w:rsidRPr="00836702">
        <w:rPr>
          <w:rFonts w:ascii="Times New Roman" w:hAnsi="Times New Roman" w:cs="Times New Roman"/>
          <w:sz w:val="24"/>
          <w:lang w:val="en-GB"/>
        </w:rPr>
        <w:t xml:space="preserve"> ensuring the well-being and inclusion of children with disabilities, </w:t>
      </w:r>
      <w:r>
        <w:rPr>
          <w:rFonts w:ascii="Times New Roman" w:hAnsi="Times New Roman" w:cs="Times New Roman"/>
          <w:sz w:val="24"/>
          <w:lang w:val="en-GB"/>
        </w:rPr>
        <w:t>t</w:t>
      </w:r>
      <w:r w:rsidR="00836702" w:rsidRPr="00836702">
        <w:rPr>
          <w:rFonts w:ascii="Times New Roman" w:hAnsi="Times New Roman" w:cs="Times New Roman"/>
          <w:sz w:val="24"/>
          <w:lang w:val="en-GB"/>
        </w:rPr>
        <w:t xml:space="preserve">he Kigoma Regional Secretariat played a </w:t>
      </w:r>
      <w:r w:rsidR="00DC6B13">
        <w:rPr>
          <w:rFonts w:ascii="Times New Roman" w:hAnsi="Times New Roman" w:cs="Times New Roman"/>
          <w:sz w:val="24"/>
          <w:lang w:val="en-GB"/>
        </w:rPr>
        <w:t>leading</w:t>
      </w:r>
      <w:r w:rsidR="00836702" w:rsidRPr="00836702">
        <w:rPr>
          <w:rFonts w:ascii="Times New Roman" w:hAnsi="Times New Roman" w:cs="Times New Roman"/>
          <w:sz w:val="24"/>
          <w:lang w:val="en-GB"/>
        </w:rPr>
        <w:t xml:space="preserve"> role, actively engaging in the national launch and orientation sessions dedicated to </w:t>
      </w:r>
      <w:r w:rsidRPr="00836702">
        <w:rPr>
          <w:rFonts w:ascii="Times New Roman" w:hAnsi="Times New Roman" w:cs="Times New Roman"/>
          <w:sz w:val="24"/>
          <w:lang w:val="en-GB"/>
        </w:rPr>
        <w:t>the rollout of National Guidelines for Early Identification</w:t>
      </w:r>
      <w:r w:rsidR="00836702" w:rsidRPr="00836702">
        <w:rPr>
          <w:rFonts w:ascii="Times New Roman" w:hAnsi="Times New Roman" w:cs="Times New Roman"/>
          <w:sz w:val="24"/>
          <w:lang w:val="en-GB"/>
        </w:rPr>
        <w:t>.</w:t>
      </w:r>
      <w:r w:rsidR="00836702">
        <w:rPr>
          <w:rFonts w:ascii="Times New Roman" w:hAnsi="Times New Roman" w:cs="Times New Roman"/>
          <w:sz w:val="24"/>
          <w:lang w:val="en-GB"/>
        </w:rPr>
        <w:t xml:space="preserve"> </w:t>
      </w:r>
      <w:r>
        <w:rPr>
          <w:rFonts w:ascii="Times New Roman" w:hAnsi="Times New Roman" w:cs="Times New Roman"/>
          <w:sz w:val="24"/>
          <w:lang w:val="en-GB"/>
        </w:rPr>
        <w:t>The</w:t>
      </w:r>
      <w:r w:rsidR="00836702" w:rsidRPr="00836702">
        <w:rPr>
          <w:rFonts w:ascii="Times New Roman" w:hAnsi="Times New Roman" w:cs="Times New Roman"/>
          <w:sz w:val="24"/>
          <w:lang w:val="en-GB"/>
        </w:rPr>
        <w:t xml:space="preserve"> guidelines were disseminated to all Local Government </w:t>
      </w:r>
      <w:r w:rsidR="00836702" w:rsidRPr="00836702">
        <w:rPr>
          <w:rFonts w:ascii="Times New Roman" w:hAnsi="Times New Roman" w:cs="Times New Roman"/>
          <w:sz w:val="24"/>
          <w:lang w:val="en-GB"/>
        </w:rPr>
        <w:lastRenderedPageBreak/>
        <w:t>Authorities (LGAs)</w:t>
      </w:r>
      <w:r w:rsidR="0010507A">
        <w:rPr>
          <w:rFonts w:ascii="Times New Roman" w:hAnsi="Times New Roman" w:cs="Times New Roman"/>
          <w:sz w:val="24"/>
          <w:lang w:val="en-GB"/>
        </w:rPr>
        <w:t xml:space="preserve"> for </w:t>
      </w:r>
      <w:r w:rsidR="00836702" w:rsidRPr="00836702">
        <w:rPr>
          <w:rFonts w:ascii="Times New Roman" w:hAnsi="Times New Roman" w:cs="Times New Roman"/>
          <w:sz w:val="24"/>
          <w:lang w:val="en-GB"/>
        </w:rPr>
        <w:t>adoption and implementation.</w:t>
      </w:r>
      <w:r w:rsidR="00836702">
        <w:rPr>
          <w:rFonts w:ascii="Times New Roman" w:hAnsi="Times New Roman" w:cs="Times New Roman"/>
          <w:sz w:val="24"/>
          <w:lang w:val="en-GB"/>
        </w:rPr>
        <w:t xml:space="preserve"> </w:t>
      </w:r>
      <w:r w:rsidR="00836702" w:rsidRPr="00836702">
        <w:rPr>
          <w:rFonts w:ascii="Times New Roman" w:hAnsi="Times New Roman" w:cs="Times New Roman"/>
          <w:sz w:val="24"/>
          <w:lang w:val="en-GB"/>
        </w:rPr>
        <w:t>As a result</w:t>
      </w:r>
      <w:r>
        <w:rPr>
          <w:rFonts w:ascii="Times New Roman" w:hAnsi="Times New Roman" w:cs="Times New Roman"/>
          <w:sz w:val="24"/>
          <w:lang w:val="en-GB"/>
        </w:rPr>
        <w:t xml:space="preserve">, </w:t>
      </w:r>
      <w:r w:rsidR="00836702" w:rsidRPr="00836702">
        <w:rPr>
          <w:rFonts w:ascii="Times New Roman" w:hAnsi="Times New Roman" w:cs="Times New Roman"/>
          <w:sz w:val="24"/>
          <w:lang w:val="en-GB"/>
        </w:rPr>
        <w:t>697 children with disabilities have been identified ensuring early intervention and support</w:t>
      </w:r>
      <w:r>
        <w:rPr>
          <w:rFonts w:ascii="Times New Roman" w:hAnsi="Times New Roman" w:cs="Times New Roman"/>
          <w:sz w:val="24"/>
          <w:lang w:val="en-GB"/>
        </w:rPr>
        <w:t xml:space="preserve">. </w:t>
      </w:r>
    </w:p>
    <w:p w14:paraId="3432A042" w14:textId="77777777" w:rsidR="00836702" w:rsidRDefault="00836702" w:rsidP="009D2CE7">
      <w:pPr>
        <w:pStyle w:val="BodyText"/>
        <w:jc w:val="both"/>
        <w:rPr>
          <w:rFonts w:ascii="Times New Roman" w:hAnsi="Times New Roman" w:cs="Times New Roman"/>
          <w:sz w:val="24"/>
          <w:lang w:val="en-GB"/>
        </w:rPr>
      </w:pPr>
    </w:p>
    <w:p w14:paraId="4E4E5F7B" w14:textId="4A871256" w:rsidR="009D2CE7" w:rsidRDefault="00230C0B" w:rsidP="00836702">
      <w:pPr>
        <w:pStyle w:val="BodyText"/>
        <w:jc w:val="both"/>
        <w:rPr>
          <w:rFonts w:ascii="Times New Roman" w:hAnsi="Times New Roman" w:cs="Times New Roman"/>
          <w:sz w:val="24"/>
          <w:lang w:val="en-GB"/>
        </w:rPr>
      </w:pPr>
      <w:r>
        <w:rPr>
          <w:rFonts w:ascii="Times New Roman" w:hAnsi="Times New Roman" w:cs="Times New Roman"/>
          <w:sz w:val="24"/>
          <w:lang w:val="en-GB"/>
        </w:rPr>
        <w:t>To further</w:t>
      </w:r>
      <w:r w:rsidR="00836702" w:rsidRPr="00836702">
        <w:rPr>
          <w:rFonts w:ascii="Times New Roman" w:hAnsi="Times New Roman" w:cs="Times New Roman"/>
          <w:sz w:val="24"/>
          <w:lang w:val="en-GB"/>
        </w:rPr>
        <w:t xml:space="preserve"> </w:t>
      </w:r>
      <w:r w:rsidR="0095058F">
        <w:rPr>
          <w:rFonts w:ascii="Times New Roman" w:hAnsi="Times New Roman" w:cs="Times New Roman"/>
          <w:sz w:val="24"/>
          <w:lang w:val="en-GB"/>
        </w:rPr>
        <w:t>improve</w:t>
      </w:r>
      <w:r w:rsidR="00836702" w:rsidRPr="00836702">
        <w:rPr>
          <w:rFonts w:ascii="Times New Roman" w:hAnsi="Times New Roman" w:cs="Times New Roman"/>
          <w:sz w:val="24"/>
          <w:lang w:val="en-GB"/>
        </w:rPr>
        <w:t xml:space="preserve"> the child justice system and ensure the rights and protection of children, </w:t>
      </w:r>
      <w:r w:rsidR="00037116">
        <w:rPr>
          <w:rFonts w:ascii="Times New Roman" w:hAnsi="Times New Roman" w:cs="Times New Roman"/>
          <w:sz w:val="24"/>
          <w:lang w:val="en-GB"/>
        </w:rPr>
        <w:t xml:space="preserve">24 </w:t>
      </w:r>
      <w:r w:rsidR="00037116" w:rsidRPr="00836702">
        <w:rPr>
          <w:rFonts w:ascii="Times New Roman" w:hAnsi="Times New Roman" w:cs="Times New Roman"/>
          <w:sz w:val="24"/>
          <w:lang w:val="en-GB"/>
        </w:rPr>
        <w:t>frontline</w:t>
      </w:r>
      <w:r w:rsidR="00836702" w:rsidRPr="00836702">
        <w:rPr>
          <w:rFonts w:ascii="Times New Roman" w:hAnsi="Times New Roman" w:cs="Times New Roman"/>
          <w:sz w:val="24"/>
          <w:lang w:val="en-GB"/>
        </w:rPr>
        <w:t xml:space="preserve"> worke</w:t>
      </w:r>
      <w:r w:rsidR="00037116">
        <w:rPr>
          <w:rFonts w:ascii="Times New Roman" w:hAnsi="Times New Roman" w:cs="Times New Roman"/>
          <w:sz w:val="24"/>
          <w:lang w:val="en-GB"/>
        </w:rPr>
        <w:t>rs</w:t>
      </w:r>
      <w:r w:rsidR="00836702" w:rsidRPr="00836702">
        <w:rPr>
          <w:rFonts w:ascii="Times New Roman" w:hAnsi="Times New Roman" w:cs="Times New Roman"/>
          <w:sz w:val="24"/>
          <w:lang w:val="en-GB"/>
        </w:rPr>
        <w:t xml:space="preserve"> engaged in child justice, comprising judges, public prosecutors, paralegals, and social welfare officers, underwent specialized training</w:t>
      </w:r>
      <w:r w:rsidR="00053F0F">
        <w:rPr>
          <w:rFonts w:ascii="Times New Roman" w:hAnsi="Times New Roman" w:cs="Times New Roman"/>
          <w:sz w:val="24"/>
          <w:lang w:val="en-GB"/>
        </w:rPr>
        <w:t xml:space="preserve"> </w:t>
      </w:r>
      <w:r w:rsidR="00836702" w:rsidRPr="00836702">
        <w:rPr>
          <w:rFonts w:ascii="Times New Roman" w:hAnsi="Times New Roman" w:cs="Times New Roman"/>
          <w:sz w:val="24"/>
          <w:lang w:val="en-GB"/>
        </w:rPr>
        <w:t>focused on familiarizing participants with existing national guidelines, laws, and regulations governing the management of children's court cases.</w:t>
      </w:r>
      <w:r w:rsidR="0063538A">
        <w:rPr>
          <w:rFonts w:ascii="Times New Roman" w:hAnsi="Times New Roman" w:cs="Times New Roman"/>
          <w:sz w:val="24"/>
          <w:lang w:val="en-GB"/>
        </w:rPr>
        <w:t xml:space="preserve"> </w:t>
      </w:r>
      <w:r w:rsidR="00836702" w:rsidRPr="00836702">
        <w:rPr>
          <w:rFonts w:ascii="Times New Roman" w:hAnsi="Times New Roman" w:cs="Times New Roman"/>
          <w:sz w:val="24"/>
          <w:lang w:val="en-GB"/>
        </w:rPr>
        <w:t>The training sessions provided a platform for comprehensive learning and skill development, empowering officials to navigate complex legal frameworks and procedures pertaining to children's rights and justice. By strengthening the skills and knowledge base of frontline workers, communities are better equipped to address legal challenges and safeguard the rights of children, ultimately fostering a more just and inclusive society.</w:t>
      </w:r>
    </w:p>
    <w:p w14:paraId="16D22FFA" w14:textId="77777777" w:rsidR="00836702" w:rsidRDefault="00836702" w:rsidP="00836702">
      <w:pPr>
        <w:pStyle w:val="BodyText"/>
        <w:jc w:val="both"/>
        <w:rPr>
          <w:rFonts w:ascii="Times New Roman" w:hAnsi="Times New Roman" w:cs="Times New Roman"/>
          <w:sz w:val="24"/>
          <w:lang w:val="en-GB"/>
        </w:rPr>
      </w:pPr>
    </w:p>
    <w:p w14:paraId="7D3268CD" w14:textId="09994CC2" w:rsidR="009D2CE7" w:rsidRDefault="00697759" w:rsidP="009D2CE7">
      <w:pPr>
        <w:pStyle w:val="BodyText"/>
        <w:jc w:val="both"/>
        <w:rPr>
          <w:rFonts w:ascii="Times New Roman" w:hAnsi="Times New Roman" w:cs="Times New Roman"/>
          <w:sz w:val="24"/>
          <w:lang w:val="en-GB"/>
        </w:rPr>
      </w:pPr>
      <w:r>
        <w:rPr>
          <w:rFonts w:ascii="Times New Roman" w:hAnsi="Times New Roman" w:cs="Times New Roman"/>
          <w:sz w:val="24"/>
          <w:lang w:val="en-GB"/>
        </w:rPr>
        <w:t>In</w:t>
      </w:r>
      <w:r w:rsidR="00912CA0">
        <w:rPr>
          <w:rFonts w:ascii="Times New Roman" w:hAnsi="Times New Roman" w:cs="Times New Roman"/>
          <w:sz w:val="24"/>
          <w:lang w:val="en-GB"/>
        </w:rPr>
        <w:t xml:space="preserve"> addition, </w:t>
      </w:r>
      <w:r w:rsidR="00912CA0" w:rsidRPr="0063538A">
        <w:rPr>
          <w:rFonts w:ascii="Times New Roman" w:hAnsi="Times New Roman" w:cs="Times New Roman"/>
          <w:sz w:val="24"/>
          <w:lang w:val="en-GB"/>
        </w:rPr>
        <w:t xml:space="preserve">two dedicated psychosocial support officers </w:t>
      </w:r>
      <w:r w:rsidR="00412868">
        <w:rPr>
          <w:rFonts w:ascii="Times New Roman" w:hAnsi="Times New Roman" w:cs="Times New Roman"/>
          <w:sz w:val="24"/>
          <w:lang w:val="en-GB"/>
        </w:rPr>
        <w:t>were de</w:t>
      </w:r>
      <w:r w:rsidR="00395CD9">
        <w:rPr>
          <w:rFonts w:ascii="Times New Roman" w:hAnsi="Times New Roman" w:cs="Times New Roman"/>
          <w:sz w:val="24"/>
          <w:lang w:val="en-GB"/>
        </w:rPr>
        <w:t xml:space="preserve">ployed </w:t>
      </w:r>
      <w:r w:rsidR="0082195F">
        <w:rPr>
          <w:rFonts w:ascii="Times New Roman" w:hAnsi="Times New Roman" w:cs="Times New Roman"/>
          <w:sz w:val="24"/>
          <w:lang w:val="en-GB"/>
        </w:rPr>
        <w:t xml:space="preserve">at </w:t>
      </w:r>
      <w:r w:rsidR="00412868" w:rsidRPr="0063538A">
        <w:rPr>
          <w:rFonts w:ascii="Times New Roman" w:hAnsi="Times New Roman" w:cs="Times New Roman"/>
          <w:sz w:val="24"/>
          <w:lang w:val="en-GB"/>
        </w:rPr>
        <w:t>the One-Stop Centers (OSCs) in Kigoma and Kasulu</w:t>
      </w:r>
      <w:r w:rsidR="00412868">
        <w:rPr>
          <w:rFonts w:ascii="Times New Roman" w:hAnsi="Times New Roman" w:cs="Times New Roman"/>
          <w:sz w:val="24"/>
          <w:lang w:val="en-GB"/>
        </w:rPr>
        <w:t xml:space="preserve"> </w:t>
      </w:r>
      <w:r w:rsidR="00395CD9">
        <w:rPr>
          <w:rFonts w:ascii="Times New Roman" w:hAnsi="Times New Roman" w:cs="Times New Roman"/>
          <w:sz w:val="24"/>
          <w:lang w:val="en-GB"/>
        </w:rPr>
        <w:t xml:space="preserve">in order to </w:t>
      </w:r>
      <w:r w:rsidR="00395CD9" w:rsidRPr="0063538A">
        <w:rPr>
          <w:rFonts w:ascii="Times New Roman" w:hAnsi="Times New Roman" w:cs="Times New Roman"/>
          <w:sz w:val="24"/>
          <w:lang w:val="en-GB"/>
        </w:rPr>
        <w:t>enhance</w:t>
      </w:r>
      <w:r w:rsidR="0063538A" w:rsidRPr="0063538A">
        <w:rPr>
          <w:rFonts w:ascii="Times New Roman" w:hAnsi="Times New Roman" w:cs="Times New Roman"/>
          <w:sz w:val="24"/>
          <w:lang w:val="en-GB"/>
        </w:rPr>
        <w:t xml:space="preserve"> mental health and psychosocial support (MHPSS) services</w:t>
      </w:r>
      <w:r w:rsidR="00514829">
        <w:rPr>
          <w:rFonts w:ascii="Times New Roman" w:hAnsi="Times New Roman" w:cs="Times New Roman"/>
          <w:sz w:val="24"/>
          <w:lang w:val="en-GB"/>
        </w:rPr>
        <w:t>.</w:t>
      </w:r>
      <w:r w:rsidR="0063538A" w:rsidRPr="0063538A">
        <w:rPr>
          <w:rFonts w:ascii="Times New Roman" w:hAnsi="Times New Roman" w:cs="Times New Roman"/>
          <w:sz w:val="24"/>
          <w:lang w:val="en-GB"/>
        </w:rPr>
        <w:t xml:space="preserve"> Tasked with providing technical assistance to government staff, these officers have played a crucial role in bolstering the quality of care and support provided at these centers.</w:t>
      </w:r>
      <w:r w:rsidR="0063538A">
        <w:rPr>
          <w:rFonts w:ascii="Times New Roman" w:hAnsi="Times New Roman" w:cs="Times New Roman"/>
          <w:sz w:val="24"/>
          <w:lang w:val="en-GB"/>
        </w:rPr>
        <w:t xml:space="preserve"> </w:t>
      </w:r>
      <w:r w:rsidR="0063538A" w:rsidRPr="0063538A">
        <w:rPr>
          <w:rFonts w:ascii="Times New Roman" w:hAnsi="Times New Roman" w:cs="Times New Roman"/>
          <w:sz w:val="24"/>
          <w:lang w:val="en-GB"/>
        </w:rPr>
        <w:t>Their efforts have been comprehensive, encompassing various initiatives aimed at improving service delivery and fostering a supportive environment. This includes the organization of quarterly Standard Operating Procedures (SOP) reviews, facilitating knowledge exchange sessions, and conducting learning meetings at both facility and regional levels.</w:t>
      </w:r>
      <w:r w:rsidR="0063538A">
        <w:rPr>
          <w:rFonts w:ascii="Times New Roman" w:hAnsi="Times New Roman" w:cs="Times New Roman"/>
          <w:sz w:val="24"/>
          <w:lang w:val="en-GB"/>
        </w:rPr>
        <w:t xml:space="preserve"> </w:t>
      </w:r>
      <w:r w:rsidR="0063538A" w:rsidRPr="0063538A">
        <w:rPr>
          <w:rFonts w:ascii="Times New Roman" w:hAnsi="Times New Roman" w:cs="Times New Roman"/>
          <w:sz w:val="24"/>
          <w:lang w:val="en-GB"/>
        </w:rPr>
        <w:t>The deployment of MHPSS officers to OSCs represents a commitment to providing holistic and comprehensive support to individuals in need of mental health and psychosocial assistance. By fostering collaboration, facilitating knowledge exchange, and implementing best practices, these officers are instrumental in ensuring that OSCs remain vital hubs of support within their communities.</w:t>
      </w:r>
    </w:p>
    <w:p w14:paraId="342F7C0D" w14:textId="77777777" w:rsidR="00806F19" w:rsidRDefault="00806F19" w:rsidP="009D2CE7">
      <w:pPr>
        <w:pStyle w:val="BodyText"/>
        <w:jc w:val="both"/>
        <w:rPr>
          <w:rFonts w:ascii="Times New Roman" w:hAnsi="Times New Roman" w:cs="Times New Roman"/>
          <w:sz w:val="24"/>
          <w:lang w:val="en-GB"/>
        </w:rPr>
      </w:pPr>
    </w:p>
    <w:p w14:paraId="460B43AD" w14:textId="39DFC7BA" w:rsidR="006646D8" w:rsidRDefault="006646D8" w:rsidP="009D2CE7">
      <w:pPr>
        <w:pStyle w:val="BodyText"/>
        <w:jc w:val="both"/>
        <w:rPr>
          <w:rFonts w:ascii="Times New Roman" w:hAnsi="Times New Roman" w:cs="Times New Roman"/>
          <w:sz w:val="24"/>
          <w:lang w:val="en-GB"/>
        </w:rPr>
      </w:pPr>
      <w:r w:rsidRPr="006646D8">
        <w:rPr>
          <w:rFonts w:ascii="Times New Roman" w:hAnsi="Times New Roman" w:cs="Times New Roman"/>
          <w:sz w:val="24"/>
          <w:lang w:val="en-GB"/>
        </w:rPr>
        <w:t xml:space="preserve">In a concerted effort to address the multifaceted needs of victims of trafficking (VOTs) and survivors of violence, the Kigoma Region's Violence Against Women and Children (VAWC) protection systems have played a pivotal role in providing essential support services. Throughout the reporting period, these systems have </w:t>
      </w:r>
      <w:r w:rsidR="002D7F86">
        <w:rPr>
          <w:rFonts w:ascii="Times New Roman" w:hAnsi="Times New Roman" w:cs="Times New Roman"/>
          <w:sz w:val="24"/>
          <w:lang w:val="en-GB"/>
        </w:rPr>
        <w:t xml:space="preserve">extended </w:t>
      </w:r>
      <w:r w:rsidRPr="006646D8">
        <w:rPr>
          <w:rFonts w:ascii="Times New Roman" w:hAnsi="Times New Roman" w:cs="Times New Roman"/>
          <w:sz w:val="24"/>
          <w:lang w:val="en-GB"/>
        </w:rPr>
        <w:t>protection and assistance to those in dire need</w:t>
      </w:r>
      <w:r w:rsidR="002D7F86">
        <w:rPr>
          <w:rFonts w:ascii="Times New Roman" w:hAnsi="Times New Roman" w:cs="Times New Roman"/>
          <w:sz w:val="24"/>
          <w:lang w:val="en-GB"/>
        </w:rPr>
        <w:t xml:space="preserve"> including,</w:t>
      </w:r>
      <w:r w:rsidRPr="006646D8">
        <w:rPr>
          <w:rFonts w:ascii="Times New Roman" w:hAnsi="Times New Roman" w:cs="Times New Roman"/>
          <w:sz w:val="24"/>
          <w:lang w:val="en-GB"/>
        </w:rPr>
        <w:t xml:space="preserve"> 1 girl victim of trafficking and 23 survivors of violence—comprising 7 boys, 13 girls, and 3 women. By leveraging collaboration across various sectors, including law enforcement, healthcare, services, and community organizations, comprehensive assistance is rendered to those affected, fostering healing, empowerment, and rehabilitation.</w:t>
      </w:r>
      <w:r>
        <w:rPr>
          <w:rFonts w:ascii="Times New Roman" w:hAnsi="Times New Roman" w:cs="Times New Roman"/>
          <w:sz w:val="24"/>
          <w:lang w:val="en-GB"/>
        </w:rPr>
        <w:t xml:space="preserve"> </w:t>
      </w:r>
      <w:r w:rsidRPr="006646D8">
        <w:rPr>
          <w:rFonts w:ascii="Times New Roman" w:hAnsi="Times New Roman" w:cs="Times New Roman"/>
          <w:sz w:val="24"/>
          <w:lang w:val="en-GB"/>
        </w:rPr>
        <w:t xml:space="preserve">The commitment of the Kigoma Region's VAWC protection systems to safeguarding the rights and well-being of vulnerable individuals is evident in their proactive response and effective delivery of support services. </w:t>
      </w:r>
    </w:p>
    <w:p w14:paraId="3D2156DA" w14:textId="77777777" w:rsidR="00806F19" w:rsidRDefault="00806F19" w:rsidP="009D2CE7">
      <w:pPr>
        <w:pStyle w:val="BodyText"/>
        <w:jc w:val="both"/>
        <w:rPr>
          <w:rFonts w:ascii="Times New Roman" w:hAnsi="Times New Roman" w:cs="Times New Roman"/>
          <w:sz w:val="24"/>
          <w:lang w:val="en-GB"/>
        </w:rPr>
      </w:pPr>
    </w:p>
    <w:p w14:paraId="6A6AA56B" w14:textId="43D8E23C" w:rsidR="009D2CE7" w:rsidRDefault="001D358F" w:rsidP="001D358F">
      <w:pPr>
        <w:pStyle w:val="BodyText"/>
        <w:jc w:val="both"/>
        <w:rPr>
          <w:rFonts w:ascii="Times New Roman" w:hAnsi="Times New Roman" w:cs="Times New Roman"/>
          <w:sz w:val="24"/>
          <w:lang w:val="en-GB"/>
        </w:rPr>
      </w:pPr>
      <w:r w:rsidRPr="001D358F">
        <w:rPr>
          <w:rFonts w:ascii="Times New Roman" w:hAnsi="Times New Roman" w:cs="Times New Roman"/>
          <w:sz w:val="24"/>
          <w:lang w:val="en-GB"/>
        </w:rPr>
        <w:t xml:space="preserve">Efforts to combat Trafficking in Persons (TIP) have been fortified through a targeted initiative aimed at </w:t>
      </w:r>
      <w:r w:rsidR="00426782">
        <w:rPr>
          <w:rFonts w:ascii="Times New Roman" w:hAnsi="Times New Roman" w:cs="Times New Roman"/>
          <w:sz w:val="24"/>
          <w:lang w:val="en-GB"/>
        </w:rPr>
        <w:t>improving</w:t>
      </w:r>
      <w:r w:rsidRPr="001D358F">
        <w:rPr>
          <w:rFonts w:ascii="Times New Roman" w:hAnsi="Times New Roman" w:cs="Times New Roman"/>
          <w:sz w:val="24"/>
          <w:lang w:val="en-GB"/>
        </w:rPr>
        <w:t xml:space="preserve"> the capacity of Women and Children Protection Committees. </w:t>
      </w:r>
      <w:r w:rsidR="00B65B29">
        <w:rPr>
          <w:rFonts w:ascii="Times New Roman" w:hAnsi="Times New Roman" w:cs="Times New Roman"/>
          <w:sz w:val="24"/>
          <w:lang w:val="en-GB"/>
        </w:rPr>
        <w:t>32</w:t>
      </w:r>
      <w:r w:rsidRPr="001D358F">
        <w:rPr>
          <w:rFonts w:ascii="Times New Roman" w:hAnsi="Times New Roman" w:cs="Times New Roman"/>
          <w:sz w:val="24"/>
          <w:lang w:val="en-GB"/>
        </w:rPr>
        <w:t xml:space="preserve"> members, including 13 females and 19 males, from </w:t>
      </w:r>
      <w:r w:rsidR="00C70A32">
        <w:rPr>
          <w:rFonts w:ascii="Times New Roman" w:hAnsi="Times New Roman" w:cs="Times New Roman"/>
          <w:sz w:val="24"/>
          <w:lang w:val="en-GB"/>
        </w:rPr>
        <w:t xml:space="preserve">4 </w:t>
      </w:r>
      <w:r w:rsidRPr="001D358F">
        <w:rPr>
          <w:rFonts w:ascii="Times New Roman" w:hAnsi="Times New Roman" w:cs="Times New Roman"/>
          <w:sz w:val="24"/>
          <w:lang w:val="en-GB"/>
        </w:rPr>
        <w:t>ward committees were actively engaged in enhancing their understanding of TIP dynamics and response mechanisms. Through comprehensive capacity strengthening sessions, committee members were equipped with the knowledge and tools necessary to identify and address instances of TIP within their communities effectively. This initiative has empowered committee members to play a proactive role in the protection of women and children, fostering a more vigilant and responsive approach to combating TIP.</w:t>
      </w:r>
      <w:r>
        <w:rPr>
          <w:rFonts w:ascii="Times New Roman" w:hAnsi="Times New Roman" w:cs="Times New Roman"/>
          <w:sz w:val="24"/>
          <w:lang w:val="en-GB"/>
        </w:rPr>
        <w:t xml:space="preserve"> </w:t>
      </w:r>
    </w:p>
    <w:p w14:paraId="0511C1CD" w14:textId="77777777" w:rsidR="001D358F" w:rsidRDefault="001D358F" w:rsidP="001D358F">
      <w:pPr>
        <w:pStyle w:val="BodyText"/>
        <w:jc w:val="both"/>
        <w:rPr>
          <w:rFonts w:ascii="Times New Roman" w:hAnsi="Times New Roman" w:cs="Times New Roman"/>
          <w:sz w:val="24"/>
          <w:lang w:val="en-GB"/>
        </w:rPr>
      </w:pPr>
    </w:p>
    <w:p w14:paraId="50B0AFC5" w14:textId="0560AFE6" w:rsidR="001D358F" w:rsidRPr="001D358F" w:rsidRDefault="001D358F" w:rsidP="001D358F">
      <w:pPr>
        <w:pStyle w:val="BodyText"/>
        <w:jc w:val="both"/>
        <w:rPr>
          <w:rFonts w:ascii="Times New Roman" w:hAnsi="Times New Roman" w:cs="Times New Roman"/>
          <w:sz w:val="24"/>
          <w:szCs w:val="24"/>
          <w:lang w:val="en-GB"/>
        </w:rPr>
      </w:pPr>
      <w:r w:rsidRPr="38525CFC">
        <w:rPr>
          <w:rFonts w:ascii="Times New Roman" w:hAnsi="Times New Roman" w:cs="Times New Roman"/>
          <w:sz w:val="24"/>
          <w:szCs w:val="24"/>
          <w:lang w:val="en-GB"/>
        </w:rPr>
        <w:t xml:space="preserve">In </w:t>
      </w:r>
      <w:r w:rsidR="00AB1734" w:rsidRPr="38525CFC">
        <w:rPr>
          <w:rFonts w:ascii="Times New Roman" w:hAnsi="Times New Roman" w:cs="Times New Roman"/>
          <w:sz w:val="24"/>
          <w:szCs w:val="24"/>
          <w:lang w:val="en-GB"/>
        </w:rPr>
        <w:t xml:space="preserve">order </w:t>
      </w:r>
      <w:r w:rsidRPr="38525CFC">
        <w:rPr>
          <w:rFonts w:ascii="Times New Roman" w:hAnsi="Times New Roman" w:cs="Times New Roman"/>
          <w:sz w:val="24"/>
          <w:szCs w:val="24"/>
          <w:lang w:val="en-GB"/>
        </w:rPr>
        <w:t xml:space="preserve">to address the needs of children and individuals in need of care and protection, comprehensive case management services have been provided, yielding significant outcomes by December 2023. </w:t>
      </w:r>
      <w:r w:rsidR="00E85A4F">
        <w:rPr>
          <w:rFonts w:ascii="Times New Roman" w:hAnsi="Times New Roman" w:cs="Times New Roman"/>
          <w:sz w:val="24"/>
          <w:szCs w:val="24"/>
          <w:lang w:val="en-GB"/>
        </w:rPr>
        <w:t xml:space="preserve">Two hundred and seventy-one </w:t>
      </w:r>
      <w:r w:rsidRPr="38525CFC">
        <w:rPr>
          <w:rFonts w:ascii="Times New Roman" w:hAnsi="Times New Roman" w:cs="Times New Roman"/>
          <w:sz w:val="24"/>
          <w:szCs w:val="24"/>
          <w:lang w:val="en-GB"/>
        </w:rPr>
        <w:t xml:space="preserve">survivors of violence against children, comprising 154 girls and 117 boys, received child-focused case management services,. Among these survivors, 68 were identified as children with disabilities, </w:t>
      </w:r>
      <w:r w:rsidR="00E85A4F">
        <w:rPr>
          <w:rFonts w:ascii="Times New Roman" w:hAnsi="Times New Roman" w:cs="Times New Roman"/>
          <w:sz w:val="24"/>
          <w:szCs w:val="24"/>
          <w:lang w:val="en-GB"/>
        </w:rPr>
        <w:t>emphasising</w:t>
      </w:r>
      <w:r w:rsidR="00E85A4F" w:rsidRPr="38525CFC">
        <w:rPr>
          <w:rFonts w:ascii="Times New Roman" w:hAnsi="Times New Roman" w:cs="Times New Roman"/>
          <w:sz w:val="24"/>
          <w:szCs w:val="24"/>
          <w:lang w:val="en-GB"/>
        </w:rPr>
        <w:t xml:space="preserve"> </w:t>
      </w:r>
      <w:r w:rsidRPr="38525CFC">
        <w:rPr>
          <w:rFonts w:ascii="Times New Roman" w:hAnsi="Times New Roman" w:cs="Times New Roman"/>
          <w:sz w:val="24"/>
          <w:szCs w:val="24"/>
          <w:lang w:val="en-GB"/>
        </w:rPr>
        <w:t>the importance of inclusive support mechanisms</w:t>
      </w:r>
      <w:r w:rsidR="00E85A4F">
        <w:rPr>
          <w:rFonts w:ascii="Times New Roman" w:hAnsi="Times New Roman" w:cs="Times New Roman"/>
          <w:sz w:val="24"/>
          <w:szCs w:val="24"/>
          <w:lang w:val="en-GB"/>
        </w:rPr>
        <w:t>.</w:t>
      </w:r>
      <w:r w:rsidRPr="38525CFC">
        <w:rPr>
          <w:rFonts w:ascii="Times New Roman" w:hAnsi="Times New Roman" w:cs="Times New Roman"/>
          <w:sz w:val="24"/>
          <w:szCs w:val="24"/>
          <w:lang w:val="en-GB"/>
        </w:rPr>
        <w:t xml:space="preserve"> This collaborative approach has strengthened the overall </w:t>
      </w:r>
      <w:r w:rsidRPr="38525CFC">
        <w:rPr>
          <w:rFonts w:ascii="Times New Roman" w:hAnsi="Times New Roman" w:cs="Times New Roman"/>
          <w:sz w:val="24"/>
          <w:szCs w:val="24"/>
          <w:lang w:val="en-GB"/>
        </w:rPr>
        <w:lastRenderedPageBreak/>
        <w:t>response to cases of violence against children, ensuring a more robust and coordinated effort in addressing the needs of survivors.</w:t>
      </w:r>
    </w:p>
    <w:p w14:paraId="67AD7E2A" w14:textId="77777777" w:rsidR="007D7694" w:rsidRDefault="007D7694" w:rsidP="006C3B98">
      <w:pPr>
        <w:pStyle w:val="BodyText"/>
        <w:jc w:val="both"/>
        <w:rPr>
          <w:rFonts w:ascii="Times New Roman" w:hAnsi="Times New Roman" w:cs="Times New Roman"/>
          <w:sz w:val="24"/>
          <w:lang w:val="en-GB"/>
        </w:rPr>
      </w:pPr>
    </w:p>
    <w:p w14:paraId="5A753A3B" w14:textId="28CB7244" w:rsidR="009D2CE7" w:rsidRPr="00806F19" w:rsidRDefault="006C3B98" w:rsidP="006C3B98">
      <w:pPr>
        <w:pStyle w:val="BodyText"/>
        <w:jc w:val="both"/>
        <w:rPr>
          <w:rFonts w:ascii="Times New Roman" w:hAnsi="Times New Roman" w:cs="Times New Roman"/>
          <w:sz w:val="24"/>
          <w:lang w:val="en-GB"/>
        </w:rPr>
      </w:pPr>
      <w:r w:rsidRPr="00806F19">
        <w:rPr>
          <w:rFonts w:ascii="Times New Roman" w:hAnsi="Times New Roman" w:cs="Times New Roman"/>
          <w:sz w:val="24"/>
          <w:lang w:val="en-GB"/>
        </w:rPr>
        <w:t>In the ongoing effort to provide essential support for survivors of Violence Against Women and Children (VAWC) and individuals grappling with mental health challenge</w:t>
      </w:r>
      <w:r w:rsidR="00075755">
        <w:rPr>
          <w:rFonts w:ascii="Times New Roman" w:hAnsi="Times New Roman" w:cs="Times New Roman"/>
          <w:sz w:val="24"/>
          <w:lang w:val="en-GB"/>
        </w:rPr>
        <w:t>s,</w:t>
      </w:r>
      <w:r w:rsidRPr="00806F19">
        <w:rPr>
          <w:rFonts w:ascii="Times New Roman" w:hAnsi="Times New Roman" w:cs="Times New Roman"/>
          <w:sz w:val="24"/>
          <w:lang w:val="en-GB"/>
        </w:rPr>
        <w:t xml:space="preserve"> District Mental Health and Psychosocial Support (MHPSS) teams, operating across four Local Government Areas (LGAs), have undergone extensive training and capacity-building exercises. Equipped with comprehensive activity plans</w:t>
      </w:r>
      <w:r w:rsidR="00EB4A70">
        <w:rPr>
          <w:rFonts w:ascii="Times New Roman" w:hAnsi="Times New Roman" w:cs="Times New Roman"/>
          <w:sz w:val="24"/>
          <w:lang w:val="en-GB"/>
        </w:rPr>
        <w:t xml:space="preserve">, </w:t>
      </w:r>
      <w:r w:rsidRPr="00806F19">
        <w:rPr>
          <w:rFonts w:ascii="Times New Roman" w:hAnsi="Times New Roman" w:cs="Times New Roman"/>
          <w:sz w:val="24"/>
          <w:lang w:val="en-GB"/>
        </w:rPr>
        <w:t>these teams have emerged as crucial pillars of support within their respective communities.</w:t>
      </w:r>
      <w:r w:rsidR="007D7694" w:rsidRPr="00806F19">
        <w:rPr>
          <w:rFonts w:ascii="Times New Roman" w:hAnsi="Times New Roman" w:cs="Times New Roman"/>
          <w:sz w:val="24"/>
          <w:lang w:val="en-GB"/>
        </w:rPr>
        <w:t xml:space="preserve"> </w:t>
      </w:r>
      <w:r w:rsidRPr="00806F19">
        <w:rPr>
          <w:rFonts w:ascii="Times New Roman" w:hAnsi="Times New Roman" w:cs="Times New Roman"/>
          <w:sz w:val="24"/>
          <w:lang w:val="en-GB"/>
        </w:rPr>
        <w:t xml:space="preserve">Throughout the reporting period, 845 individuals have benefitted from their services, underscoring the vital role they play in addressing mental health needs within the community. Among these beneficiaries, 204 were children, emphasizing the importance of early intervention and support for vulnerable </w:t>
      </w:r>
      <w:r w:rsidR="007D7694" w:rsidRPr="00806F19">
        <w:rPr>
          <w:rFonts w:ascii="Times New Roman" w:hAnsi="Times New Roman" w:cs="Times New Roman"/>
          <w:sz w:val="24"/>
          <w:lang w:val="en-GB"/>
        </w:rPr>
        <w:t>populations. Through</w:t>
      </w:r>
      <w:r w:rsidRPr="00806F19">
        <w:rPr>
          <w:rFonts w:ascii="Times New Roman" w:hAnsi="Times New Roman" w:cs="Times New Roman"/>
          <w:sz w:val="24"/>
          <w:lang w:val="en-GB"/>
        </w:rPr>
        <w:t xml:space="preserve"> regular engagement and quarterly progress meetings, these teams continue to adapt and refine their approach, ensuring that their services remain responsive to the evolving needs of the community.</w:t>
      </w:r>
    </w:p>
    <w:p w14:paraId="4A3F37C8" w14:textId="77777777" w:rsidR="007D7694" w:rsidRDefault="007D7694" w:rsidP="009D2CE7">
      <w:pPr>
        <w:pStyle w:val="BodyText"/>
        <w:jc w:val="both"/>
        <w:rPr>
          <w:rFonts w:ascii="Times New Roman" w:hAnsi="Times New Roman" w:cs="Times New Roman"/>
          <w:sz w:val="24"/>
          <w:lang w:val="en-GB"/>
        </w:rPr>
      </w:pPr>
    </w:p>
    <w:p w14:paraId="5522D24A" w14:textId="1FEB6C9A" w:rsidR="007D7694" w:rsidRPr="009D2CE7" w:rsidRDefault="007D7694" w:rsidP="007D7694">
      <w:pPr>
        <w:pStyle w:val="BodyText"/>
        <w:jc w:val="both"/>
        <w:rPr>
          <w:rFonts w:ascii="Times New Roman" w:hAnsi="Times New Roman" w:cs="Times New Roman"/>
          <w:sz w:val="24"/>
          <w:lang w:val="en-GB"/>
        </w:rPr>
      </w:pPr>
      <w:r w:rsidRPr="007D7694">
        <w:rPr>
          <w:rFonts w:ascii="Times New Roman" w:hAnsi="Times New Roman" w:cs="Times New Roman"/>
          <w:sz w:val="24"/>
          <w:lang w:val="en-GB"/>
        </w:rPr>
        <w:t xml:space="preserve">In </w:t>
      </w:r>
      <w:r w:rsidR="00DD5C94">
        <w:rPr>
          <w:rFonts w:ascii="Times New Roman" w:hAnsi="Times New Roman" w:cs="Times New Roman"/>
          <w:sz w:val="24"/>
          <w:lang w:val="en-GB"/>
        </w:rPr>
        <w:t>a</w:t>
      </w:r>
      <w:r w:rsidR="00A07B3F">
        <w:rPr>
          <w:rFonts w:ascii="Times New Roman" w:hAnsi="Times New Roman" w:cs="Times New Roman"/>
          <w:sz w:val="24"/>
          <w:lang w:val="en-GB"/>
        </w:rPr>
        <w:t xml:space="preserve">ddition, </w:t>
      </w:r>
      <w:r w:rsidR="00A07B3F" w:rsidRPr="007D7694">
        <w:rPr>
          <w:rFonts w:ascii="Times New Roman" w:hAnsi="Times New Roman" w:cs="Times New Roman"/>
          <w:sz w:val="24"/>
          <w:lang w:val="en-GB"/>
        </w:rPr>
        <w:t xml:space="preserve">the Guardian Ad Litem Scheme has been rolled out in the Kigoma Region </w:t>
      </w:r>
      <w:r w:rsidR="00A07B3F">
        <w:rPr>
          <w:rFonts w:ascii="Times New Roman" w:hAnsi="Times New Roman" w:cs="Times New Roman"/>
          <w:sz w:val="24"/>
          <w:lang w:val="en-GB"/>
        </w:rPr>
        <w:t xml:space="preserve">to </w:t>
      </w:r>
      <w:r w:rsidR="00A07B3F" w:rsidRPr="007D7694">
        <w:rPr>
          <w:rFonts w:ascii="Times New Roman" w:hAnsi="Times New Roman" w:cs="Times New Roman"/>
          <w:sz w:val="24"/>
          <w:lang w:val="en-GB"/>
        </w:rPr>
        <w:t>safeguard</w:t>
      </w:r>
      <w:r w:rsidRPr="007D7694">
        <w:rPr>
          <w:rFonts w:ascii="Times New Roman" w:hAnsi="Times New Roman" w:cs="Times New Roman"/>
          <w:sz w:val="24"/>
          <w:lang w:val="en-GB"/>
        </w:rPr>
        <w:t xml:space="preserve"> the rights and interests of children involved in Juvenile Court proceedings</w:t>
      </w:r>
      <w:r w:rsidR="00A66BEA">
        <w:rPr>
          <w:rFonts w:ascii="Times New Roman" w:hAnsi="Times New Roman" w:cs="Times New Roman"/>
          <w:sz w:val="24"/>
          <w:lang w:val="en-GB"/>
        </w:rPr>
        <w:t xml:space="preserve">. </w:t>
      </w:r>
      <w:r w:rsidR="00E85A4F">
        <w:rPr>
          <w:rFonts w:ascii="Times New Roman" w:hAnsi="Times New Roman" w:cs="Times New Roman"/>
          <w:sz w:val="24"/>
          <w:lang w:val="en-GB"/>
        </w:rPr>
        <w:t xml:space="preserve"> Forty -five </w:t>
      </w:r>
      <w:r w:rsidRPr="007D7694">
        <w:rPr>
          <w:rFonts w:ascii="Times New Roman" w:hAnsi="Times New Roman" w:cs="Times New Roman"/>
          <w:sz w:val="24"/>
          <w:lang w:val="en-GB"/>
        </w:rPr>
        <w:t xml:space="preserve"> dedicated guardians from Uvinza, Kigoma DC, and Kasulu TC underwent </w:t>
      </w:r>
      <w:r w:rsidR="00A856E4">
        <w:rPr>
          <w:rFonts w:ascii="Times New Roman" w:hAnsi="Times New Roman" w:cs="Times New Roman"/>
          <w:sz w:val="24"/>
          <w:lang w:val="en-GB"/>
        </w:rPr>
        <w:t>detailed</w:t>
      </w:r>
      <w:r w:rsidRPr="007D7694">
        <w:rPr>
          <w:rFonts w:ascii="Times New Roman" w:hAnsi="Times New Roman" w:cs="Times New Roman"/>
          <w:sz w:val="24"/>
          <w:lang w:val="en-GB"/>
        </w:rPr>
        <w:t xml:space="preserve"> training on the Guardian Ad Litem programme. This initiative, spearheaded by the Kigoma Regional Secretariat in collaboration with the Ministry of Community Development, Gender, Women, and Special Groups and the Court, aims to ensure adequate representation and protection for children within the legal system.</w:t>
      </w:r>
      <w:r w:rsidR="00806F19">
        <w:rPr>
          <w:rFonts w:ascii="Times New Roman" w:hAnsi="Times New Roman" w:cs="Times New Roman"/>
          <w:sz w:val="24"/>
          <w:lang w:val="en-GB"/>
        </w:rPr>
        <w:t xml:space="preserve"> </w:t>
      </w:r>
      <w:r w:rsidRPr="007D7694">
        <w:rPr>
          <w:rFonts w:ascii="Times New Roman" w:hAnsi="Times New Roman" w:cs="Times New Roman"/>
          <w:sz w:val="24"/>
          <w:lang w:val="en-GB"/>
        </w:rPr>
        <w:t xml:space="preserve">Trained Guardian Ad Litem (GALs) have emerged as key allies, working closely with Social Welfare Officers (SWOs) and Court officials to </w:t>
      </w:r>
      <w:r w:rsidR="00964757">
        <w:rPr>
          <w:rFonts w:ascii="Times New Roman" w:hAnsi="Times New Roman" w:cs="Times New Roman"/>
          <w:sz w:val="24"/>
          <w:lang w:val="en-GB"/>
        </w:rPr>
        <w:t>improve</w:t>
      </w:r>
      <w:r w:rsidRPr="007D7694">
        <w:rPr>
          <w:rFonts w:ascii="Times New Roman" w:hAnsi="Times New Roman" w:cs="Times New Roman"/>
          <w:sz w:val="24"/>
          <w:lang w:val="en-GB"/>
        </w:rPr>
        <w:t xml:space="preserve"> practical skills for supporting children in accessing justice and legal services. Throughout the reporting period, the concerted efforts of GALs have facilitated support for 19 children/Violence Against Children (VAC) survivors in navigating the complexities of the legal system and accessing </w:t>
      </w:r>
      <w:r w:rsidR="00DD35A9" w:rsidRPr="007D7694">
        <w:rPr>
          <w:rFonts w:ascii="Times New Roman" w:hAnsi="Times New Roman" w:cs="Times New Roman"/>
          <w:sz w:val="24"/>
          <w:lang w:val="en-GB"/>
        </w:rPr>
        <w:t>justice.</w:t>
      </w:r>
    </w:p>
    <w:p w14:paraId="3636075D" w14:textId="77777777" w:rsidR="00DD35A9" w:rsidRDefault="00DD35A9" w:rsidP="005661CA">
      <w:pPr>
        <w:pStyle w:val="BodyText"/>
        <w:jc w:val="both"/>
        <w:rPr>
          <w:rFonts w:ascii="Times New Roman" w:hAnsi="Times New Roman" w:cs="Times New Roman"/>
          <w:sz w:val="24"/>
          <w:lang w:val="en-GB"/>
        </w:rPr>
      </w:pPr>
    </w:p>
    <w:p w14:paraId="2679DD0B" w14:textId="25B217E1" w:rsidR="008128E7" w:rsidRPr="009D2CE7" w:rsidRDefault="007D3EB5" w:rsidP="005661CA">
      <w:pPr>
        <w:pStyle w:val="BodyText"/>
        <w:jc w:val="both"/>
        <w:rPr>
          <w:rFonts w:ascii="Times New Roman" w:hAnsi="Times New Roman" w:cs="Times New Roman"/>
          <w:b/>
          <w:bCs/>
          <w:i/>
          <w:iCs/>
          <w:sz w:val="24"/>
          <w:lang w:val="en-GB"/>
        </w:rPr>
      </w:pPr>
      <w:r>
        <w:rPr>
          <w:rFonts w:ascii="Times New Roman" w:hAnsi="Times New Roman" w:cs="Times New Roman"/>
          <w:b/>
          <w:bCs/>
          <w:i/>
          <w:iCs/>
          <w:sz w:val="24"/>
          <w:lang w:val="en-GB"/>
        </w:rPr>
        <w:t>O</w:t>
      </w:r>
      <w:r w:rsidR="00EB7245" w:rsidRPr="009D2CE7">
        <w:rPr>
          <w:rFonts w:ascii="Times New Roman" w:hAnsi="Times New Roman" w:cs="Times New Roman"/>
          <w:b/>
          <w:bCs/>
          <w:i/>
          <w:iCs/>
          <w:sz w:val="24"/>
          <w:lang w:val="en-GB"/>
        </w:rPr>
        <w:t xml:space="preserve">utput 1.2: Strengthened capacities of relevant stakeholders in Kigoma to collect, </w:t>
      </w:r>
      <w:r w:rsidR="0085521A" w:rsidRPr="009D2CE7">
        <w:rPr>
          <w:rFonts w:ascii="Times New Roman" w:hAnsi="Times New Roman" w:cs="Times New Roman"/>
          <w:b/>
          <w:bCs/>
          <w:i/>
          <w:iCs/>
          <w:sz w:val="24"/>
          <w:lang w:val="en-GB"/>
        </w:rPr>
        <w:t>analyse</w:t>
      </w:r>
      <w:r w:rsidR="00EB7245" w:rsidRPr="009D2CE7">
        <w:rPr>
          <w:rFonts w:ascii="Times New Roman" w:hAnsi="Times New Roman" w:cs="Times New Roman"/>
          <w:b/>
          <w:bCs/>
          <w:i/>
          <w:iCs/>
          <w:sz w:val="24"/>
          <w:lang w:val="en-GB"/>
        </w:rPr>
        <w:t xml:space="preserve"> and use data to inform and monitor the quality of services/interventions in education, health, nutrition, WASH, and protection, including VAWC.</w:t>
      </w:r>
      <w:r w:rsidR="0002570B" w:rsidRPr="009D2CE7">
        <w:rPr>
          <w:rFonts w:ascii="Times New Roman" w:hAnsi="Times New Roman" w:cs="Times New Roman"/>
          <w:b/>
          <w:bCs/>
          <w:i/>
          <w:iCs/>
          <w:sz w:val="24"/>
          <w:lang w:val="en-GB"/>
        </w:rPr>
        <w:t xml:space="preserve"> </w:t>
      </w:r>
    </w:p>
    <w:p w14:paraId="43EF74A5" w14:textId="77777777" w:rsidR="00542255" w:rsidRPr="00574596" w:rsidRDefault="00542255" w:rsidP="00434A5A">
      <w:pPr>
        <w:pStyle w:val="BodyText"/>
        <w:jc w:val="both"/>
        <w:rPr>
          <w:rFonts w:ascii="Times New Roman" w:hAnsi="Times New Roman" w:cs="Times New Roman"/>
          <w:sz w:val="24"/>
          <w:lang w:val="en-GB"/>
        </w:rPr>
      </w:pPr>
    </w:p>
    <w:p w14:paraId="6D52F0C9" w14:textId="636E1018" w:rsidR="00475257" w:rsidRPr="00475257" w:rsidRDefault="00F377B6" w:rsidP="00475257">
      <w:pPr>
        <w:pStyle w:val="BodyText"/>
        <w:jc w:val="both"/>
        <w:rPr>
          <w:rFonts w:ascii="Times New Roman" w:hAnsi="Times New Roman" w:cs="Times New Roman"/>
          <w:sz w:val="24"/>
          <w:lang w:val="en-GB"/>
        </w:rPr>
      </w:pPr>
      <w:r>
        <w:rPr>
          <w:rFonts w:ascii="Times New Roman" w:hAnsi="Times New Roman" w:cs="Times New Roman"/>
          <w:sz w:val="24"/>
          <w:lang w:val="en-GB"/>
        </w:rPr>
        <w:t>To</w:t>
      </w:r>
      <w:r w:rsidR="00475257" w:rsidRPr="00475257">
        <w:rPr>
          <w:rFonts w:ascii="Times New Roman" w:hAnsi="Times New Roman" w:cs="Times New Roman"/>
          <w:sz w:val="24"/>
          <w:lang w:val="en-GB"/>
        </w:rPr>
        <w:t xml:space="preserve"> enhance data-driven programming for Violence Against Women and Children (VAWC) </w:t>
      </w:r>
      <w:r w:rsidR="00935AED">
        <w:rPr>
          <w:rFonts w:ascii="Times New Roman" w:hAnsi="Times New Roman" w:cs="Times New Roman"/>
          <w:sz w:val="24"/>
          <w:lang w:val="en-GB"/>
        </w:rPr>
        <w:t>20</w:t>
      </w:r>
      <w:r w:rsidR="00475257" w:rsidRPr="00475257">
        <w:rPr>
          <w:rFonts w:ascii="Times New Roman" w:hAnsi="Times New Roman" w:cs="Times New Roman"/>
          <w:sz w:val="24"/>
          <w:lang w:val="en-GB"/>
        </w:rPr>
        <w:t xml:space="preserve"> newly recruited social welfare officers from </w:t>
      </w:r>
      <w:r w:rsidR="0001510E">
        <w:rPr>
          <w:rFonts w:ascii="Times New Roman" w:hAnsi="Times New Roman" w:cs="Times New Roman"/>
          <w:sz w:val="24"/>
          <w:lang w:val="en-GB"/>
        </w:rPr>
        <w:t>8</w:t>
      </w:r>
      <w:r w:rsidR="00475257" w:rsidRPr="00475257">
        <w:rPr>
          <w:rFonts w:ascii="Times New Roman" w:hAnsi="Times New Roman" w:cs="Times New Roman"/>
          <w:sz w:val="24"/>
          <w:lang w:val="en-GB"/>
        </w:rPr>
        <w:t xml:space="preserve"> Local Government Authorities (LGAs) participated in specialized training on the District Child Monitoring Information Management System (DCMIS</w:t>
      </w:r>
      <w:r w:rsidR="00A017D7" w:rsidRPr="00475257">
        <w:rPr>
          <w:rFonts w:ascii="Times New Roman" w:hAnsi="Times New Roman" w:cs="Times New Roman"/>
          <w:sz w:val="24"/>
          <w:lang w:val="en-GB"/>
        </w:rPr>
        <w:t>). The</w:t>
      </w:r>
      <w:r w:rsidR="00475257" w:rsidRPr="00475257">
        <w:rPr>
          <w:rFonts w:ascii="Times New Roman" w:hAnsi="Times New Roman" w:cs="Times New Roman"/>
          <w:sz w:val="24"/>
          <w:lang w:val="en-GB"/>
        </w:rPr>
        <w:t xml:space="preserve"> training</w:t>
      </w:r>
      <w:r w:rsidR="00A017D7">
        <w:rPr>
          <w:rFonts w:ascii="Times New Roman" w:hAnsi="Times New Roman" w:cs="Times New Roman"/>
          <w:sz w:val="24"/>
          <w:lang w:val="en-GB"/>
        </w:rPr>
        <w:t xml:space="preserve"> </w:t>
      </w:r>
      <w:r w:rsidR="00475257" w:rsidRPr="00475257">
        <w:rPr>
          <w:rFonts w:ascii="Times New Roman" w:hAnsi="Times New Roman" w:cs="Times New Roman"/>
          <w:sz w:val="24"/>
          <w:lang w:val="en-GB"/>
        </w:rPr>
        <w:t>equipped officers with the necessary skills to effectively register VAWC data in the system.</w:t>
      </w:r>
      <w:r w:rsidR="00E5427F">
        <w:rPr>
          <w:rFonts w:ascii="Times New Roman" w:hAnsi="Times New Roman" w:cs="Times New Roman"/>
          <w:sz w:val="24"/>
          <w:lang w:val="en-GB"/>
        </w:rPr>
        <w:t xml:space="preserve"> </w:t>
      </w:r>
      <w:r w:rsidR="00E85A4F">
        <w:rPr>
          <w:rFonts w:ascii="Times New Roman" w:hAnsi="Times New Roman" w:cs="Times New Roman"/>
          <w:sz w:val="24"/>
          <w:lang w:val="en-GB"/>
        </w:rPr>
        <w:t>Eight hundred and two</w:t>
      </w:r>
      <w:r w:rsidR="00475257" w:rsidRPr="00475257">
        <w:rPr>
          <w:rFonts w:ascii="Times New Roman" w:hAnsi="Times New Roman" w:cs="Times New Roman"/>
          <w:sz w:val="24"/>
          <w:lang w:val="en-GB"/>
        </w:rPr>
        <w:t xml:space="preserve"> VAC cases were registered, representing a notable increase compared to the previous year. This surge in registrations reflects the enhanced capacity of LGAs to effectively identify and document instances of VAWC, providing a clearer picture of the prevalence and patterns of abuse within the region.</w:t>
      </w:r>
    </w:p>
    <w:p w14:paraId="3A8CFA18" w14:textId="77777777" w:rsidR="0041202B" w:rsidRDefault="0041202B" w:rsidP="00434A5A">
      <w:pPr>
        <w:pStyle w:val="BodyText"/>
        <w:jc w:val="both"/>
        <w:rPr>
          <w:rFonts w:ascii="Times New Roman" w:hAnsi="Times New Roman" w:cs="Times New Roman"/>
          <w:sz w:val="24"/>
          <w:lang w:val="en-GB"/>
        </w:rPr>
      </w:pPr>
    </w:p>
    <w:p w14:paraId="70F61E3B" w14:textId="1E1992F1" w:rsidR="00FD00C3" w:rsidRDefault="0041202B" w:rsidP="0041202B">
      <w:pPr>
        <w:pStyle w:val="BodyText"/>
        <w:jc w:val="both"/>
        <w:rPr>
          <w:rFonts w:ascii="Times New Roman" w:hAnsi="Times New Roman" w:cs="Times New Roman"/>
          <w:sz w:val="24"/>
          <w:lang w:val="en-GB"/>
        </w:rPr>
      </w:pPr>
      <w:r w:rsidRPr="0041202B">
        <w:rPr>
          <w:rFonts w:ascii="Times New Roman" w:hAnsi="Times New Roman" w:cs="Times New Roman"/>
          <w:sz w:val="24"/>
          <w:lang w:val="en-GB"/>
        </w:rPr>
        <w:t xml:space="preserve">The rollout of the Mama na Mwana platform extended across </w:t>
      </w:r>
      <w:r w:rsidR="0001510E">
        <w:rPr>
          <w:rFonts w:ascii="Times New Roman" w:hAnsi="Times New Roman" w:cs="Times New Roman"/>
          <w:sz w:val="24"/>
          <w:lang w:val="en-GB"/>
        </w:rPr>
        <w:t>8</w:t>
      </w:r>
      <w:r w:rsidRPr="0041202B">
        <w:rPr>
          <w:rFonts w:ascii="Times New Roman" w:hAnsi="Times New Roman" w:cs="Times New Roman"/>
          <w:sz w:val="24"/>
          <w:lang w:val="en-GB"/>
        </w:rPr>
        <w:t xml:space="preserve"> Local Government Authorities (LGAs), reaching 139 wards, 396 villages/streets, and 269 health facilities. This extensive coverage underscores a dedicated commitment to fostering greater accountability and responsiveness within the healthcare system. Concurrently, efforts were undertaken to integrate the Health Information System with the Civil Registration and Vital Statistics (CRVS) system. This integration enhances data management and facilitates the seamless exchange of information, thereby contributing to more robust health data systems and informed decision-making processes.</w:t>
      </w:r>
      <w:r>
        <w:rPr>
          <w:rFonts w:ascii="Times New Roman" w:hAnsi="Times New Roman" w:cs="Times New Roman"/>
          <w:sz w:val="24"/>
          <w:lang w:val="en-GB"/>
        </w:rPr>
        <w:t xml:space="preserve"> </w:t>
      </w:r>
      <w:r w:rsidRPr="0041202B">
        <w:rPr>
          <w:rFonts w:ascii="Times New Roman" w:hAnsi="Times New Roman" w:cs="Times New Roman"/>
          <w:sz w:val="24"/>
          <w:lang w:val="en-GB"/>
        </w:rPr>
        <w:t xml:space="preserve">As part of this initiative, 250 healthcare workers received training on simplified death registration, a crucial component for accurate and efficient reporting of vital statistics. By equipping frontline healthcare providers with the necessary skills and knowledge, this training ensures the integrity of health information systems and supports evidence-based policymaking. </w:t>
      </w:r>
    </w:p>
    <w:p w14:paraId="137D8BA5" w14:textId="77777777" w:rsidR="0041202B" w:rsidRPr="00574596" w:rsidRDefault="0041202B" w:rsidP="00434A5A">
      <w:pPr>
        <w:pStyle w:val="BodyText"/>
        <w:jc w:val="both"/>
        <w:rPr>
          <w:rFonts w:ascii="Times New Roman" w:hAnsi="Times New Roman" w:cs="Times New Roman"/>
          <w:sz w:val="24"/>
          <w:lang w:val="en-GB"/>
        </w:rPr>
      </w:pPr>
    </w:p>
    <w:p w14:paraId="3924647A" w14:textId="106C4170" w:rsidR="008D5832" w:rsidRPr="00F370D8" w:rsidRDefault="00EB7245" w:rsidP="00434A5A">
      <w:pPr>
        <w:pStyle w:val="BodyText"/>
        <w:jc w:val="both"/>
        <w:rPr>
          <w:rFonts w:ascii="Times New Roman" w:hAnsi="Times New Roman" w:cs="Times New Roman"/>
          <w:b/>
          <w:bCs/>
          <w:i/>
          <w:iCs/>
          <w:sz w:val="24"/>
          <w:lang w:val="en-GB"/>
        </w:rPr>
      </w:pPr>
      <w:r w:rsidRPr="00F370D8">
        <w:rPr>
          <w:rFonts w:ascii="Times New Roman" w:hAnsi="Times New Roman" w:cs="Times New Roman"/>
          <w:b/>
          <w:bCs/>
          <w:i/>
          <w:iCs/>
          <w:sz w:val="24"/>
          <w:lang w:val="en-GB"/>
        </w:rPr>
        <w:t xml:space="preserve">Output 1.3. Community capacities to take up/adopt positive </w:t>
      </w:r>
      <w:r w:rsidR="0085521A" w:rsidRPr="00F370D8">
        <w:rPr>
          <w:rFonts w:ascii="Times New Roman" w:hAnsi="Times New Roman" w:cs="Times New Roman"/>
          <w:b/>
          <w:bCs/>
          <w:i/>
          <w:iCs/>
          <w:sz w:val="24"/>
          <w:lang w:val="en-GB"/>
        </w:rPr>
        <w:t>behaviours</w:t>
      </w:r>
      <w:r w:rsidRPr="00F370D8">
        <w:rPr>
          <w:rFonts w:ascii="Times New Roman" w:hAnsi="Times New Roman" w:cs="Times New Roman"/>
          <w:b/>
          <w:bCs/>
          <w:i/>
          <w:iCs/>
          <w:sz w:val="24"/>
          <w:lang w:val="en-GB"/>
        </w:rPr>
        <w:t xml:space="preserve"> for uptake of education, WASH, Health, and Protection</w:t>
      </w:r>
      <w:r w:rsidR="00380D85" w:rsidRPr="00F370D8">
        <w:rPr>
          <w:rFonts w:ascii="Times New Roman" w:hAnsi="Times New Roman" w:cs="Times New Roman"/>
          <w:b/>
          <w:bCs/>
          <w:i/>
          <w:iCs/>
          <w:sz w:val="24"/>
          <w:lang w:val="en-GB"/>
        </w:rPr>
        <w:t xml:space="preserve">. </w:t>
      </w:r>
    </w:p>
    <w:p w14:paraId="6D6182B8" w14:textId="77777777" w:rsidR="008D5832" w:rsidRDefault="008D5832" w:rsidP="00434A5A">
      <w:pPr>
        <w:pStyle w:val="BodyText"/>
        <w:jc w:val="both"/>
        <w:rPr>
          <w:rFonts w:ascii="Times New Roman" w:hAnsi="Times New Roman" w:cs="Times New Roman"/>
          <w:sz w:val="24"/>
          <w:lang w:val="en-GB"/>
        </w:rPr>
      </w:pPr>
    </w:p>
    <w:p w14:paraId="3153DEA3" w14:textId="1AAE8D5B" w:rsidR="00944C22" w:rsidRDefault="00F377B6" w:rsidP="00634122">
      <w:pPr>
        <w:pStyle w:val="BodyText"/>
        <w:jc w:val="both"/>
        <w:rPr>
          <w:rFonts w:ascii="Times New Roman" w:hAnsi="Times New Roman" w:cs="Times New Roman"/>
          <w:sz w:val="24"/>
          <w:lang w:val="en-GB"/>
        </w:rPr>
      </w:pPr>
      <w:r>
        <w:rPr>
          <w:rFonts w:ascii="Times New Roman" w:hAnsi="Times New Roman" w:cs="Times New Roman"/>
          <w:sz w:val="24"/>
          <w:lang w:val="en-GB"/>
        </w:rPr>
        <w:t>Grassroots</w:t>
      </w:r>
      <w:r w:rsidR="00634122" w:rsidRPr="00634122">
        <w:rPr>
          <w:rFonts w:ascii="Times New Roman" w:hAnsi="Times New Roman" w:cs="Times New Roman"/>
          <w:sz w:val="24"/>
          <w:lang w:val="en-GB"/>
        </w:rPr>
        <w:t xml:space="preserve"> engagement in </w:t>
      </w:r>
      <w:r>
        <w:rPr>
          <w:rFonts w:ascii="Times New Roman" w:hAnsi="Times New Roman" w:cs="Times New Roman"/>
          <w:sz w:val="24"/>
          <w:lang w:val="en-GB"/>
        </w:rPr>
        <w:t>“</w:t>
      </w:r>
      <w:r w:rsidR="00634122" w:rsidRPr="00634122">
        <w:rPr>
          <w:rFonts w:ascii="Times New Roman" w:hAnsi="Times New Roman" w:cs="Times New Roman"/>
          <w:sz w:val="24"/>
          <w:lang w:val="en-GB"/>
        </w:rPr>
        <w:t>Juu</w:t>
      </w:r>
      <w:r>
        <w:rPr>
          <w:rFonts w:ascii="Times New Roman" w:hAnsi="Times New Roman" w:cs="Times New Roman"/>
          <w:sz w:val="24"/>
          <w:lang w:val="en-GB"/>
        </w:rPr>
        <w:t>”</w:t>
      </w:r>
      <w:r w:rsidR="00634122" w:rsidRPr="00634122">
        <w:rPr>
          <w:rFonts w:ascii="Times New Roman" w:hAnsi="Times New Roman" w:cs="Times New Roman"/>
          <w:sz w:val="24"/>
          <w:lang w:val="en-GB"/>
        </w:rPr>
        <w:t xml:space="preserve"> clubs, awareness sessions successfully identified and referred a case of Violence Against Children (VAC), demonstrating the effectiveness of local outreach in addressing instances of abuse.</w:t>
      </w:r>
      <w:r w:rsidR="00944C22">
        <w:rPr>
          <w:rFonts w:ascii="Times New Roman" w:hAnsi="Times New Roman" w:cs="Times New Roman"/>
          <w:sz w:val="24"/>
          <w:lang w:val="en-GB"/>
        </w:rPr>
        <w:t xml:space="preserve"> </w:t>
      </w:r>
      <w:r w:rsidR="00634122" w:rsidRPr="00634122">
        <w:rPr>
          <w:rFonts w:ascii="Times New Roman" w:hAnsi="Times New Roman" w:cs="Times New Roman"/>
          <w:sz w:val="24"/>
          <w:lang w:val="en-GB"/>
        </w:rPr>
        <w:t>Collaborative community radio programs, conducted in partnership with local authorities, reached an estimated 130,000 individuals. These broadcasts served as a vital platform for educating the community on Gender-Based Violence (GBV) concepts and prevention strategies, empowering individuals with knowledge to combat such issues.</w:t>
      </w:r>
      <w:r w:rsidR="00944C22">
        <w:rPr>
          <w:rFonts w:ascii="Times New Roman" w:hAnsi="Times New Roman" w:cs="Times New Roman"/>
          <w:sz w:val="24"/>
          <w:lang w:val="en-GB"/>
        </w:rPr>
        <w:t xml:space="preserve"> Furtherly, e</w:t>
      </w:r>
      <w:r w:rsidR="00634122" w:rsidRPr="00634122">
        <w:rPr>
          <w:rFonts w:ascii="Times New Roman" w:hAnsi="Times New Roman" w:cs="Times New Roman"/>
          <w:sz w:val="24"/>
          <w:lang w:val="en-GB"/>
        </w:rPr>
        <w:t>fforts to build capacity among First Time Young Mothers (FTYMs) resulted in the training of 1500 individuals on GBV prevention and response. This initiative equipped FTYMs with essential skills and knowledge to protect themselves and their children from violence.</w:t>
      </w:r>
      <w:r w:rsidR="00944C22">
        <w:rPr>
          <w:rFonts w:ascii="Times New Roman" w:hAnsi="Times New Roman" w:cs="Times New Roman"/>
          <w:sz w:val="24"/>
          <w:lang w:val="en-GB"/>
        </w:rPr>
        <w:t xml:space="preserve"> </w:t>
      </w:r>
    </w:p>
    <w:p w14:paraId="7A02D20D" w14:textId="77777777" w:rsidR="00944C22" w:rsidRDefault="00944C22" w:rsidP="00634122">
      <w:pPr>
        <w:pStyle w:val="BodyText"/>
        <w:jc w:val="both"/>
        <w:rPr>
          <w:rFonts w:ascii="Times New Roman" w:hAnsi="Times New Roman" w:cs="Times New Roman"/>
          <w:sz w:val="24"/>
          <w:lang w:val="en-GB"/>
        </w:rPr>
      </w:pPr>
    </w:p>
    <w:p w14:paraId="2A8A6857" w14:textId="54EF43A4" w:rsidR="00634122" w:rsidRPr="00634122" w:rsidRDefault="00944C22" w:rsidP="00634122">
      <w:pPr>
        <w:pStyle w:val="BodyText"/>
        <w:jc w:val="both"/>
        <w:rPr>
          <w:rFonts w:ascii="Times New Roman" w:hAnsi="Times New Roman" w:cs="Times New Roman"/>
          <w:sz w:val="24"/>
          <w:lang w:val="en-GB"/>
        </w:rPr>
      </w:pPr>
      <w:r>
        <w:rPr>
          <w:rFonts w:ascii="Times New Roman" w:hAnsi="Times New Roman" w:cs="Times New Roman"/>
          <w:sz w:val="24"/>
          <w:lang w:val="en-GB"/>
        </w:rPr>
        <w:t>Additionally, c</w:t>
      </w:r>
      <w:r w:rsidR="00634122" w:rsidRPr="00634122">
        <w:rPr>
          <w:rFonts w:ascii="Times New Roman" w:hAnsi="Times New Roman" w:cs="Times New Roman"/>
          <w:sz w:val="24"/>
          <w:lang w:val="en-GB"/>
        </w:rPr>
        <w:t xml:space="preserve">ommunity dialogues held in various districts engaged 524 participants, fostering awareness and dialogue around GBV and harmful practices. These dialogues facilitated community-wide understanding and support for prevention </w:t>
      </w:r>
      <w:r w:rsidRPr="00634122">
        <w:rPr>
          <w:rFonts w:ascii="Times New Roman" w:hAnsi="Times New Roman" w:cs="Times New Roman"/>
          <w:sz w:val="24"/>
          <w:lang w:val="en-GB"/>
        </w:rPr>
        <w:t>efforts. The</w:t>
      </w:r>
      <w:r w:rsidR="00634122" w:rsidRPr="00634122">
        <w:rPr>
          <w:rFonts w:ascii="Times New Roman" w:hAnsi="Times New Roman" w:cs="Times New Roman"/>
          <w:sz w:val="24"/>
          <w:lang w:val="en-GB"/>
        </w:rPr>
        <w:t xml:space="preserve"> training of interfaith leaders, in collaboration with UNFPA, reached 4,600 individuals across the region. This initiative played a crucial role in mobilizing religious communities to combat GBV, demonstrating the power of partnership in driving social change.</w:t>
      </w:r>
      <w:r>
        <w:rPr>
          <w:rFonts w:ascii="Times New Roman" w:hAnsi="Times New Roman" w:cs="Times New Roman"/>
          <w:sz w:val="24"/>
          <w:lang w:val="en-GB"/>
        </w:rPr>
        <w:t xml:space="preserve"> </w:t>
      </w:r>
      <w:r w:rsidR="00634122" w:rsidRPr="00634122">
        <w:rPr>
          <w:rFonts w:ascii="Times New Roman" w:hAnsi="Times New Roman" w:cs="Times New Roman"/>
          <w:sz w:val="24"/>
          <w:lang w:val="en-GB"/>
        </w:rPr>
        <w:t>Through peer education programs, over 3,000 youths received critical Sexual and Reproductive Health (SRH) information. Additionally, 1,354 adolescents accessed SRH services in Youth-Friendly Service (YFS) corners, highlighting the importance of accessible healthcare for young people.</w:t>
      </w:r>
      <w:r>
        <w:rPr>
          <w:rFonts w:ascii="Times New Roman" w:hAnsi="Times New Roman" w:cs="Times New Roman"/>
          <w:sz w:val="24"/>
          <w:lang w:val="en-GB"/>
        </w:rPr>
        <w:t xml:space="preserve"> </w:t>
      </w:r>
      <w:r w:rsidR="00634122" w:rsidRPr="00634122">
        <w:rPr>
          <w:rFonts w:ascii="Times New Roman" w:hAnsi="Times New Roman" w:cs="Times New Roman"/>
          <w:sz w:val="24"/>
          <w:lang w:val="en-GB"/>
        </w:rPr>
        <w:t>Radio programs broadcasted on Radio Kwizera FM reached over 10,000 youths with information on Adolescent Sexual Reproductive Health (ASRH) and Family Planning (FP), contributing to informed decision-making regarding reproductive health.</w:t>
      </w:r>
    </w:p>
    <w:p w14:paraId="1AD1A6E0" w14:textId="77777777" w:rsidR="00634122" w:rsidRPr="00634122" w:rsidRDefault="00634122" w:rsidP="00634122">
      <w:pPr>
        <w:pStyle w:val="BodyText"/>
        <w:jc w:val="both"/>
        <w:rPr>
          <w:rFonts w:ascii="Times New Roman" w:hAnsi="Times New Roman" w:cs="Times New Roman"/>
          <w:sz w:val="24"/>
          <w:lang w:val="en-GB"/>
        </w:rPr>
      </w:pPr>
    </w:p>
    <w:p w14:paraId="0E510258" w14:textId="5308DE50" w:rsidR="00634122" w:rsidRPr="00634122" w:rsidRDefault="00F377B6" w:rsidP="00634122">
      <w:pPr>
        <w:pStyle w:val="BodyText"/>
        <w:jc w:val="both"/>
        <w:rPr>
          <w:rFonts w:ascii="Times New Roman" w:hAnsi="Times New Roman" w:cs="Times New Roman"/>
          <w:sz w:val="24"/>
          <w:lang w:val="en-GB"/>
        </w:rPr>
      </w:pPr>
      <w:r>
        <w:rPr>
          <w:rFonts w:ascii="Times New Roman" w:hAnsi="Times New Roman" w:cs="Times New Roman"/>
          <w:sz w:val="24"/>
          <w:lang w:val="en-GB"/>
        </w:rPr>
        <w:t>Six thousand</w:t>
      </w:r>
      <w:r w:rsidR="00F20169" w:rsidRPr="00F20169">
        <w:rPr>
          <w:rFonts w:ascii="Times New Roman" w:hAnsi="Times New Roman" w:cs="Times New Roman"/>
          <w:sz w:val="24"/>
          <w:lang w:val="en-GB"/>
        </w:rPr>
        <w:t xml:space="preserve"> in-school adolescent girls received dignity kits containing essential hygiene items, marking a significant step toward enhancing dignity and well-being among vulnerable groups. Additionally, training of peer educators in menstrual health and hygiene and the creation of menstrual hygiene clubs in schools, directly addressing adolescent menstrual health challenges</w:t>
      </w:r>
      <w:r>
        <w:rPr>
          <w:rFonts w:ascii="Times New Roman" w:hAnsi="Times New Roman" w:cs="Times New Roman"/>
          <w:sz w:val="24"/>
          <w:lang w:val="en-GB"/>
        </w:rPr>
        <w:t xml:space="preserve"> took place</w:t>
      </w:r>
      <w:r w:rsidR="00F20169" w:rsidRPr="00F20169">
        <w:rPr>
          <w:rFonts w:ascii="Times New Roman" w:hAnsi="Times New Roman" w:cs="Times New Roman"/>
          <w:sz w:val="24"/>
          <w:lang w:val="en-GB"/>
        </w:rPr>
        <w:t xml:space="preserve">. Schoolteachers also received training on positive nutrition </w:t>
      </w:r>
      <w:r w:rsidR="0082041B" w:rsidRPr="00F20169">
        <w:rPr>
          <w:rFonts w:ascii="Times New Roman" w:hAnsi="Times New Roman" w:cs="Times New Roman"/>
          <w:sz w:val="24"/>
          <w:lang w:val="en-GB"/>
        </w:rPr>
        <w:t>behaviours</w:t>
      </w:r>
      <w:r w:rsidR="00F20169" w:rsidRPr="00F20169">
        <w:rPr>
          <w:rFonts w:ascii="Times New Roman" w:hAnsi="Times New Roman" w:cs="Times New Roman"/>
          <w:sz w:val="24"/>
          <w:lang w:val="en-GB"/>
        </w:rPr>
        <w:t xml:space="preserve"> and HIV prevention life skills, supported by Local Government Authorities (LGAs), emphasizing the critical role of educational initiatives in improving the health and well-being of school-aged children. </w:t>
      </w:r>
      <w:r>
        <w:rPr>
          <w:rFonts w:ascii="Times New Roman" w:hAnsi="Times New Roman" w:cs="Times New Roman"/>
          <w:sz w:val="24"/>
          <w:lang w:val="en-GB"/>
        </w:rPr>
        <w:t xml:space="preserve"> As a result of</w:t>
      </w:r>
      <w:r w:rsidR="00634122" w:rsidRPr="00634122">
        <w:rPr>
          <w:rFonts w:ascii="Times New Roman" w:hAnsi="Times New Roman" w:cs="Times New Roman"/>
          <w:sz w:val="24"/>
          <w:lang w:val="en-GB"/>
        </w:rPr>
        <w:t xml:space="preserve"> training on Good Agricultural Practices and </w:t>
      </w:r>
      <w:r>
        <w:rPr>
          <w:rFonts w:ascii="Times New Roman" w:hAnsi="Times New Roman" w:cs="Times New Roman"/>
          <w:sz w:val="24"/>
          <w:lang w:val="en-GB"/>
        </w:rPr>
        <w:t xml:space="preserve">the </w:t>
      </w:r>
      <w:r w:rsidR="00634122" w:rsidRPr="00634122">
        <w:rPr>
          <w:rFonts w:ascii="Times New Roman" w:hAnsi="Times New Roman" w:cs="Times New Roman"/>
          <w:sz w:val="24"/>
          <w:lang w:val="en-GB"/>
        </w:rPr>
        <w:t xml:space="preserve">establishment of school gardens in 30 primary schools </w:t>
      </w:r>
      <w:r>
        <w:rPr>
          <w:rFonts w:ascii="Times New Roman" w:hAnsi="Times New Roman" w:cs="Times New Roman"/>
          <w:sz w:val="24"/>
          <w:lang w:val="en-GB"/>
        </w:rPr>
        <w:t>are now</w:t>
      </w:r>
      <w:r w:rsidR="00634122" w:rsidRPr="00634122">
        <w:rPr>
          <w:rFonts w:ascii="Times New Roman" w:hAnsi="Times New Roman" w:cs="Times New Roman"/>
          <w:sz w:val="24"/>
          <w:lang w:val="en-GB"/>
        </w:rPr>
        <w:t xml:space="preserve"> promoting the production and consumption of nutritious foods, fostering healthier lifestyles among students.</w:t>
      </w:r>
    </w:p>
    <w:p w14:paraId="1414DFAD" w14:textId="77777777" w:rsidR="00F60042" w:rsidRPr="00574596" w:rsidRDefault="00F60042" w:rsidP="00434A5A">
      <w:pPr>
        <w:pStyle w:val="BodyText"/>
        <w:jc w:val="both"/>
        <w:rPr>
          <w:rFonts w:ascii="Times New Roman" w:hAnsi="Times New Roman" w:cs="Times New Roman"/>
          <w:sz w:val="24"/>
          <w:lang w:val="en-GB"/>
        </w:rPr>
      </w:pPr>
    </w:p>
    <w:p w14:paraId="5EE9247F" w14:textId="4949B6F3" w:rsidR="000D64C7" w:rsidRPr="00F60042" w:rsidRDefault="00EB7245" w:rsidP="00434A5A">
      <w:pPr>
        <w:pStyle w:val="BodyText"/>
        <w:jc w:val="both"/>
        <w:rPr>
          <w:rFonts w:ascii="Times New Roman" w:hAnsi="Times New Roman" w:cs="Times New Roman"/>
          <w:b/>
          <w:bCs/>
          <w:i/>
          <w:iCs/>
          <w:sz w:val="24"/>
          <w:lang w:val="en-GB"/>
        </w:rPr>
      </w:pPr>
      <w:r w:rsidRPr="00F60042">
        <w:rPr>
          <w:rFonts w:ascii="Times New Roman" w:hAnsi="Times New Roman" w:cs="Times New Roman"/>
          <w:b/>
          <w:bCs/>
          <w:i/>
          <w:iCs/>
          <w:sz w:val="24"/>
          <w:lang w:val="en-GB"/>
        </w:rPr>
        <w:t>Output 1.4: Strengthened capacities of duty bearers and stakeholders to sustain improved basic education, health, WASH, and protection services during emergencies.</w:t>
      </w:r>
      <w:r w:rsidR="00380D85" w:rsidRPr="00F60042">
        <w:rPr>
          <w:rFonts w:ascii="Times New Roman" w:hAnsi="Times New Roman" w:cs="Times New Roman"/>
          <w:b/>
          <w:bCs/>
          <w:i/>
          <w:iCs/>
          <w:sz w:val="24"/>
          <w:lang w:val="en-GB"/>
        </w:rPr>
        <w:t xml:space="preserve"> </w:t>
      </w:r>
    </w:p>
    <w:p w14:paraId="35D07B53" w14:textId="77777777" w:rsidR="000D64C7" w:rsidRDefault="000D64C7" w:rsidP="00434A5A">
      <w:pPr>
        <w:pStyle w:val="BodyText"/>
        <w:jc w:val="both"/>
        <w:rPr>
          <w:rFonts w:ascii="Times New Roman" w:hAnsi="Times New Roman" w:cs="Times New Roman"/>
          <w:sz w:val="24"/>
          <w:lang w:val="en-GB"/>
        </w:rPr>
      </w:pPr>
    </w:p>
    <w:p w14:paraId="44E43CBB" w14:textId="01FE6DFE" w:rsidR="004A2D6F" w:rsidRDefault="00FD0000" w:rsidP="004A2D6F">
      <w:pPr>
        <w:pStyle w:val="BodyText"/>
        <w:jc w:val="both"/>
        <w:rPr>
          <w:rFonts w:ascii="Times New Roman" w:hAnsi="Times New Roman" w:cs="Times New Roman"/>
          <w:sz w:val="24"/>
          <w:lang w:val="en-GB"/>
        </w:rPr>
      </w:pPr>
      <w:r w:rsidRPr="00FD0000">
        <w:rPr>
          <w:rFonts w:ascii="Times New Roman" w:hAnsi="Times New Roman" w:cs="Times New Roman"/>
          <w:sz w:val="24"/>
          <w:lang w:val="en-GB"/>
        </w:rPr>
        <w:t xml:space="preserve">The enhanced capabilities of duty bearers and stakeholders in the Kigoma region have played a pivotal role in ensuring the continuity and sustainability of essential services, especially in the areas of basic education, health, water, sanitation, and hygiene (WASH), as well as protection services during emergencies. One of the </w:t>
      </w:r>
      <w:r w:rsidR="00BC5B10">
        <w:rPr>
          <w:rFonts w:ascii="Times New Roman" w:hAnsi="Times New Roman" w:cs="Times New Roman"/>
          <w:sz w:val="24"/>
          <w:lang w:val="en-GB"/>
        </w:rPr>
        <w:t>key</w:t>
      </w:r>
      <w:r w:rsidRPr="00FD0000">
        <w:rPr>
          <w:rFonts w:ascii="Times New Roman" w:hAnsi="Times New Roman" w:cs="Times New Roman"/>
          <w:sz w:val="24"/>
          <w:lang w:val="en-GB"/>
        </w:rPr>
        <w:t xml:space="preserve"> </w:t>
      </w:r>
      <w:r w:rsidR="00C802F8">
        <w:rPr>
          <w:rFonts w:ascii="Times New Roman" w:hAnsi="Times New Roman" w:cs="Times New Roman"/>
          <w:sz w:val="24"/>
          <w:lang w:val="en-GB"/>
        </w:rPr>
        <w:t>developments</w:t>
      </w:r>
      <w:r w:rsidRPr="00FD0000">
        <w:rPr>
          <w:rFonts w:ascii="Times New Roman" w:hAnsi="Times New Roman" w:cs="Times New Roman"/>
          <w:sz w:val="24"/>
          <w:lang w:val="en-GB"/>
        </w:rPr>
        <w:t xml:space="preserve"> includes the establishment of biannual cross-border surveillance meetings, fostering coordination and information exchange among </w:t>
      </w:r>
      <w:r w:rsidR="00C802F8" w:rsidRPr="00FD0000">
        <w:rPr>
          <w:rFonts w:ascii="Times New Roman" w:hAnsi="Times New Roman" w:cs="Times New Roman"/>
          <w:sz w:val="24"/>
          <w:lang w:val="en-GB"/>
        </w:rPr>
        <w:t>neighbouring</w:t>
      </w:r>
      <w:r w:rsidRPr="00FD0000">
        <w:rPr>
          <w:rFonts w:ascii="Times New Roman" w:hAnsi="Times New Roman" w:cs="Times New Roman"/>
          <w:sz w:val="24"/>
          <w:lang w:val="en-GB"/>
        </w:rPr>
        <w:t xml:space="preserve"> countries to address health emergencies. These gatherings not only enhance regional preparedness and response capabilities but also facilitate broader cooperation in safeguarding public health.</w:t>
      </w:r>
      <w:r w:rsidR="0099278C">
        <w:rPr>
          <w:rFonts w:ascii="Times New Roman" w:hAnsi="Times New Roman" w:cs="Times New Roman"/>
          <w:sz w:val="24"/>
          <w:lang w:val="en-GB"/>
        </w:rPr>
        <w:t xml:space="preserve"> </w:t>
      </w:r>
      <w:r w:rsidR="00756880">
        <w:rPr>
          <w:rFonts w:ascii="Times New Roman" w:hAnsi="Times New Roman" w:cs="Times New Roman"/>
          <w:sz w:val="24"/>
          <w:lang w:val="en-GB"/>
        </w:rPr>
        <w:t>During the reporting period</w:t>
      </w:r>
      <w:r w:rsidRPr="00FD0000">
        <w:rPr>
          <w:rFonts w:ascii="Times New Roman" w:hAnsi="Times New Roman" w:cs="Times New Roman"/>
          <w:sz w:val="24"/>
          <w:lang w:val="en-GB"/>
        </w:rPr>
        <w:t xml:space="preserve">, </w:t>
      </w:r>
      <w:r w:rsidR="00BC5B10">
        <w:rPr>
          <w:rFonts w:ascii="Times New Roman" w:hAnsi="Times New Roman" w:cs="Times New Roman"/>
          <w:sz w:val="24"/>
          <w:lang w:val="en-GB"/>
        </w:rPr>
        <w:t>6</w:t>
      </w:r>
      <w:r w:rsidRPr="00FD0000">
        <w:rPr>
          <w:rFonts w:ascii="Times New Roman" w:hAnsi="Times New Roman" w:cs="Times New Roman"/>
          <w:sz w:val="24"/>
          <w:lang w:val="en-GB"/>
        </w:rPr>
        <w:t xml:space="preserve"> such meetings have been successfully conducted, ensuring continuous vigilance in the region. Another achievement is the facilitation of the development of the Strategy for Improving Environmental Sanitation and Hygiene for All in the Kigoma region. This strategic framework, covering the period from July 2023 to June 2026, provides a comprehensive roadmap for addressing </w:t>
      </w:r>
      <w:r w:rsidRPr="00FD0000">
        <w:rPr>
          <w:rFonts w:ascii="Times New Roman" w:hAnsi="Times New Roman" w:cs="Times New Roman"/>
          <w:sz w:val="24"/>
          <w:lang w:val="en-GB"/>
        </w:rPr>
        <w:lastRenderedPageBreak/>
        <w:t>environmental sanitation and hygiene challenges within the region. Through the development of this strategy, stakeholders are equipped with a clear direction and actionable steps to enhance environmental sanitation and hygiene practices, thereby reducing the risk of cholera outbreaks and promoting the well-being of residents across the region.</w:t>
      </w:r>
    </w:p>
    <w:p w14:paraId="19052B46" w14:textId="02FAB777" w:rsidR="006643BF" w:rsidRPr="006643BF" w:rsidRDefault="006643BF" w:rsidP="006643BF">
      <w:pPr>
        <w:pStyle w:val="BodyText"/>
        <w:jc w:val="both"/>
        <w:rPr>
          <w:rFonts w:ascii="Times New Roman" w:hAnsi="Times New Roman" w:cs="Times New Roman"/>
          <w:sz w:val="24"/>
          <w:lang w:val="en-GB"/>
        </w:rPr>
      </w:pPr>
    </w:p>
    <w:p w14:paraId="340749AF" w14:textId="164594E2" w:rsidR="006643BF" w:rsidRDefault="006643BF" w:rsidP="006643BF">
      <w:pPr>
        <w:pStyle w:val="BodyText"/>
        <w:jc w:val="both"/>
        <w:rPr>
          <w:rFonts w:ascii="Times New Roman" w:hAnsi="Times New Roman" w:cs="Times New Roman"/>
          <w:sz w:val="24"/>
          <w:lang w:val="en-GB"/>
        </w:rPr>
      </w:pPr>
      <w:r w:rsidRPr="006643BF">
        <w:rPr>
          <w:rFonts w:ascii="Times New Roman" w:hAnsi="Times New Roman" w:cs="Times New Roman"/>
          <w:sz w:val="24"/>
          <w:lang w:val="en-GB"/>
        </w:rPr>
        <w:t>Furthermore, capacity-building initiatives targeting community health workers have empowered frontline responders with essential skills and resources to deliver critical healthcare services, even amidst adversity. With 240 community health workers from border villages earmarked for training, these efforts ensure that local communities are well-equipped to address health challenges effectively.</w:t>
      </w:r>
      <w:r w:rsidR="004A2D6F">
        <w:rPr>
          <w:rFonts w:ascii="Times New Roman" w:hAnsi="Times New Roman" w:cs="Times New Roman"/>
          <w:sz w:val="24"/>
          <w:lang w:val="en-GB"/>
        </w:rPr>
        <w:t xml:space="preserve"> </w:t>
      </w:r>
      <w:r w:rsidRPr="006643BF">
        <w:rPr>
          <w:rFonts w:ascii="Times New Roman" w:hAnsi="Times New Roman" w:cs="Times New Roman"/>
          <w:sz w:val="24"/>
          <w:lang w:val="en-GB"/>
        </w:rPr>
        <w:t>Overall, the strengthened capacities of duty bearers and stakeholders reflect a proactive approach to emergency preparedness and response, underscored by tangible achievements and ongoing initiatives.</w:t>
      </w:r>
    </w:p>
    <w:p w14:paraId="75455D1E" w14:textId="77777777" w:rsidR="006643BF" w:rsidRDefault="006643BF" w:rsidP="00F60042">
      <w:pPr>
        <w:pStyle w:val="BodyText"/>
        <w:jc w:val="both"/>
        <w:rPr>
          <w:rFonts w:ascii="Times New Roman" w:hAnsi="Times New Roman" w:cs="Times New Roman"/>
          <w:sz w:val="24"/>
          <w:lang w:val="en-GB"/>
        </w:rPr>
      </w:pPr>
    </w:p>
    <w:p w14:paraId="30F5420F" w14:textId="2BFC62DE" w:rsidR="00CE6E34" w:rsidRPr="00620ADF" w:rsidRDefault="00EB7245" w:rsidP="00434A5A">
      <w:pPr>
        <w:pStyle w:val="BodyText"/>
        <w:jc w:val="both"/>
        <w:rPr>
          <w:rFonts w:ascii="Times New Roman" w:hAnsi="Times New Roman" w:cs="Times New Roman"/>
          <w:b/>
          <w:bCs/>
          <w:i/>
          <w:iCs/>
          <w:sz w:val="24"/>
          <w:lang w:val="en-GB"/>
        </w:rPr>
      </w:pPr>
      <w:r w:rsidRPr="00620ADF">
        <w:rPr>
          <w:rFonts w:ascii="Times New Roman" w:hAnsi="Times New Roman" w:cs="Times New Roman"/>
          <w:b/>
          <w:bCs/>
          <w:i/>
          <w:iCs/>
          <w:sz w:val="24"/>
          <w:lang w:val="en-GB"/>
        </w:rPr>
        <w:t>Output 1.5: Duty bearers and key stakeholders in Kigoma have improved capacity for evidence-based planning, M&amp;E, budgeting, and coordination of interventions in education, health, nutrition, WASH, and protection including VAWC.</w:t>
      </w:r>
      <w:r w:rsidR="00CA179E" w:rsidRPr="00620ADF">
        <w:rPr>
          <w:rFonts w:ascii="Times New Roman" w:hAnsi="Times New Roman" w:cs="Times New Roman"/>
          <w:b/>
          <w:bCs/>
          <w:i/>
          <w:iCs/>
          <w:sz w:val="24"/>
          <w:lang w:val="en-GB"/>
        </w:rPr>
        <w:t xml:space="preserve"> </w:t>
      </w:r>
    </w:p>
    <w:p w14:paraId="6C897B94" w14:textId="77777777" w:rsidR="00CE6E34" w:rsidRPr="00574596" w:rsidRDefault="00CE6E34" w:rsidP="00434A5A">
      <w:pPr>
        <w:pStyle w:val="BodyText"/>
        <w:jc w:val="both"/>
        <w:rPr>
          <w:rFonts w:ascii="Times New Roman" w:hAnsi="Times New Roman" w:cs="Times New Roman"/>
          <w:sz w:val="24"/>
          <w:lang w:val="en-GB"/>
        </w:rPr>
      </w:pPr>
    </w:p>
    <w:p w14:paraId="661F30C7" w14:textId="23C2E8F9" w:rsidR="00012E9E" w:rsidRDefault="00F377B6" w:rsidP="00C424C2">
      <w:pPr>
        <w:pStyle w:val="BodyText"/>
        <w:jc w:val="both"/>
        <w:rPr>
          <w:rFonts w:ascii="Times New Roman" w:hAnsi="Times New Roman" w:cs="Times New Roman"/>
          <w:sz w:val="24"/>
          <w:lang w:val="en-GB"/>
        </w:rPr>
      </w:pPr>
      <w:r>
        <w:rPr>
          <w:rFonts w:ascii="Times New Roman" w:hAnsi="Times New Roman" w:cs="Times New Roman"/>
          <w:sz w:val="24"/>
          <w:lang w:val="en-GB"/>
        </w:rPr>
        <w:t>Four</w:t>
      </w:r>
      <w:r w:rsidR="00C424C2" w:rsidRPr="00C424C2">
        <w:rPr>
          <w:rFonts w:ascii="Times New Roman" w:hAnsi="Times New Roman" w:cs="Times New Roman"/>
          <w:sz w:val="24"/>
          <w:lang w:val="en-GB"/>
        </w:rPr>
        <w:t xml:space="preserve"> Local Government Authorities (LGAs) in the region have allocated budgets specifically for VAWC interventions for the upcoming fiscal year 2024/25. This allocation underscores a commitment to prioritize the protection and well-being of vulnerable individuals within the community, aligning with the broader goal of addressing VAWC.</w:t>
      </w:r>
      <w:r w:rsidR="00C424C2">
        <w:rPr>
          <w:rFonts w:ascii="Times New Roman" w:hAnsi="Times New Roman" w:cs="Times New Roman"/>
          <w:sz w:val="24"/>
          <w:lang w:val="en-GB"/>
        </w:rPr>
        <w:t xml:space="preserve"> </w:t>
      </w:r>
      <w:r w:rsidR="00C424C2" w:rsidRPr="00C424C2">
        <w:rPr>
          <w:rFonts w:ascii="Times New Roman" w:hAnsi="Times New Roman" w:cs="Times New Roman"/>
          <w:sz w:val="24"/>
          <w:lang w:val="en-GB"/>
        </w:rPr>
        <w:t>Furthermore, efforts to establish coordination mechanisms and convene quarterly WASH stakeholders' dialogue meetings are underway. These platforms provide opportunities for collaborative action and information sharing among stakeholders, facilitating coordinated responses to WASH challenges in the region.</w:t>
      </w:r>
      <w:r w:rsidR="00C424C2">
        <w:rPr>
          <w:rFonts w:ascii="Times New Roman" w:hAnsi="Times New Roman" w:cs="Times New Roman"/>
          <w:sz w:val="24"/>
          <w:lang w:val="en-GB"/>
        </w:rPr>
        <w:t xml:space="preserve"> </w:t>
      </w:r>
      <w:r w:rsidR="00C424C2" w:rsidRPr="00C424C2">
        <w:rPr>
          <w:rFonts w:ascii="Times New Roman" w:hAnsi="Times New Roman" w:cs="Times New Roman"/>
          <w:sz w:val="24"/>
          <w:lang w:val="en-GB"/>
        </w:rPr>
        <w:t>Additionally, LGAs have submitted fund requests to UNICEF to support these initiatives, with cash transfers already in progress. These financial allocations</w:t>
      </w:r>
      <w:r w:rsidR="00B156CE">
        <w:rPr>
          <w:rFonts w:ascii="Times New Roman" w:hAnsi="Times New Roman" w:cs="Times New Roman"/>
          <w:sz w:val="24"/>
          <w:lang w:val="en-GB"/>
        </w:rPr>
        <w:t xml:space="preserve"> will</w:t>
      </w:r>
      <w:r w:rsidR="00C424C2" w:rsidRPr="00C424C2">
        <w:rPr>
          <w:rFonts w:ascii="Times New Roman" w:hAnsi="Times New Roman" w:cs="Times New Roman"/>
          <w:sz w:val="24"/>
          <w:lang w:val="en-GB"/>
        </w:rPr>
        <w:t xml:space="preserve"> enable LGAs to effectively implement their plans and interventions </w:t>
      </w:r>
      <w:r w:rsidR="00B156CE">
        <w:rPr>
          <w:rFonts w:ascii="Times New Roman" w:hAnsi="Times New Roman" w:cs="Times New Roman"/>
          <w:sz w:val="24"/>
          <w:lang w:val="en-GB"/>
        </w:rPr>
        <w:t>while</w:t>
      </w:r>
      <w:r w:rsidR="00C424C2" w:rsidRPr="00C424C2">
        <w:rPr>
          <w:rFonts w:ascii="Times New Roman" w:hAnsi="Times New Roman" w:cs="Times New Roman"/>
          <w:sz w:val="24"/>
          <w:lang w:val="en-GB"/>
        </w:rPr>
        <w:t xml:space="preserve"> demonstrating a proactive approach to evidence-based planning and budgeting.</w:t>
      </w:r>
      <w:r w:rsidR="00B156CE">
        <w:rPr>
          <w:rFonts w:ascii="Times New Roman" w:hAnsi="Times New Roman" w:cs="Times New Roman"/>
          <w:sz w:val="24"/>
          <w:lang w:val="en-GB"/>
        </w:rPr>
        <w:t xml:space="preserve"> </w:t>
      </w:r>
      <w:r w:rsidR="00C424C2" w:rsidRPr="00C424C2">
        <w:rPr>
          <w:rFonts w:ascii="Times New Roman" w:hAnsi="Times New Roman" w:cs="Times New Roman"/>
          <w:sz w:val="24"/>
          <w:lang w:val="en-GB"/>
        </w:rPr>
        <w:t xml:space="preserve">Overall, these initiatives highlight the enhanced capacity of duty bearers and key stakeholders in Kigoma to plan, </w:t>
      </w:r>
      <w:r w:rsidR="00B156CE">
        <w:rPr>
          <w:rFonts w:ascii="Times New Roman" w:hAnsi="Times New Roman" w:cs="Times New Roman"/>
          <w:sz w:val="24"/>
          <w:lang w:val="en-GB"/>
        </w:rPr>
        <w:t xml:space="preserve">budget, </w:t>
      </w:r>
      <w:r w:rsidR="00C424C2" w:rsidRPr="00C424C2">
        <w:rPr>
          <w:rFonts w:ascii="Times New Roman" w:hAnsi="Times New Roman" w:cs="Times New Roman"/>
          <w:sz w:val="24"/>
          <w:lang w:val="en-GB"/>
        </w:rPr>
        <w:t>monitor, and coordinate interventions across various sectors</w:t>
      </w:r>
      <w:r w:rsidR="00B156CE">
        <w:rPr>
          <w:rFonts w:ascii="Times New Roman" w:hAnsi="Times New Roman" w:cs="Times New Roman"/>
          <w:sz w:val="24"/>
          <w:lang w:val="en-GB"/>
        </w:rPr>
        <w:t xml:space="preserve"> </w:t>
      </w:r>
      <w:r w:rsidR="00C424C2" w:rsidRPr="00C424C2">
        <w:rPr>
          <w:rFonts w:ascii="Times New Roman" w:hAnsi="Times New Roman" w:cs="Times New Roman"/>
          <w:sz w:val="24"/>
          <w:lang w:val="en-GB"/>
        </w:rPr>
        <w:t>in line with the region's overarching goals for development and well-being.</w:t>
      </w:r>
    </w:p>
    <w:p w14:paraId="470C7244" w14:textId="77777777" w:rsidR="00012E9E" w:rsidRDefault="00012E9E">
      <w:pPr>
        <w:rPr>
          <w:szCs w:val="20"/>
          <w:lang w:val="en-GB"/>
        </w:rPr>
      </w:pPr>
      <w:r>
        <w:rPr>
          <w:lang w:val="en-GB"/>
        </w:rPr>
        <w:br w:type="page"/>
      </w:r>
    </w:p>
    <w:p w14:paraId="1D6E8E42" w14:textId="77777777" w:rsidR="004F3507" w:rsidRDefault="004F3507" w:rsidP="00434A5A">
      <w:pPr>
        <w:pStyle w:val="BodyText"/>
        <w:jc w:val="both"/>
        <w:rPr>
          <w:rFonts w:ascii="Times New Roman" w:hAnsi="Times New Roman" w:cs="Times New Roman"/>
          <w:b/>
          <w:bCs/>
          <w:i/>
          <w:iCs/>
          <w:sz w:val="24"/>
          <w:lang w:val="en-GB"/>
        </w:rPr>
      </w:pPr>
    </w:p>
    <w:p w14:paraId="42FE090F" w14:textId="1E592CA4" w:rsidR="00012E9E" w:rsidRDefault="00F377B6" w:rsidP="00012E9E">
      <w:pPr>
        <w:pStyle w:val="Heading2"/>
        <w:numPr>
          <w:ilvl w:val="0"/>
          <w:numId w:val="10"/>
        </w:numPr>
      </w:pPr>
      <w:bookmarkStart w:id="25" w:name="_Toc164236825"/>
      <w:r w:rsidRPr="007D3EB5">
        <w:t>Outcome 2:</w:t>
      </w:r>
      <w:r w:rsidRPr="00574596">
        <w:t xml:space="preserve"> </w:t>
      </w:r>
      <w:r w:rsidR="00727F59">
        <w:t>Prosperity</w:t>
      </w:r>
      <w:bookmarkEnd w:id="25"/>
      <w:r w:rsidR="00727F59">
        <w:t xml:space="preserve"> </w:t>
      </w:r>
    </w:p>
    <w:p w14:paraId="6EF72022" w14:textId="77777777" w:rsidR="00012E9E" w:rsidRDefault="00012E9E" w:rsidP="0047626C">
      <w:pPr>
        <w:pStyle w:val="Heading2"/>
        <w:ind w:left="360"/>
      </w:pPr>
    </w:p>
    <w:p w14:paraId="5E08C442" w14:textId="33D82855" w:rsidR="00012E9E" w:rsidRPr="0047626C" w:rsidRDefault="00012E9E" w:rsidP="0047626C">
      <w:pPr>
        <w:rPr>
          <w:b/>
          <w:bCs/>
          <w:i/>
          <w:iCs/>
          <w:lang w:val="en-GB"/>
        </w:rPr>
      </w:pPr>
      <w:r w:rsidRPr="0047626C">
        <w:rPr>
          <w:b/>
          <w:bCs/>
          <w:i/>
          <w:iCs/>
          <w:lang w:val="en-GB"/>
        </w:rPr>
        <w:t xml:space="preserve">By 2027, people living in Kigoma Region working in MSMEs and small-scale agriculture, especially the most vulnerable, women and youth achieve increased, more sustainable productivity and incomes with more equitable access to productive </w:t>
      </w:r>
      <w:r w:rsidR="0085521A" w:rsidRPr="0085521A">
        <w:rPr>
          <w:b/>
          <w:bCs/>
          <w:i/>
          <w:iCs/>
          <w:lang w:val="en-GB"/>
        </w:rPr>
        <w:t>resources.</w:t>
      </w:r>
    </w:p>
    <w:p w14:paraId="69E42DD3" w14:textId="77777777" w:rsidR="00012E9E" w:rsidRDefault="00012E9E" w:rsidP="00434A5A">
      <w:pPr>
        <w:pStyle w:val="BodyText"/>
        <w:jc w:val="both"/>
        <w:rPr>
          <w:rFonts w:ascii="Times New Roman" w:hAnsi="Times New Roman" w:cs="Times New Roman"/>
          <w:b/>
          <w:bCs/>
          <w:i/>
          <w:iCs/>
          <w:sz w:val="24"/>
          <w:lang w:val="en-GB"/>
        </w:rPr>
      </w:pPr>
    </w:p>
    <w:p w14:paraId="5748AA9B" w14:textId="7530BD89" w:rsidR="004128CC" w:rsidRPr="00620ADF" w:rsidRDefault="00FA48F6" w:rsidP="00434A5A">
      <w:pPr>
        <w:pStyle w:val="BodyText"/>
        <w:jc w:val="both"/>
        <w:rPr>
          <w:rFonts w:ascii="Times New Roman" w:hAnsi="Times New Roman" w:cs="Times New Roman"/>
          <w:b/>
          <w:bCs/>
          <w:i/>
          <w:iCs/>
          <w:sz w:val="24"/>
          <w:lang w:val="en-GB"/>
        </w:rPr>
      </w:pPr>
      <w:r w:rsidRPr="00620ADF">
        <w:rPr>
          <w:rFonts w:ascii="Times New Roman" w:hAnsi="Times New Roman" w:cs="Times New Roman"/>
          <w:b/>
          <w:bCs/>
          <w:i/>
          <w:iCs/>
          <w:sz w:val="24"/>
          <w:lang w:val="en-GB"/>
        </w:rPr>
        <w:t>Output 2.1</w:t>
      </w:r>
      <w:r w:rsidR="004128CC" w:rsidRPr="00620ADF">
        <w:rPr>
          <w:rFonts w:ascii="Times New Roman" w:hAnsi="Times New Roman" w:cs="Times New Roman"/>
          <w:b/>
          <w:bCs/>
          <w:i/>
          <w:iCs/>
          <w:sz w:val="24"/>
          <w:lang w:val="en-GB"/>
        </w:rPr>
        <w:t xml:space="preserve">: Building the capacity of the Regional Secretariat and LGAs to develop, implement, </w:t>
      </w:r>
      <w:r w:rsidRPr="00620ADF">
        <w:rPr>
          <w:rFonts w:ascii="Times New Roman" w:hAnsi="Times New Roman" w:cs="Times New Roman"/>
          <w:b/>
          <w:bCs/>
          <w:i/>
          <w:iCs/>
          <w:sz w:val="24"/>
          <w:lang w:val="en-GB"/>
        </w:rPr>
        <w:t>monitor,</w:t>
      </w:r>
      <w:r w:rsidR="004128CC" w:rsidRPr="00620ADF">
        <w:rPr>
          <w:rFonts w:ascii="Times New Roman" w:hAnsi="Times New Roman" w:cs="Times New Roman"/>
          <w:b/>
          <w:bCs/>
          <w:i/>
          <w:iCs/>
          <w:sz w:val="24"/>
          <w:lang w:val="en-GB"/>
        </w:rPr>
        <w:t xml:space="preserve"> and coordinate gender-responsive and evidence-based plans and programmes that address the needs of MSMEs and smallholder farmers.</w:t>
      </w:r>
    </w:p>
    <w:p w14:paraId="14F15823" w14:textId="77777777" w:rsidR="00B156CE" w:rsidRPr="00B156CE" w:rsidRDefault="00B156CE" w:rsidP="00B156CE">
      <w:pPr>
        <w:pStyle w:val="BodyText"/>
        <w:jc w:val="both"/>
        <w:rPr>
          <w:rFonts w:ascii="Times New Roman" w:hAnsi="Times New Roman" w:cs="Times New Roman"/>
          <w:sz w:val="24"/>
          <w:lang w:val="en-GB"/>
        </w:rPr>
      </w:pPr>
    </w:p>
    <w:p w14:paraId="17E201AE" w14:textId="61EBE33A" w:rsidR="00E95D77" w:rsidRDefault="00F377B6" w:rsidP="00E95D77">
      <w:pPr>
        <w:pStyle w:val="BodyText"/>
        <w:jc w:val="both"/>
        <w:rPr>
          <w:rFonts w:ascii="Times New Roman" w:hAnsi="Times New Roman" w:cs="Times New Roman"/>
          <w:sz w:val="24"/>
          <w:lang w:val="en-GB"/>
        </w:rPr>
      </w:pPr>
      <w:r>
        <w:rPr>
          <w:rFonts w:ascii="Times New Roman" w:hAnsi="Times New Roman" w:cs="Times New Roman"/>
          <w:sz w:val="24"/>
          <w:lang w:val="en-GB"/>
        </w:rPr>
        <w:t xml:space="preserve">Through </w:t>
      </w:r>
      <w:r w:rsidR="00E95D77" w:rsidRPr="00E95D77">
        <w:rPr>
          <w:rFonts w:ascii="Times New Roman" w:hAnsi="Times New Roman" w:cs="Times New Roman"/>
          <w:sz w:val="24"/>
          <w:lang w:val="en-GB"/>
        </w:rPr>
        <w:t>targeted initiatives, the capacity of the Regional Authority ha</w:t>
      </w:r>
      <w:r w:rsidR="00855E5B">
        <w:rPr>
          <w:rFonts w:ascii="Times New Roman" w:hAnsi="Times New Roman" w:cs="Times New Roman"/>
          <w:sz w:val="24"/>
          <w:lang w:val="en-GB"/>
        </w:rPr>
        <w:t>s</w:t>
      </w:r>
      <w:r w:rsidR="00E95D77" w:rsidRPr="00E95D77">
        <w:rPr>
          <w:rFonts w:ascii="Times New Roman" w:hAnsi="Times New Roman" w:cs="Times New Roman"/>
          <w:sz w:val="24"/>
          <w:lang w:val="en-GB"/>
        </w:rPr>
        <w:t xml:space="preserve"> been strengthened, particularly in promoting gender-responsive budgeting and utilizing the Gender-Based Violence (GBV) prevention tool, RESPECT. As a result, there has been a notable increase in understanding and proficiency in deploying the RESPECT Tool within the Tanzanian context, particularly in combatting violence against women.</w:t>
      </w:r>
      <w:r w:rsidR="00E95D77">
        <w:rPr>
          <w:rFonts w:ascii="Times New Roman" w:hAnsi="Times New Roman" w:cs="Times New Roman"/>
          <w:sz w:val="24"/>
          <w:lang w:val="en-GB"/>
        </w:rPr>
        <w:t xml:space="preserve"> </w:t>
      </w:r>
      <w:r w:rsidR="004F3507">
        <w:rPr>
          <w:rFonts w:ascii="Times New Roman" w:hAnsi="Times New Roman" w:cs="Times New Roman"/>
          <w:sz w:val="24"/>
          <w:lang w:val="en-GB"/>
        </w:rPr>
        <w:t>Awareness raising</w:t>
      </w:r>
      <w:r w:rsidR="00E95D77" w:rsidRPr="00E95D77">
        <w:rPr>
          <w:rFonts w:ascii="Times New Roman" w:hAnsi="Times New Roman" w:cs="Times New Roman"/>
          <w:sz w:val="24"/>
          <w:lang w:val="en-GB"/>
        </w:rPr>
        <w:t xml:space="preserve"> activities have successfully reached not only the Regional Authority but also LGAs, wards, and community leaders, including male and gender champions. This concerted effort has led to increased awareness and advocacy for the effective utilization of the RESPECT Tool to prevent economic violence and facilitate women's access to productive resources.</w:t>
      </w:r>
    </w:p>
    <w:p w14:paraId="660B37E9" w14:textId="77777777" w:rsidR="00E95D77" w:rsidRDefault="00E95D77" w:rsidP="00E95D77">
      <w:pPr>
        <w:pStyle w:val="BodyText"/>
        <w:jc w:val="both"/>
        <w:rPr>
          <w:rFonts w:ascii="Times New Roman" w:hAnsi="Times New Roman" w:cs="Times New Roman"/>
          <w:sz w:val="24"/>
          <w:lang w:val="en-GB"/>
        </w:rPr>
      </w:pPr>
    </w:p>
    <w:p w14:paraId="1FE2B775" w14:textId="05DDE3D6" w:rsidR="00E95D77" w:rsidRDefault="00E95D77" w:rsidP="00E95D77">
      <w:pPr>
        <w:pStyle w:val="BodyText"/>
        <w:jc w:val="both"/>
        <w:rPr>
          <w:rFonts w:ascii="Times New Roman" w:hAnsi="Times New Roman" w:cs="Times New Roman"/>
          <w:sz w:val="24"/>
          <w:lang w:val="en-GB"/>
        </w:rPr>
      </w:pPr>
      <w:r w:rsidRPr="00E95D77">
        <w:rPr>
          <w:rFonts w:ascii="Times New Roman" w:hAnsi="Times New Roman" w:cs="Times New Roman"/>
          <w:sz w:val="24"/>
          <w:lang w:val="en-GB"/>
        </w:rPr>
        <w:t>As a result of these initiatives, there has been a marked improvement in the equitable distribution of resources across communities, fostering inclusive economic development. By empowering women with access to productive resources and addressing economic violence, these efforts have contributed to creating a more conducive environment for MSMEs and smallholder farmers to thrive.</w:t>
      </w:r>
      <w:r>
        <w:rPr>
          <w:rFonts w:ascii="Times New Roman" w:hAnsi="Times New Roman" w:cs="Times New Roman"/>
          <w:sz w:val="24"/>
          <w:lang w:val="en-GB"/>
        </w:rPr>
        <w:t xml:space="preserve"> </w:t>
      </w:r>
      <w:r w:rsidRPr="00E95D77">
        <w:rPr>
          <w:rFonts w:ascii="Times New Roman" w:hAnsi="Times New Roman" w:cs="Times New Roman"/>
          <w:sz w:val="24"/>
          <w:lang w:val="en-GB"/>
        </w:rPr>
        <w:t xml:space="preserve">Overall, the results achieved underscore the effectiveness of capacity-building initiatives in driving tangible progress towards gender-responsive and evidence-based planning and programming in Kigoma. </w:t>
      </w:r>
    </w:p>
    <w:p w14:paraId="720E195A" w14:textId="77777777" w:rsidR="00E95D77" w:rsidRDefault="00E95D77" w:rsidP="00E95D77">
      <w:pPr>
        <w:pStyle w:val="BodyText"/>
        <w:jc w:val="both"/>
        <w:rPr>
          <w:rFonts w:ascii="Times New Roman" w:hAnsi="Times New Roman" w:cs="Times New Roman"/>
          <w:b/>
          <w:bCs/>
          <w:i/>
          <w:iCs/>
          <w:sz w:val="24"/>
          <w:lang w:val="en-GB"/>
        </w:rPr>
      </w:pPr>
    </w:p>
    <w:p w14:paraId="10087065" w14:textId="5725C44E" w:rsidR="00EB6359" w:rsidRDefault="004128CC" w:rsidP="00EB6359">
      <w:pPr>
        <w:pStyle w:val="BodyText"/>
        <w:jc w:val="both"/>
        <w:rPr>
          <w:rFonts w:ascii="Times New Roman" w:hAnsi="Times New Roman" w:cs="Times New Roman"/>
          <w:b/>
          <w:bCs/>
          <w:i/>
          <w:iCs/>
          <w:sz w:val="24"/>
          <w:lang w:val="en-GB"/>
        </w:rPr>
      </w:pPr>
      <w:r w:rsidRPr="00EB6359">
        <w:rPr>
          <w:rFonts w:ascii="Times New Roman" w:hAnsi="Times New Roman" w:cs="Times New Roman"/>
          <w:b/>
          <w:bCs/>
          <w:i/>
          <w:iCs/>
          <w:sz w:val="24"/>
          <w:lang w:val="en-GB"/>
        </w:rPr>
        <w:t>Output 2.2:  Enhancing the capacity of relevant institutions in Kigoma to provide gender-responsive, market-oriented, quality programmes, infrastructure/facilities, products, and services to MSMEs and small holder producers.</w:t>
      </w:r>
    </w:p>
    <w:p w14:paraId="226A0F4C" w14:textId="77777777" w:rsidR="00A25A27" w:rsidRPr="00A25A27" w:rsidRDefault="00A25A27" w:rsidP="00EB6359">
      <w:pPr>
        <w:pStyle w:val="BodyText"/>
        <w:jc w:val="both"/>
        <w:rPr>
          <w:rFonts w:ascii="Times New Roman" w:hAnsi="Times New Roman" w:cs="Times New Roman"/>
          <w:b/>
          <w:bCs/>
          <w:i/>
          <w:iCs/>
          <w:sz w:val="24"/>
          <w:lang w:val="en-GB"/>
        </w:rPr>
      </w:pPr>
    </w:p>
    <w:p w14:paraId="762595DB" w14:textId="416883CF" w:rsidR="00A25A27" w:rsidRPr="00A25A27" w:rsidRDefault="004F3507" w:rsidP="00A25A27">
      <w:pPr>
        <w:pStyle w:val="BodyText"/>
        <w:jc w:val="both"/>
        <w:rPr>
          <w:rFonts w:ascii="Times New Roman" w:hAnsi="Times New Roman" w:cs="Times New Roman"/>
          <w:sz w:val="24"/>
          <w:lang w:val="en-GB"/>
        </w:rPr>
      </w:pPr>
      <w:r>
        <w:rPr>
          <w:rFonts w:ascii="Times New Roman" w:hAnsi="Times New Roman" w:cs="Times New Roman"/>
          <w:sz w:val="24"/>
          <w:lang w:val="en-GB"/>
        </w:rPr>
        <w:t xml:space="preserve">The </w:t>
      </w:r>
      <w:r w:rsidR="00A25A27" w:rsidRPr="00A25A27">
        <w:rPr>
          <w:rFonts w:ascii="Times New Roman" w:hAnsi="Times New Roman" w:cs="Times New Roman"/>
          <w:sz w:val="24"/>
          <w:lang w:val="en-GB"/>
        </w:rPr>
        <w:t xml:space="preserve">Kigoma Regional Secretariat and three LGAs (Kakonko, Kibondo, and </w:t>
      </w:r>
      <w:r w:rsidR="0085521A" w:rsidRPr="00A25A27">
        <w:rPr>
          <w:rFonts w:ascii="Times New Roman" w:hAnsi="Times New Roman" w:cs="Times New Roman"/>
          <w:sz w:val="24"/>
          <w:lang w:val="en-GB"/>
        </w:rPr>
        <w:t>Kasu</w:t>
      </w:r>
      <w:r w:rsidR="0085521A">
        <w:rPr>
          <w:rFonts w:ascii="Times New Roman" w:hAnsi="Times New Roman" w:cs="Times New Roman"/>
          <w:sz w:val="24"/>
          <w:lang w:val="en-GB"/>
        </w:rPr>
        <w:t>l</w:t>
      </w:r>
      <w:r w:rsidR="0085521A" w:rsidRPr="00A25A27">
        <w:rPr>
          <w:rFonts w:ascii="Times New Roman" w:hAnsi="Times New Roman" w:cs="Times New Roman"/>
          <w:sz w:val="24"/>
          <w:lang w:val="en-GB"/>
        </w:rPr>
        <w:t>u</w:t>
      </w:r>
      <w:r w:rsidR="00A25A27" w:rsidRPr="00A25A27">
        <w:rPr>
          <w:rFonts w:ascii="Times New Roman" w:hAnsi="Times New Roman" w:cs="Times New Roman"/>
          <w:sz w:val="24"/>
          <w:lang w:val="en-GB"/>
        </w:rPr>
        <w:t>) actively engaged in the National Women and Youth Empowerment AfCFTA Forum held in Dodoma in November 2023</w:t>
      </w:r>
      <w:r>
        <w:rPr>
          <w:rFonts w:ascii="Times New Roman" w:hAnsi="Times New Roman" w:cs="Times New Roman"/>
          <w:sz w:val="24"/>
          <w:lang w:val="en-GB"/>
        </w:rPr>
        <w:t>.</w:t>
      </w:r>
      <w:r w:rsidR="00A25A27" w:rsidRPr="00A25A27">
        <w:rPr>
          <w:rFonts w:ascii="Times New Roman" w:hAnsi="Times New Roman" w:cs="Times New Roman"/>
          <w:sz w:val="24"/>
          <w:lang w:val="en-GB"/>
        </w:rPr>
        <w:t>The forum served as a platform to explore the vast opportunities presented by the African Continental Free Trade Area (AfCFTA), particularly in cross-border trade.</w:t>
      </w:r>
      <w:r w:rsidR="00A25A27">
        <w:rPr>
          <w:rFonts w:ascii="Times New Roman" w:hAnsi="Times New Roman" w:cs="Times New Roman"/>
          <w:sz w:val="24"/>
          <w:lang w:val="en-GB"/>
        </w:rPr>
        <w:t xml:space="preserve"> </w:t>
      </w:r>
      <w:r w:rsidR="00A25A27" w:rsidRPr="00A25A27">
        <w:rPr>
          <w:rFonts w:ascii="Times New Roman" w:hAnsi="Times New Roman" w:cs="Times New Roman"/>
          <w:sz w:val="24"/>
          <w:lang w:val="en-GB"/>
        </w:rPr>
        <w:t xml:space="preserve">As a result of their participation, </w:t>
      </w:r>
      <w:r w:rsidRPr="00A25A27">
        <w:rPr>
          <w:rFonts w:ascii="Times New Roman" w:hAnsi="Times New Roman" w:cs="Times New Roman"/>
          <w:sz w:val="24"/>
          <w:lang w:val="en-GB"/>
        </w:rPr>
        <w:t>among the</w:t>
      </w:r>
      <w:r>
        <w:rPr>
          <w:rFonts w:ascii="Times New Roman" w:hAnsi="Times New Roman" w:cs="Times New Roman"/>
          <w:sz w:val="24"/>
          <w:lang w:val="en-GB"/>
        </w:rPr>
        <w:t xml:space="preserve"> </w:t>
      </w:r>
      <w:r w:rsidR="00A25A27" w:rsidRPr="00A25A27">
        <w:rPr>
          <w:rFonts w:ascii="Times New Roman" w:hAnsi="Times New Roman" w:cs="Times New Roman"/>
          <w:sz w:val="24"/>
          <w:lang w:val="en-GB"/>
        </w:rPr>
        <w:t>results achieved in advancing gender-inclusive implementation of the AfCFTA agenda in Tanzania</w:t>
      </w:r>
      <w:r>
        <w:rPr>
          <w:rFonts w:ascii="Times New Roman" w:hAnsi="Times New Roman" w:cs="Times New Roman"/>
          <w:sz w:val="24"/>
          <w:lang w:val="en-GB"/>
        </w:rPr>
        <w:t xml:space="preserve"> </w:t>
      </w:r>
      <w:r w:rsidR="00A25A27" w:rsidRPr="00A25A27">
        <w:rPr>
          <w:rFonts w:ascii="Times New Roman" w:hAnsi="Times New Roman" w:cs="Times New Roman"/>
          <w:sz w:val="24"/>
          <w:lang w:val="en-GB"/>
        </w:rPr>
        <w:t>was the dissemination of crucial information to Kigoma region officials about 10 exportable products that Tanzanian women and youth can competitively trade in AfCFTA partner states and the broader market. This knowledge equips them with the necessary insights to effectively engage in cross-border trade.</w:t>
      </w:r>
    </w:p>
    <w:p w14:paraId="1AF2EC18" w14:textId="77777777" w:rsidR="00A25A27" w:rsidRPr="00A25A27" w:rsidRDefault="00A25A27" w:rsidP="00A25A27">
      <w:pPr>
        <w:pStyle w:val="BodyText"/>
        <w:jc w:val="both"/>
        <w:rPr>
          <w:rFonts w:ascii="Times New Roman" w:hAnsi="Times New Roman" w:cs="Times New Roman"/>
          <w:sz w:val="24"/>
          <w:lang w:val="en-GB"/>
        </w:rPr>
      </w:pPr>
    </w:p>
    <w:p w14:paraId="602A21CE" w14:textId="3155F06A" w:rsidR="004128CC" w:rsidRDefault="00A25A27" w:rsidP="00A25A27">
      <w:pPr>
        <w:pStyle w:val="BodyText"/>
        <w:jc w:val="both"/>
        <w:rPr>
          <w:rFonts w:ascii="Times New Roman" w:hAnsi="Times New Roman" w:cs="Times New Roman"/>
          <w:sz w:val="24"/>
          <w:lang w:val="en-GB"/>
        </w:rPr>
      </w:pPr>
      <w:r w:rsidRPr="00A25A27">
        <w:rPr>
          <w:rFonts w:ascii="Times New Roman" w:hAnsi="Times New Roman" w:cs="Times New Roman"/>
          <w:sz w:val="24"/>
          <w:lang w:val="en-GB"/>
        </w:rPr>
        <w:t>Moreover, the forum's focus on empowering women and youth entrepreneurs underscores a commitment to fostering economic growth and promoting gender-inclusive development. By providing valuable resources and knowledge, the initiative has paved the way for increased participation of women and youth in trade activities, thereby driving economic empowerment and fostering sustainable development in the Kigoma region.</w:t>
      </w:r>
      <w:r>
        <w:rPr>
          <w:rFonts w:ascii="Times New Roman" w:hAnsi="Times New Roman" w:cs="Times New Roman"/>
          <w:sz w:val="24"/>
          <w:lang w:val="en-GB"/>
        </w:rPr>
        <w:t xml:space="preserve"> </w:t>
      </w:r>
      <w:r w:rsidRPr="00A25A27">
        <w:rPr>
          <w:rFonts w:ascii="Times New Roman" w:hAnsi="Times New Roman" w:cs="Times New Roman"/>
          <w:sz w:val="24"/>
          <w:lang w:val="en-GB"/>
        </w:rPr>
        <w:t xml:space="preserve">Overall, the active participation of Kigoma region officials in the AfCFTA Forum has yielded tangible results in empowering women and youth entrepreneurs, unlocking new opportunities for economic growth, and </w:t>
      </w:r>
      <w:r w:rsidRPr="00A25A27">
        <w:rPr>
          <w:rFonts w:ascii="Times New Roman" w:hAnsi="Times New Roman" w:cs="Times New Roman"/>
          <w:sz w:val="24"/>
          <w:lang w:val="en-GB"/>
        </w:rPr>
        <w:lastRenderedPageBreak/>
        <w:t>promoting gender-inclusive development. As these initiatives continue to gain momentum, the region is poised to capitalize on the benefits offered by AfCFTA, fostering prosperity and advancement for all</w:t>
      </w:r>
      <w:r>
        <w:rPr>
          <w:rFonts w:ascii="Times New Roman" w:hAnsi="Times New Roman" w:cs="Times New Roman"/>
          <w:sz w:val="24"/>
          <w:lang w:val="en-GB"/>
        </w:rPr>
        <w:t>.</w:t>
      </w:r>
    </w:p>
    <w:p w14:paraId="1B7A727E" w14:textId="77777777" w:rsidR="00A25A27" w:rsidRPr="00574596" w:rsidRDefault="00A25A27" w:rsidP="00A25A27">
      <w:pPr>
        <w:pStyle w:val="BodyText"/>
        <w:jc w:val="both"/>
        <w:rPr>
          <w:rFonts w:ascii="Times New Roman" w:hAnsi="Times New Roman" w:cs="Times New Roman"/>
          <w:sz w:val="24"/>
          <w:lang w:val="en-GB"/>
        </w:rPr>
      </w:pPr>
    </w:p>
    <w:p w14:paraId="4B5FB2D4" w14:textId="77777777" w:rsidR="004128CC" w:rsidRPr="00EB6359" w:rsidRDefault="004128CC" w:rsidP="00434A5A">
      <w:pPr>
        <w:pStyle w:val="BodyText"/>
        <w:jc w:val="both"/>
        <w:rPr>
          <w:rFonts w:ascii="Times New Roman" w:hAnsi="Times New Roman" w:cs="Times New Roman"/>
          <w:b/>
          <w:bCs/>
          <w:i/>
          <w:iCs/>
          <w:sz w:val="24"/>
          <w:lang w:val="en-GB"/>
        </w:rPr>
      </w:pPr>
      <w:r w:rsidRPr="00EB6359">
        <w:rPr>
          <w:rFonts w:ascii="Times New Roman" w:hAnsi="Times New Roman" w:cs="Times New Roman"/>
          <w:b/>
          <w:bCs/>
          <w:i/>
          <w:iCs/>
          <w:sz w:val="24"/>
          <w:lang w:val="en-GB"/>
        </w:rPr>
        <w:t>Output 2.3: Enhancing capacities of the Kigoma Regional Administration and LGAs and the key private sector actors to mobilize resources for financing MSMEs and agricultural development.</w:t>
      </w:r>
    </w:p>
    <w:p w14:paraId="6C186E8D" w14:textId="77777777" w:rsidR="008823A3" w:rsidRPr="00574596" w:rsidRDefault="008823A3" w:rsidP="00434A5A">
      <w:pPr>
        <w:pStyle w:val="BodyText"/>
        <w:jc w:val="both"/>
        <w:rPr>
          <w:rFonts w:ascii="Times New Roman" w:hAnsi="Times New Roman" w:cs="Times New Roman"/>
          <w:sz w:val="24"/>
          <w:lang w:val="en-GB"/>
        </w:rPr>
      </w:pPr>
    </w:p>
    <w:p w14:paraId="6052062D" w14:textId="5B5F9351" w:rsidR="00AA6DE1" w:rsidRPr="00AA6DE1" w:rsidRDefault="00AA6DE1" w:rsidP="00AA6DE1">
      <w:pPr>
        <w:pStyle w:val="BodyText"/>
        <w:jc w:val="both"/>
        <w:rPr>
          <w:rFonts w:ascii="Times New Roman" w:hAnsi="Times New Roman" w:cs="Times New Roman"/>
          <w:sz w:val="24"/>
          <w:lang w:val="en-GB"/>
        </w:rPr>
      </w:pPr>
      <w:r w:rsidRPr="00AA6DE1">
        <w:rPr>
          <w:rFonts w:ascii="Times New Roman" w:hAnsi="Times New Roman" w:cs="Times New Roman"/>
          <w:sz w:val="24"/>
          <w:lang w:val="en-GB"/>
        </w:rPr>
        <w:t xml:space="preserve">Kigoma Regional Administration, Local Government Authorities (LGAs), and key private sector actors </w:t>
      </w:r>
      <w:r w:rsidR="007660C2">
        <w:rPr>
          <w:rFonts w:ascii="Times New Roman" w:hAnsi="Times New Roman" w:cs="Times New Roman"/>
          <w:sz w:val="24"/>
          <w:lang w:val="en-GB"/>
        </w:rPr>
        <w:t xml:space="preserve">managed </w:t>
      </w:r>
      <w:r w:rsidRPr="00AA6DE1">
        <w:rPr>
          <w:rFonts w:ascii="Times New Roman" w:hAnsi="Times New Roman" w:cs="Times New Roman"/>
          <w:sz w:val="24"/>
          <w:lang w:val="en-GB"/>
        </w:rPr>
        <w:t>to mobilize resources for financing Micro, Small, and Medium Enterprises (MSMEs) and agricultural development.</w:t>
      </w:r>
      <w:r w:rsidR="00A36082">
        <w:rPr>
          <w:rFonts w:ascii="Times New Roman" w:hAnsi="Times New Roman" w:cs="Times New Roman"/>
          <w:sz w:val="24"/>
          <w:lang w:val="en-GB"/>
        </w:rPr>
        <w:t xml:space="preserve"> T</w:t>
      </w:r>
      <w:r w:rsidRPr="00AA6DE1">
        <w:rPr>
          <w:rFonts w:ascii="Times New Roman" w:hAnsi="Times New Roman" w:cs="Times New Roman"/>
          <w:sz w:val="24"/>
          <w:lang w:val="en-GB"/>
        </w:rPr>
        <w:t>he implementation of the Financial Acceleration Saving Group Transformation (FAST) program</w:t>
      </w:r>
      <w:r w:rsidR="00FA3CAC">
        <w:rPr>
          <w:rFonts w:ascii="Times New Roman" w:hAnsi="Times New Roman" w:cs="Times New Roman"/>
          <w:sz w:val="24"/>
          <w:lang w:val="en-GB"/>
        </w:rPr>
        <w:t>me</w:t>
      </w:r>
      <w:r w:rsidRPr="00AA6DE1">
        <w:rPr>
          <w:rFonts w:ascii="Times New Roman" w:hAnsi="Times New Roman" w:cs="Times New Roman"/>
          <w:sz w:val="24"/>
          <w:lang w:val="en-GB"/>
        </w:rPr>
        <w:t xml:space="preserve"> through a Financial Service Provider, has resulted in </w:t>
      </w:r>
      <w:r w:rsidR="00A36082">
        <w:rPr>
          <w:rFonts w:ascii="Times New Roman" w:hAnsi="Times New Roman" w:cs="Times New Roman"/>
          <w:sz w:val="24"/>
          <w:lang w:val="en-GB"/>
        </w:rPr>
        <w:t>provision of</w:t>
      </w:r>
      <w:r w:rsidRPr="00AA6DE1">
        <w:rPr>
          <w:rFonts w:ascii="Times New Roman" w:hAnsi="Times New Roman" w:cs="Times New Roman"/>
          <w:sz w:val="24"/>
          <w:lang w:val="en-GB"/>
        </w:rPr>
        <w:t xml:space="preserve"> credit facilities </w:t>
      </w:r>
      <w:r w:rsidR="00C01A6C" w:rsidRPr="00AA6DE1">
        <w:rPr>
          <w:rFonts w:ascii="Times New Roman" w:hAnsi="Times New Roman" w:cs="Times New Roman"/>
          <w:sz w:val="24"/>
          <w:lang w:val="en-GB"/>
        </w:rPr>
        <w:t>totalling TZS 57,750,000</w:t>
      </w:r>
      <w:r w:rsidR="00C01A6C">
        <w:rPr>
          <w:rFonts w:ascii="Times New Roman" w:hAnsi="Times New Roman" w:cs="Times New Roman"/>
          <w:sz w:val="24"/>
          <w:lang w:val="en-GB"/>
        </w:rPr>
        <w:t xml:space="preserve"> </w:t>
      </w:r>
      <w:r w:rsidRPr="00AA6DE1">
        <w:rPr>
          <w:rFonts w:ascii="Times New Roman" w:hAnsi="Times New Roman" w:cs="Times New Roman"/>
          <w:sz w:val="24"/>
          <w:lang w:val="en-GB"/>
        </w:rPr>
        <w:t>to 17 saving groups</w:t>
      </w:r>
      <w:r w:rsidR="00C01A6C">
        <w:rPr>
          <w:rFonts w:ascii="Times New Roman" w:hAnsi="Times New Roman" w:cs="Times New Roman"/>
          <w:sz w:val="24"/>
          <w:lang w:val="en-GB"/>
        </w:rPr>
        <w:t xml:space="preserve"> </w:t>
      </w:r>
      <w:r w:rsidRPr="00AA6DE1">
        <w:rPr>
          <w:rFonts w:ascii="Times New Roman" w:hAnsi="Times New Roman" w:cs="Times New Roman"/>
          <w:sz w:val="24"/>
          <w:lang w:val="en-GB"/>
        </w:rPr>
        <w:t xml:space="preserve">comprising 408 members, of </w:t>
      </w:r>
      <w:r w:rsidR="00E85A4F">
        <w:rPr>
          <w:rFonts w:ascii="Times New Roman" w:hAnsi="Times New Roman" w:cs="Times New Roman"/>
          <w:sz w:val="24"/>
          <w:lang w:val="en-GB"/>
        </w:rPr>
        <w:t>whom</w:t>
      </w:r>
      <w:r w:rsidR="00E85A4F" w:rsidRPr="00AA6DE1">
        <w:rPr>
          <w:rFonts w:ascii="Times New Roman" w:hAnsi="Times New Roman" w:cs="Times New Roman"/>
          <w:sz w:val="24"/>
          <w:lang w:val="en-GB"/>
        </w:rPr>
        <w:t xml:space="preserve"> </w:t>
      </w:r>
      <w:r w:rsidRPr="00AA6DE1">
        <w:rPr>
          <w:rFonts w:ascii="Times New Roman" w:hAnsi="Times New Roman" w:cs="Times New Roman"/>
          <w:sz w:val="24"/>
          <w:lang w:val="en-GB"/>
        </w:rPr>
        <w:t>297 are women</w:t>
      </w:r>
      <w:r w:rsidR="00C01A6C">
        <w:rPr>
          <w:rFonts w:ascii="Times New Roman" w:hAnsi="Times New Roman" w:cs="Times New Roman"/>
          <w:sz w:val="24"/>
          <w:lang w:val="en-GB"/>
        </w:rPr>
        <w:t>.</w:t>
      </w:r>
      <w:r w:rsidRPr="00AA6DE1">
        <w:rPr>
          <w:rFonts w:ascii="Times New Roman" w:hAnsi="Times New Roman" w:cs="Times New Roman"/>
          <w:sz w:val="24"/>
          <w:lang w:val="en-GB"/>
        </w:rPr>
        <w:t xml:space="preserve"> This initiative has significantly contributed to enhancing financial inclusion and access to credit for marginalized and underserved groups within the community.</w:t>
      </w:r>
    </w:p>
    <w:p w14:paraId="45C3DF83" w14:textId="77777777" w:rsidR="00AA6DE1" w:rsidRPr="00AA6DE1" w:rsidRDefault="00AA6DE1" w:rsidP="00AA6DE1">
      <w:pPr>
        <w:pStyle w:val="BodyText"/>
        <w:jc w:val="both"/>
        <w:rPr>
          <w:rFonts w:ascii="Times New Roman" w:hAnsi="Times New Roman" w:cs="Times New Roman"/>
          <w:sz w:val="24"/>
          <w:lang w:val="en-GB"/>
        </w:rPr>
      </w:pPr>
    </w:p>
    <w:p w14:paraId="2B4C52A9" w14:textId="27EAA118" w:rsidR="00AA6DE1" w:rsidRPr="00AA6DE1" w:rsidRDefault="00AA6DE1" w:rsidP="009061C9">
      <w:pPr>
        <w:pStyle w:val="BodyText"/>
        <w:jc w:val="both"/>
        <w:rPr>
          <w:rFonts w:ascii="Times New Roman" w:hAnsi="Times New Roman" w:cs="Times New Roman"/>
          <w:sz w:val="24"/>
          <w:lang w:val="en-GB"/>
        </w:rPr>
      </w:pPr>
      <w:r w:rsidRPr="00AA6DE1">
        <w:rPr>
          <w:rFonts w:ascii="Times New Roman" w:hAnsi="Times New Roman" w:cs="Times New Roman"/>
          <w:sz w:val="24"/>
          <w:lang w:val="en-GB"/>
        </w:rPr>
        <w:t>Capacity building efforts have focused on enhancing the capabilities of smallholder producers and MSMEs, particularly those led by women, youth, and people with disabilities. These efforts have enabled stakeholders to adopt innovative and climate-resilient practices, improve access to productive resources, and facilitate the commercialization of agricultural production. As a result, stakeholders have been empowered to sustainably grow their businesses, formalize operations, and engage in national, regional, and international trade, fostering economic resilience and empowerment.</w:t>
      </w:r>
      <w:r w:rsidR="009C65FE">
        <w:rPr>
          <w:rFonts w:ascii="Times New Roman" w:hAnsi="Times New Roman" w:cs="Times New Roman"/>
          <w:sz w:val="24"/>
          <w:lang w:val="en-GB"/>
        </w:rPr>
        <w:t xml:space="preserve"> </w:t>
      </w:r>
      <w:r w:rsidR="009061C9">
        <w:rPr>
          <w:rFonts w:ascii="Times New Roman" w:hAnsi="Times New Roman" w:cs="Times New Roman"/>
          <w:sz w:val="24"/>
          <w:lang w:val="en-GB"/>
        </w:rPr>
        <w:t xml:space="preserve"> </w:t>
      </w:r>
      <w:r w:rsidR="004F3507">
        <w:rPr>
          <w:rFonts w:ascii="Times New Roman" w:hAnsi="Times New Roman" w:cs="Times New Roman"/>
          <w:sz w:val="24"/>
          <w:lang w:val="en-GB"/>
        </w:rPr>
        <w:t>Sixty-two</w:t>
      </w:r>
      <w:r w:rsidRPr="00AA6DE1">
        <w:rPr>
          <w:rFonts w:ascii="Times New Roman" w:hAnsi="Times New Roman" w:cs="Times New Roman"/>
          <w:sz w:val="24"/>
          <w:lang w:val="en-GB"/>
        </w:rPr>
        <w:t xml:space="preserve"> women entrepreneurs from five business groups underwent comprehensive capacity building sessions focused on various aspects of business management, including gender issues, self-assessment, product pricing, developing business networks, and selecting optimal business locations in markets. This initiative has equipped these entrepreneurs with essential skills and knowledge necessary for effective business operations and growth.</w:t>
      </w:r>
      <w:r w:rsidR="009C65FE" w:rsidRPr="009C65FE">
        <w:rPr>
          <w:rFonts w:ascii="Times New Roman" w:hAnsi="Times New Roman" w:cs="Times New Roman"/>
          <w:sz w:val="24"/>
          <w:lang w:val="en-GB"/>
        </w:rPr>
        <w:t xml:space="preserve"> </w:t>
      </w:r>
      <w:r w:rsidR="009C65FE" w:rsidRPr="00AA6DE1">
        <w:rPr>
          <w:rFonts w:ascii="Times New Roman" w:hAnsi="Times New Roman" w:cs="Times New Roman"/>
          <w:sz w:val="24"/>
          <w:lang w:val="en-GB"/>
        </w:rPr>
        <w:t xml:space="preserve">Efforts to transition to formality for women and youth-led MSMEs have raised awareness of the importance of business formalization among Business Development Service Providers (BDSPs). </w:t>
      </w:r>
      <w:r w:rsidR="009C65FE">
        <w:rPr>
          <w:rFonts w:ascii="Times New Roman" w:hAnsi="Times New Roman" w:cs="Times New Roman"/>
          <w:sz w:val="24"/>
          <w:lang w:val="en-GB"/>
        </w:rPr>
        <w:t xml:space="preserve">Through </w:t>
      </w:r>
      <w:r w:rsidR="009C65FE" w:rsidRPr="00AA6DE1">
        <w:rPr>
          <w:rFonts w:ascii="Times New Roman" w:hAnsi="Times New Roman" w:cs="Times New Roman"/>
          <w:sz w:val="24"/>
          <w:lang w:val="en-GB"/>
        </w:rPr>
        <w:t xml:space="preserve">capacity building activities BDSPs and trade officers have </w:t>
      </w:r>
      <w:r w:rsidR="009C65FE">
        <w:rPr>
          <w:rFonts w:ascii="Times New Roman" w:hAnsi="Times New Roman" w:cs="Times New Roman"/>
          <w:sz w:val="24"/>
          <w:lang w:val="en-GB"/>
        </w:rPr>
        <w:t xml:space="preserve">been </w:t>
      </w:r>
      <w:r w:rsidR="009C65FE" w:rsidRPr="00AA6DE1">
        <w:rPr>
          <w:rFonts w:ascii="Times New Roman" w:hAnsi="Times New Roman" w:cs="Times New Roman"/>
          <w:sz w:val="24"/>
          <w:lang w:val="en-GB"/>
        </w:rPr>
        <w:t>equipped with the necessary skills to support SMEs and SHFs in formalizing their businesses</w:t>
      </w:r>
      <w:r w:rsidR="009C65FE">
        <w:rPr>
          <w:rFonts w:ascii="Times New Roman" w:hAnsi="Times New Roman" w:cs="Times New Roman"/>
          <w:sz w:val="24"/>
          <w:lang w:val="en-GB"/>
        </w:rPr>
        <w:t>.</w:t>
      </w:r>
      <w:r w:rsidR="009C65FE" w:rsidRPr="00AA6DE1">
        <w:rPr>
          <w:rFonts w:ascii="Times New Roman" w:hAnsi="Times New Roman" w:cs="Times New Roman"/>
          <w:sz w:val="24"/>
          <w:lang w:val="en-GB"/>
        </w:rPr>
        <w:t xml:space="preserve"> Through focused training program</w:t>
      </w:r>
      <w:r w:rsidR="00FA3CAC">
        <w:rPr>
          <w:rFonts w:ascii="Times New Roman" w:hAnsi="Times New Roman" w:cs="Times New Roman"/>
          <w:sz w:val="24"/>
          <w:lang w:val="en-GB"/>
        </w:rPr>
        <w:t>me</w:t>
      </w:r>
      <w:r w:rsidR="009C65FE" w:rsidRPr="00AA6DE1">
        <w:rPr>
          <w:rFonts w:ascii="Times New Roman" w:hAnsi="Times New Roman" w:cs="Times New Roman"/>
          <w:sz w:val="24"/>
          <w:lang w:val="en-GB"/>
        </w:rPr>
        <w:t>s, these groups have acquired essential skills in market analysis, legal compliance, negotiation, financial resource access, and digital solutions, enabling effective competition in cross-border business activities and promoting economic empowerment.</w:t>
      </w:r>
    </w:p>
    <w:p w14:paraId="2A0BF6C9" w14:textId="77777777" w:rsidR="00AA6DE1" w:rsidRPr="00AA6DE1" w:rsidRDefault="00AA6DE1" w:rsidP="009061C9">
      <w:pPr>
        <w:pStyle w:val="BodyText"/>
        <w:jc w:val="both"/>
        <w:rPr>
          <w:rFonts w:ascii="Times New Roman" w:hAnsi="Times New Roman" w:cs="Times New Roman"/>
          <w:sz w:val="24"/>
          <w:lang w:val="en-GB"/>
        </w:rPr>
      </w:pPr>
    </w:p>
    <w:p w14:paraId="08CA278E" w14:textId="09D5B0FF" w:rsidR="00082892" w:rsidRDefault="00AA6DE1" w:rsidP="009061C9">
      <w:pPr>
        <w:pStyle w:val="BodyText"/>
        <w:jc w:val="both"/>
        <w:rPr>
          <w:rFonts w:ascii="Times New Roman" w:hAnsi="Times New Roman" w:cs="Times New Roman"/>
          <w:sz w:val="24"/>
          <w:lang w:val="en-GB"/>
        </w:rPr>
      </w:pPr>
      <w:r w:rsidRPr="00AA6DE1">
        <w:rPr>
          <w:rFonts w:ascii="Times New Roman" w:hAnsi="Times New Roman" w:cs="Times New Roman"/>
          <w:sz w:val="24"/>
          <w:lang w:val="en-GB"/>
        </w:rPr>
        <w:t xml:space="preserve">Furthermore, </w:t>
      </w:r>
      <w:r w:rsidR="00A36082" w:rsidRPr="00AA6DE1">
        <w:rPr>
          <w:rFonts w:ascii="Times New Roman" w:hAnsi="Times New Roman" w:cs="Times New Roman"/>
          <w:sz w:val="24"/>
          <w:lang w:val="en-GB"/>
        </w:rPr>
        <w:t>40 women entrepreneurs improved their cross-border</w:t>
      </w:r>
      <w:r w:rsidR="009061C9">
        <w:rPr>
          <w:rFonts w:ascii="Times New Roman" w:hAnsi="Times New Roman" w:cs="Times New Roman"/>
          <w:sz w:val="24"/>
          <w:lang w:val="en-GB"/>
        </w:rPr>
        <w:t xml:space="preserve"> trading </w:t>
      </w:r>
      <w:r w:rsidR="00A36082" w:rsidRPr="00AA6DE1">
        <w:rPr>
          <w:rFonts w:ascii="Times New Roman" w:hAnsi="Times New Roman" w:cs="Times New Roman"/>
          <w:sz w:val="24"/>
          <w:lang w:val="en-GB"/>
        </w:rPr>
        <w:t>capacity and actively participated in the 2023 EAC Jua</w:t>
      </w:r>
      <w:r w:rsidR="009061C9">
        <w:rPr>
          <w:rFonts w:ascii="Times New Roman" w:hAnsi="Times New Roman" w:cs="Times New Roman"/>
          <w:sz w:val="24"/>
          <w:lang w:val="en-GB"/>
        </w:rPr>
        <w:t>-</w:t>
      </w:r>
      <w:r w:rsidR="00A36082" w:rsidRPr="00AA6DE1">
        <w:rPr>
          <w:rFonts w:ascii="Times New Roman" w:hAnsi="Times New Roman" w:cs="Times New Roman"/>
          <w:sz w:val="24"/>
          <w:lang w:val="en-GB"/>
        </w:rPr>
        <w:t xml:space="preserve">kali Trade Fairs </w:t>
      </w:r>
      <w:r w:rsidR="00CD76FD">
        <w:rPr>
          <w:rFonts w:ascii="Times New Roman" w:hAnsi="Times New Roman" w:cs="Times New Roman"/>
          <w:sz w:val="24"/>
          <w:lang w:val="en-GB"/>
        </w:rPr>
        <w:t xml:space="preserve">for </w:t>
      </w:r>
      <w:r w:rsidR="00A36082" w:rsidRPr="00AA6DE1">
        <w:rPr>
          <w:rFonts w:ascii="Times New Roman" w:hAnsi="Times New Roman" w:cs="Times New Roman"/>
          <w:sz w:val="24"/>
          <w:lang w:val="en-GB"/>
        </w:rPr>
        <w:t>small businesses held in Bujumbura</w:t>
      </w:r>
      <w:r w:rsidR="00A36082">
        <w:rPr>
          <w:rFonts w:ascii="Times New Roman" w:hAnsi="Times New Roman" w:cs="Times New Roman"/>
          <w:sz w:val="24"/>
          <w:lang w:val="en-GB"/>
        </w:rPr>
        <w:t xml:space="preserve"> with f</w:t>
      </w:r>
      <w:r w:rsidR="00A36082" w:rsidRPr="00AA6DE1">
        <w:rPr>
          <w:rFonts w:ascii="Times New Roman" w:hAnsi="Times New Roman" w:cs="Times New Roman"/>
          <w:sz w:val="24"/>
          <w:lang w:val="en-GB"/>
        </w:rPr>
        <w:t>acilitation</w:t>
      </w:r>
      <w:r w:rsidRPr="00AA6DE1">
        <w:rPr>
          <w:rFonts w:ascii="Times New Roman" w:hAnsi="Times New Roman" w:cs="Times New Roman"/>
          <w:sz w:val="24"/>
          <w:lang w:val="en-GB"/>
        </w:rPr>
        <w:t xml:space="preserve"> of travel documents, visas, and product certification permits </w:t>
      </w:r>
      <w:r w:rsidR="00A36082" w:rsidRPr="00AA6DE1">
        <w:rPr>
          <w:rFonts w:ascii="Times New Roman" w:hAnsi="Times New Roman" w:cs="Times New Roman"/>
          <w:sz w:val="24"/>
          <w:lang w:val="en-GB"/>
        </w:rPr>
        <w:t xml:space="preserve">for </w:t>
      </w:r>
      <w:r w:rsidR="00A36082">
        <w:rPr>
          <w:rFonts w:ascii="Times New Roman" w:hAnsi="Times New Roman" w:cs="Times New Roman"/>
          <w:sz w:val="24"/>
          <w:lang w:val="en-GB"/>
        </w:rPr>
        <w:t xml:space="preserve">15 women. </w:t>
      </w:r>
      <w:r w:rsidRPr="00AA6DE1">
        <w:rPr>
          <w:rFonts w:ascii="Times New Roman" w:hAnsi="Times New Roman" w:cs="Times New Roman"/>
          <w:sz w:val="24"/>
          <w:lang w:val="en-GB"/>
        </w:rPr>
        <w:t>This exposure provided valuable opportunities for networking, showcasing products, and exploring potential markets, thereby enhancing the visibility and market reach of women entrepreneurs</w:t>
      </w:r>
      <w:r w:rsidR="00A36082">
        <w:rPr>
          <w:rFonts w:ascii="Times New Roman" w:hAnsi="Times New Roman" w:cs="Times New Roman"/>
          <w:sz w:val="24"/>
          <w:lang w:val="en-GB"/>
        </w:rPr>
        <w:t xml:space="preserve"> in Kigoma</w:t>
      </w:r>
      <w:r w:rsidR="00A36082" w:rsidRPr="00AA6DE1">
        <w:rPr>
          <w:rFonts w:ascii="Times New Roman" w:hAnsi="Times New Roman" w:cs="Times New Roman"/>
          <w:sz w:val="24"/>
          <w:lang w:val="en-GB"/>
        </w:rPr>
        <w:t>.</w:t>
      </w:r>
      <w:r w:rsidR="00A36082">
        <w:rPr>
          <w:rFonts w:ascii="Times New Roman" w:hAnsi="Times New Roman" w:cs="Times New Roman"/>
          <w:sz w:val="24"/>
          <w:lang w:val="en-GB"/>
        </w:rPr>
        <w:t xml:space="preserve"> </w:t>
      </w:r>
      <w:r w:rsidR="00A36082" w:rsidRPr="00AA6DE1">
        <w:rPr>
          <w:rFonts w:ascii="Times New Roman" w:hAnsi="Times New Roman" w:cs="Times New Roman"/>
          <w:sz w:val="24"/>
          <w:lang w:val="en-GB"/>
        </w:rPr>
        <w:t>Their</w:t>
      </w:r>
      <w:r w:rsidRPr="00AA6DE1">
        <w:rPr>
          <w:rFonts w:ascii="Times New Roman" w:hAnsi="Times New Roman" w:cs="Times New Roman"/>
          <w:sz w:val="24"/>
          <w:lang w:val="en-GB"/>
        </w:rPr>
        <w:t xml:space="preserve"> participation not only promoted inter-regional trade but also facilitated knowledge exchange and collaboration among entrepreneurs from different regions.</w:t>
      </w:r>
      <w:r w:rsidR="009C65FE">
        <w:rPr>
          <w:rFonts w:ascii="Times New Roman" w:hAnsi="Times New Roman" w:cs="Times New Roman"/>
          <w:sz w:val="24"/>
          <w:lang w:val="en-GB"/>
        </w:rPr>
        <w:t xml:space="preserve"> </w:t>
      </w:r>
      <w:r w:rsidRPr="00AA6DE1">
        <w:rPr>
          <w:rFonts w:ascii="Times New Roman" w:hAnsi="Times New Roman" w:cs="Times New Roman"/>
          <w:sz w:val="24"/>
          <w:lang w:val="en-GB"/>
        </w:rPr>
        <w:t>Additionally, the training of female youth on climate-smart technologies, and safeguarding value chains in Lake Tanganyika</w:t>
      </w:r>
      <w:r w:rsidR="00C01A6C">
        <w:rPr>
          <w:rFonts w:ascii="Times New Roman" w:hAnsi="Times New Roman" w:cs="Times New Roman"/>
          <w:sz w:val="24"/>
          <w:lang w:val="en-GB"/>
        </w:rPr>
        <w:t xml:space="preserve"> </w:t>
      </w:r>
      <w:r w:rsidRPr="00AA6DE1">
        <w:rPr>
          <w:rFonts w:ascii="Times New Roman" w:hAnsi="Times New Roman" w:cs="Times New Roman"/>
          <w:sz w:val="24"/>
          <w:lang w:val="en-GB"/>
        </w:rPr>
        <w:t>has enhanced the capacity of small-scale fisheries sector operators, contributing to the sustainable development of the sector and the empowerment of women in the region.</w:t>
      </w:r>
    </w:p>
    <w:p w14:paraId="0FEC7B20" w14:textId="77777777" w:rsidR="004E5974" w:rsidRDefault="004E5974" w:rsidP="009061C9">
      <w:pPr>
        <w:pStyle w:val="BodyText"/>
        <w:jc w:val="both"/>
        <w:rPr>
          <w:rFonts w:ascii="Times New Roman" w:hAnsi="Times New Roman" w:cs="Times New Roman"/>
          <w:sz w:val="24"/>
          <w:lang w:val="en-GB"/>
        </w:rPr>
      </w:pPr>
    </w:p>
    <w:p w14:paraId="6798E646" w14:textId="77777777" w:rsidR="004E5974" w:rsidRDefault="004E5974" w:rsidP="009061C9">
      <w:pPr>
        <w:pStyle w:val="BodyText"/>
        <w:jc w:val="both"/>
        <w:rPr>
          <w:rFonts w:ascii="Times New Roman" w:hAnsi="Times New Roman" w:cs="Times New Roman"/>
          <w:sz w:val="24"/>
          <w:lang w:val="en-GB"/>
        </w:rPr>
      </w:pPr>
    </w:p>
    <w:p w14:paraId="3EF13BBC" w14:textId="77777777" w:rsidR="004E5974" w:rsidRDefault="004E5974" w:rsidP="009061C9">
      <w:pPr>
        <w:pStyle w:val="BodyText"/>
        <w:jc w:val="both"/>
        <w:rPr>
          <w:rFonts w:ascii="Times New Roman" w:hAnsi="Times New Roman" w:cs="Times New Roman"/>
          <w:sz w:val="24"/>
          <w:lang w:val="en-GB"/>
        </w:rPr>
      </w:pPr>
    </w:p>
    <w:p w14:paraId="193B0CBC" w14:textId="77777777" w:rsidR="004E5974" w:rsidRDefault="004E5974" w:rsidP="009061C9">
      <w:pPr>
        <w:pStyle w:val="BodyText"/>
        <w:jc w:val="both"/>
        <w:rPr>
          <w:rFonts w:ascii="Times New Roman" w:hAnsi="Times New Roman" w:cs="Times New Roman"/>
          <w:sz w:val="24"/>
          <w:lang w:val="en-GB"/>
        </w:rPr>
      </w:pPr>
    </w:p>
    <w:p w14:paraId="66082495" w14:textId="77777777" w:rsidR="004E5974" w:rsidRDefault="004E5974" w:rsidP="009061C9">
      <w:pPr>
        <w:pStyle w:val="BodyText"/>
        <w:jc w:val="both"/>
        <w:rPr>
          <w:rFonts w:ascii="Times New Roman" w:hAnsi="Times New Roman" w:cs="Times New Roman"/>
          <w:sz w:val="24"/>
          <w:lang w:val="en-GB"/>
        </w:rPr>
      </w:pPr>
    </w:p>
    <w:p w14:paraId="2C82830A" w14:textId="77777777" w:rsidR="004E5974" w:rsidRDefault="004E5974" w:rsidP="009061C9">
      <w:pPr>
        <w:pStyle w:val="BodyText"/>
        <w:jc w:val="both"/>
        <w:rPr>
          <w:rFonts w:ascii="Times New Roman" w:hAnsi="Times New Roman" w:cs="Times New Roman"/>
          <w:sz w:val="24"/>
          <w:lang w:val="en-GB"/>
        </w:rPr>
      </w:pPr>
    </w:p>
    <w:p w14:paraId="7A67F9C6" w14:textId="77777777" w:rsidR="00906F3C" w:rsidRDefault="00906F3C" w:rsidP="00AA6DE1">
      <w:pPr>
        <w:pStyle w:val="BodyText"/>
        <w:jc w:val="both"/>
        <w:rPr>
          <w:rFonts w:ascii="Times New Roman" w:hAnsi="Times New Roman" w:cs="Times New Roman"/>
          <w:sz w:val="24"/>
          <w:lang w:val="en-GB"/>
        </w:rPr>
      </w:pPr>
    </w:p>
    <w:p w14:paraId="4D3BB618" w14:textId="5967A0A9" w:rsidR="00E85A4F" w:rsidRDefault="00906F3C" w:rsidP="00906F3C">
      <w:pPr>
        <w:pStyle w:val="BodyText"/>
        <w:rPr>
          <w:rFonts w:ascii="Times New Roman" w:hAnsi="Times New Roman" w:cs="Times New Roman"/>
          <w:sz w:val="24"/>
          <w:lang w:val="en-GB"/>
        </w:rPr>
      </w:pPr>
      <w:r w:rsidRPr="00906F3C">
        <w:rPr>
          <w:rFonts w:ascii="Times New Roman" w:hAnsi="Times New Roman" w:cs="Times New Roman"/>
          <w:b/>
          <w:bCs/>
          <w:i/>
          <w:iCs/>
          <w:sz w:val="24"/>
          <w:szCs w:val="24"/>
          <w:lang w:val="en-GB"/>
        </w:rPr>
        <w:lastRenderedPageBreak/>
        <w:t>Output 2.4 Small holder producers and MSMEs in Kigoma, particularly led by women, youth and people with disabilities have improved capacities to adopt innovative, climate resilient practices, access productive resources, commercializes agricultural production, sustainably grow their business, formalize and engage in national, regional and international trade</w:t>
      </w:r>
      <w:r w:rsidR="00E85A4F">
        <w:rPr>
          <w:rFonts w:ascii="Times New Roman" w:hAnsi="Times New Roman" w:cs="Times New Roman"/>
          <w:sz w:val="24"/>
          <w:lang w:val="en-GB"/>
        </w:rPr>
        <w:t xml:space="preserve">: </w:t>
      </w:r>
    </w:p>
    <w:p w14:paraId="577645C7" w14:textId="77777777" w:rsidR="00E85A4F" w:rsidRDefault="00E85A4F" w:rsidP="0047626C">
      <w:pPr>
        <w:pStyle w:val="BodyText"/>
        <w:jc w:val="both"/>
        <w:rPr>
          <w:rFonts w:ascii="Times New Roman" w:hAnsi="Times New Roman" w:cs="Times New Roman"/>
          <w:b/>
          <w:bCs/>
          <w:i/>
          <w:iCs/>
          <w:sz w:val="24"/>
          <w:szCs w:val="24"/>
          <w:lang w:val="en-GB"/>
        </w:rPr>
      </w:pPr>
    </w:p>
    <w:p w14:paraId="2883FF1A" w14:textId="631AF1BB" w:rsidR="00D5296E" w:rsidRDefault="00E85A4F" w:rsidP="009061C9">
      <w:pPr>
        <w:pStyle w:val="BodyText"/>
        <w:jc w:val="both"/>
        <w:rPr>
          <w:rFonts w:ascii="Times New Roman" w:hAnsi="Times New Roman" w:cs="Times New Roman"/>
          <w:sz w:val="24"/>
          <w:lang w:val="en-GB"/>
        </w:rPr>
      </w:pPr>
      <w:r>
        <w:rPr>
          <w:rFonts w:ascii="Times New Roman" w:hAnsi="Times New Roman" w:cs="Times New Roman"/>
          <w:sz w:val="24"/>
          <w:lang w:val="en-GB"/>
        </w:rPr>
        <w:t>F</w:t>
      </w:r>
      <w:r w:rsidR="00906F3C" w:rsidRPr="00906F3C">
        <w:rPr>
          <w:rFonts w:ascii="Times New Roman" w:hAnsi="Times New Roman" w:cs="Times New Roman"/>
          <w:sz w:val="24"/>
          <w:lang w:val="en-GB"/>
        </w:rPr>
        <w:t>ertilizer use</w:t>
      </w:r>
      <w:r w:rsidR="00D503B0">
        <w:rPr>
          <w:rFonts w:ascii="Times New Roman" w:hAnsi="Times New Roman" w:cs="Times New Roman"/>
          <w:sz w:val="24"/>
          <w:lang w:val="en-GB"/>
        </w:rPr>
        <w:t xml:space="preserve"> increased by </w:t>
      </w:r>
      <w:r w:rsidR="00906F3C" w:rsidRPr="00906F3C">
        <w:rPr>
          <w:rFonts w:ascii="Times New Roman" w:hAnsi="Times New Roman" w:cs="Times New Roman"/>
          <w:sz w:val="24"/>
          <w:lang w:val="en-GB"/>
        </w:rPr>
        <w:t>50% in Kasulu District Council and 78% in Kasulu Town Council</w:t>
      </w:r>
      <w:r w:rsidRPr="00E85A4F">
        <w:rPr>
          <w:rFonts w:ascii="Times New Roman" w:hAnsi="Times New Roman" w:cs="Times New Roman"/>
          <w:sz w:val="24"/>
          <w:lang w:val="en-GB"/>
        </w:rPr>
        <w:t xml:space="preserve"> </w:t>
      </w:r>
      <w:r>
        <w:rPr>
          <w:rFonts w:ascii="Times New Roman" w:hAnsi="Times New Roman" w:cs="Times New Roman"/>
          <w:sz w:val="24"/>
          <w:lang w:val="en-GB"/>
        </w:rPr>
        <w:t>d</w:t>
      </w:r>
      <w:r w:rsidRPr="00906F3C">
        <w:rPr>
          <w:rFonts w:ascii="Times New Roman" w:hAnsi="Times New Roman" w:cs="Times New Roman"/>
          <w:sz w:val="24"/>
          <w:lang w:val="en-GB"/>
        </w:rPr>
        <w:t>uring the reporting period,</w:t>
      </w:r>
      <w:r>
        <w:rPr>
          <w:rFonts w:ascii="Times New Roman" w:hAnsi="Times New Roman" w:cs="Times New Roman"/>
          <w:sz w:val="24"/>
          <w:lang w:val="en-GB"/>
        </w:rPr>
        <w:t xml:space="preserve"> </w:t>
      </w:r>
      <w:r w:rsidR="00906F3C" w:rsidRPr="00906F3C">
        <w:rPr>
          <w:rFonts w:ascii="Times New Roman" w:hAnsi="Times New Roman" w:cs="Times New Roman"/>
          <w:sz w:val="24"/>
          <w:lang w:val="en-GB"/>
        </w:rPr>
        <w:t>due to the training provided</w:t>
      </w:r>
      <w:r w:rsidR="00D503B0">
        <w:rPr>
          <w:rFonts w:ascii="Times New Roman" w:hAnsi="Times New Roman" w:cs="Times New Roman"/>
          <w:sz w:val="24"/>
          <w:lang w:val="en-GB"/>
        </w:rPr>
        <w:t xml:space="preserve"> to </w:t>
      </w:r>
      <w:r w:rsidR="00D503B0" w:rsidRPr="00906F3C">
        <w:rPr>
          <w:rFonts w:ascii="Times New Roman" w:hAnsi="Times New Roman" w:cs="Times New Roman"/>
          <w:sz w:val="24"/>
          <w:lang w:val="en-GB"/>
        </w:rPr>
        <w:t xml:space="preserve">12 youth extension officers </w:t>
      </w:r>
      <w:r w:rsidR="00D503B0">
        <w:rPr>
          <w:rFonts w:ascii="Times New Roman" w:hAnsi="Times New Roman" w:cs="Times New Roman"/>
          <w:sz w:val="24"/>
          <w:lang w:val="en-GB"/>
        </w:rPr>
        <w:t xml:space="preserve">was enhanced </w:t>
      </w:r>
      <w:r w:rsidR="00D503B0" w:rsidRPr="00906F3C">
        <w:rPr>
          <w:rFonts w:ascii="Times New Roman" w:hAnsi="Times New Roman" w:cs="Times New Roman"/>
          <w:sz w:val="24"/>
          <w:lang w:val="en-GB"/>
        </w:rPr>
        <w:t xml:space="preserve">to support 400 smallholder farmers in Kibondo and Kasulu </w:t>
      </w:r>
      <w:r w:rsidR="00D503B0">
        <w:rPr>
          <w:rFonts w:ascii="Times New Roman" w:hAnsi="Times New Roman" w:cs="Times New Roman"/>
          <w:sz w:val="24"/>
          <w:lang w:val="en-GB"/>
        </w:rPr>
        <w:t xml:space="preserve">on </w:t>
      </w:r>
      <w:r w:rsidR="00D503B0" w:rsidRPr="00906F3C">
        <w:rPr>
          <w:rFonts w:ascii="Times New Roman" w:hAnsi="Times New Roman" w:cs="Times New Roman"/>
          <w:sz w:val="24"/>
          <w:lang w:val="en-GB"/>
        </w:rPr>
        <w:t xml:space="preserve">Climate Smart Agriculture and Good Agricultural Practices. </w:t>
      </w:r>
      <w:r>
        <w:rPr>
          <w:rFonts w:ascii="Times New Roman" w:hAnsi="Times New Roman" w:cs="Times New Roman"/>
          <w:sz w:val="24"/>
          <w:lang w:val="en-GB"/>
        </w:rPr>
        <w:t xml:space="preserve"> </w:t>
      </w:r>
      <w:r w:rsidR="00D5296E" w:rsidRPr="00D5296E">
        <w:rPr>
          <w:rFonts w:ascii="Times New Roman" w:hAnsi="Times New Roman" w:cs="Times New Roman"/>
          <w:sz w:val="24"/>
          <w:lang w:val="en-GB"/>
        </w:rPr>
        <w:t xml:space="preserve">Additionally, 26 individuals (8 females, 18 males), including 8 District Trade Officers, 1 Regional Trade Officer, and 22 local Business Development Service Providers, were trained to deliver courses on </w:t>
      </w:r>
      <w:r w:rsidR="00D5296E">
        <w:rPr>
          <w:rFonts w:ascii="Times New Roman" w:hAnsi="Times New Roman" w:cs="Times New Roman"/>
          <w:sz w:val="24"/>
          <w:lang w:val="en-GB"/>
        </w:rPr>
        <w:t>“</w:t>
      </w:r>
      <w:r w:rsidR="00D5296E" w:rsidRPr="00D5296E">
        <w:rPr>
          <w:rFonts w:ascii="Times New Roman" w:hAnsi="Times New Roman" w:cs="Times New Roman"/>
          <w:sz w:val="24"/>
          <w:lang w:val="en-GB"/>
        </w:rPr>
        <w:t>Improve Your Marketing Skills</w:t>
      </w:r>
      <w:r w:rsidR="00D5296E">
        <w:rPr>
          <w:rFonts w:ascii="Times New Roman" w:hAnsi="Times New Roman" w:cs="Times New Roman"/>
          <w:sz w:val="24"/>
          <w:lang w:val="en-GB"/>
        </w:rPr>
        <w:t>”</w:t>
      </w:r>
      <w:r w:rsidR="00D5296E" w:rsidRPr="00D5296E">
        <w:rPr>
          <w:rFonts w:ascii="Times New Roman" w:hAnsi="Times New Roman" w:cs="Times New Roman"/>
          <w:sz w:val="24"/>
          <w:lang w:val="en-GB"/>
        </w:rPr>
        <w:t xml:space="preserve"> (IYMS), cross-border trade using the Simplified East African Community Trade Rules and Procedures, Simplified Labour Laws for the Informal Sector, and gender issues in cross-border trade.</w:t>
      </w:r>
    </w:p>
    <w:p w14:paraId="5D6EABAB" w14:textId="6D6D5398" w:rsidR="00D5296E" w:rsidRPr="00082892" w:rsidRDefault="00D5296E" w:rsidP="009061C9">
      <w:pPr>
        <w:pStyle w:val="BodyText"/>
        <w:jc w:val="both"/>
        <w:rPr>
          <w:rFonts w:ascii="Times New Roman" w:hAnsi="Times New Roman" w:cs="Times New Roman"/>
          <w:sz w:val="24"/>
          <w:lang w:val="en-GB"/>
        </w:rPr>
      </w:pPr>
      <w:r>
        <w:rPr>
          <w:rFonts w:ascii="Times New Roman" w:hAnsi="Times New Roman" w:cs="Times New Roman"/>
          <w:sz w:val="24"/>
          <w:lang w:val="en-GB"/>
        </w:rPr>
        <w:t xml:space="preserve">In addition, </w:t>
      </w:r>
      <w:r w:rsidRPr="00D5296E">
        <w:rPr>
          <w:rFonts w:ascii="Times New Roman" w:hAnsi="Times New Roman" w:cs="Times New Roman"/>
          <w:sz w:val="24"/>
          <w:lang w:val="en-GB"/>
        </w:rPr>
        <w:t>522 farmers in 20 producer groups capacitated to engage in micro-investment activities in horticulture through the utilization of micro-irrigation technology. Both in-person and digital extension trainings and services have been provided to enhance their capabilities</w:t>
      </w:r>
      <w:r w:rsidR="00E85A4F">
        <w:rPr>
          <w:rFonts w:ascii="Times New Roman" w:hAnsi="Times New Roman" w:cs="Times New Roman"/>
          <w:sz w:val="24"/>
          <w:lang w:val="en-GB"/>
        </w:rPr>
        <w:t>. Further</w:t>
      </w:r>
      <w:r>
        <w:rPr>
          <w:rFonts w:ascii="Times New Roman" w:hAnsi="Times New Roman" w:cs="Times New Roman"/>
          <w:sz w:val="24"/>
          <w:lang w:val="en-GB"/>
        </w:rPr>
        <w:t xml:space="preserve">, </w:t>
      </w:r>
      <w:r w:rsidR="00D503B0">
        <w:rPr>
          <w:rFonts w:ascii="Times New Roman" w:hAnsi="Times New Roman" w:cs="Times New Roman"/>
          <w:sz w:val="24"/>
          <w:lang w:val="en-GB"/>
        </w:rPr>
        <w:t>two</w:t>
      </w:r>
      <w:r w:rsidR="00D503B0" w:rsidRPr="00D5296E">
        <w:rPr>
          <w:rFonts w:ascii="Times New Roman" w:hAnsi="Times New Roman" w:cs="Times New Roman"/>
          <w:sz w:val="24"/>
          <w:lang w:val="en-GB"/>
        </w:rPr>
        <w:t xml:space="preserve"> </w:t>
      </w:r>
      <w:r w:rsidRPr="00D5296E">
        <w:rPr>
          <w:rFonts w:ascii="Times New Roman" w:hAnsi="Times New Roman" w:cs="Times New Roman"/>
          <w:sz w:val="24"/>
          <w:lang w:val="en-GB"/>
        </w:rPr>
        <w:t>Youth Enterprises capacitated to locally fabricate drip irrigation kits</w:t>
      </w:r>
      <w:r>
        <w:rPr>
          <w:rFonts w:ascii="Times New Roman" w:hAnsi="Times New Roman" w:cs="Times New Roman"/>
          <w:sz w:val="24"/>
          <w:lang w:val="en-GB"/>
        </w:rPr>
        <w:t xml:space="preserve"> and supported to i</w:t>
      </w:r>
      <w:r w:rsidRPr="00D5296E">
        <w:rPr>
          <w:rFonts w:ascii="Times New Roman" w:hAnsi="Times New Roman" w:cs="Times New Roman"/>
          <w:sz w:val="24"/>
          <w:lang w:val="en-GB"/>
        </w:rPr>
        <w:t>ncrease use of climate smart technology in horticulture small producers through use of drip irrigation kits</w:t>
      </w:r>
      <w:r>
        <w:rPr>
          <w:rFonts w:ascii="Times New Roman" w:hAnsi="Times New Roman" w:cs="Times New Roman"/>
          <w:sz w:val="24"/>
          <w:lang w:val="en-GB"/>
        </w:rPr>
        <w:t xml:space="preserve"> in their respective areas.</w:t>
      </w:r>
    </w:p>
    <w:p w14:paraId="3CF3ABD9" w14:textId="77777777" w:rsidR="00F9610C" w:rsidRDefault="00F9610C" w:rsidP="00F9610C">
      <w:pPr>
        <w:pStyle w:val="BodyText"/>
        <w:jc w:val="both"/>
        <w:rPr>
          <w:rFonts w:ascii="Times New Roman" w:hAnsi="Times New Roman" w:cs="Times New Roman"/>
          <w:sz w:val="24"/>
          <w:lang w:val="en-GB"/>
        </w:rPr>
      </w:pPr>
    </w:p>
    <w:p w14:paraId="6D319607" w14:textId="77777777" w:rsidR="00E85A4F" w:rsidRDefault="00E85A4F" w:rsidP="008827A6">
      <w:pPr>
        <w:pStyle w:val="BodyText"/>
        <w:jc w:val="both"/>
        <w:rPr>
          <w:rFonts w:ascii="Times New Roman" w:hAnsi="Times New Roman" w:cs="Times New Roman"/>
          <w:b/>
          <w:bCs/>
          <w:i/>
          <w:iCs/>
          <w:sz w:val="24"/>
          <w:lang w:val="en-GB"/>
        </w:rPr>
      </w:pPr>
    </w:p>
    <w:p w14:paraId="7CC2337A" w14:textId="77777777" w:rsidR="00E85A4F" w:rsidRDefault="00E85A4F">
      <w:pPr>
        <w:rPr>
          <w:b/>
          <w:lang w:val="en-GB" w:eastAsia="x-none"/>
        </w:rPr>
      </w:pPr>
      <w:r>
        <w:rPr>
          <w:b/>
          <w:lang w:val="en-GB" w:eastAsia="x-none"/>
        </w:rPr>
        <w:br w:type="page"/>
      </w:r>
    </w:p>
    <w:p w14:paraId="50B4C337" w14:textId="15477237" w:rsidR="00012E9E" w:rsidRDefault="00E85A4F" w:rsidP="0047626C">
      <w:pPr>
        <w:pStyle w:val="Heading2"/>
        <w:numPr>
          <w:ilvl w:val="0"/>
          <w:numId w:val="10"/>
        </w:numPr>
      </w:pPr>
      <w:bookmarkStart w:id="26" w:name="_Toc164236826"/>
      <w:r w:rsidRPr="00E85A4F">
        <w:lastRenderedPageBreak/>
        <w:t>Outcome 3:</w:t>
      </w:r>
      <w:r w:rsidRPr="00012E9E">
        <w:t xml:space="preserve"> </w:t>
      </w:r>
      <w:r w:rsidR="00727F59">
        <w:t>Planet</w:t>
      </w:r>
      <w:bookmarkEnd w:id="26"/>
      <w:r w:rsidR="00727F59">
        <w:t xml:space="preserve"> </w:t>
      </w:r>
    </w:p>
    <w:p w14:paraId="0B4D28F4" w14:textId="77777777" w:rsidR="00012E9E" w:rsidRDefault="00012E9E" w:rsidP="00012E9E">
      <w:pPr>
        <w:pStyle w:val="Heading2"/>
      </w:pPr>
    </w:p>
    <w:p w14:paraId="1A6D2CD7" w14:textId="4451A5A9" w:rsidR="00E85A4F" w:rsidRPr="0047626C" w:rsidRDefault="00E85A4F" w:rsidP="0047626C">
      <w:pPr>
        <w:rPr>
          <w:b/>
          <w:bCs/>
          <w:i/>
          <w:iCs/>
        </w:rPr>
      </w:pPr>
      <w:r w:rsidRPr="0047626C">
        <w:rPr>
          <w:b/>
          <w:bCs/>
          <w:i/>
          <w:iCs/>
        </w:rPr>
        <w:t>By 2027, communities in Kigoma Region have improved capacity to manage and conserve natural resources and land, increased resilience to disasters and adverse effects of climate change and have greater access to efficient and renewable energy.</w:t>
      </w:r>
    </w:p>
    <w:p w14:paraId="122DEDA4" w14:textId="77777777" w:rsidR="00E85A4F" w:rsidRDefault="00E85A4F" w:rsidP="008827A6">
      <w:pPr>
        <w:pStyle w:val="BodyText"/>
        <w:jc w:val="both"/>
        <w:rPr>
          <w:rFonts w:ascii="Times New Roman" w:hAnsi="Times New Roman" w:cs="Times New Roman"/>
          <w:b/>
          <w:bCs/>
          <w:i/>
          <w:iCs/>
          <w:sz w:val="24"/>
          <w:lang w:val="en-GB"/>
        </w:rPr>
      </w:pPr>
    </w:p>
    <w:p w14:paraId="1A64E783" w14:textId="77777777" w:rsidR="004E5974" w:rsidRDefault="0046645E" w:rsidP="008827A6">
      <w:pPr>
        <w:pStyle w:val="BodyText"/>
        <w:jc w:val="both"/>
        <w:rPr>
          <w:rFonts w:ascii="Times New Roman" w:hAnsi="Times New Roman" w:cs="Times New Roman"/>
          <w:sz w:val="24"/>
          <w:lang w:val="en-GB"/>
        </w:rPr>
      </w:pPr>
      <w:r w:rsidRPr="003E7B71">
        <w:rPr>
          <w:rFonts w:ascii="Times New Roman" w:hAnsi="Times New Roman" w:cs="Times New Roman"/>
          <w:b/>
          <w:bCs/>
          <w:i/>
          <w:iCs/>
          <w:sz w:val="24"/>
          <w:lang w:val="en-GB"/>
        </w:rPr>
        <w:t>Output 3.</w:t>
      </w:r>
      <w:r w:rsidR="00E07F5E">
        <w:rPr>
          <w:rFonts w:ascii="Times New Roman" w:hAnsi="Times New Roman" w:cs="Times New Roman"/>
          <w:b/>
          <w:bCs/>
          <w:i/>
          <w:iCs/>
          <w:sz w:val="24"/>
          <w:lang w:val="en-GB"/>
        </w:rPr>
        <w:t>2</w:t>
      </w:r>
      <w:r w:rsidRPr="003E7B71">
        <w:rPr>
          <w:rFonts w:ascii="Times New Roman" w:hAnsi="Times New Roman" w:cs="Times New Roman"/>
          <w:b/>
          <w:bCs/>
          <w:i/>
          <w:iCs/>
          <w:sz w:val="24"/>
          <w:lang w:val="en-GB"/>
        </w:rPr>
        <w:t xml:space="preserve">: </w:t>
      </w:r>
      <w:r w:rsidR="00091174" w:rsidRPr="00091174">
        <w:rPr>
          <w:rFonts w:ascii="Times New Roman" w:hAnsi="Times New Roman" w:cs="Times New Roman"/>
          <w:b/>
          <w:bCs/>
          <w:i/>
          <w:iCs/>
          <w:sz w:val="24"/>
          <w:lang w:val="en-GB"/>
        </w:rPr>
        <w:t>MDAs, LGAs, and relevant stakeholders (Universities, NGOs) in Kigoma region have increased capacity to generate, analyse and use disaggregated data, as well as research, develop, innovate, and promote technological development for improved inclusive management and reporting on natural resources and land-use, climate change resilience, DRR and renewable energy.</w:t>
      </w:r>
      <w:r w:rsidR="00E85A4F">
        <w:rPr>
          <w:rFonts w:ascii="Times New Roman" w:hAnsi="Times New Roman" w:cs="Times New Roman"/>
          <w:sz w:val="24"/>
          <w:lang w:val="en-GB"/>
        </w:rPr>
        <w:t xml:space="preserve"> </w:t>
      </w:r>
    </w:p>
    <w:p w14:paraId="54670FE1" w14:textId="77777777" w:rsidR="004E5974" w:rsidRDefault="004E5974" w:rsidP="008827A6">
      <w:pPr>
        <w:pStyle w:val="BodyText"/>
        <w:jc w:val="both"/>
        <w:rPr>
          <w:rFonts w:ascii="Times New Roman" w:hAnsi="Times New Roman" w:cs="Times New Roman"/>
          <w:sz w:val="24"/>
          <w:lang w:val="en-GB"/>
        </w:rPr>
      </w:pPr>
    </w:p>
    <w:p w14:paraId="1ADE49CC" w14:textId="2C124829" w:rsidR="008827A6" w:rsidRPr="008827A6" w:rsidRDefault="00517AA0" w:rsidP="008827A6">
      <w:pPr>
        <w:pStyle w:val="BodyText"/>
        <w:jc w:val="both"/>
        <w:rPr>
          <w:rFonts w:ascii="Times New Roman" w:hAnsi="Times New Roman" w:cs="Times New Roman"/>
          <w:sz w:val="24"/>
          <w:lang w:val="en-GB"/>
        </w:rPr>
      </w:pPr>
      <w:r w:rsidRPr="00317261">
        <w:rPr>
          <w:rFonts w:ascii="Times New Roman" w:hAnsi="Times New Roman" w:cs="Times New Roman"/>
          <w:sz w:val="24"/>
          <w:lang w:val="en-GB"/>
        </w:rPr>
        <w:t>Technical support provided to the Ministry of Water (MoW) initiated preparatory work for the development of a water sector vulnerability index</w:t>
      </w:r>
      <w:r w:rsidR="00445F2F">
        <w:rPr>
          <w:rFonts w:ascii="Times New Roman" w:hAnsi="Times New Roman" w:cs="Times New Roman"/>
          <w:sz w:val="24"/>
          <w:lang w:val="en-GB"/>
        </w:rPr>
        <w:t xml:space="preserve"> which</w:t>
      </w:r>
      <w:r w:rsidR="003F4BE1" w:rsidRPr="003F4BE1">
        <w:rPr>
          <w:rFonts w:ascii="Times New Roman" w:hAnsi="Times New Roman" w:cs="Times New Roman"/>
          <w:sz w:val="24"/>
          <w:lang w:val="en-GB"/>
        </w:rPr>
        <w:t xml:space="preserve"> serves as a vital tool in identifying and assessing </w:t>
      </w:r>
      <w:r w:rsidRPr="00317261">
        <w:rPr>
          <w:rFonts w:ascii="Times New Roman" w:hAnsi="Times New Roman" w:cs="Times New Roman"/>
          <w:sz w:val="24"/>
          <w:lang w:val="en-GB"/>
        </w:rPr>
        <w:t xml:space="preserve">the risks posed by climate impacts such as rising sea levels, increased precipitation, floods, droughts, and temperature increases on water resources and infrastructure. Furthermore, financial support </w:t>
      </w:r>
      <w:r w:rsidR="00D503B0">
        <w:rPr>
          <w:rFonts w:ascii="Times New Roman" w:hAnsi="Times New Roman" w:cs="Times New Roman"/>
          <w:sz w:val="24"/>
          <w:lang w:val="en-GB"/>
        </w:rPr>
        <w:t xml:space="preserve">was </w:t>
      </w:r>
      <w:r w:rsidRPr="00317261">
        <w:rPr>
          <w:rFonts w:ascii="Times New Roman" w:hAnsi="Times New Roman" w:cs="Times New Roman"/>
          <w:sz w:val="24"/>
          <w:lang w:val="en-GB"/>
        </w:rPr>
        <w:t xml:space="preserve"> extended to commence the review of the Water Resources Management Strategic Interventions and Action Plan for Climate Change Adaptation. This review is integral to preparations for the National Multi-Sectoral Climate Vulnerability Assessment, which aims to comprehensively assess and address climate vulnerabilities across various sectors in coordination with the Vice President’s Office and UNDP.</w:t>
      </w:r>
      <w:r w:rsidRPr="00517AA0">
        <w:rPr>
          <w:rFonts w:ascii="Times New Roman" w:hAnsi="Times New Roman" w:cs="Times New Roman"/>
          <w:sz w:val="24"/>
          <w:lang w:val="en-GB"/>
        </w:rPr>
        <w:t xml:space="preserve"> </w:t>
      </w:r>
      <w:r w:rsidRPr="00317261">
        <w:rPr>
          <w:rFonts w:ascii="Times New Roman" w:hAnsi="Times New Roman" w:cs="Times New Roman"/>
          <w:sz w:val="24"/>
          <w:lang w:val="en-GB"/>
        </w:rPr>
        <w:t>Concurrently</w:t>
      </w:r>
      <w:r>
        <w:rPr>
          <w:rFonts w:ascii="Times New Roman" w:hAnsi="Times New Roman" w:cs="Times New Roman"/>
          <w:sz w:val="24"/>
          <w:lang w:val="en-GB"/>
        </w:rPr>
        <w:t>, the</w:t>
      </w:r>
      <w:r w:rsidR="00317261" w:rsidRPr="00317261">
        <w:rPr>
          <w:rFonts w:ascii="Times New Roman" w:hAnsi="Times New Roman" w:cs="Times New Roman"/>
          <w:sz w:val="24"/>
          <w:lang w:val="en-GB"/>
        </w:rPr>
        <w:t xml:space="preserve"> initiative to build the capacities of Local Government Authorities (LGAs) in land use assessments, is scheduled for implementation in May 2024. This activity will leverage results from biophysical and socioeconomic assessments reports to enhance LGAs' capabilities in conducting comprehensive land use/land cover change assessments. By utilizing advanced satellite imagery techniques such as NDVI, Earth Engine, ERDAS, SEPAL, etc. LGAs will be equipped to map tree cover loss, wood biomass, and improve land use management practices. </w:t>
      </w:r>
    </w:p>
    <w:p w14:paraId="525A6B10" w14:textId="0E417348" w:rsidR="008827A6" w:rsidRPr="00574596" w:rsidRDefault="008827A6" w:rsidP="008827A6">
      <w:pPr>
        <w:pStyle w:val="BodyText"/>
        <w:jc w:val="both"/>
        <w:rPr>
          <w:rFonts w:ascii="Times New Roman" w:hAnsi="Times New Roman" w:cs="Times New Roman"/>
          <w:sz w:val="24"/>
          <w:lang w:val="en-GB"/>
        </w:rPr>
      </w:pPr>
    </w:p>
    <w:p w14:paraId="72CA99D4" w14:textId="77777777" w:rsidR="004E5974" w:rsidRDefault="00E7459C" w:rsidP="00FE106B">
      <w:pPr>
        <w:pStyle w:val="BodyText"/>
        <w:jc w:val="both"/>
        <w:rPr>
          <w:rFonts w:ascii="Times New Roman" w:hAnsi="Times New Roman" w:cs="Times New Roman"/>
          <w:b/>
          <w:bCs/>
          <w:i/>
          <w:iCs/>
          <w:sz w:val="24"/>
          <w:lang w:val="en-GB"/>
        </w:rPr>
      </w:pPr>
      <w:r w:rsidRPr="009D220B">
        <w:rPr>
          <w:rFonts w:ascii="Times New Roman" w:hAnsi="Times New Roman" w:cs="Times New Roman"/>
          <w:b/>
          <w:bCs/>
          <w:i/>
          <w:iCs/>
          <w:sz w:val="24"/>
          <w:lang w:val="en-GB"/>
        </w:rPr>
        <w:t>Output 3.</w:t>
      </w:r>
      <w:r w:rsidR="00E07F5E">
        <w:rPr>
          <w:rFonts w:ascii="Times New Roman" w:hAnsi="Times New Roman" w:cs="Times New Roman"/>
          <w:b/>
          <w:bCs/>
          <w:i/>
          <w:iCs/>
          <w:sz w:val="24"/>
          <w:lang w:val="en-GB"/>
        </w:rPr>
        <w:t>3</w:t>
      </w:r>
      <w:r w:rsidRPr="009D220B">
        <w:rPr>
          <w:rFonts w:ascii="Times New Roman" w:hAnsi="Times New Roman" w:cs="Times New Roman"/>
          <w:b/>
          <w:bCs/>
          <w:i/>
          <w:iCs/>
          <w:sz w:val="24"/>
          <w:lang w:val="en-GB"/>
        </w:rPr>
        <w:t xml:space="preserve">: Increased service delivery systems capacity for efficient and effective natural resources management, climate change resilience, disaster risk reduction, and renewable energy solutions for women, PWDs, youth and other vulnerable groups in Kigoma region. </w:t>
      </w:r>
    </w:p>
    <w:p w14:paraId="78FFFAB6" w14:textId="77777777" w:rsidR="004E5974" w:rsidRDefault="004E5974" w:rsidP="00FE106B">
      <w:pPr>
        <w:pStyle w:val="BodyText"/>
        <w:jc w:val="both"/>
        <w:rPr>
          <w:rFonts w:ascii="Times New Roman" w:hAnsi="Times New Roman" w:cs="Times New Roman"/>
          <w:b/>
          <w:bCs/>
          <w:i/>
          <w:iCs/>
          <w:sz w:val="24"/>
          <w:lang w:val="en-GB"/>
        </w:rPr>
      </w:pPr>
    </w:p>
    <w:p w14:paraId="6EDC1E01" w14:textId="617C4F6D" w:rsidR="00FE106B" w:rsidRPr="00FE106B" w:rsidRDefault="00FE106B" w:rsidP="00FE106B">
      <w:pPr>
        <w:pStyle w:val="BodyText"/>
        <w:jc w:val="both"/>
        <w:rPr>
          <w:rFonts w:ascii="Times New Roman" w:hAnsi="Times New Roman" w:cs="Times New Roman"/>
          <w:sz w:val="24"/>
          <w:lang w:val="en-GB"/>
        </w:rPr>
      </w:pPr>
      <w:r w:rsidRPr="00FE106B">
        <w:rPr>
          <w:rFonts w:ascii="Times New Roman" w:hAnsi="Times New Roman" w:cs="Times New Roman"/>
          <w:sz w:val="24"/>
          <w:lang w:val="en-GB"/>
        </w:rPr>
        <w:t xml:space="preserve">In line with efforts to enhance service delivery systems' capacity for climate change resilience and disaster risk reduction, significant </w:t>
      </w:r>
      <w:r>
        <w:rPr>
          <w:rFonts w:ascii="Times New Roman" w:hAnsi="Times New Roman" w:cs="Times New Roman"/>
          <w:sz w:val="24"/>
          <w:lang w:val="en-GB"/>
        </w:rPr>
        <w:t xml:space="preserve">efforts </w:t>
      </w:r>
      <w:r w:rsidRPr="00FE106B">
        <w:rPr>
          <w:rFonts w:ascii="Times New Roman" w:hAnsi="Times New Roman" w:cs="Times New Roman"/>
          <w:sz w:val="24"/>
          <w:lang w:val="en-GB"/>
        </w:rPr>
        <w:t xml:space="preserve">have been made </w:t>
      </w:r>
      <w:r>
        <w:rPr>
          <w:rFonts w:ascii="Times New Roman" w:hAnsi="Times New Roman" w:cs="Times New Roman"/>
          <w:sz w:val="24"/>
          <w:lang w:val="en-GB"/>
        </w:rPr>
        <w:t>through KJPII</w:t>
      </w:r>
      <w:r w:rsidR="00E85A4F">
        <w:rPr>
          <w:rFonts w:ascii="Times New Roman" w:hAnsi="Times New Roman" w:cs="Times New Roman"/>
          <w:sz w:val="24"/>
          <w:lang w:val="en-GB"/>
        </w:rPr>
        <w:t>.</w:t>
      </w:r>
      <w:r>
        <w:rPr>
          <w:rFonts w:ascii="Times New Roman" w:hAnsi="Times New Roman" w:cs="Times New Roman"/>
          <w:sz w:val="24"/>
          <w:lang w:val="en-GB"/>
        </w:rPr>
        <w:t xml:space="preserve"> </w:t>
      </w:r>
      <w:r w:rsidR="003F3B54">
        <w:rPr>
          <w:rFonts w:ascii="Times New Roman" w:hAnsi="Times New Roman" w:cs="Times New Roman"/>
          <w:sz w:val="24"/>
          <w:lang w:val="en-GB"/>
        </w:rPr>
        <w:t xml:space="preserve">Two </w:t>
      </w:r>
      <w:r w:rsidR="003F3B54" w:rsidRPr="00FE106B">
        <w:rPr>
          <w:rFonts w:ascii="Times New Roman" w:hAnsi="Times New Roman" w:cs="Times New Roman"/>
          <w:sz w:val="24"/>
          <w:lang w:val="en-GB"/>
        </w:rPr>
        <w:t xml:space="preserve"> </w:t>
      </w:r>
      <w:r w:rsidRPr="00FE106B">
        <w:rPr>
          <w:rFonts w:ascii="Times New Roman" w:hAnsi="Times New Roman" w:cs="Times New Roman"/>
          <w:sz w:val="24"/>
          <w:lang w:val="en-GB"/>
        </w:rPr>
        <w:t xml:space="preserve">new climate-sensitive water supply systems have been successfully constructed in two villages, providing access to clean water </w:t>
      </w:r>
      <w:r w:rsidR="00C51AE9" w:rsidRPr="00FE106B">
        <w:rPr>
          <w:rFonts w:ascii="Times New Roman" w:hAnsi="Times New Roman" w:cs="Times New Roman"/>
          <w:sz w:val="24"/>
          <w:lang w:val="en-GB"/>
        </w:rPr>
        <w:t>for 7,765 individuals</w:t>
      </w:r>
      <w:r w:rsidRPr="00FE106B">
        <w:rPr>
          <w:rFonts w:ascii="Times New Roman" w:hAnsi="Times New Roman" w:cs="Times New Roman"/>
          <w:sz w:val="24"/>
          <w:lang w:val="en-GB"/>
        </w:rPr>
        <w:t xml:space="preserve"> of </w:t>
      </w:r>
      <w:r w:rsidR="00C51AE9">
        <w:rPr>
          <w:rFonts w:ascii="Times New Roman" w:hAnsi="Times New Roman" w:cs="Times New Roman"/>
          <w:sz w:val="24"/>
          <w:lang w:val="en-GB"/>
        </w:rPr>
        <w:t>(</w:t>
      </w:r>
      <w:r w:rsidRPr="00FE106B">
        <w:rPr>
          <w:rFonts w:ascii="Times New Roman" w:hAnsi="Times New Roman" w:cs="Times New Roman"/>
          <w:sz w:val="24"/>
          <w:lang w:val="en-GB"/>
        </w:rPr>
        <w:t xml:space="preserve">3,730 </w:t>
      </w:r>
      <w:r w:rsidR="00E85A4F">
        <w:rPr>
          <w:rFonts w:ascii="Times New Roman" w:hAnsi="Times New Roman" w:cs="Times New Roman"/>
          <w:sz w:val="24"/>
          <w:lang w:val="en-GB"/>
        </w:rPr>
        <w:t>men</w:t>
      </w:r>
      <w:r w:rsidRPr="00FE106B">
        <w:rPr>
          <w:rFonts w:ascii="Times New Roman" w:hAnsi="Times New Roman" w:cs="Times New Roman"/>
          <w:sz w:val="24"/>
          <w:lang w:val="en-GB"/>
        </w:rPr>
        <w:t xml:space="preserve"> and 4,035 </w:t>
      </w:r>
      <w:r w:rsidR="00E85A4F">
        <w:rPr>
          <w:rFonts w:ascii="Times New Roman" w:hAnsi="Times New Roman" w:cs="Times New Roman"/>
          <w:sz w:val="24"/>
          <w:lang w:val="en-GB"/>
        </w:rPr>
        <w:t xml:space="preserve">women). </w:t>
      </w:r>
      <w:r w:rsidRPr="00FE106B">
        <w:rPr>
          <w:rFonts w:ascii="Times New Roman" w:hAnsi="Times New Roman" w:cs="Times New Roman"/>
          <w:sz w:val="24"/>
          <w:lang w:val="en-GB"/>
        </w:rPr>
        <w:t>To ensure the long-term sustainability of these systems, 18 members of community-based water supply organizations (CBWSOs) have been formed and trained to manage, operate, and maintain the infrastructure. This empowerment of local communities not only ensures the continued functioning of the water supply systems but also fosters community ownership and resilience in managing water resources.</w:t>
      </w:r>
      <w:r w:rsidR="00F32E6F">
        <w:rPr>
          <w:rFonts w:ascii="Times New Roman" w:hAnsi="Times New Roman" w:cs="Times New Roman"/>
          <w:sz w:val="24"/>
          <w:lang w:val="en-GB"/>
        </w:rPr>
        <w:t xml:space="preserve"> </w:t>
      </w:r>
      <w:r w:rsidRPr="00FE106B">
        <w:rPr>
          <w:rFonts w:ascii="Times New Roman" w:hAnsi="Times New Roman" w:cs="Times New Roman"/>
          <w:sz w:val="24"/>
          <w:lang w:val="en-GB"/>
        </w:rPr>
        <w:t xml:space="preserve">Furthermore, advocacy and training initiatives on alternative energy sources have been undertaken, aiming to transition public schools to clean cooking technologies. Site visits and awareness-building campaigns have been conducted, laying the groundwork for the implementation of new technologies expected to be completed by the end of the second quarter of 2024. </w:t>
      </w:r>
    </w:p>
    <w:p w14:paraId="0D77F4AB" w14:textId="77777777" w:rsidR="00FE106B" w:rsidRPr="00FE106B" w:rsidRDefault="00FE106B" w:rsidP="00FE106B">
      <w:pPr>
        <w:pStyle w:val="BodyText"/>
        <w:jc w:val="both"/>
        <w:rPr>
          <w:rFonts w:ascii="Times New Roman" w:hAnsi="Times New Roman" w:cs="Times New Roman"/>
          <w:sz w:val="24"/>
          <w:lang w:val="en-GB"/>
        </w:rPr>
      </w:pPr>
    </w:p>
    <w:p w14:paraId="73980B89" w14:textId="77777777" w:rsidR="004E5974" w:rsidRDefault="00E7459C" w:rsidP="00F32E6F">
      <w:pPr>
        <w:pStyle w:val="BodyText"/>
        <w:jc w:val="both"/>
        <w:rPr>
          <w:rFonts w:ascii="Times New Roman" w:hAnsi="Times New Roman" w:cs="Times New Roman"/>
          <w:sz w:val="24"/>
          <w:lang w:val="en-GB"/>
        </w:rPr>
      </w:pPr>
      <w:r w:rsidRPr="00E118A4">
        <w:rPr>
          <w:rFonts w:ascii="Times New Roman" w:hAnsi="Times New Roman" w:cs="Times New Roman"/>
          <w:b/>
          <w:bCs/>
          <w:i/>
          <w:iCs/>
          <w:sz w:val="24"/>
          <w:lang w:val="en-GB"/>
        </w:rPr>
        <w:t>Output 3.4: Increased capacity to develop incentives and infrastructure to harness innovation, attract partnerships and encourage investments in public goods and service delivery related to natural resource management, climate change resilience, disaster risk reduction, and access to and use of efficient renewable energy by women, PWDs, youth and other vulnerable groups.</w:t>
      </w:r>
      <w:r w:rsidR="00E85A4F">
        <w:rPr>
          <w:rFonts w:ascii="Times New Roman" w:hAnsi="Times New Roman" w:cs="Times New Roman"/>
          <w:sz w:val="24"/>
          <w:lang w:val="en-GB"/>
        </w:rPr>
        <w:t xml:space="preserve"> </w:t>
      </w:r>
    </w:p>
    <w:p w14:paraId="2374A3A0" w14:textId="77777777" w:rsidR="004E5974" w:rsidRDefault="004E5974" w:rsidP="00F32E6F">
      <w:pPr>
        <w:pStyle w:val="BodyText"/>
        <w:jc w:val="both"/>
        <w:rPr>
          <w:rFonts w:ascii="Times New Roman" w:hAnsi="Times New Roman" w:cs="Times New Roman"/>
          <w:sz w:val="24"/>
          <w:lang w:val="en-GB"/>
        </w:rPr>
      </w:pPr>
    </w:p>
    <w:p w14:paraId="31800698" w14:textId="2AFF693A" w:rsidR="00F32E6F" w:rsidRDefault="006732C3" w:rsidP="00F32E6F">
      <w:pPr>
        <w:pStyle w:val="BodyText"/>
        <w:jc w:val="both"/>
        <w:rPr>
          <w:rFonts w:ascii="Times New Roman" w:hAnsi="Times New Roman" w:cs="Times New Roman"/>
          <w:sz w:val="24"/>
          <w:lang w:val="en-GB"/>
        </w:rPr>
      </w:pPr>
      <w:r w:rsidRPr="006732C3">
        <w:rPr>
          <w:rFonts w:ascii="Times New Roman" w:hAnsi="Times New Roman" w:cs="Times New Roman"/>
          <w:sz w:val="24"/>
          <w:lang w:val="en-GB"/>
        </w:rPr>
        <w:lastRenderedPageBreak/>
        <w:t xml:space="preserve">In Kigoma, 96 individuals, including 34 women and 62 men, have been empowered through targeted training sessions on Disaster Risk Reduction (DRR) and Migration, Environment, and Climate Change (MECC) for frontline workers. These training sessions served as crucial platforms for knowledge dissemination and capacity building, equipping participants with the necessary skills to effectively address environmental and climate-related challenges. </w:t>
      </w:r>
      <w:r w:rsidR="003F3B54">
        <w:rPr>
          <w:rFonts w:ascii="Times New Roman" w:hAnsi="Times New Roman" w:cs="Times New Roman"/>
          <w:sz w:val="24"/>
          <w:lang w:val="en-GB"/>
        </w:rPr>
        <w:t>The</w:t>
      </w:r>
      <w:r w:rsidRPr="006732C3">
        <w:rPr>
          <w:rFonts w:ascii="Times New Roman" w:hAnsi="Times New Roman" w:cs="Times New Roman"/>
          <w:sz w:val="24"/>
          <w:lang w:val="en-GB"/>
        </w:rPr>
        <w:t xml:space="preserve"> initiative’s commitment to engaging a diverse range of stakeholders and prioritizing inclusivity ensures that vulnerable groups, including women, persons with disabilities (PWDs), and youth, are actively involved in building resilient communities.</w:t>
      </w:r>
    </w:p>
    <w:p w14:paraId="4287E994" w14:textId="77777777" w:rsidR="002B3C12" w:rsidRDefault="002B3C12" w:rsidP="00F32E6F">
      <w:pPr>
        <w:pStyle w:val="BodyText"/>
        <w:jc w:val="both"/>
        <w:rPr>
          <w:rFonts w:ascii="Times New Roman" w:hAnsi="Times New Roman" w:cs="Times New Roman"/>
          <w:sz w:val="24"/>
          <w:lang w:val="en-GB"/>
        </w:rPr>
      </w:pPr>
    </w:p>
    <w:p w14:paraId="1125365B" w14:textId="63B019CF" w:rsidR="00012E9E" w:rsidRDefault="00012E9E" w:rsidP="00012E9E">
      <w:pPr>
        <w:pStyle w:val="Heading2"/>
      </w:pPr>
      <w:bookmarkStart w:id="27" w:name="_Toc164236827"/>
      <w:r>
        <w:t xml:space="preserve">d) </w:t>
      </w:r>
      <w:r w:rsidR="00C51AE9" w:rsidRPr="00C51AE9">
        <w:t>Outcome 4:</w:t>
      </w:r>
      <w:r w:rsidR="00C51AE9" w:rsidRPr="00012E9E">
        <w:t xml:space="preserve"> </w:t>
      </w:r>
      <w:r w:rsidR="00727F59">
        <w:t>Enabling Environment</w:t>
      </w:r>
      <w:bookmarkEnd w:id="27"/>
      <w:r w:rsidR="00727F59">
        <w:t xml:space="preserve"> </w:t>
      </w:r>
    </w:p>
    <w:p w14:paraId="34C4D0FD" w14:textId="77777777" w:rsidR="00012E9E" w:rsidRPr="0047626C" w:rsidRDefault="00012E9E" w:rsidP="0047626C">
      <w:pPr>
        <w:rPr>
          <w:i/>
          <w:iCs/>
        </w:rPr>
      </w:pPr>
    </w:p>
    <w:p w14:paraId="7985B712" w14:textId="21F0FA73" w:rsidR="00C51AE9" w:rsidRPr="0047626C" w:rsidRDefault="00C51AE9" w:rsidP="0047626C">
      <w:pPr>
        <w:rPr>
          <w:b/>
          <w:i/>
          <w:iCs/>
        </w:rPr>
      </w:pPr>
      <w:r w:rsidRPr="0047626C">
        <w:rPr>
          <w:b/>
          <w:i/>
          <w:iCs/>
        </w:rPr>
        <w:t>By 2027, communities in Kigoma participate in and benefit from more effective, inclusive, and accountable economic, migration governance, peace, security, and justice systems.</w:t>
      </w:r>
    </w:p>
    <w:p w14:paraId="40FFE55D" w14:textId="77777777" w:rsidR="00C51AE9" w:rsidRPr="00012E9E" w:rsidRDefault="00C51AE9" w:rsidP="0047626C">
      <w:pPr>
        <w:rPr>
          <w:b/>
          <w:bCs/>
          <w:i/>
          <w:iCs/>
        </w:rPr>
      </w:pPr>
    </w:p>
    <w:p w14:paraId="790CD9BE" w14:textId="77777777" w:rsidR="004E5974" w:rsidRDefault="002B3C12" w:rsidP="00763796">
      <w:pPr>
        <w:pStyle w:val="BodyText"/>
        <w:jc w:val="both"/>
        <w:rPr>
          <w:rFonts w:ascii="Times New Roman" w:hAnsi="Times New Roman" w:cs="Times New Roman"/>
          <w:sz w:val="24"/>
          <w:lang w:val="en-GB"/>
        </w:rPr>
      </w:pPr>
      <w:r w:rsidRPr="00DD51F3">
        <w:rPr>
          <w:rFonts w:ascii="Times New Roman" w:hAnsi="Times New Roman" w:cs="Times New Roman"/>
          <w:b/>
          <w:bCs/>
          <w:i/>
          <w:iCs/>
          <w:sz w:val="24"/>
        </w:rPr>
        <w:t>Output 4.1: Increased capacities at the local government level to effectively mobilize resources to finance sustainable local economic development in Kigoma Regio</w:t>
      </w:r>
      <w:r w:rsidR="00C51AE9">
        <w:rPr>
          <w:rFonts w:ascii="Times New Roman" w:hAnsi="Times New Roman" w:cs="Times New Roman"/>
          <w:b/>
          <w:bCs/>
          <w:i/>
          <w:iCs/>
          <w:sz w:val="24"/>
        </w:rPr>
        <w:t>n</w:t>
      </w:r>
      <w:r w:rsidR="00C51AE9">
        <w:rPr>
          <w:rFonts w:ascii="Times New Roman" w:hAnsi="Times New Roman" w:cs="Times New Roman"/>
          <w:sz w:val="24"/>
          <w:lang w:val="en-GB"/>
        </w:rPr>
        <w:t xml:space="preserve">: </w:t>
      </w:r>
    </w:p>
    <w:p w14:paraId="0FF4B269" w14:textId="77777777" w:rsidR="004E5974" w:rsidRDefault="004E5974" w:rsidP="00763796">
      <w:pPr>
        <w:pStyle w:val="BodyText"/>
        <w:jc w:val="both"/>
        <w:rPr>
          <w:rFonts w:ascii="Times New Roman" w:hAnsi="Times New Roman" w:cs="Times New Roman"/>
          <w:sz w:val="24"/>
          <w:lang w:val="en-GB"/>
        </w:rPr>
      </w:pPr>
    </w:p>
    <w:p w14:paraId="7B12C6E0" w14:textId="7D0A51E5" w:rsidR="00763796" w:rsidRPr="00763796" w:rsidRDefault="00763796" w:rsidP="00763796">
      <w:pPr>
        <w:pStyle w:val="BodyText"/>
        <w:jc w:val="both"/>
        <w:rPr>
          <w:rFonts w:ascii="Times New Roman" w:hAnsi="Times New Roman" w:cs="Times New Roman"/>
          <w:sz w:val="24"/>
          <w:lang w:val="en-GB"/>
        </w:rPr>
      </w:pPr>
      <w:r w:rsidRPr="00763796">
        <w:rPr>
          <w:rFonts w:ascii="Times New Roman" w:hAnsi="Times New Roman" w:cs="Times New Roman"/>
          <w:sz w:val="24"/>
          <w:lang w:val="en-GB"/>
        </w:rPr>
        <w:t>In collaboration with the office of the Regional Administrative Secretary (RAS), a rapid assessment was conducted to evaluate the effectiveness of implementing agriculture and fisheries as business sectors through appropriate value chains. This assessment aimed to gather information to inform proposals for UN-supported interventions in economic empowerment, governance mainstreaming, and access to energy. It also explored the progressive prospects and needs for agricultural project interventions and their operational methods.</w:t>
      </w:r>
    </w:p>
    <w:p w14:paraId="1A646E6C" w14:textId="77777777" w:rsidR="00763796" w:rsidRPr="00763796" w:rsidRDefault="00763796" w:rsidP="00763796">
      <w:pPr>
        <w:pStyle w:val="BodyText"/>
        <w:jc w:val="both"/>
        <w:rPr>
          <w:rFonts w:ascii="Times New Roman" w:hAnsi="Times New Roman" w:cs="Times New Roman"/>
          <w:sz w:val="24"/>
          <w:lang w:val="en-GB"/>
        </w:rPr>
      </w:pPr>
    </w:p>
    <w:p w14:paraId="55C5E2BD" w14:textId="1289C661" w:rsidR="00070671" w:rsidRDefault="00763796" w:rsidP="00763796">
      <w:pPr>
        <w:pStyle w:val="BodyText"/>
        <w:jc w:val="both"/>
        <w:rPr>
          <w:rFonts w:ascii="Times New Roman" w:hAnsi="Times New Roman" w:cs="Times New Roman"/>
          <w:sz w:val="24"/>
          <w:lang w:val="en-GB"/>
        </w:rPr>
      </w:pPr>
      <w:r w:rsidRPr="00763796">
        <w:rPr>
          <w:rFonts w:ascii="Times New Roman" w:hAnsi="Times New Roman" w:cs="Times New Roman"/>
          <w:sz w:val="24"/>
          <w:lang w:val="en-GB"/>
        </w:rPr>
        <w:t xml:space="preserve">Additionally, during the reporting period, a 3-day "Special Purpose Vehicles (SPV) Training &amp; Capacity Building Workshop for Local Government Authorities (LGAs)" was held in Kigoma. This workshop involved 104 participants, including senior local government officials such as District Executive Directors (DEDs), District Commissioners (DCs), Council Chairs, and representatives from the President’s Office - Regional Administration and Local Government (PO-RALG) and the Ministry of Finance. The workshop aimed to enhance their capacities to plan, implement, and manage local development income-generating projects in Kigoma. </w:t>
      </w:r>
    </w:p>
    <w:p w14:paraId="7F3B2D6C" w14:textId="77777777" w:rsidR="00763796" w:rsidRPr="00F32E6F" w:rsidRDefault="00763796" w:rsidP="00763796">
      <w:pPr>
        <w:pStyle w:val="BodyText"/>
        <w:jc w:val="both"/>
        <w:rPr>
          <w:rFonts w:ascii="Times New Roman" w:hAnsi="Times New Roman" w:cs="Times New Roman"/>
          <w:sz w:val="24"/>
          <w:lang w:val="en-GB"/>
        </w:rPr>
      </w:pPr>
    </w:p>
    <w:p w14:paraId="4A5F3C52" w14:textId="77777777" w:rsidR="00C51AE9" w:rsidRDefault="00C51AE9">
      <w:pPr>
        <w:rPr>
          <w:b/>
          <w:bCs/>
          <w:szCs w:val="20"/>
          <w:lang w:val="en-GB"/>
        </w:rPr>
      </w:pPr>
      <w:r>
        <w:rPr>
          <w:b/>
          <w:bCs/>
          <w:lang w:val="en-GB"/>
        </w:rPr>
        <w:br w:type="page"/>
      </w:r>
    </w:p>
    <w:p w14:paraId="327D30F1" w14:textId="7824475C" w:rsidR="00AB0274" w:rsidRPr="0047626C" w:rsidRDefault="00012E9E" w:rsidP="00434A5A">
      <w:pPr>
        <w:pStyle w:val="BodyText"/>
        <w:jc w:val="both"/>
        <w:rPr>
          <w:rFonts w:ascii="Times New Roman" w:hAnsi="Times New Roman" w:cs="Times New Roman"/>
          <w:sz w:val="28"/>
          <w:szCs w:val="28"/>
          <w:lang w:val="en-GB"/>
        </w:rPr>
      </w:pPr>
      <w:bookmarkStart w:id="28" w:name="_Toc164236828"/>
      <w:r w:rsidRPr="0047626C">
        <w:rPr>
          <w:rStyle w:val="Heading1Char"/>
          <w:rFonts w:ascii="Times New Roman" w:hAnsi="Times New Roman" w:cs="Times New Roman"/>
          <w:sz w:val="28"/>
          <w:szCs w:val="28"/>
        </w:rPr>
        <w:lastRenderedPageBreak/>
        <w:t xml:space="preserve">III </w:t>
      </w:r>
      <w:r w:rsidR="00523432" w:rsidRPr="0047626C">
        <w:rPr>
          <w:rStyle w:val="Heading1Char"/>
          <w:rFonts w:ascii="Times New Roman" w:hAnsi="Times New Roman" w:cs="Times New Roman"/>
          <w:sz w:val="28"/>
          <w:szCs w:val="28"/>
        </w:rPr>
        <w:t>C</w:t>
      </w:r>
      <w:r w:rsidR="00A65EFC" w:rsidRPr="0047626C">
        <w:rPr>
          <w:rStyle w:val="Heading1Char"/>
          <w:rFonts w:ascii="Times New Roman" w:hAnsi="Times New Roman" w:cs="Times New Roman"/>
          <w:sz w:val="28"/>
          <w:szCs w:val="28"/>
        </w:rPr>
        <w:t>hallenges, lessons learned</w:t>
      </w:r>
      <w:r w:rsidR="00C41F9C" w:rsidRPr="0047626C">
        <w:rPr>
          <w:rStyle w:val="Heading1Char"/>
          <w:rFonts w:ascii="Times New Roman" w:hAnsi="Times New Roman" w:cs="Times New Roman"/>
          <w:sz w:val="28"/>
          <w:szCs w:val="28"/>
        </w:rPr>
        <w:t xml:space="preserve"> &amp; </w:t>
      </w:r>
      <w:r w:rsidR="000803A0" w:rsidRPr="0047626C">
        <w:rPr>
          <w:rStyle w:val="Heading1Char"/>
          <w:rFonts w:ascii="Times New Roman" w:hAnsi="Times New Roman" w:cs="Times New Roman"/>
          <w:sz w:val="28"/>
          <w:szCs w:val="28"/>
        </w:rPr>
        <w:t>best practices</w:t>
      </w:r>
      <w:bookmarkEnd w:id="28"/>
    </w:p>
    <w:p w14:paraId="30DF88BF" w14:textId="77777777" w:rsidR="00012E9E" w:rsidRPr="00574596" w:rsidRDefault="00012E9E" w:rsidP="00434A5A">
      <w:pPr>
        <w:jc w:val="both"/>
        <w:rPr>
          <w:lang w:val="en-GB"/>
        </w:rPr>
      </w:pPr>
    </w:p>
    <w:p w14:paraId="1AE54038" w14:textId="77777777" w:rsidR="00530A10" w:rsidRPr="0047626C" w:rsidRDefault="00010D0A" w:rsidP="00010D0A">
      <w:pPr>
        <w:jc w:val="both"/>
        <w:rPr>
          <w:i/>
          <w:iCs/>
          <w:lang w:val="en-GB"/>
        </w:rPr>
      </w:pPr>
      <w:r w:rsidRPr="0047626C">
        <w:rPr>
          <w:i/>
          <w:iCs/>
          <w:lang w:val="en-GB"/>
        </w:rPr>
        <w:t>Violence Against Women and Children:</w:t>
      </w:r>
      <w:r w:rsidR="00C634B5" w:rsidRPr="0047626C">
        <w:rPr>
          <w:i/>
          <w:iCs/>
          <w:lang w:val="en-GB"/>
        </w:rPr>
        <w:t xml:space="preserve"> </w:t>
      </w:r>
    </w:p>
    <w:p w14:paraId="528F38C4" w14:textId="6C2D24AF" w:rsidR="00010D0A" w:rsidRPr="00010D0A" w:rsidRDefault="00010D0A" w:rsidP="00010D0A">
      <w:pPr>
        <w:jc w:val="both"/>
        <w:rPr>
          <w:lang w:val="en-GB"/>
        </w:rPr>
      </w:pPr>
      <w:r w:rsidRPr="00010D0A">
        <w:rPr>
          <w:lang w:val="en-GB"/>
        </w:rPr>
        <w:t>Challenge: The turnover of law enforcement officers, particularly immigration officials, has disrupted coordination efforts to assist victims of human trafficking, leading to improper treatment of trafficked children.</w:t>
      </w:r>
    </w:p>
    <w:p w14:paraId="5B819BC1" w14:textId="77777777" w:rsidR="00010D0A" w:rsidRPr="00010D0A" w:rsidRDefault="00010D0A" w:rsidP="00010D0A">
      <w:pPr>
        <w:jc w:val="both"/>
        <w:rPr>
          <w:lang w:val="en-GB"/>
        </w:rPr>
      </w:pPr>
      <w:r w:rsidRPr="00010D0A">
        <w:rPr>
          <w:lang w:val="en-GB"/>
        </w:rPr>
        <w:t>Lesson Learned: Improved collaboration between social welfare officers, immigration, and police has enhanced the provision of care and protection services to trafficked children, resulting in family reunification and access to support services.</w:t>
      </w:r>
    </w:p>
    <w:p w14:paraId="27EA4C8A" w14:textId="77777777" w:rsidR="004E5974" w:rsidRDefault="004E5974" w:rsidP="00010D0A">
      <w:pPr>
        <w:jc w:val="both"/>
        <w:rPr>
          <w:lang w:val="en-GB"/>
        </w:rPr>
      </w:pPr>
    </w:p>
    <w:p w14:paraId="1641322D" w14:textId="0E962436" w:rsidR="00010D0A" w:rsidRPr="00010D0A" w:rsidRDefault="00010D0A" w:rsidP="00010D0A">
      <w:pPr>
        <w:jc w:val="both"/>
        <w:rPr>
          <w:lang w:val="en-GB"/>
        </w:rPr>
      </w:pPr>
      <w:r w:rsidRPr="00010D0A">
        <w:rPr>
          <w:lang w:val="en-GB"/>
        </w:rPr>
        <w:t>Best Practice: Implementation of the Fit Families program</w:t>
      </w:r>
      <w:r w:rsidR="00FA3CAC">
        <w:rPr>
          <w:lang w:val="en-GB"/>
        </w:rPr>
        <w:t>me</w:t>
      </w:r>
      <w:r w:rsidRPr="00010D0A">
        <w:rPr>
          <w:lang w:val="en-GB"/>
        </w:rPr>
        <w:t xml:space="preserve"> has provided protection services to migrant children, supplementing the existing safe house capacity. This collaborative approach ensures comprehensive care for vulnerable children and minimizes disruptions caused by personnel changes.</w:t>
      </w:r>
    </w:p>
    <w:p w14:paraId="786F9CCF" w14:textId="77777777" w:rsidR="00010D0A" w:rsidRDefault="00010D0A" w:rsidP="00010D0A">
      <w:pPr>
        <w:jc w:val="both"/>
        <w:rPr>
          <w:lang w:val="en-GB"/>
        </w:rPr>
      </w:pPr>
    </w:p>
    <w:p w14:paraId="5E2EB3E0" w14:textId="0CD8E902" w:rsidR="00010D0A" w:rsidRPr="0047626C" w:rsidRDefault="00010D0A" w:rsidP="00010D0A">
      <w:pPr>
        <w:jc w:val="both"/>
        <w:rPr>
          <w:i/>
          <w:iCs/>
          <w:lang w:val="en-GB"/>
        </w:rPr>
      </w:pPr>
      <w:r w:rsidRPr="0047626C">
        <w:rPr>
          <w:i/>
          <w:iCs/>
          <w:lang w:val="en-GB"/>
        </w:rPr>
        <w:t>Gender-Based Violence (GBV) Reporting and Prosecution:</w:t>
      </w:r>
    </w:p>
    <w:p w14:paraId="592F7372" w14:textId="77777777" w:rsidR="00010D0A" w:rsidRPr="00010D0A" w:rsidRDefault="00010D0A" w:rsidP="00010D0A">
      <w:pPr>
        <w:jc w:val="both"/>
        <w:rPr>
          <w:lang w:val="en-GB"/>
        </w:rPr>
      </w:pPr>
      <w:r w:rsidRPr="00010D0A">
        <w:rPr>
          <w:lang w:val="en-GB"/>
        </w:rPr>
        <w:t>Challenge: Delayed reporting of GBV incidents and inadequate forensic evidence collection hindered successful prosecution of perpetrators in court, leading to impunity for offenders.</w:t>
      </w:r>
    </w:p>
    <w:p w14:paraId="0C6CAFD0" w14:textId="77777777" w:rsidR="00010D0A" w:rsidRPr="00010D0A" w:rsidRDefault="00010D0A" w:rsidP="00010D0A">
      <w:pPr>
        <w:jc w:val="both"/>
        <w:rPr>
          <w:lang w:val="en-GB"/>
        </w:rPr>
      </w:pPr>
      <w:r w:rsidRPr="00010D0A">
        <w:rPr>
          <w:lang w:val="en-GB"/>
        </w:rPr>
        <w:t>Lesson Learned: Continuous community awareness campaigns and capacity building on forensic evidence collection are essential to improve GBV case handling and conviction rates. Strengthening the skills of frontline workers and implementing standardized protocols for evidence collection can enhance the quality of investigations and legal proceedings.</w:t>
      </w:r>
    </w:p>
    <w:p w14:paraId="40A17868" w14:textId="77777777" w:rsidR="00010D0A" w:rsidRPr="00010D0A" w:rsidRDefault="00010D0A" w:rsidP="00010D0A">
      <w:pPr>
        <w:jc w:val="both"/>
        <w:rPr>
          <w:lang w:val="en-GB"/>
        </w:rPr>
      </w:pPr>
      <w:r w:rsidRPr="00010D0A">
        <w:rPr>
          <w:lang w:val="en-GB"/>
        </w:rPr>
        <w:t>Best Practice: Roundtable discussions between judiciary representatives and GBV actors reinforce the importance of quality evidence collection and discourage informal settlements of GBV cases. These dialogues facilitate collaboration and knowledge sharing among stakeholders, ultimately improving the judicial response to GBV.</w:t>
      </w:r>
    </w:p>
    <w:p w14:paraId="1601C600" w14:textId="77777777" w:rsidR="00C51AE9" w:rsidRDefault="00C51AE9" w:rsidP="00010D0A">
      <w:pPr>
        <w:jc w:val="both"/>
        <w:rPr>
          <w:lang w:val="en-GB"/>
        </w:rPr>
      </w:pPr>
    </w:p>
    <w:p w14:paraId="0D951051" w14:textId="4E191C8E" w:rsidR="00010D0A" w:rsidRPr="0047626C" w:rsidRDefault="00010D0A" w:rsidP="00010D0A">
      <w:pPr>
        <w:jc w:val="both"/>
        <w:rPr>
          <w:i/>
          <w:iCs/>
          <w:lang w:val="en-GB"/>
        </w:rPr>
      </w:pPr>
      <w:r w:rsidRPr="0047626C">
        <w:rPr>
          <w:i/>
          <w:iCs/>
          <w:lang w:val="en-GB"/>
        </w:rPr>
        <w:t>Education:</w:t>
      </w:r>
    </w:p>
    <w:p w14:paraId="4900E708" w14:textId="77777777" w:rsidR="00010D0A" w:rsidRPr="00010D0A" w:rsidRDefault="00010D0A" w:rsidP="00010D0A">
      <w:pPr>
        <w:jc w:val="both"/>
        <w:rPr>
          <w:lang w:val="en-GB"/>
        </w:rPr>
      </w:pPr>
      <w:r w:rsidRPr="00010D0A">
        <w:rPr>
          <w:lang w:val="en-GB"/>
        </w:rPr>
        <w:t>Challenge: The high number of out-of-school children in Kigoma undermines government efforts to achieve universal education, perpetuating cycles of poverty and inequality.</w:t>
      </w:r>
    </w:p>
    <w:p w14:paraId="42ABF13A" w14:textId="0E36C412" w:rsidR="00010D0A" w:rsidRPr="00010D0A" w:rsidRDefault="00010D0A" w:rsidP="00010D0A">
      <w:pPr>
        <w:jc w:val="both"/>
        <w:rPr>
          <w:lang w:val="en-GB"/>
        </w:rPr>
      </w:pPr>
      <w:r w:rsidRPr="00010D0A">
        <w:rPr>
          <w:lang w:val="en-GB"/>
        </w:rPr>
        <w:t xml:space="preserve">Lesson Learned: Close partnership with the government and community engagement are critical to developing and implementing effective strategies for returning out-of-school children to education. By involving local leaders and community members in awareness campaigns and </w:t>
      </w:r>
      <w:r w:rsidR="00C634B5" w:rsidRPr="00010D0A">
        <w:rPr>
          <w:lang w:val="en-GB"/>
        </w:rPr>
        <w:t>enrolment</w:t>
      </w:r>
      <w:r w:rsidRPr="00010D0A">
        <w:rPr>
          <w:lang w:val="en-GB"/>
        </w:rPr>
        <w:t xml:space="preserve"> drives, targeted interventions can address barriers to education access and retention.</w:t>
      </w:r>
    </w:p>
    <w:p w14:paraId="5952174F" w14:textId="660CA6FA" w:rsidR="00010D0A" w:rsidRPr="00010D0A" w:rsidRDefault="00010D0A" w:rsidP="00010D0A">
      <w:pPr>
        <w:jc w:val="both"/>
        <w:rPr>
          <w:lang w:val="en-GB"/>
        </w:rPr>
      </w:pPr>
      <w:r w:rsidRPr="00010D0A">
        <w:rPr>
          <w:lang w:val="en-GB"/>
        </w:rPr>
        <w:t xml:space="preserve">Best Practice: Tailoring contextual strategies and providing support for children with disabilities increases school </w:t>
      </w:r>
      <w:r w:rsidR="00C634B5" w:rsidRPr="00010D0A">
        <w:rPr>
          <w:lang w:val="en-GB"/>
        </w:rPr>
        <w:t>enrolment</w:t>
      </w:r>
      <w:r w:rsidRPr="00010D0A">
        <w:rPr>
          <w:lang w:val="en-GB"/>
        </w:rPr>
        <w:t xml:space="preserve"> and retention. By addressing the diverse needs of vulnerable children, educational initiatives can promote inclusive and equitable access to quality learning opportunities.</w:t>
      </w:r>
    </w:p>
    <w:p w14:paraId="5012F3DE" w14:textId="77777777" w:rsidR="00010D0A" w:rsidRDefault="00010D0A" w:rsidP="00010D0A">
      <w:pPr>
        <w:jc w:val="both"/>
        <w:rPr>
          <w:lang w:val="en-GB"/>
        </w:rPr>
      </w:pPr>
    </w:p>
    <w:p w14:paraId="3D55185A" w14:textId="4E272DC0" w:rsidR="00010D0A" w:rsidRPr="0047626C" w:rsidRDefault="00010D0A" w:rsidP="00010D0A">
      <w:pPr>
        <w:jc w:val="both"/>
        <w:rPr>
          <w:i/>
          <w:iCs/>
          <w:lang w:val="en-GB"/>
        </w:rPr>
      </w:pPr>
      <w:r w:rsidRPr="0047626C">
        <w:rPr>
          <w:i/>
          <w:iCs/>
          <w:lang w:val="en-GB"/>
        </w:rPr>
        <w:t>Agriculture:</w:t>
      </w:r>
    </w:p>
    <w:p w14:paraId="3E1E3987" w14:textId="77777777" w:rsidR="00010D0A" w:rsidRPr="00010D0A" w:rsidRDefault="00010D0A" w:rsidP="00010D0A">
      <w:pPr>
        <w:jc w:val="both"/>
        <w:rPr>
          <w:lang w:val="en-GB"/>
        </w:rPr>
      </w:pPr>
      <w:r w:rsidRPr="00010D0A">
        <w:rPr>
          <w:lang w:val="en-GB"/>
        </w:rPr>
        <w:t>Challenge: Prolonged rainfall negatively impacted bean crop performance, resulting in low yields and income loss for farmers, exacerbating food insecurity and poverty.</w:t>
      </w:r>
    </w:p>
    <w:p w14:paraId="2891D7F8" w14:textId="33ABC58F" w:rsidR="00010D0A" w:rsidRPr="00010D0A" w:rsidRDefault="00010D0A" w:rsidP="00010D0A">
      <w:pPr>
        <w:jc w:val="both"/>
        <w:rPr>
          <w:lang w:val="en-GB"/>
        </w:rPr>
      </w:pPr>
      <w:r w:rsidRPr="00010D0A">
        <w:rPr>
          <w:lang w:val="en-GB"/>
        </w:rPr>
        <w:t>Lesson Learned: Maintaining stakeholder partnerships ensures continued service delivery and support for beneficiaries, mitigating the impact of funding delays and weather variability. By fostering collaboration among government agencies, NGOs, and private sector actors, agricultural program</w:t>
      </w:r>
      <w:r w:rsidR="00FA3CAC">
        <w:rPr>
          <w:lang w:val="en-GB"/>
        </w:rPr>
        <w:t>me</w:t>
      </w:r>
      <w:r w:rsidRPr="00010D0A">
        <w:rPr>
          <w:lang w:val="en-GB"/>
        </w:rPr>
        <w:t>s can leverage diverse resources and expertise to address complex challenges.</w:t>
      </w:r>
    </w:p>
    <w:p w14:paraId="7E171C75" w14:textId="69E7D585" w:rsidR="00010D0A" w:rsidRPr="00010D0A" w:rsidRDefault="00010D0A" w:rsidP="00010D0A">
      <w:pPr>
        <w:jc w:val="both"/>
        <w:rPr>
          <w:lang w:val="en-GB"/>
        </w:rPr>
      </w:pPr>
      <w:r w:rsidRPr="00010D0A">
        <w:rPr>
          <w:lang w:val="en-GB"/>
        </w:rPr>
        <w:t>Best Practice: Coordination with local actors, LGAs, and private sector partners enhances project sustainability beyond the program</w:t>
      </w:r>
      <w:r w:rsidR="00FA3CAC">
        <w:rPr>
          <w:lang w:val="en-GB"/>
        </w:rPr>
        <w:t>me</w:t>
      </w:r>
      <w:r w:rsidRPr="00010D0A">
        <w:rPr>
          <w:lang w:val="en-GB"/>
        </w:rPr>
        <w:t xml:space="preserve"> lifecycle. By building capacity and promoting collective action, agricultural interventions can empower communities to overcome adversity and thrive in changing environments.</w:t>
      </w:r>
    </w:p>
    <w:p w14:paraId="69769ED6" w14:textId="77777777" w:rsidR="00010D0A" w:rsidRDefault="00010D0A" w:rsidP="00010D0A">
      <w:pPr>
        <w:jc w:val="both"/>
        <w:rPr>
          <w:lang w:val="en-GB"/>
        </w:rPr>
      </w:pPr>
    </w:p>
    <w:p w14:paraId="06AECD78" w14:textId="77777777" w:rsidR="005F748E" w:rsidRDefault="005F748E" w:rsidP="00010D0A">
      <w:pPr>
        <w:jc w:val="both"/>
        <w:rPr>
          <w:lang w:val="en-GB"/>
        </w:rPr>
      </w:pPr>
    </w:p>
    <w:p w14:paraId="57ABACC3" w14:textId="349F9728" w:rsidR="00010D0A" w:rsidRPr="0047626C" w:rsidRDefault="00010D0A" w:rsidP="00010D0A">
      <w:pPr>
        <w:jc w:val="both"/>
        <w:rPr>
          <w:i/>
          <w:iCs/>
          <w:lang w:val="en-GB"/>
        </w:rPr>
      </w:pPr>
      <w:r w:rsidRPr="0047626C">
        <w:rPr>
          <w:i/>
          <w:iCs/>
          <w:lang w:val="en-GB"/>
        </w:rPr>
        <w:t>Water, Sanitation, and Hygiene (WASH):</w:t>
      </w:r>
    </w:p>
    <w:p w14:paraId="22F51773" w14:textId="77777777" w:rsidR="00010D0A" w:rsidRPr="00010D0A" w:rsidRDefault="00010D0A" w:rsidP="00010D0A">
      <w:pPr>
        <w:jc w:val="both"/>
        <w:rPr>
          <w:lang w:val="en-GB"/>
        </w:rPr>
      </w:pPr>
      <w:r w:rsidRPr="00010D0A">
        <w:rPr>
          <w:lang w:val="en-GB"/>
        </w:rPr>
        <w:t>Challenge: Limited funding, weather uncertainties, and logistical constraints affected the implementation of WASH activities, compromising access to clean water and sanitation facilities for vulnerable populations.</w:t>
      </w:r>
    </w:p>
    <w:p w14:paraId="2F915F89" w14:textId="77777777" w:rsidR="00010D0A" w:rsidRPr="00010D0A" w:rsidRDefault="00010D0A" w:rsidP="00010D0A">
      <w:pPr>
        <w:jc w:val="both"/>
        <w:rPr>
          <w:lang w:val="en-GB"/>
        </w:rPr>
      </w:pPr>
      <w:r w:rsidRPr="00010D0A">
        <w:rPr>
          <w:lang w:val="en-GB"/>
        </w:rPr>
        <w:t>Lesson Learned: Dedicated WASH focal points in LGAs expedited project activities and strengthened collaboration among stakeholders. By establishing clear communication channels and accountability mechanisms, WASH initiatives can adapt to evolving challenges and prioritize interventions based on community needs.</w:t>
      </w:r>
    </w:p>
    <w:p w14:paraId="770ACC8E" w14:textId="0EFFAE6F" w:rsidR="00010D0A" w:rsidRPr="00010D0A" w:rsidRDefault="00010D0A" w:rsidP="00010D0A">
      <w:pPr>
        <w:jc w:val="both"/>
        <w:rPr>
          <w:lang w:val="en-GB"/>
        </w:rPr>
      </w:pPr>
      <w:r w:rsidRPr="00010D0A">
        <w:rPr>
          <w:lang w:val="en-GB"/>
        </w:rPr>
        <w:t>Best Practice: Annual planning sessions with counterparts and stakeholders fostered stakeholder buy-in and ownership, improving program</w:t>
      </w:r>
      <w:r w:rsidR="00FA3CAC">
        <w:rPr>
          <w:lang w:val="en-GB"/>
        </w:rPr>
        <w:t>me</w:t>
      </w:r>
      <w:r w:rsidRPr="00010D0A">
        <w:rPr>
          <w:lang w:val="en-GB"/>
        </w:rPr>
        <w:t xml:space="preserve"> effectiveness and sustainability. By engaging stakeholders in participatory decision-making processes, WASH program</w:t>
      </w:r>
      <w:r w:rsidR="00FA3CAC">
        <w:rPr>
          <w:lang w:val="en-GB"/>
        </w:rPr>
        <w:t>me</w:t>
      </w:r>
      <w:r w:rsidRPr="00010D0A">
        <w:rPr>
          <w:lang w:val="en-GB"/>
        </w:rPr>
        <w:t>s can promote local ownership and enhance the long-term impact of interventions.</w:t>
      </w:r>
    </w:p>
    <w:p w14:paraId="07BD9127" w14:textId="77777777" w:rsidR="00010D0A" w:rsidRDefault="00010D0A" w:rsidP="00010D0A">
      <w:pPr>
        <w:jc w:val="both"/>
        <w:rPr>
          <w:lang w:val="en-GB"/>
        </w:rPr>
      </w:pPr>
    </w:p>
    <w:p w14:paraId="74564FDB" w14:textId="5F1019E0" w:rsidR="00010D0A" w:rsidRPr="0047626C" w:rsidRDefault="00010D0A" w:rsidP="00010D0A">
      <w:pPr>
        <w:jc w:val="both"/>
        <w:rPr>
          <w:i/>
          <w:iCs/>
          <w:lang w:val="en-GB"/>
        </w:rPr>
      </w:pPr>
      <w:r w:rsidRPr="0047626C">
        <w:rPr>
          <w:i/>
          <w:iCs/>
          <w:lang w:val="en-GB"/>
        </w:rPr>
        <w:t>Energy Transition:</w:t>
      </w:r>
    </w:p>
    <w:p w14:paraId="45E3E181" w14:textId="54B7C41E" w:rsidR="00010D0A" w:rsidRPr="00010D0A" w:rsidRDefault="00010D0A" w:rsidP="00010D0A">
      <w:pPr>
        <w:jc w:val="both"/>
        <w:rPr>
          <w:lang w:val="en-GB"/>
        </w:rPr>
      </w:pPr>
      <w:r w:rsidRPr="00010D0A">
        <w:rPr>
          <w:lang w:val="en-GB"/>
        </w:rPr>
        <w:t>Challenge: High demand for biomass charcoal briquettes exceeds supply, hindering the transition to clean energy in institutions and exacerbating environmental degradation and health risks.</w:t>
      </w:r>
    </w:p>
    <w:p w14:paraId="524EF25F" w14:textId="77777777" w:rsidR="00010D0A" w:rsidRPr="00010D0A" w:rsidRDefault="00010D0A" w:rsidP="00010D0A">
      <w:pPr>
        <w:jc w:val="both"/>
        <w:rPr>
          <w:lang w:val="en-GB"/>
        </w:rPr>
      </w:pPr>
      <w:r w:rsidRPr="00010D0A">
        <w:rPr>
          <w:lang w:val="en-GB"/>
        </w:rPr>
        <w:t>Lesson Learned: Alignment with government priorities leverages investment from LGAs, facilitating infrastructure development for sustainable energy solutions. By advocating for policy reforms and incentivizing clean energy adoption, energy transition initiatives can accelerate the shift towards renewable sources and reduce reliance on traditional fuels.</w:t>
      </w:r>
    </w:p>
    <w:p w14:paraId="39B4FE8E" w14:textId="2EB4E5F8" w:rsidR="00010D0A" w:rsidRPr="00010D0A" w:rsidRDefault="00010D0A" w:rsidP="00010D0A">
      <w:pPr>
        <w:jc w:val="both"/>
        <w:rPr>
          <w:lang w:val="en-GB"/>
        </w:rPr>
      </w:pPr>
      <w:r w:rsidRPr="00010D0A">
        <w:rPr>
          <w:lang w:val="en-GB"/>
        </w:rPr>
        <w:t>Best Practice: Collaborative efforts with LGAs and partners promote market-based approaches to increase production and adoption of clean energy alternatives. By fostering public-private partnerships and knowledge exchange, energy transition program</w:t>
      </w:r>
      <w:r w:rsidR="00FA3CAC">
        <w:rPr>
          <w:lang w:val="en-GB"/>
        </w:rPr>
        <w:t>me</w:t>
      </w:r>
      <w:r w:rsidRPr="00010D0A">
        <w:rPr>
          <w:lang w:val="en-GB"/>
        </w:rPr>
        <w:t xml:space="preserve">s can </w:t>
      </w:r>
      <w:r w:rsidR="00C634B5" w:rsidRPr="00010D0A">
        <w:rPr>
          <w:lang w:val="en-GB"/>
        </w:rPr>
        <w:t>catalyse</w:t>
      </w:r>
      <w:r w:rsidRPr="00010D0A">
        <w:rPr>
          <w:lang w:val="en-GB"/>
        </w:rPr>
        <w:t xml:space="preserve"> innovation and investment in sustainable technologies.</w:t>
      </w:r>
    </w:p>
    <w:p w14:paraId="4996E150" w14:textId="77777777" w:rsidR="00C51AE9" w:rsidRDefault="00C51AE9" w:rsidP="00010D0A">
      <w:pPr>
        <w:jc w:val="both"/>
        <w:rPr>
          <w:lang w:val="en-GB"/>
        </w:rPr>
      </w:pPr>
    </w:p>
    <w:p w14:paraId="6F965178" w14:textId="075106A5" w:rsidR="00010D0A" w:rsidRPr="0047626C" w:rsidRDefault="00010D0A" w:rsidP="00010D0A">
      <w:pPr>
        <w:jc w:val="both"/>
        <w:rPr>
          <w:i/>
          <w:iCs/>
          <w:lang w:val="en-GB"/>
        </w:rPr>
      </w:pPr>
      <w:r w:rsidRPr="0047626C">
        <w:rPr>
          <w:i/>
          <w:iCs/>
          <w:lang w:val="en-GB"/>
        </w:rPr>
        <w:t>Mental Health and Psychosocial Support (MHPSS):</w:t>
      </w:r>
    </w:p>
    <w:p w14:paraId="12030892" w14:textId="77777777" w:rsidR="00010D0A" w:rsidRPr="00010D0A" w:rsidRDefault="00010D0A" w:rsidP="00010D0A">
      <w:pPr>
        <w:jc w:val="both"/>
        <w:rPr>
          <w:lang w:val="en-GB"/>
        </w:rPr>
      </w:pPr>
      <w:r w:rsidRPr="00010D0A">
        <w:rPr>
          <w:lang w:val="en-GB"/>
        </w:rPr>
        <w:t>Challenge: Limited reach of MHPSS services to VAWC survivors and individuals with mental illness undermines community resilience and perpetuates stigma and discrimination.</w:t>
      </w:r>
    </w:p>
    <w:p w14:paraId="196C7D44" w14:textId="77777777" w:rsidR="00010D0A" w:rsidRPr="00010D0A" w:rsidRDefault="00010D0A" w:rsidP="00010D0A">
      <w:pPr>
        <w:jc w:val="both"/>
        <w:rPr>
          <w:lang w:val="en-GB"/>
        </w:rPr>
      </w:pPr>
      <w:r w:rsidRPr="00010D0A">
        <w:rPr>
          <w:lang w:val="en-GB"/>
        </w:rPr>
        <w:t>Lesson Learned: Integration of MHPSS services with existing platforms, such as nutrition sector initiatives, enhances community access to support services. By leveraging existing infrastructure and community networks, MHPSS interventions can extend the reach of mental health care and promote holistic well-being.</w:t>
      </w:r>
    </w:p>
    <w:p w14:paraId="720E6454" w14:textId="7B936CC2" w:rsidR="00010D0A" w:rsidRPr="00010D0A" w:rsidRDefault="00010D0A" w:rsidP="00010D0A">
      <w:pPr>
        <w:jc w:val="both"/>
        <w:rPr>
          <w:lang w:val="en-GB"/>
        </w:rPr>
      </w:pPr>
      <w:r w:rsidRPr="00010D0A">
        <w:rPr>
          <w:lang w:val="en-GB"/>
        </w:rPr>
        <w:t>Best Practice: Training and engagement of peer educators ensure sustained delivery of MHPSS services at the community level. By empowering local leaders and volunteers, MHPSS program</w:t>
      </w:r>
      <w:r w:rsidR="00FA3CAC">
        <w:rPr>
          <w:lang w:val="en-GB"/>
        </w:rPr>
        <w:t>me</w:t>
      </w:r>
      <w:r w:rsidRPr="00010D0A">
        <w:rPr>
          <w:lang w:val="en-GB"/>
        </w:rPr>
        <w:t>s can build trust and promote culturally sensitive approaches to mental health care.</w:t>
      </w:r>
    </w:p>
    <w:p w14:paraId="1A812230" w14:textId="77777777" w:rsidR="0078134A" w:rsidRDefault="0078134A" w:rsidP="00010D0A">
      <w:pPr>
        <w:jc w:val="both"/>
        <w:rPr>
          <w:lang w:val="en-GB"/>
        </w:rPr>
      </w:pPr>
    </w:p>
    <w:p w14:paraId="2D2BE76C" w14:textId="714FB935" w:rsidR="00010D0A" w:rsidRPr="0047626C" w:rsidRDefault="00010D0A" w:rsidP="00010D0A">
      <w:pPr>
        <w:jc w:val="both"/>
        <w:rPr>
          <w:i/>
          <w:iCs/>
          <w:lang w:val="en-GB"/>
        </w:rPr>
      </w:pPr>
      <w:r w:rsidRPr="0047626C">
        <w:rPr>
          <w:i/>
          <w:iCs/>
          <w:lang w:val="en-GB"/>
        </w:rPr>
        <w:t>Menstrual Hygiene Management (MHM):</w:t>
      </w:r>
    </w:p>
    <w:p w14:paraId="7CCA5C05" w14:textId="77777777" w:rsidR="00010D0A" w:rsidRPr="00010D0A" w:rsidRDefault="00010D0A" w:rsidP="00010D0A">
      <w:pPr>
        <w:jc w:val="both"/>
        <w:rPr>
          <w:lang w:val="en-GB"/>
        </w:rPr>
      </w:pPr>
      <w:r w:rsidRPr="00010D0A">
        <w:rPr>
          <w:lang w:val="en-GB"/>
        </w:rPr>
        <w:t>Challenge: Absenteeism of girls from school during menstruation due to lack of MHM awareness and resources perpetuates gender disparities in education and limits girls' opportunities for learning and empowerment.</w:t>
      </w:r>
    </w:p>
    <w:p w14:paraId="7A393229" w14:textId="77777777" w:rsidR="00010D0A" w:rsidRPr="00010D0A" w:rsidRDefault="00010D0A" w:rsidP="00010D0A">
      <w:pPr>
        <w:jc w:val="both"/>
        <w:rPr>
          <w:lang w:val="en-GB"/>
        </w:rPr>
      </w:pPr>
      <w:r w:rsidRPr="00010D0A">
        <w:rPr>
          <w:lang w:val="en-GB"/>
        </w:rPr>
        <w:t>Lesson Learned: Training, distribution of dignity kits, and establishment of MHM clubs increase schoolgirls' retention and reduce absenteeism. By addressing menstrual health taboos and promoting menstrual hygiene education, MHM initiatives can empower girls to manage their periods with dignity and confidence.</w:t>
      </w:r>
    </w:p>
    <w:p w14:paraId="7F4642F4" w14:textId="264FE0B9" w:rsidR="00010D0A" w:rsidRPr="00010D0A" w:rsidRDefault="00010D0A" w:rsidP="00010D0A">
      <w:pPr>
        <w:jc w:val="both"/>
        <w:rPr>
          <w:lang w:val="en-GB"/>
        </w:rPr>
      </w:pPr>
      <w:r w:rsidRPr="00010D0A">
        <w:rPr>
          <w:lang w:val="en-GB"/>
        </w:rPr>
        <w:t>Best Practice: Peer education models facilitate continuous MHM support and education among girls in schools. By harnessing the influence of peer leaders and role models, MHM program</w:t>
      </w:r>
      <w:r w:rsidR="00FA3CAC">
        <w:rPr>
          <w:lang w:val="en-GB"/>
        </w:rPr>
        <w:t>me</w:t>
      </w:r>
      <w:r w:rsidRPr="00010D0A">
        <w:rPr>
          <w:lang w:val="en-GB"/>
        </w:rPr>
        <w:t>s can create supportive environments for girls' health and well-being.</w:t>
      </w:r>
    </w:p>
    <w:p w14:paraId="1D8A28E5" w14:textId="77777777" w:rsidR="0078134A" w:rsidRDefault="0078134A" w:rsidP="00010D0A">
      <w:pPr>
        <w:jc w:val="both"/>
        <w:rPr>
          <w:lang w:val="en-GB"/>
        </w:rPr>
      </w:pPr>
    </w:p>
    <w:p w14:paraId="3F763928" w14:textId="77777777" w:rsidR="0072725E" w:rsidRDefault="00010D0A" w:rsidP="00010D0A">
      <w:pPr>
        <w:jc w:val="both"/>
        <w:rPr>
          <w:lang w:val="en-GB"/>
        </w:rPr>
      </w:pPr>
      <w:r w:rsidRPr="0072725E">
        <w:rPr>
          <w:i/>
          <w:iCs/>
          <w:lang w:val="en-GB"/>
        </w:rPr>
        <w:t xml:space="preserve">Community Water Supply </w:t>
      </w:r>
      <w:r w:rsidR="00C634B5" w:rsidRPr="0072725E">
        <w:rPr>
          <w:i/>
          <w:iCs/>
          <w:lang w:val="en-GB"/>
        </w:rPr>
        <w:t>Sustainability:</w:t>
      </w:r>
    </w:p>
    <w:p w14:paraId="75F1D800" w14:textId="357B9C0F" w:rsidR="00010D0A" w:rsidRPr="00010D0A" w:rsidRDefault="00C634B5" w:rsidP="00010D0A">
      <w:pPr>
        <w:jc w:val="both"/>
        <w:rPr>
          <w:lang w:val="en-GB"/>
        </w:rPr>
      </w:pPr>
      <w:r w:rsidRPr="00010D0A">
        <w:rPr>
          <w:lang w:val="en-GB"/>
        </w:rPr>
        <w:t>Challenge</w:t>
      </w:r>
      <w:r w:rsidR="00010D0A" w:rsidRPr="00010D0A">
        <w:rPr>
          <w:lang w:val="en-GB"/>
        </w:rPr>
        <w:t>: Community reluctance to pay for water services threatens project sustainability and undermines efforts to maintain water infrastructure and service delivery.</w:t>
      </w:r>
    </w:p>
    <w:p w14:paraId="59F8616C" w14:textId="77777777" w:rsidR="00010D0A" w:rsidRPr="00010D0A" w:rsidRDefault="00010D0A" w:rsidP="00010D0A">
      <w:pPr>
        <w:jc w:val="both"/>
        <w:rPr>
          <w:lang w:val="en-GB"/>
        </w:rPr>
      </w:pPr>
      <w:r w:rsidRPr="00010D0A">
        <w:rPr>
          <w:lang w:val="en-GB"/>
        </w:rPr>
        <w:lastRenderedPageBreak/>
        <w:t>Lesson Learned: Empowering CBWSOs to develop and enforce by-laws fosters community ownership and sustainable management of water sources. By promoting community participation and ownership, water supply initiatives can foster a sense of responsibility and accountability among beneficiaries.</w:t>
      </w:r>
    </w:p>
    <w:p w14:paraId="49B691FC" w14:textId="290BA3AF" w:rsidR="00010D0A" w:rsidRDefault="00010D0A" w:rsidP="00010D0A">
      <w:pPr>
        <w:jc w:val="both"/>
        <w:rPr>
          <w:lang w:val="en-GB"/>
        </w:rPr>
      </w:pPr>
      <w:r w:rsidRPr="00010D0A">
        <w:rPr>
          <w:lang w:val="en-GB"/>
        </w:rPr>
        <w:t>Best Practice: Strengthening partnerships with RUWASA and community leaders ensures effective governance and revenue collection for water schemes. By fostering collaboration and trust among stakeholders, water supply program</w:t>
      </w:r>
      <w:r w:rsidR="00FA3CAC">
        <w:rPr>
          <w:lang w:val="en-GB"/>
        </w:rPr>
        <w:t>me</w:t>
      </w:r>
      <w:r w:rsidRPr="00010D0A">
        <w:rPr>
          <w:lang w:val="en-GB"/>
        </w:rPr>
        <w:t>s can enhance service reliability and resilience to external shocks.</w:t>
      </w:r>
    </w:p>
    <w:p w14:paraId="3E5FF787" w14:textId="77777777" w:rsidR="00010D0A" w:rsidRDefault="00010D0A" w:rsidP="00010D0A">
      <w:pPr>
        <w:jc w:val="both"/>
        <w:rPr>
          <w:lang w:val="en-GB"/>
        </w:rPr>
      </w:pPr>
    </w:p>
    <w:p w14:paraId="1E47DBA9" w14:textId="2250ACF8" w:rsidR="00D10850" w:rsidRPr="00574596" w:rsidRDefault="0070378C" w:rsidP="00434A5A">
      <w:pPr>
        <w:pStyle w:val="BodyText"/>
        <w:jc w:val="both"/>
        <w:rPr>
          <w:rFonts w:ascii="Times New Roman" w:hAnsi="Times New Roman" w:cs="Times New Roman"/>
          <w:bCs/>
          <w:sz w:val="24"/>
          <w:lang w:val="en-GB"/>
        </w:rPr>
      </w:pPr>
      <w:r w:rsidRPr="00574596">
        <w:rPr>
          <w:rFonts w:ascii="Times New Roman" w:hAnsi="Times New Roman" w:cs="Times New Roman"/>
          <w:b/>
          <w:bCs/>
          <w:sz w:val="24"/>
          <w:lang w:val="en-GB"/>
        </w:rPr>
        <w:t>Qualitative assessment</w:t>
      </w:r>
      <w:r w:rsidR="00976DCC" w:rsidRPr="00574596">
        <w:rPr>
          <w:rFonts w:ascii="Times New Roman" w:hAnsi="Times New Roman" w:cs="Times New Roman"/>
          <w:b/>
          <w:bCs/>
          <w:sz w:val="24"/>
          <w:lang w:val="en-GB"/>
        </w:rPr>
        <w:t>:</w:t>
      </w:r>
      <w:r w:rsidR="00976DCC" w:rsidRPr="00574596">
        <w:rPr>
          <w:rFonts w:ascii="Times New Roman" w:hAnsi="Times New Roman" w:cs="Times New Roman"/>
          <w:bCs/>
          <w:sz w:val="24"/>
          <w:lang w:val="en-GB"/>
        </w:rPr>
        <w:t xml:space="preserve"> </w:t>
      </w:r>
    </w:p>
    <w:p w14:paraId="087FEED2" w14:textId="77777777" w:rsidR="00C634B5" w:rsidRDefault="00C634B5" w:rsidP="004551D2">
      <w:pPr>
        <w:pStyle w:val="BodyText"/>
        <w:tabs>
          <w:tab w:val="left" w:pos="360"/>
        </w:tabs>
        <w:jc w:val="both"/>
        <w:rPr>
          <w:rFonts w:ascii="Times New Roman" w:hAnsi="Times New Roman" w:cs="Times New Roman"/>
          <w:bCs/>
          <w:sz w:val="24"/>
          <w:lang w:val="en-GB"/>
        </w:rPr>
      </w:pPr>
    </w:p>
    <w:p w14:paraId="7005A291" w14:textId="664B38CF" w:rsidR="00C41F9C" w:rsidRDefault="001022B3" w:rsidP="005A4113">
      <w:pPr>
        <w:pStyle w:val="BodyText"/>
        <w:tabs>
          <w:tab w:val="left" w:pos="360"/>
        </w:tabs>
        <w:jc w:val="both"/>
        <w:rPr>
          <w:rFonts w:ascii="Times New Roman" w:hAnsi="Times New Roman" w:cs="Times New Roman"/>
          <w:bCs/>
          <w:sz w:val="24"/>
          <w:lang w:val="en-GB"/>
        </w:rPr>
      </w:pPr>
      <w:r>
        <w:rPr>
          <w:rFonts w:ascii="Times New Roman" w:hAnsi="Times New Roman" w:cs="Times New Roman"/>
          <w:bCs/>
          <w:sz w:val="24"/>
          <w:lang w:val="en-GB"/>
        </w:rPr>
        <w:t xml:space="preserve">Building on solid foundations of the KJP I, in the first year of its second phase, the programme </w:t>
      </w:r>
      <w:r w:rsidR="004551D2" w:rsidRPr="004551D2">
        <w:rPr>
          <w:rFonts w:ascii="Times New Roman" w:hAnsi="Times New Roman" w:cs="Times New Roman"/>
          <w:bCs/>
          <w:sz w:val="24"/>
          <w:lang w:val="en-GB"/>
        </w:rPr>
        <w:t xml:space="preserve">made </w:t>
      </w:r>
      <w:r w:rsidR="00C51AE9">
        <w:rPr>
          <w:rFonts w:ascii="Times New Roman" w:hAnsi="Times New Roman" w:cs="Times New Roman"/>
          <w:bCs/>
          <w:sz w:val="24"/>
          <w:lang w:val="en-GB"/>
        </w:rPr>
        <w:t>progress</w:t>
      </w:r>
      <w:r w:rsidR="004551D2" w:rsidRPr="004551D2">
        <w:rPr>
          <w:rFonts w:ascii="Times New Roman" w:hAnsi="Times New Roman" w:cs="Times New Roman"/>
          <w:bCs/>
          <w:sz w:val="24"/>
          <w:lang w:val="en-GB"/>
        </w:rPr>
        <w:t xml:space="preserve"> in </w:t>
      </w:r>
      <w:r>
        <w:rPr>
          <w:rFonts w:ascii="Times New Roman" w:hAnsi="Times New Roman" w:cs="Times New Roman"/>
          <w:bCs/>
          <w:sz w:val="24"/>
          <w:lang w:val="en-GB"/>
        </w:rPr>
        <w:t xml:space="preserve">continuing and rolling out initiatives </w:t>
      </w:r>
      <w:r w:rsidR="004551D2" w:rsidRPr="004551D2">
        <w:rPr>
          <w:rFonts w:ascii="Times New Roman" w:hAnsi="Times New Roman" w:cs="Times New Roman"/>
          <w:bCs/>
          <w:sz w:val="24"/>
          <w:lang w:val="en-GB"/>
        </w:rPr>
        <w:t xml:space="preserve">aimed at uplifting the socioeconomic well-being of the people in the Kigoma Region. However, </w:t>
      </w:r>
      <w:r>
        <w:rPr>
          <w:rFonts w:ascii="Times New Roman" w:hAnsi="Times New Roman" w:cs="Times New Roman"/>
          <w:bCs/>
          <w:sz w:val="24"/>
          <w:lang w:val="en-GB"/>
        </w:rPr>
        <w:t>v</w:t>
      </w:r>
      <w:r w:rsidR="0072725E">
        <w:rPr>
          <w:rFonts w:ascii="Times New Roman" w:hAnsi="Times New Roman" w:cs="Times New Roman"/>
          <w:bCs/>
          <w:sz w:val="24"/>
          <w:lang w:val="en-GB"/>
        </w:rPr>
        <w:t xml:space="preserve">arying </w:t>
      </w:r>
      <w:r>
        <w:rPr>
          <w:rFonts w:ascii="Times New Roman" w:hAnsi="Times New Roman" w:cs="Times New Roman"/>
          <w:bCs/>
          <w:sz w:val="24"/>
          <w:lang w:val="en-GB"/>
        </w:rPr>
        <w:t xml:space="preserve">degree of </w:t>
      </w:r>
      <w:r w:rsidR="0072725E">
        <w:rPr>
          <w:rFonts w:ascii="Times New Roman" w:hAnsi="Times New Roman" w:cs="Times New Roman"/>
          <w:bCs/>
          <w:sz w:val="24"/>
          <w:lang w:val="en-GB"/>
        </w:rPr>
        <w:t>a</w:t>
      </w:r>
      <w:r w:rsidR="004551D2" w:rsidRPr="004551D2">
        <w:rPr>
          <w:rFonts w:ascii="Times New Roman" w:hAnsi="Times New Roman" w:cs="Times New Roman"/>
          <w:bCs/>
          <w:sz w:val="24"/>
          <w:lang w:val="en-GB"/>
        </w:rPr>
        <w:t>vailability</w:t>
      </w:r>
      <w:r w:rsidR="00C51AE9">
        <w:rPr>
          <w:rFonts w:ascii="Times New Roman" w:hAnsi="Times New Roman" w:cs="Times New Roman"/>
          <w:bCs/>
          <w:sz w:val="24"/>
          <w:lang w:val="en-GB"/>
        </w:rPr>
        <w:t xml:space="preserve"> of funds</w:t>
      </w:r>
      <w:r>
        <w:rPr>
          <w:rFonts w:ascii="Times New Roman" w:hAnsi="Times New Roman" w:cs="Times New Roman"/>
          <w:bCs/>
          <w:sz w:val="24"/>
          <w:lang w:val="en-GB"/>
        </w:rPr>
        <w:t xml:space="preserve"> within Agencies</w:t>
      </w:r>
      <w:r w:rsidR="00C51AE9">
        <w:rPr>
          <w:rFonts w:ascii="Times New Roman" w:hAnsi="Times New Roman" w:cs="Times New Roman"/>
          <w:bCs/>
          <w:sz w:val="24"/>
          <w:lang w:val="en-GB"/>
        </w:rPr>
        <w:t xml:space="preserve"> </w:t>
      </w:r>
      <w:r w:rsidR="004551D2" w:rsidRPr="004551D2">
        <w:rPr>
          <w:rFonts w:ascii="Times New Roman" w:hAnsi="Times New Roman" w:cs="Times New Roman"/>
          <w:bCs/>
          <w:sz w:val="24"/>
          <w:lang w:val="en-GB"/>
        </w:rPr>
        <w:t xml:space="preserve">led to </w:t>
      </w:r>
      <w:r w:rsidR="0072725E">
        <w:rPr>
          <w:rFonts w:ascii="Times New Roman" w:hAnsi="Times New Roman" w:cs="Times New Roman"/>
          <w:bCs/>
          <w:sz w:val="24"/>
          <w:lang w:val="en-GB"/>
        </w:rPr>
        <w:t xml:space="preserve">unequal pace in </w:t>
      </w:r>
      <w:r w:rsidR="004551D2" w:rsidRPr="004551D2">
        <w:rPr>
          <w:rFonts w:ascii="Times New Roman" w:hAnsi="Times New Roman" w:cs="Times New Roman"/>
          <w:bCs/>
          <w:sz w:val="24"/>
          <w:lang w:val="en-GB"/>
        </w:rPr>
        <w:t xml:space="preserve">activity </w:t>
      </w:r>
      <w:r w:rsidR="0072725E">
        <w:rPr>
          <w:rFonts w:ascii="Times New Roman" w:hAnsi="Times New Roman" w:cs="Times New Roman"/>
          <w:bCs/>
          <w:sz w:val="24"/>
          <w:lang w:val="en-GB"/>
        </w:rPr>
        <w:t>implementation</w:t>
      </w:r>
      <w:r w:rsidR="004551D2" w:rsidRPr="004551D2">
        <w:rPr>
          <w:rFonts w:ascii="Times New Roman" w:hAnsi="Times New Roman" w:cs="Times New Roman"/>
          <w:bCs/>
          <w:sz w:val="24"/>
          <w:lang w:val="en-GB"/>
        </w:rPr>
        <w:t>, with some agencies successfully executing their planned initiatives while others fac</w:t>
      </w:r>
      <w:r w:rsidR="0072725E">
        <w:rPr>
          <w:rFonts w:ascii="Times New Roman" w:hAnsi="Times New Roman" w:cs="Times New Roman"/>
          <w:bCs/>
          <w:sz w:val="24"/>
          <w:lang w:val="en-GB"/>
        </w:rPr>
        <w:t xml:space="preserve">ing </w:t>
      </w:r>
      <w:r w:rsidR="004551D2" w:rsidRPr="004551D2">
        <w:rPr>
          <w:rFonts w:ascii="Times New Roman" w:hAnsi="Times New Roman" w:cs="Times New Roman"/>
          <w:bCs/>
          <w:sz w:val="24"/>
          <w:lang w:val="en-GB"/>
        </w:rPr>
        <w:t xml:space="preserve">delays to commence implementation. In response to budgetary constraints, </w:t>
      </w:r>
      <w:r>
        <w:rPr>
          <w:rFonts w:ascii="Times New Roman" w:hAnsi="Times New Roman" w:cs="Times New Roman"/>
          <w:bCs/>
          <w:sz w:val="24"/>
          <w:lang w:val="en-GB"/>
        </w:rPr>
        <w:t xml:space="preserve">some </w:t>
      </w:r>
      <w:r w:rsidR="004551D2" w:rsidRPr="004551D2">
        <w:rPr>
          <w:rFonts w:ascii="Times New Roman" w:hAnsi="Times New Roman" w:cs="Times New Roman"/>
          <w:bCs/>
          <w:sz w:val="24"/>
          <w:lang w:val="en-GB"/>
        </w:rPr>
        <w:t xml:space="preserve">agencies were compelled to revise their initial work plans and budgets for </w:t>
      </w:r>
      <w:r w:rsidR="00C51AE9">
        <w:rPr>
          <w:rFonts w:ascii="Times New Roman" w:hAnsi="Times New Roman" w:cs="Times New Roman"/>
          <w:bCs/>
          <w:sz w:val="24"/>
          <w:lang w:val="en-GB"/>
        </w:rPr>
        <w:t>2023</w:t>
      </w:r>
      <w:r w:rsidR="004551D2" w:rsidRPr="004551D2">
        <w:rPr>
          <w:rFonts w:ascii="Times New Roman" w:hAnsi="Times New Roman" w:cs="Times New Roman"/>
          <w:bCs/>
          <w:sz w:val="24"/>
          <w:lang w:val="en-GB"/>
        </w:rPr>
        <w:t xml:space="preserve">, resulting in </w:t>
      </w:r>
      <w:r w:rsidR="0072725E">
        <w:rPr>
          <w:rFonts w:ascii="Times New Roman" w:hAnsi="Times New Roman" w:cs="Times New Roman"/>
          <w:bCs/>
          <w:sz w:val="24"/>
          <w:lang w:val="en-GB"/>
        </w:rPr>
        <w:t xml:space="preserve">prioritization </w:t>
      </w:r>
      <w:r w:rsidR="004551D2" w:rsidRPr="004551D2">
        <w:rPr>
          <w:rFonts w:ascii="Times New Roman" w:hAnsi="Times New Roman" w:cs="Times New Roman"/>
          <w:bCs/>
          <w:sz w:val="24"/>
          <w:lang w:val="en-GB"/>
        </w:rPr>
        <w:t xml:space="preserve">of </w:t>
      </w:r>
      <w:r w:rsidR="0072725E">
        <w:rPr>
          <w:rFonts w:ascii="Times New Roman" w:hAnsi="Times New Roman" w:cs="Times New Roman"/>
          <w:bCs/>
          <w:sz w:val="24"/>
          <w:lang w:val="en-GB"/>
        </w:rPr>
        <w:t xml:space="preserve">selected </w:t>
      </w:r>
      <w:r w:rsidR="004551D2" w:rsidRPr="004551D2">
        <w:rPr>
          <w:rFonts w:ascii="Times New Roman" w:hAnsi="Times New Roman" w:cs="Times New Roman"/>
          <w:bCs/>
          <w:sz w:val="24"/>
          <w:lang w:val="en-GB"/>
        </w:rPr>
        <w:t xml:space="preserve">activities. </w:t>
      </w:r>
    </w:p>
    <w:p w14:paraId="199903E2" w14:textId="77777777" w:rsidR="007A4948" w:rsidRDefault="007A4948" w:rsidP="005A4113">
      <w:pPr>
        <w:pStyle w:val="BodyText"/>
        <w:tabs>
          <w:tab w:val="left" w:pos="360"/>
        </w:tabs>
        <w:jc w:val="both"/>
        <w:rPr>
          <w:rFonts w:ascii="Times New Roman" w:hAnsi="Times New Roman" w:cs="Times New Roman"/>
          <w:bCs/>
          <w:sz w:val="24"/>
          <w:lang w:val="en-GB"/>
        </w:rPr>
      </w:pPr>
    </w:p>
    <w:p w14:paraId="365D745B" w14:textId="3A458FE4" w:rsidR="007A4948" w:rsidRDefault="007A4948">
      <w:pPr>
        <w:rPr>
          <w:bCs/>
          <w:szCs w:val="20"/>
          <w:lang w:val="en-GB"/>
        </w:rPr>
      </w:pPr>
      <w:r>
        <w:rPr>
          <w:bCs/>
          <w:lang w:val="en-GB"/>
        </w:rPr>
        <w:br w:type="page"/>
      </w:r>
    </w:p>
    <w:p w14:paraId="0AE4C879" w14:textId="77777777" w:rsidR="007A4948" w:rsidRDefault="007A4948" w:rsidP="005A4113">
      <w:pPr>
        <w:pStyle w:val="BodyText"/>
        <w:tabs>
          <w:tab w:val="left" w:pos="360"/>
        </w:tabs>
        <w:jc w:val="both"/>
        <w:rPr>
          <w:rFonts w:ascii="Times New Roman" w:hAnsi="Times New Roman" w:cs="Times New Roman"/>
          <w:sz w:val="24"/>
          <w:lang w:val="en-GB"/>
        </w:rPr>
        <w:sectPr w:rsidR="007A4948" w:rsidSect="00080426">
          <w:headerReference w:type="default" r:id="rId15"/>
          <w:footerReference w:type="default" r:id="rId16"/>
          <w:pgSz w:w="12240" w:h="15840" w:code="1"/>
          <w:pgMar w:top="806" w:right="806" w:bottom="1354" w:left="806" w:header="720" w:footer="418" w:gutter="0"/>
          <w:cols w:space="720"/>
          <w:docGrid w:linePitch="360"/>
        </w:sectPr>
      </w:pPr>
    </w:p>
    <w:p w14:paraId="12E5F305" w14:textId="77777777" w:rsidR="007A4948" w:rsidRDefault="007A4948" w:rsidP="007A4948">
      <w:pPr>
        <w:pStyle w:val="BodyText"/>
        <w:tabs>
          <w:tab w:val="left" w:pos="360"/>
        </w:tabs>
        <w:jc w:val="both"/>
        <w:rPr>
          <w:rFonts w:ascii="Times New Roman" w:hAnsi="Times New Roman" w:cs="Times New Roman"/>
          <w:bCs/>
          <w:sz w:val="24"/>
          <w:lang w:val="en-GB"/>
        </w:rPr>
      </w:pPr>
    </w:p>
    <w:p w14:paraId="1AA8BB32" w14:textId="77777777" w:rsidR="007A4948" w:rsidRDefault="007A4948" w:rsidP="007A4948">
      <w:pPr>
        <w:pStyle w:val="BodyText"/>
        <w:tabs>
          <w:tab w:val="left" w:pos="360"/>
        </w:tabs>
        <w:jc w:val="both"/>
        <w:rPr>
          <w:rFonts w:ascii="Times New Roman" w:hAnsi="Times New Roman" w:cs="Times New Roman"/>
          <w:bCs/>
          <w:sz w:val="24"/>
          <w:lang w:val="en-GB"/>
        </w:rPr>
      </w:pPr>
    </w:p>
    <w:p w14:paraId="56221F5D" w14:textId="77777777" w:rsidR="007A4948" w:rsidRPr="00C416C0" w:rsidRDefault="007A4948" w:rsidP="007A4948">
      <w:pPr>
        <w:pStyle w:val="BodyText"/>
        <w:tabs>
          <w:tab w:val="left" w:pos="360"/>
        </w:tabs>
        <w:ind w:left="720"/>
        <w:jc w:val="both"/>
        <w:rPr>
          <w:rFonts w:ascii="Times New Roman" w:hAnsi="Times New Roman"/>
          <w:bCs/>
          <w:sz w:val="24"/>
        </w:rPr>
      </w:pPr>
      <w:r>
        <w:rPr>
          <w:noProof/>
        </w:rPr>
        <mc:AlternateContent>
          <mc:Choice Requires="wps">
            <w:drawing>
              <wp:anchor distT="0" distB="0" distL="114300" distR="114300" simplePos="0" relativeHeight="251658245" behindDoc="0" locked="0" layoutInCell="1" allowOverlap="1" wp14:anchorId="144509AA" wp14:editId="379087BD">
                <wp:simplePos x="0" y="0"/>
                <wp:positionH relativeFrom="column">
                  <wp:posOffset>-518160</wp:posOffset>
                </wp:positionH>
                <wp:positionV relativeFrom="paragraph">
                  <wp:posOffset>-178435</wp:posOffset>
                </wp:positionV>
                <wp:extent cx="9446260" cy="291465"/>
                <wp:effectExtent l="0" t="0" r="2540" b="0"/>
                <wp:wrapNone/>
                <wp:docPr id="20581567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14:paraId="2BFBBF26" w14:textId="77777777" w:rsidR="007A4948" w:rsidRPr="001613F4" w:rsidRDefault="007A4948" w:rsidP="007A4948">
                            <w:pPr>
                              <w:jc w:val="center"/>
                              <w:rPr>
                                <w:b/>
                              </w:rPr>
                            </w:pPr>
                            <w:r>
                              <w:rPr>
                                <w:b/>
                              </w:rPr>
                              <w:t>ii) Indicator Based Performance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44509AA" id="_x0000_t202" coordsize="21600,21600" o:spt="202" path="m,l,21600r21600,l21600,xe">
                <v:stroke joinstyle="miter"/>
                <v:path gradientshapeok="t" o:connecttype="rect"/>
              </v:shapetype>
              <v:shape id="Text Box 1" o:spid="_x0000_s1026" type="#_x0000_t202" style="position:absolute;left:0;text-align:left;margin-left:-40.8pt;margin-top:-14.05pt;width:743.8pt;height:22.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" fillcolor="#f2f2f2" strokecolor="#d8d8d8">
                <v:textbox>
                  <w:txbxContent>
                    <w:p w14:paraId="2BFBBF26" w14:textId="77777777" w:rsidR="007A4948" w:rsidRPr="001613F4" w:rsidRDefault="007A4948" w:rsidP="007A4948">
                      <w:pPr>
                        <w:jc w:val="center"/>
                        <w:rPr>
                          <w:b/>
                        </w:rPr>
                      </w:pPr>
                      <w:r>
                        <w:rPr>
                          <w:b/>
                        </w:rPr>
                        <w:t>ii) Indicator Based Performance Assessment:</w:t>
                      </w:r>
                    </w:p>
                  </w:txbxContent>
                </v:textbox>
              </v:shape>
            </w:pict>
          </mc:Fallback>
        </mc:AlternateContent>
      </w:r>
    </w:p>
    <w:p w14:paraId="761A2772" w14:textId="77777777" w:rsidR="007A4948" w:rsidRDefault="007A4948" w:rsidP="007A4948">
      <w:pPr>
        <w:pStyle w:val="BodyText"/>
        <w:jc w:val="both"/>
        <w:rPr>
          <w:rFonts w:ascii="Times New Roman" w:hAnsi="Times New Roman"/>
          <w:bCs/>
          <w:sz w:val="24"/>
        </w:rPr>
      </w:pPr>
      <w:r w:rsidRPr="007C14A5">
        <w:rPr>
          <w:rFonts w:ascii="Times New Roman" w:hAnsi="Times New Roman"/>
          <w:bCs/>
          <w:sz w:val="24"/>
        </w:rPr>
        <w:t xml:space="preserve">Using the </w:t>
      </w:r>
      <w:r w:rsidRPr="007C14A5">
        <w:rPr>
          <w:rFonts w:ascii="Times New Roman" w:hAnsi="Times New Roman"/>
          <w:b/>
          <w:bCs/>
          <w:sz w:val="24"/>
        </w:rPr>
        <w:t>Programme Results Framework from the Project Document</w:t>
      </w:r>
      <w:r w:rsidRPr="007C14A5">
        <w:rPr>
          <w:rFonts w:ascii="Times New Roman" w:hAnsi="Times New Roman"/>
          <w:bCs/>
          <w:sz w:val="24"/>
        </w:rPr>
        <w:t xml:space="preserve"> </w:t>
      </w:r>
      <w:r w:rsidRPr="00875706">
        <w:rPr>
          <w:rFonts w:ascii="Times New Roman" w:hAnsi="Times New Roman"/>
          <w:b/>
          <w:bCs/>
          <w:sz w:val="24"/>
        </w:rPr>
        <w:t>/ AWP</w:t>
      </w:r>
      <w:r>
        <w:rPr>
          <w:rFonts w:ascii="Times New Roman" w:hAnsi="Times New Roman"/>
          <w:bCs/>
          <w:sz w:val="24"/>
        </w:rPr>
        <w:t xml:space="preserve"> </w:t>
      </w:r>
      <w:r w:rsidRPr="007C14A5">
        <w:rPr>
          <w:rFonts w:ascii="Times New Roman" w:hAnsi="Times New Roman"/>
          <w:bCs/>
          <w:sz w:val="24"/>
        </w:rPr>
        <w:t>- provide an update on the achievement of indicators at both the output and outcome level in the table below. Where it has not been possible to collect data on indicators, clear explanation should be given explaining why, as well as plans on how and when this data will be collected.</w:t>
      </w:r>
      <w:r>
        <w:rPr>
          <w:rFonts w:ascii="Times New Roman" w:hAnsi="Times New Roman"/>
          <w:bCs/>
          <w:sz w:val="24"/>
        </w:rPr>
        <w:t xml:space="preserve"> </w:t>
      </w:r>
    </w:p>
    <w:p w14:paraId="6468397F" w14:textId="77777777" w:rsidR="007A4948" w:rsidRDefault="007A4948" w:rsidP="007A4948">
      <w:pPr>
        <w:pStyle w:val="BodyText"/>
        <w:jc w:val="both"/>
        <w:rPr>
          <w:rFonts w:ascii="Times New Roman" w:hAnsi="Times New Roman"/>
          <w:bCs/>
          <w:sz w:val="24"/>
        </w:rPr>
      </w:pPr>
    </w:p>
    <w:tbl>
      <w:tblPr>
        <w:tblW w:w="14821"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4819"/>
        <w:gridCol w:w="4111"/>
        <w:gridCol w:w="1559"/>
        <w:gridCol w:w="1985"/>
      </w:tblGrid>
      <w:tr w:rsidR="006251ED" w:rsidRPr="00134E94" w14:paraId="0CC5122C" w14:textId="77777777" w:rsidTr="38525CFC">
        <w:trPr>
          <w:tblHeader/>
        </w:trPr>
        <w:tc>
          <w:tcPr>
            <w:tcW w:w="14821" w:type="dxa"/>
            <w:gridSpan w:val="5"/>
            <w:tcBorders>
              <w:bottom w:val="single" w:sz="4" w:space="0" w:color="000000" w:themeColor="text1"/>
            </w:tcBorders>
            <w:shd w:val="clear" w:color="auto" w:fill="auto"/>
          </w:tcPr>
          <w:p w14:paraId="4880B5A3" w14:textId="33203B89" w:rsidR="006251ED" w:rsidRPr="008A4486" w:rsidRDefault="006251ED" w:rsidP="008A4486">
            <w:pPr>
              <w:jc w:val="both"/>
              <w:rPr>
                <w:b/>
                <w:sz w:val="22"/>
                <w:szCs w:val="22"/>
              </w:rPr>
            </w:pPr>
            <w:r w:rsidRPr="008A4486">
              <w:rPr>
                <w:b/>
                <w:sz w:val="22"/>
                <w:szCs w:val="22"/>
              </w:rPr>
              <w:t>Outcome 1</w:t>
            </w:r>
            <w:r w:rsidRPr="008A4486">
              <w:rPr>
                <w:rStyle w:val="FootnoteReference"/>
                <w:b/>
                <w:sz w:val="22"/>
                <w:szCs w:val="22"/>
              </w:rPr>
              <w:footnoteReference w:id="3"/>
            </w:r>
            <w:r w:rsidRPr="008A4486">
              <w:rPr>
                <w:sz w:val="22"/>
                <w:szCs w:val="22"/>
              </w:rPr>
              <w:t xml:space="preserve"> </w:t>
            </w:r>
            <w:r w:rsidRPr="008A4486">
              <w:rPr>
                <w:b/>
                <w:sz w:val="22"/>
                <w:szCs w:val="22"/>
              </w:rPr>
              <w:t>By 2027, more people in Kigoma, particularly the most marginalized and those affected by humanitarian situations participate in equitable and inclusive quality education and skills development, climate resilient WASH services, integrated, resilient and gender-responsive health and nutrition services and protection.</w:t>
            </w:r>
          </w:p>
        </w:tc>
      </w:tr>
      <w:tr w:rsidR="00134E94" w:rsidRPr="00134E94" w14:paraId="02538CF1" w14:textId="77777777" w:rsidTr="38525CFC">
        <w:trPr>
          <w:tblHeader/>
        </w:trPr>
        <w:tc>
          <w:tcPr>
            <w:tcW w:w="2347" w:type="dxa"/>
            <w:shd w:val="clear" w:color="auto" w:fill="auto"/>
          </w:tcPr>
          <w:p w14:paraId="7ACC76D5" w14:textId="42A676DD" w:rsidR="009F5CFE" w:rsidRPr="008A4486" w:rsidRDefault="009F5CFE" w:rsidP="008A4486">
            <w:pPr>
              <w:jc w:val="both"/>
              <w:rPr>
                <w:b/>
                <w:sz w:val="20"/>
                <w:szCs w:val="20"/>
              </w:rPr>
            </w:pPr>
            <w:r w:rsidRPr="008A4486">
              <w:rPr>
                <w:b/>
                <w:sz w:val="20"/>
                <w:szCs w:val="20"/>
              </w:rPr>
              <w:t xml:space="preserve">Output </w:t>
            </w:r>
          </w:p>
        </w:tc>
        <w:tc>
          <w:tcPr>
            <w:tcW w:w="4819" w:type="dxa"/>
            <w:shd w:val="clear" w:color="auto" w:fill="auto"/>
          </w:tcPr>
          <w:p w14:paraId="10F7B9B3" w14:textId="6183176A" w:rsidR="009F5CFE" w:rsidRPr="008A4486" w:rsidRDefault="009F5CFE" w:rsidP="008A4486">
            <w:pPr>
              <w:jc w:val="both"/>
              <w:rPr>
                <w:b/>
                <w:sz w:val="22"/>
                <w:szCs w:val="22"/>
              </w:rPr>
            </w:pPr>
            <w:r w:rsidRPr="008A4486">
              <w:rPr>
                <w:b/>
                <w:sz w:val="22"/>
                <w:szCs w:val="22"/>
              </w:rPr>
              <w:t xml:space="preserve">Indicator </w:t>
            </w:r>
          </w:p>
        </w:tc>
        <w:tc>
          <w:tcPr>
            <w:tcW w:w="4111" w:type="dxa"/>
            <w:shd w:val="clear" w:color="auto" w:fill="auto"/>
          </w:tcPr>
          <w:p w14:paraId="0A9BC64C" w14:textId="54BEA369" w:rsidR="009F5CFE" w:rsidRPr="008A4486" w:rsidRDefault="009F5CFE" w:rsidP="008A4486">
            <w:pPr>
              <w:jc w:val="both"/>
              <w:rPr>
                <w:bCs/>
                <w:sz w:val="22"/>
                <w:szCs w:val="22"/>
              </w:rPr>
            </w:pPr>
            <w:r w:rsidRPr="0052578F">
              <w:rPr>
                <w:b/>
                <w:sz w:val="22"/>
                <w:szCs w:val="22"/>
              </w:rPr>
              <w:t xml:space="preserve">Achieved </w:t>
            </w:r>
            <w:r w:rsidRPr="008A4486">
              <w:rPr>
                <w:b/>
                <w:sz w:val="22"/>
                <w:szCs w:val="22"/>
              </w:rPr>
              <w:t>Indicator Targets</w:t>
            </w:r>
          </w:p>
        </w:tc>
        <w:tc>
          <w:tcPr>
            <w:tcW w:w="1559" w:type="dxa"/>
            <w:shd w:val="clear" w:color="auto" w:fill="auto"/>
          </w:tcPr>
          <w:p w14:paraId="151302EA" w14:textId="4D172951" w:rsidR="009F5CFE" w:rsidRPr="008A4486" w:rsidRDefault="009F5CFE" w:rsidP="008A4486">
            <w:pPr>
              <w:jc w:val="both"/>
              <w:rPr>
                <w:bCs/>
                <w:sz w:val="22"/>
                <w:szCs w:val="22"/>
              </w:rPr>
            </w:pPr>
            <w:r w:rsidRPr="008A4486">
              <w:rPr>
                <w:b/>
                <w:sz w:val="22"/>
                <w:szCs w:val="22"/>
              </w:rPr>
              <w:t>Reasons for Variance with Planned Target (if any)</w:t>
            </w:r>
          </w:p>
        </w:tc>
        <w:tc>
          <w:tcPr>
            <w:tcW w:w="1985" w:type="dxa"/>
            <w:shd w:val="clear" w:color="auto" w:fill="auto"/>
          </w:tcPr>
          <w:p w14:paraId="255328DE" w14:textId="4F1A7627" w:rsidR="009F5CFE" w:rsidRPr="008A4486" w:rsidRDefault="009F5CFE" w:rsidP="008A4486">
            <w:pPr>
              <w:jc w:val="both"/>
              <w:rPr>
                <w:bCs/>
                <w:sz w:val="22"/>
                <w:szCs w:val="22"/>
              </w:rPr>
            </w:pPr>
            <w:r w:rsidRPr="008A4486">
              <w:rPr>
                <w:b/>
                <w:sz w:val="22"/>
                <w:szCs w:val="22"/>
              </w:rPr>
              <w:t>Source of Verification</w:t>
            </w:r>
          </w:p>
        </w:tc>
      </w:tr>
      <w:tr w:rsidR="00134E94" w:rsidRPr="00134E94" w14:paraId="166E307E" w14:textId="77777777" w:rsidTr="38525CFC">
        <w:trPr>
          <w:trHeight w:val="2133"/>
        </w:trPr>
        <w:tc>
          <w:tcPr>
            <w:tcW w:w="2347" w:type="dxa"/>
            <w:tcBorders>
              <w:bottom w:val="single" w:sz="4" w:space="0" w:color="000000" w:themeColor="text1"/>
            </w:tcBorders>
            <w:shd w:val="clear" w:color="auto" w:fill="auto"/>
          </w:tcPr>
          <w:p w14:paraId="3100E570" w14:textId="77777777" w:rsidR="009F5CFE" w:rsidRPr="008A4486" w:rsidRDefault="009F5CFE" w:rsidP="006251ED">
            <w:pPr>
              <w:rPr>
                <w:bCs/>
                <w:sz w:val="20"/>
                <w:szCs w:val="20"/>
              </w:rPr>
            </w:pPr>
            <w:r w:rsidRPr="008A4486">
              <w:rPr>
                <w:b/>
                <w:sz w:val="20"/>
                <w:szCs w:val="20"/>
              </w:rPr>
              <w:t>Output 1.1</w:t>
            </w:r>
            <w:r w:rsidRPr="008A4486">
              <w:rPr>
                <w:sz w:val="20"/>
                <w:szCs w:val="20"/>
              </w:rPr>
              <w:t xml:space="preserve"> </w:t>
            </w:r>
            <w:r w:rsidRPr="008A4486">
              <w:rPr>
                <w:bCs/>
                <w:sz w:val="20"/>
                <w:szCs w:val="20"/>
              </w:rPr>
              <w:t>Strengthened capacities of service providers for increased coverage of quality education, health, nutrition, WASH, and protection in the Kigoma Region</w:t>
            </w:r>
          </w:p>
          <w:p w14:paraId="353545BA" w14:textId="2AF61A20" w:rsidR="009F5CFE" w:rsidRPr="008A4486" w:rsidRDefault="009F5CFE" w:rsidP="006251ED">
            <w:pPr>
              <w:rPr>
                <w:b/>
                <w:sz w:val="20"/>
                <w:szCs w:val="20"/>
              </w:rPr>
            </w:pPr>
          </w:p>
        </w:tc>
        <w:tc>
          <w:tcPr>
            <w:tcW w:w="4819" w:type="dxa"/>
            <w:shd w:val="clear" w:color="auto" w:fill="auto"/>
          </w:tcPr>
          <w:p w14:paraId="6576766C" w14:textId="77777777" w:rsidR="009F5CFE" w:rsidRPr="008A4486" w:rsidRDefault="009F5CFE" w:rsidP="008A4486">
            <w:pPr>
              <w:jc w:val="both"/>
              <w:rPr>
                <w:bCs/>
                <w:sz w:val="22"/>
                <w:szCs w:val="22"/>
              </w:rPr>
            </w:pPr>
            <w:r w:rsidRPr="008A4486">
              <w:rPr>
                <w:b/>
                <w:sz w:val="22"/>
                <w:szCs w:val="22"/>
              </w:rPr>
              <w:t>Indicator 1.1.1: #</w:t>
            </w:r>
            <w:r w:rsidRPr="008A4486">
              <w:rPr>
                <w:bCs/>
                <w:sz w:val="22"/>
                <w:szCs w:val="22"/>
              </w:rPr>
              <w:t xml:space="preserve"> of targeted key stakeholders with increased technical capacity/skills to develop harmonized legislation, policies and plans for basic education, RMNCAH, AIDS, TB, malaria, nutrition, WASH and protection services. (Disaggregated by type of stakeholder)</w:t>
            </w:r>
          </w:p>
          <w:p w14:paraId="50604359" w14:textId="77777777" w:rsidR="00134E94" w:rsidRPr="008A4486" w:rsidRDefault="00134E94" w:rsidP="008A4486">
            <w:pPr>
              <w:jc w:val="both"/>
              <w:rPr>
                <w:b/>
                <w:sz w:val="22"/>
                <w:szCs w:val="22"/>
              </w:rPr>
            </w:pPr>
          </w:p>
          <w:p w14:paraId="0CA9FE62" w14:textId="29FFAB6D" w:rsidR="009F5CFE" w:rsidRPr="008A4486" w:rsidRDefault="009F5CFE" w:rsidP="008A4486">
            <w:pPr>
              <w:jc w:val="both"/>
              <w:rPr>
                <w:bCs/>
                <w:sz w:val="22"/>
                <w:szCs w:val="22"/>
              </w:rPr>
            </w:pPr>
            <w:r w:rsidRPr="008A4486">
              <w:rPr>
                <w:b/>
                <w:sz w:val="22"/>
                <w:szCs w:val="22"/>
              </w:rPr>
              <w:t>Baseline:</w:t>
            </w:r>
            <w:r w:rsidRPr="008A4486">
              <w:rPr>
                <w:sz w:val="22"/>
                <w:szCs w:val="22"/>
              </w:rPr>
              <w:t xml:space="preserve"> </w:t>
            </w:r>
            <w:r w:rsidRPr="008A4486">
              <w:rPr>
                <w:bCs/>
                <w:sz w:val="22"/>
                <w:szCs w:val="22"/>
              </w:rPr>
              <w:t>36 people from CBWSOs</w:t>
            </w:r>
          </w:p>
          <w:p w14:paraId="57C0B79A" w14:textId="09E9DAB4" w:rsidR="009F5CFE" w:rsidRPr="008A4486" w:rsidRDefault="46079A9F" w:rsidP="38525CFC">
            <w:pPr>
              <w:pStyle w:val="BodyText"/>
              <w:jc w:val="both"/>
              <w:rPr>
                <w:rFonts w:ascii="Times New Roman" w:hAnsi="Times New Roman" w:cs="Times New Roman"/>
                <w:b/>
                <w:bCs/>
                <w:sz w:val="22"/>
                <w:szCs w:val="22"/>
              </w:rPr>
            </w:pPr>
            <w:r w:rsidRPr="38525CFC">
              <w:rPr>
                <w:rFonts w:ascii="Times New Roman" w:hAnsi="Times New Roman" w:cs="Times New Roman"/>
                <w:b/>
                <w:bCs/>
                <w:sz w:val="22"/>
                <w:szCs w:val="22"/>
              </w:rPr>
              <w:t xml:space="preserve">Target: </w:t>
            </w:r>
            <w:r w:rsidRPr="38525CFC">
              <w:rPr>
                <w:rFonts w:ascii="Times New Roman" w:hAnsi="Times New Roman" w:cs="Times New Roman"/>
                <w:sz w:val="22"/>
                <w:szCs w:val="22"/>
              </w:rPr>
              <w:t xml:space="preserve">24 new people from CBWSOs trained </w:t>
            </w:r>
            <w:r w:rsidR="2125DF98" w:rsidRPr="38525CFC">
              <w:rPr>
                <w:rFonts w:ascii="Times New Roman" w:hAnsi="Times New Roman" w:cs="Times New Roman"/>
                <w:sz w:val="22"/>
                <w:szCs w:val="22"/>
              </w:rPr>
              <w:t>in</w:t>
            </w:r>
            <w:r w:rsidRPr="38525CFC">
              <w:rPr>
                <w:rFonts w:ascii="Times New Roman" w:hAnsi="Times New Roman" w:cs="Times New Roman"/>
                <w:sz w:val="22"/>
                <w:szCs w:val="22"/>
              </w:rPr>
              <w:t xml:space="preserve"> O&amp;M, governance etc.</w:t>
            </w:r>
          </w:p>
        </w:tc>
        <w:tc>
          <w:tcPr>
            <w:tcW w:w="4111" w:type="dxa"/>
            <w:shd w:val="clear" w:color="auto" w:fill="auto"/>
          </w:tcPr>
          <w:p w14:paraId="17507048" w14:textId="3FA63DDD" w:rsidR="009F5CFE" w:rsidRPr="008A4486" w:rsidRDefault="009F5CFE" w:rsidP="008A4486">
            <w:pPr>
              <w:pStyle w:val="BodyText"/>
              <w:jc w:val="both"/>
              <w:rPr>
                <w:rFonts w:ascii="Times New Roman" w:hAnsi="Times New Roman" w:cs="Times New Roman"/>
                <w:b/>
                <w:sz w:val="22"/>
                <w:szCs w:val="22"/>
              </w:rPr>
            </w:pPr>
            <w:r w:rsidRPr="008A4486">
              <w:rPr>
                <w:rFonts w:ascii="Times New Roman" w:hAnsi="Times New Roman" w:cs="Times New Roman"/>
                <w:bCs/>
                <w:sz w:val="22"/>
                <w:szCs w:val="22"/>
              </w:rPr>
              <w:t>18 members of community-based water supply organizations (CBWSOs) to manage, operate, and maintain the water infrastructure strengthened.</w:t>
            </w:r>
          </w:p>
        </w:tc>
        <w:tc>
          <w:tcPr>
            <w:tcW w:w="1559" w:type="dxa"/>
            <w:shd w:val="clear" w:color="auto" w:fill="auto"/>
          </w:tcPr>
          <w:p w14:paraId="21B957E3" w14:textId="584E40C2" w:rsidR="009F5CFE" w:rsidRPr="008A4486" w:rsidRDefault="009F5CFE" w:rsidP="008A4486">
            <w:pPr>
              <w:jc w:val="both"/>
              <w:rPr>
                <w:b/>
                <w:sz w:val="22"/>
                <w:szCs w:val="22"/>
              </w:rPr>
            </w:pPr>
          </w:p>
        </w:tc>
        <w:tc>
          <w:tcPr>
            <w:tcW w:w="1985" w:type="dxa"/>
            <w:shd w:val="clear" w:color="auto" w:fill="auto"/>
          </w:tcPr>
          <w:p w14:paraId="766ACEE8" w14:textId="3972A0DA" w:rsidR="009F5CFE" w:rsidRPr="008A4486" w:rsidRDefault="009F5CFE" w:rsidP="00DD3218">
            <w:pPr>
              <w:pStyle w:val="BodyText"/>
              <w:jc w:val="both"/>
              <w:rPr>
                <w:rFonts w:ascii="Times New Roman" w:hAnsi="Times New Roman" w:cs="Times New Roman"/>
                <w:b/>
                <w:sz w:val="22"/>
                <w:szCs w:val="22"/>
              </w:rPr>
            </w:pPr>
            <w:r w:rsidRPr="008A4486">
              <w:rPr>
                <w:rFonts w:ascii="Times New Roman" w:hAnsi="Times New Roman" w:cs="Times New Roman"/>
                <w:bCs/>
                <w:sz w:val="22"/>
                <w:szCs w:val="22"/>
              </w:rPr>
              <w:t>Project Implementation report and training reports</w:t>
            </w:r>
          </w:p>
        </w:tc>
      </w:tr>
      <w:tr w:rsidR="00134E94" w:rsidRPr="00134E94" w14:paraId="4522FE4A" w14:textId="77777777" w:rsidTr="38525CFC">
        <w:trPr>
          <w:trHeight w:val="943"/>
        </w:trPr>
        <w:tc>
          <w:tcPr>
            <w:tcW w:w="2347" w:type="dxa"/>
            <w:vMerge w:val="restart"/>
            <w:shd w:val="clear" w:color="auto" w:fill="auto"/>
          </w:tcPr>
          <w:p w14:paraId="6526A1D0" w14:textId="77777777" w:rsidR="006251ED" w:rsidRPr="008A4486" w:rsidRDefault="006251ED" w:rsidP="008A4486">
            <w:pPr>
              <w:jc w:val="both"/>
              <w:rPr>
                <w:sz w:val="22"/>
                <w:szCs w:val="22"/>
              </w:rPr>
            </w:pPr>
            <w:r w:rsidRPr="008A4486">
              <w:rPr>
                <w:b/>
                <w:sz w:val="22"/>
                <w:szCs w:val="22"/>
              </w:rPr>
              <w:t>Output 1.2:</w:t>
            </w:r>
            <w:r w:rsidRPr="008A4486">
              <w:rPr>
                <w:sz w:val="22"/>
                <w:szCs w:val="22"/>
              </w:rPr>
              <w:t xml:space="preserve"> Strengthened capacities of relevant stakeholders in Kigoma to collect, analyze and use data to inform and monitor the quality of services/interventions in </w:t>
            </w:r>
            <w:r w:rsidRPr="008A4486">
              <w:rPr>
                <w:sz w:val="22"/>
                <w:szCs w:val="22"/>
              </w:rPr>
              <w:lastRenderedPageBreak/>
              <w:t>education, health, nutrition, WASH, and protection, including VAWC.</w:t>
            </w:r>
          </w:p>
          <w:p w14:paraId="161A8F4B" w14:textId="77777777" w:rsidR="006251ED" w:rsidRPr="008A4486" w:rsidRDefault="006251ED" w:rsidP="008A4486">
            <w:pPr>
              <w:jc w:val="both"/>
              <w:rPr>
                <w:b/>
                <w:sz w:val="22"/>
                <w:szCs w:val="22"/>
              </w:rPr>
            </w:pPr>
          </w:p>
          <w:p w14:paraId="26B0BEB0" w14:textId="77777777" w:rsidR="006251ED" w:rsidRPr="008A4486" w:rsidRDefault="006251ED" w:rsidP="008A4486">
            <w:pPr>
              <w:jc w:val="both"/>
              <w:rPr>
                <w:sz w:val="22"/>
                <w:szCs w:val="22"/>
              </w:rPr>
            </w:pPr>
          </w:p>
          <w:p w14:paraId="65903642" w14:textId="77777777" w:rsidR="006251ED" w:rsidRPr="008A4486" w:rsidRDefault="006251ED" w:rsidP="008A4486">
            <w:pPr>
              <w:jc w:val="both"/>
              <w:rPr>
                <w:sz w:val="22"/>
                <w:szCs w:val="22"/>
              </w:rPr>
            </w:pPr>
          </w:p>
          <w:p w14:paraId="687E7763" w14:textId="77777777" w:rsidR="006251ED" w:rsidRPr="008A4486" w:rsidRDefault="006251ED" w:rsidP="008A4486">
            <w:pPr>
              <w:jc w:val="both"/>
              <w:rPr>
                <w:sz w:val="22"/>
                <w:szCs w:val="22"/>
              </w:rPr>
            </w:pPr>
          </w:p>
          <w:p w14:paraId="56B70301" w14:textId="77777777" w:rsidR="006251ED" w:rsidRPr="008A4486" w:rsidRDefault="006251ED" w:rsidP="008A4486">
            <w:pPr>
              <w:jc w:val="both"/>
              <w:rPr>
                <w:sz w:val="22"/>
                <w:szCs w:val="22"/>
              </w:rPr>
            </w:pPr>
          </w:p>
          <w:p w14:paraId="45FB28BC" w14:textId="77777777" w:rsidR="006251ED" w:rsidRPr="008A4486" w:rsidRDefault="006251ED" w:rsidP="008A4486">
            <w:pPr>
              <w:jc w:val="both"/>
              <w:rPr>
                <w:sz w:val="22"/>
                <w:szCs w:val="22"/>
              </w:rPr>
            </w:pPr>
          </w:p>
          <w:p w14:paraId="4F56994D" w14:textId="77777777" w:rsidR="006251ED" w:rsidRPr="008A4486" w:rsidRDefault="006251ED" w:rsidP="008A4486">
            <w:pPr>
              <w:jc w:val="both"/>
              <w:rPr>
                <w:sz w:val="22"/>
                <w:szCs w:val="22"/>
              </w:rPr>
            </w:pPr>
          </w:p>
          <w:p w14:paraId="4843F31E" w14:textId="77777777" w:rsidR="006251ED" w:rsidRPr="008A4486" w:rsidRDefault="006251ED" w:rsidP="008A4486">
            <w:pPr>
              <w:jc w:val="both"/>
              <w:rPr>
                <w:sz w:val="22"/>
                <w:szCs w:val="22"/>
              </w:rPr>
            </w:pPr>
          </w:p>
          <w:p w14:paraId="71D29F0F" w14:textId="77777777" w:rsidR="006251ED" w:rsidRPr="008A4486" w:rsidRDefault="006251ED" w:rsidP="008A4486">
            <w:pPr>
              <w:jc w:val="both"/>
              <w:rPr>
                <w:sz w:val="22"/>
                <w:szCs w:val="22"/>
              </w:rPr>
            </w:pPr>
          </w:p>
          <w:p w14:paraId="382D087F" w14:textId="77777777" w:rsidR="006251ED" w:rsidRPr="008A4486" w:rsidRDefault="006251ED" w:rsidP="008A4486">
            <w:pPr>
              <w:jc w:val="both"/>
              <w:rPr>
                <w:sz w:val="22"/>
                <w:szCs w:val="22"/>
              </w:rPr>
            </w:pPr>
          </w:p>
          <w:p w14:paraId="39614645" w14:textId="41D33D1B" w:rsidR="006251ED" w:rsidRPr="008A4486" w:rsidRDefault="006251ED" w:rsidP="008A4486">
            <w:pPr>
              <w:jc w:val="both"/>
              <w:rPr>
                <w:b/>
                <w:sz w:val="22"/>
                <w:szCs w:val="22"/>
              </w:rPr>
            </w:pPr>
          </w:p>
        </w:tc>
        <w:tc>
          <w:tcPr>
            <w:tcW w:w="4819" w:type="dxa"/>
          </w:tcPr>
          <w:p w14:paraId="7B7BA3E9" w14:textId="77777777" w:rsidR="006251ED" w:rsidRPr="008A4486" w:rsidRDefault="006251ED" w:rsidP="008A4486">
            <w:pPr>
              <w:jc w:val="both"/>
              <w:rPr>
                <w:bCs/>
                <w:sz w:val="22"/>
                <w:szCs w:val="22"/>
              </w:rPr>
            </w:pPr>
            <w:r w:rsidRPr="008A4486">
              <w:rPr>
                <w:b/>
                <w:sz w:val="22"/>
                <w:szCs w:val="22"/>
              </w:rPr>
              <w:lastRenderedPageBreak/>
              <w:t xml:space="preserve">Indicator 1.2.1: # </w:t>
            </w:r>
            <w:r w:rsidRPr="008A4486">
              <w:rPr>
                <w:bCs/>
                <w:sz w:val="22"/>
                <w:szCs w:val="22"/>
              </w:rPr>
              <w:t>of LGAs with functioning relevant information management system capturing and generating data on VAWC (GBV, VAC, TIP) data.</w:t>
            </w:r>
          </w:p>
          <w:p w14:paraId="514C175B" w14:textId="77777777" w:rsidR="006251ED" w:rsidRPr="008A4486" w:rsidRDefault="006251ED" w:rsidP="008A4486">
            <w:pPr>
              <w:jc w:val="both"/>
              <w:rPr>
                <w:b/>
                <w:sz w:val="22"/>
                <w:szCs w:val="22"/>
              </w:rPr>
            </w:pPr>
          </w:p>
          <w:p w14:paraId="6F28E5AF" w14:textId="77777777" w:rsidR="006251ED" w:rsidRPr="008A4486" w:rsidRDefault="006251ED" w:rsidP="008A4486">
            <w:pPr>
              <w:jc w:val="both"/>
              <w:rPr>
                <w:b/>
                <w:sz w:val="22"/>
                <w:szCs w:val="22"/>
              </w:rPr>
            </w:pPr>
            <w:r w:rsidRPr="008A4486">
              <w:rPr>
                <w:b/>
                <w:sz w:val="22"/>
                <w:szCs w:val="22"/>
              </w:rPr>
              <w:t xml:space="preserve">Baseline: </w:t>
            </w:r>
            <w:r w:rsidRPr="008A4486">
              <w:rPr>
                <w:bCs/>
                <w:sz w:val="22"/>
                <w:szCs w:val="22"/>
              </w:rPr>
              <w:t>4 LGAs</w:t>
            </w:r>
          </w:p>
          <w:p w14:paraId="0F004C6F" w14:textId="77777777" w:rsidR="006251ED" w:rsidRPr="008A4486" w:rsidRDefault="006251ED" w:rsidP="008A4486">
            <w:pPr>
              <w:jc w:val="both"/>
              <w:rPr>
                <w:b/>
                <w:sz w:val="22"/>
                <w:szCs w:val="22"/>
              </w:rPr>
            </w:pPr>
          </w:p>
          <w:p w14:paraId="643A180B" w14:textId="1980FA7F" w:rsidR="006251ED" w:rsidRPr="008A4486" w:rsidRDefault="006251ED" w:rsidP="00DD3218">
            <w:pPr>
              <w:pStyle w:val="BodyText"/>
              <w:jc w:val="both"/>
              <w:rPr>
                <w:rFonts w:ascii="Times New Roman" w:hAnsi="Times New Roman" w:cs="Times New Roman"/>
                <w:bCs/>
                <w:sz w:val="22"/>
                <w:szCs w:val="22"/>
              </w:rPr>
            </w:pPr>
            <w:r w:rsidRPr="008A4486">
              <w:rPr>
                <w:rFonts w:ascii="Times New Roman" w:hAnsi="Times New Roman" w:cs="Times New Roman"/>
                <w:b/>
                <w:sz w:val="22"/>
                <w:szCs w:val="22"/>
              </w:rPr>
              <w:t xml:space="preserve">Planned Target: </w:t>
            </w:r>
            <w:r w:rsidRPr="008A4486">
              <w:rPr>
                <w:rFonts w:ascii="Times New Roman" w:hAnsi="Times New Roman" w:cs="Times New Roman"/>
                <w:bCs/>
                <w:sz w:val="22"/>
                <w:szCs w:val="22"/>
              </w:rPr>
              <w:t>4 LGAs</w:t>
            </w:r>
          </w:p>
        </w:tc>
        <w:tc>
          <w:tcPr>
            <w:tcW w:w="4111" w:type="dxa"/>
            <w:shd w:val="clear" w:color="auto" w:fill="auto"/>
          </w:tcPr>
          <w:p w14:paraId="7B1D83B6" w14:textId="3FF81574" w:rsidR="006251ED" w:rsidRPr="008A4486" w:rsidRDefault="006251ED" w:rsidP="38525CFC">
            <w:pPr>
              <w:pStyle w:val="BodyText"/>
              <w:jc w:val="both"/>
              <w:rPr>
                <w:rFonts w:ascii="Times New Roman" w:hAnsi="Times New Roman" w:cs="Times New Roman"/>
                <w:sz w:val="22"/>
                <w:szCs w:val="22"/>
              </w:rPr>
            </w:pPr>
            <w:r w:rsidRPr="38525CFC">
              <w:rPr>
                <w:rFonts w:ascii="Times New Roman" w:hAnsi="Times New Roman" w:cs="Times New Roman"/>
                <w:sz w:val="22"/>
                <w:szCs w:val="22"/>
              </w:rPr>
              <w:t xml:space="preserve">8 LGAs </w:t>
            </w:r>
            <w:r w:rsidR="764010E0" w:rsidRPr="38525CFC">
              <w:rPr>
                <w:rFonts w:ascii="Times New Roman" w:hAnsi="Times New Roman" w:cs="Times New Roman"/>
                <w:sz w:val="22"/>
                <w:szCs w:val="22"/>
              </w:rPr>
              <w:t>have</w:t>
            </w:r>
            <w:r w:rsidRPr="38525CFC">
              <w:rPr>
                <w:rFonts w:ascii="Times New Roman" w:hAnsi="Times New Roman" w:cs="Times New Roman"/>
                <w:sz w:val="22"/>
                <w:szCs w:val="22"/>
              </w:rPr>
              <w:t xml:space="preserve"> functioning system on District Child Monitoring Information Management System (DCMIS) and Civil Registration and Vital Statistics (CRVS) system.</w:t>
            </w:r>
          </w:p>
          <w:p w14:paraId="3652C797" w14:textId="77777777" w:rsidR="006251ED" w:rsidRPr="008A4486" w:rsidRDefault="006251ED" w:rsidP="00DD3218">
            <w:pPr>
              <w:pStyle w:val="BodyText"/>
              <w:jc w:val="both"/>
              <w:rPr>
                <w:rFonts w:ascii="Times New Roman" w:hAnsi="Times New Roman" w:cs="Times New Roman"/>
                <w:bCs/>
                <w:sz w:val="22"/>
                <w:szCs w:val="22"/>
                <w:highlight w:val="cyan"/>
              </w:rPr>
            </w:pPr>
          </w:p>
          <w:p w14:paraId="20BFCA0B" w14:textId="159AB844" w:rsidR="006251ED" w:rsidRPr="008A4486" w:rsidRDefault="006251ED" w:rsidP="38525CFC">
            <w:pPr>
              <w:pStyle w:val="BodyText"/>
              <w:jc w:val="both"/>
              <w:rPr>
                <w:rFonts w:ascii="Times New Roman" w:hAnsi="Times New Roman" w:cs="Times New Roman"/>
                <w:sz w:val="22"/>
                <w:szCs w:val="22"/>
                <w:highlight w:val="cyan"/>
              </w:rPr>
            </w:pPr>
          </w:p>
        </w:tc>
        <w:tc>
          <w:tcPr>
            <w:tcW w:w="1559" w:type="dxa"/>
            <w:shd w:val="clear" w:color="auto" w:fill="auto"/>
          </w:tcPr>
          <w:p w14:paraId="78B6C7D5" w14:textId="77777777" w:rsidR="006251ED" w:rsidRPr="008A4486" w:rsidRDefault="006251ED" w:rsidP="00DD3218">
            <w:pPr>
              <w:pStyle w:val="BodyText"/>
              <w:jc w:val="both"/>
              <w:rPr>
                <w:rFonts w:ascii="Times New Roman" w:hAnsi="Times New Roman" w:cs="Times New Roman"/>
                <w:bCs/>
                <w:sz w:val="22"/>
                <w:szCs w:val="22"/>
              </w:rPr>
            </w:pPr>
          </w:p>
        </w:tc>
        <w:tc>
          <w:tcPr>
            <w:tcW w:w="1985" w:type="dxa"/>
            <w:shd w:val="clear" w:color="auto" w:fill="auto"/>
          </w:tcPr>
          <w:p w14:paraId="171D2D4B" w14:textId="77777777" w:rsidR="006251ED" w:rsidRPr="008A4486" w:rsidRDefault="006251ED" w:rsidP="00DD3218">
            <w:pPr>
              <w:pStyle w:val="BodyText"/>
              <w:jc w:val="both"/>
              <w:rPr>
                <w:rFonts w:ascii="Times New Roman" w:hAnsi="Times New Roman" w:cs="Times New Roman"/>
                <w:bCs/>
                <w:sz w:val="22"/>
                <w:szCs w:val="22"/>
              </w:rPr>
            </w:pPr>
          </w:p>
          <w:p w14:paraId="555F53E9" w14:textId="77777777" w:rsidR="006251ED" w:rsidRPr="008A4486" w:rsidRDefault="006251ED" w:rsidP="00DD3218">
            <w:pPr>
              <w:pStyle w:val="BodyText"/>
              <w:jc w:val="both"/>
              <w:rPr>
                <w:rFonts w:ascii="Times New Roman" w:hAnsi="Times New Roman" w:cs="Times New Roman"/>
                <w:bCs/>
                <w:sz w:val="22"/>
                <w:szCs w:val="22"/>
              </w:rPr>
            </w:pPr>
            <w:r w:rsidRPr="008A4486">
              <w:rPr>
                <w:rFonts w:ascii="Times New Roman" w:hAnsi="Times New Roman" w:cs="Times New Roman"/>
                <w:bCs/>
                <w:sz w:val="22"/>
                <w:szCs w:val="22"/>
              </w:rPr>
              <w:t>Project Implementation</w:t>
            </w:r>
          </w:p>
        </w:tc>
      </w:tr>
      <w:tr w:rsidR="00134E94" w:rsidRPr="00134E94" w14:paraId="7074D690" w14:textId="77777777" w:rsidTr="38525CFC">
        <w:trPr>
          <w:trHeight w:val="2127"/>
        </w:trPr>
        <w:tc>
          <w:tcPr>
            <w:tcW w:w="2347" w:type="dxa"/>
            <w:vMerge/>
          </w:tcPr>
          <w:p w14:paraId="156B0FFA" w14:textId="77777777" w:rsidR="006251ED" w:rsidRPr="008A4486" w:rsidRDefault="006251ED" w:rsidP="008A4486">
            <w:pPr>
              <w:jc w:val="both"/>
              <w:rPr>
                <w:bCs/>
                <w:sz w:val="22"/>
                <w:szCs w:val="22"/>
              </w:rPr>
            </w:pPr>
          </w:p>
        </w:tc>
        <w:tc>
          <w:tcPr>
            <w:tcW w:w="4819" w:type="dxa"/>
            <w:tcBorders>
              <w:bottom w:val="single" w:sz="4" w:space="0" w:color="auto"/>
            </w:tcBorders>
          </w:tcPr>
          <w:p w14:paraId="06277639" w14:textId="77777777" w:rsidR="006251ED" w:rsidRPr="008A4486" w:rsidRDefault="006251ED" w:rsidP="008A4486">
            <w:pPr>
              <w:jc w:val="both"/>
              <w:rPr>
                <w:b/>
                <w:sz w:val="22"/>
                <w:szCs w:val="22"/>
              </w:rPr>
            </w:pPr>
            <w:r w:rsidRPr="008A4486">
              <w:rPr>
                <w:b/>
                <w:sz w:val="22"/>
                <w:szCs w:val="22"/>
              </w:rPr>
              <w:t>Indicator 1.2.2:</w:t>
            </w:r>
            <w:r w:rsidRPr="008A4486">
              <w:rPr>
                <w:bCs/>
                <w:sz w:val="22"/>
                <w:szCs w:val="22"/>
              </w:rPr>
              <w:t xml:space="preserve"> # of service delivery providers with knowledge and skills to ensure the availability of quality, gender responsive and inclusive services in line with national guidelines (Disaggregated by type of service provider of service e.g., HRH, education etc</w:t>
            </w:r>
            <w:r w:rsidRPr="008A4486">
              <w:rPr>
                <w:b/>
                <w:sz w:val="22"/>
                <w:szCs w:val="22"/>
              </w:rPr>
              <w:t>.)</w:t>
            </w:r>
          </w:p>
          <w:p w14:paraId="32EF2912" w14:textId="77777777" w:rsidR="006251ED" w:rsidRPr="008A4486" w:rsidRDefault="006251ED" w:rsidP="008A4486">
            <w:pPr>
              <w:jc w:val="both"/>
              <w:rPr>
                <w:b/>
                <w:sz w:val="22"/>
                <w:szCs w:val="22"/>
              </w:rPr>
            </w:pPr>
          </w:p>
          <w:p w14:paraId="1C077281" w14:textId="77777777" w:rsidR="006251ED" w:rsidRPr="008A4486" w:rsidRDefault="006251ED" w:rsidP="008A4486">
            <w:pPr>
              <w:jc w:val="both"/>
              <w:rPr>
                <w:bCs/>
                <w:sz w:val="22"/>
                <w:szCs w:val="22"/>
              </w:rPr>
            </w:pPr>
            <w:r w:rsidRPr="008A4486">
              <w:rPr>
                <w:b/>
                <w:sz w:val="22"/>
                <w:szCs w:val="22"/>
              </w:rPr>
              <w:t>Baseline:</w:t>
            </w:r>
            <w:r w:rsidRPr="008A4486">
              <w:rPr>
                <w:sz w:val="22"/>
                <w:szCs w:val="22"/>
              </w:rPr>
              <w:t xml:space="preserve"> </w:t>
            </w:r>
            <w:r w:rsidRPr="008A4486">
              <w:rPr>
                <w:bCs/>
                <w:sz w:val="22"/>
                <w:szCs w:val="22"/>
              </w:rPr>
              <w:t>706 (123 Fit families, 174 Police Officers, 20 Court Officers, 359 CHWs, 13 SWOs and 17 CDOs)</w:t>
            </w:r>
          </w:p>
          <w:p w14:paraId="15F003C7" w14:textId="71FA49C8" w:rsidR="006251ED" w:rsidRPr="008A4486" w:rsidRDefault="006251ED" w:rsidP="008A4486">
            <w:pPr>
              <w:jc w:val="both"/>
              <w:rPr>
                <w:bCs/>
                <w:sz w:val="22"/>
                <w:szCs w:val="22"/>
              </w:rPr>
            </w:pPr>
            <w:r w:rsidRPr="008A4486">
              <w:rPr>
                <w:b/>
                <w:sz w:val="22"/>
                <w:szCs w:val="22"/>
              </w:rPr>
              <w:t>Planned Target:</w:t>
            </w:r>
            <w:r w:rsidRPr="008A4486">
              <w:rPr>
                <w:sz w:val="22"/>
                <w:szCs w:val="22"/>
              </w:rPr>
              <w:t xml:space="preserve"> </w:t>
            </w:r>
            <w:r w:rsidRPr="008A4486">
              <w:rPr>
                <w:bCs/>
                <w:sz w:val="22"/>
                <w:szCs w:val="22"/>
              </w:rPr>
              <w:t>862 key frontline workers/service providers.</w:t>
            </w:r>
          </w:p>
        </w:tc>
        <w:tc>
          <w:tcPr>
            <w:tcW w:w="4111" w:type="dxa"/>
            <w:tcBorders>
              <w:bottom w:val="single" w:sz="4" w:space="0" w:color="auto"/>
            </w:tcBorders>
            <w:shd w:val="clear" w:color="auto" w:fill="auto"/>
          </w:tcPr>
          <w:p w14:paraId="4750AD68" w14:textId="23B94746" w:rsidR="006251ED" w:rsidRPr="008A4486" w:rsidRDefault="006251ED" w:rsidP="008A4486">
            <w:pPr>
              <w:pStyle w:val="BodyText"/>
              <w:jc w:val="both"/>
              <w:rPr>
                <w:rFonts w:ascii="Times New Roman" w:hAnsi="Times New Roman" w:cs="Times New Roman"/>
                <w:bCs/>
                <w:sz w:val="22"/>
                <w:szCs w:val="22"/>
              </w:rPr>
            </w:pPr>
            <w:r w:rsidRPr="008A4486">
              <w:rPr>
                <w:rFonts w:ascii="Times New Roman" w:hAnsi="Times New Roman" w:cs="Times New Roman"/>
                <w:bCs/>
                <w:sz w:val="22"/>
                <w:szCs w:val="22"/>
              </w:rPr>
              <w:t>24 essential personnel engaged in child justice, comprising judges, public prosecutors, paralegals, and social welfare officers, underwent specialized training.</w:t>
            </w:r>
          </w:p>
          <w:p w14:paraId="30656675" w14:textId="77777777" w:rsidR="00134E94" w:rsidRPr="008A4486" w:rsidRDefault="00134E94" w:rsidP="00DD3218">
            <w:pPr>
              <w:pStyle w:val="BodyText"/>
              <w:jc w:val="both"/>
              <w:rPr>
                <w:rFonts w:ascii="Times New Roman" w:hAnsi="Times New Roman" w:cs="Times New Roman"/>
                <w:bCs/>
                <w:sz w:val="22"/>
                <w:szCs w:val="22"/>
              </w:rPr>
            </w:pPr>
          </w:p>
          <w:p w14:paraId="7D194279" w14:textId="645873F5" w:rsidR="006251ED" w:rsidRPr="008A4486" w:rsidRDefault="006251ED" w:rsidP="008A4486">
            <w:pPr>
              <w:pStyle w:val="BodyText"/>
              <w:jc w:val="both"/>
              <w:rPr>
                <w:rFonts w:ascii="Times New Roman" w:hAnsi="Times New Roman" w:cs="Times New Roman"/>
                <w:bCs/>
                <w:sz w:val="22"/>
                <w:szCs w:val="22"/>
              </w:rPr>
            </w:pPr>
            <w:r w:rsidRPr="008A4486">
              <w:rPr>
                <w:rFonts w:ascii="Times New Roman" w:hAnsi="Times New Roman" w:cs="Times New Roman"/>
                <w:bCs/>
                <w:sz w:val="22"/>
                <w:szCs w:val="22"/>
              </w:rPr>
              <w:t xml:space="preserve">Capacity of 32 members, (13 females and 19 males), from four ward committees enhanced on understanding of TIP dynamics and response mechanisms in the region. </w:t>
            </w:r>
          </w:p>
          <w:p w14:paraId="2D19D739" w14:textId="77777777" w:rsidR="00134E94" w:rsidRPr="008A4486" w:rsidRDefault="00134E94" w:rsidP="00DD3218">
            <w:pPr>
              <w:pStyle w:val="BodyText"/>
              <w:jc w:val="both"/>
              <w:rPr>
                <w:rFonts w:ascii="Times New Roman" w:hAnsi="Times New Roman" w:cs="Times New Roman"/>
                <w:bCs/>
                <w:sz w:val="22"/>
                <w:szCs w:val="22"/>
              </w:rPr>
            </w:pPr>
          </w:p>
          <w:p w14:paraId="4D18180A" w14:textId="12539F7A" w:rsidR="006251ED" w:rsidRPr="008A4486" w:rsidRDefault="006251ED" w:rsidP="008A4486">
            <w:pPr>
              <w:pStyle w:val="BodyText"/>
              <w:jc w:val="both"/>
              <w:rPr>
                <w:rFonts w:ascii="Times New Roman" w:hAnsi="Times New Roman" w:cs="Times New Roman"/>
                <w:bCs/>
                <w:sz w:val="22"/>
                <w:szCs w:val="22"/>
              </w:rPr>
            </w:pPr>
            <w:r w:rsidRPr="008A4486">
              <w:rPr>
                <w:rFonts w:ascii="Times New Roman" w:hAnsi="Times New Roman" w:cs="Times New Roman"/>
                <w:bCs/>
                <w:sz w:val="22"/>
                <w:szCs w:val="22"/>
              </w:rPr>
              <w:t>5 additional Fit Families oriented on Family Alternative Care of Children guideline.</w:t>
            </w:r>
          </w:p>
        </w:tc>
        <w:tc>
          <w:tcPr>
            <w:tcW w:w="1559" w:type="dxa"/>
            <w:tcBorders>
              <w:bottom w:val="single" w:sz="4" w:space="0" w:color="auto"/>
            </w:tcBorders>
            <w:shd w:val="clear" w:color="auto" w:fill="auto"/>
          </w:tcPr>
          <w:p w14:paraId="305F09AE" w14:textId="77777777" w:rsidR="006251ED" w:rsidRPr="008A4486" w:rsidRDefault="006251ED" w:rsidP="00DD3218">
            <w:pPr>
              <w:pStyle w:val="BodyText"/>
              <w:jc w:val="both"/>
              <w:rPr>
                <w:rFonts w:ascii="Times New Roman" w:hAnsi="Times New Roman" w:cs="Times New Roman"/>
                <w:bCs/>
                <w:sz w:val="22"/>
                <w:szCs w:val="22"/>
              </w:rPr>
            </w:pPr>
          </w:p>
        </w:tc>
        <w:tc>
          <w:tcPr>
            <w:tcW w:w="1985" w:type="dxa"/>
            <w:tcBorders>
              <w:bottom w:val="single" w:sz="4" w:space="0" w:color="auto"/>
            </w:tcBorders>
            <w:shd w:val="clear" w:color="auto" w:fill="auto"/>
          </w:tcPr>
          <w:p w14:paraId="49032E14" w14:textId="77777777" w:rsidR="006251ED" w:rsidRPr="008A4486" w:rsidRDefault="006251ED" w:rsidP="00DD3218">
            <w:pPr>
              <w:pStyle w:val="BodyText"/>
              <w:jc w:val="both"/>
              <w:rPr>
                <w:rFonts w:ascii="Times New Roman" w:hAnsi="Times New Roman" w:cs="Times New Roman"/>
                <w:bCs/>
                <w:sz w:val="22"/>
                <w:szCs w:val="22"/>
              </w:rPr>
            </w:pPr>
          </w:p>
          <w:p w14:paraId="1A0B9540" w14:textId="77777777" w:rsidR="006251ED" w:rsidRPr="008A4486" w:rsidRDefault="006251ED" w:rsidP="00DD3218">
            <w:pPr>
              <w:pStyle w:val="BodyText"/>
              <w:jc w:val="both"/>
              <w:rPr>
                <w:rFonts w:ascii="Times New Roman" w:hAnsi="Times New Roman" w:cs="Times New Roman"/>
                <w:bCs/>
                <w:sz w:val="22"/>
                <w:szCs w:val="22"/>
              </w:rPr>
            </w:pPr>
          </w:p>
          <w:p w14:paraId="496985E0" w14:textId="77777777" w:rsidR="006251ED" w:rsidRPr="008A4486" w:rsidRDefault="006251ED" w:rsidP="00DD3218">
            <w:pPr>
              <w:pStyle w:val="BodyText"/>
              <w:jc w:val="both"/>
              <w:rPr>
                <w:rFonts w:ascii="Times New Roman" w:hAnsi="Times New Roman" w:cs="Times New Roman"/>
                <w:bCs/>
                <w:sz w:val="22"/>
                <w:szCs w:val="22"/>
              </w:rPr>
            </w:pPr>
          </w:p>
          <w:p w14:paraId="7041C31B" w14:textId="77777777" w:rsidR="006251ED" w:rsidRPr="008A4486" w:rsidRDefault="006251ED" w:rsidP="00DD3218">
            <w:pPr>
              <w:pStyle w:val="BodyText"/>
              <w:jc w:val="both"/>
              <w:rPr>
                <w:rFonts w:ascii="Times New Roman" w:hAnsi="Times New Roman" w:cs="Times New Roman"/>
                <w:bCs/>
                <w:sz w:val="22"/>
                <w:szCs w:val="22"/>
              </w:rPr>
            </w:pPr>
          </w:p>
          <w:p w14:paraId="25E6CFC2" w14:textId="77777777" w:rsidR="006251ED" w:rsidRPr="008A4486" w:rsidRDefault="006251ED" w:rsidP="00DD3218">
            <w:pPr>
              <w:pStyle w:val="BodyText"/>
              <w:jc w:val="both"/>
              <w:rPr>
                <w:rFonts w:ascii="Times New Roman" w:hAnsi="Times New Roman" w:cs="Times New Roman"/>
                <w:bCs/>
                <w:sz w:val="22"/>
                <w:szCs w:val="22"/>
              </w:rPr>
            </w:pPr>
          </w:p>
          <w:p w14:paraId="22BCFD27" w14:textId="77777777" w:rsidR="006251ED" w:rsidRPr="008A4486" w:rsidRDefault="006251ED" w:rsidP="00DD3218">
            <w:pPr>
              <w:pStyle w:val="BodyText"/>
              <w:jc w:val="both"/>
              <w:rPr>
                <w:rFonts w:ascii="Times New Roman" w:hAnsi="Times New Roman" w:cs="Times New Roman"/>
                <w:bCs/>
                <w:sz w:val="22"/>
                <w:szCs w:val="22"/>
              </w:rPr>
            </w:pPr>
          </w:p>
          <w:p w14:paraId="47487312" w14:textId="77777777" w:rsidR="006251ED" w:rsidRPr="008A4486" w:rsidRDefault="006251ED" w:rsidP="00DD3218">
            <w:pPr>
              <w:pStyle w:val="BodyText"/>
              <w:jc w:val="both"/>
              <w:rPr>
                <w:rFonts w:ascii="Times New Roman" w:hAnsi="Times New Roman" w:cs="Times New Roman"/>
                <w:bCs/>
                <w:sz w:val="22"/>
                <w:szCs w:val="22"/>
              </w:rPr>
            </w:pPr>
          </w:p>
          <w:p w14:paraId="41735254" w14:textId="77777777" w:rsidR="006251ED" w:rsidRPr="008A4486" w:rsidRDefault="006251ED" w:rsidP="00DD3218">
            <w:pPr>
              <w:pStyle w:val="BodyText"/>
              <w:jc w:val="both"/>
              <w:rPr>
                <w:rFonts w:ascii="Times New Roman" w:hAnsi="Times New Roman" w:cs="Times New Roman"/>
                <w:bCs/>
                <w:sz w:val="22"/>
                <w:szCs w:val="22"/>
              </w:rPr>
            </w:pPr>
          </w:p>
          <w:p w14:paraId="002A43BA" w14:textId="77777777" w:rsidR="006251ED" w:rsidRPr="008A4486" w:rsidRDefault="006251ED" w:rsidP="00DD3218">
            <w:pPr>
              <w:pStyle w:val="BodyText"/>
              <w:jc w:val="both"/>
              <w:rPr>
                <w:rFonts w:ascii="Times New Roman" w:hAnsi="Times New Roman" w:cs="Times New Roman"/>
                <w:bCs/>
                <w:sz w:val="22"/>
                <w:szCs w:val="22"/>
              </w:rPr>
            </w:pPr>
            <w:r w:rsidRPr="008A4486">
              <w:rPr>
                <w:rFonts w:ascii="Times New Roman" w:hAnsi="Times New Roman" w:cs="Times New Roman"/>
                <w:bCs/>
                <w:sz w:val="22"/>
                <w:szCs w:val="22"/>
              </w:rPr>
              <w:t>Project Implementation report and training reports</w:t>
            </w:r>
          </w:p>
        </w:tc>
      </w:tr>
      <w:tr w:rsidR="00134E94" w:rsidRPr="00134E94" w14:paraId="40D40225" w14:textId="77777777" w:rsidTr="38525CFC">
        <w:trPr>
          <w:trHeight w:val="2220"/>
        </w:trPr>
        <w:tc>
          <w:tcPr>
            <w:tcW w:w="2347" w:type="dxa"/>
            <w:vMerge/>
          </w:tcPr>
          <w:p w14:paraId="5AE6E590" w14:textId="19984B27" w:rsidR="006251ED" w:rsidRPr="008A4486" w:rsidRDefault="006251ED" w:rsidP="008A4486">
            <w:pPr>
              <w:jc w:val="both"/>
              <w:rPr>
                <w:sz w:val="22"/>
                <w:szCs w:val="22"/>
              </w:rPr>
            </w:pPr>
          </w:p>
        </w:tc>
        <w:tc>
          <w:tcPr>
            <w:tcW w:w="4819" w:type="dxa"/>
            <w:tcBorders>
              <w:top w:val="single" w:sz="4" w:space="0" w:color="auto"/>
            </w:tcBorders>
          </w:tcPr>
          <w:p w14:paraId="13DAD5C0" w14:textId="77777777" w:rsidR="006251ED" w:rsidRPr="008A4486" w:rsidRDefault="006251ED" w:rsidP="008A4486">
            <w:pPr>
              <w:jc w:val="both"/>
              <w:rPr>
                <w:sz w:val="22"/>
                <w:szCs w:val="22"/>
              </w:rPr>
            </w:pPr>
            <w:r w:rsidRPr="008A4486">
              <w:rPr>
                <w:b/>
                <w:bCs/>
                <w:sz w:val="22"/>
                <w:szCs w:val="22"/>
              </w:rPr>
              <w:t>Indicator 1.2.3</w:t>
            </w:r>
            <w:r w:rsidRPr="008A4486">
              <w:rPr>
                <w:sz w:val="22"/>
                <w:szCs w:val="22"/>
              </w:rPr>
              <w:t>: # of victims of trafficking and survivors of violence that benefited from the protection and assistance services.</w:t>
            </w:r>
          </w:p>
          <w:p w14:paraId="4D46DF52" w14:textId="77777777" w:rsidR="006251ED" w:rsidRPr="008A4486" w:rsidRDefault="006251ED" w:rsidP="008A4486">
            <w:pPr>
              <w:jc w:val="both"/>
              <w:rPr>
                <w:sz w:val="22"/>
                <w:szCs w:val="22"/>
              </w:rPr>
            </w:pPr>
            <w:r w:rsidRPr="008A4486">
              <w:rPr>
                <w:b/>
                <w:bCs/>
                <w:sz w:val="22"/>
                <w:szCs w:val="22"/>
              </w:rPr>
              <w:t>Baseline:</w:t>
            </w:r>
            <w:r w:rsidRPr="008A4486">
              <w:rPr>
                <w:sz w:val="22"/>
                <w:szCs w:val="22"/>
              </w:rPr>
              <w:t xml:space="preserve"> 0</w:t>
            </w:r>
          </w:p>
          <w:p w14:paraId="71350C8C" w14:textId="32F22BF3" w:rsidR="006251ED" w:rsidRPr="008A4486" w:rsidRDefault="006251ED" w:rsidP="00DD3218">
            <w:pPr>
              <w:pStyle w:val="BodyText"/>
              <w:jc w:val="both"/>
              <w:rPr>
                <w:rFonts w:ascii="Times New Roman" w:hAnsi="Times New Roman" w:cs="Times New Roman"/>
                <w:bCs/>
                <w:sz w:val="22"/>
                <w:szCs w:val="22"/>
              </w:rPr>
            </w:pPr>
            <w:r w:rsidRPr="008A4486">
              <w:rPr>
                <w:rFonts w:ascii="Times New Roman" w:hAnsi="Times New Roman" w:cs="Times New Roman"/>
                <w:b/>
                <w:bCs/>
                <w:sz w:val="22"/>
                <w:szCs w:val="22"/>
              </w:rPr>
              <w:t>Planned Target:</w:t>
            </w:r>
            <w:r w:rsidRPr="008A4486">
              <w:rPr>
                <w:rFonts w:ascii="Times New Roman" w:hAnsi="Times New Roman" w:cs="Times New Roman"/>
                <w:sz w:val="22"/>
                <w:szCs w:val="22"/>
              </w:rPr>
              <w:t xml:space="preserve"> 20 (15 women &amp; girls and 5 boys)</w:t>
            </w:r>
          </w:p>
        </w:tc>
        <w:tc>
          <w:tcPr>
            <w:tcW w:w="4111" w:type="dxa"/>
            <w:tcBorders>
              <w:top w:val="single" w:sz="4" w:space="0" w:color="auto"/>
            </w:tcBorders>
            <w:shd w:val="clear" w:color="auto" w:fill="auto"/>
          </w:tcPr>
          <w:p w14:paraId="4534E1FA" w14:textId="77777777" w:rsidR="006251ED" w:rsidRPr="008A4486" w:rsidRDefault="006251ED" w:rsidP="008A4486">
            <w:pPr>
              <w:pStyle w:val="BodyText"/>
              <w:jc w:val="both"/>
              <w:rPr>
                <w:rFonts w:ascii="Times New Roman" w:hAnsi="Times New Roman" w:cs="Times New Roman"/>
                <w:bCs/>
                <w:sz w:val="22"/>
                <w:szCs w:val="22"/>
              </w:rPr>
            </w:pPr>
            <w:r w:rsidRPr="008A4486">
              <w:rPr>
                <w:rFonts w:ascii="Times New Roman" w:hAnsi="Times New Roman" w:cs="Times New Roman"/>
                <w:bCs/>
                <w:sz w:val="22"/>
                <w:szCs w:val="22"/>
              </w:rPr>
              <w:t>1 girl victim of trafficking and 23 survivors of violence comprising 7 boys, 13 girls, and 3 women received vital support services.</w:t>
            </w:r>
            <w:r w:rsidRPr="008A4486">
              <w:rPr>
                <w:rFonts w:ascii="Times New Roman" w:hAnsi="Times New Roman" w:cs="Times New Roman"/>
                <w:sz w:val="22"/>
                <w:szCs w:val="22"/>
              </w:rPr>
              <w:t xml:space="preserve"> </w:t>
            </w:r>
          </w:p>
          <w:p w14:paraId="7FDB0F90" w14:textId="77777777" w:rsidR="00134E94" w:rsidRPr="008A4486" w:rsidRDefault="00134E94" w:rsidP="00DD3218">
            <w:pPr>
              <w:pStyle w:val="BodyText"/>
              <w:jc w:val="both"/>
              <w:rPr>
                <w:rFonts w:ascii="Times New Roman" w:hAnsi="Times New Roman" w:cs="Times New Roman"/>
                <w:bCs/>
                <w:sz w:val="22"/>
                <w:szCs w:val="22"/>
              </w:rPr>
            </w:pPr>
          </w:p>
          <w:p w14:paraId="18CE0C50" w14:textId="6C407525" w:rsidR="006251ED" w:rsidRPr="008A4486" w:rsidRDefault="006251ED" w:rsidP="008A4486">
            <w:pPr>
              <w:pStyle w:val="BodyText"/>
              <w:jc w:val="both"/>
              <w:rPr>
                <w:rFonts w:ascii="Times New Roman" w:hAnsi="Times New Roman" w:cs="Times New Roman"/>
                <w:bCs/>
                <w:sz w:val="22"/>
                <w:szCs w:val="22"/>
              </w:rPr>
            </w:pPr>
            <w:r w:rsidRPr="008A4486">
              <w:rPr>
                <w:rFonts w:ascii="Times New Roman" w:hAnsi="Times New Roman" w:cs="Times New Roman"/>
                <w:bCs/>
                <w:sz w:val="22"/>
                <w:szCs w:val="22"/>
              </w:rPr>
              <w:t>271 survivors of violence against children (154 girls and 117 boys) received child-focused case management services,68 identified as children with disabilities),</w:t>
            </w:r>
          </w:p>
        </w:tc>
        <w:tc>
          <w:tcPr>
            <w:tcW w:w="1559" w:type="dxa"/>
            <w:tcBorders>
              <w:top w:val="single" w:sz="4" w:space="0" w:color="auto"/>
            </w:tcBorders>
            <w:shd w:val="clear" w:color="auto" w:fill="auto"/>
          </w:tcPr>
          <w:p w14:paraId="33BB2065" w14:textId="77777777" w:rsidR="006251ED" w:rsidRPr="008A4486" w:rsidRDefault="006251ED" w:rsidP="00DD3218">
            <w:pPr>
              <w:pStyle w:val="BodyText"/>
              <w:jc w:val="both"/>
              <w:rPr>
                <w:rFonts w:ascii="Times New Roman" w:hAnsi="Times New Roman" w:cs="Times New Roman"/>
                <w:bCs/>
                <w:sz w:val="22"/>
                <w:szCs w:val="22"/>
              </w:rPr>
            </w:pPr>
          </w:p>
        </w:tc>
        <w:tc>
          <w:tcPr>
            <w:tcW w:w="1985" w:type="dxa"/>
            <w:tcBorders>
              <w:top w:val="single" w:sz="4" w:space="0" w:color="auto"/>
            </w:tcBorders>
            <w:shd w:val="clear" w:color="auto" w:fill="auto"/>
          </w:tcPr>
          <w:p w14:paraId="2CD69989" w14:textId="77777777" w:rsidR="006251ED" w:rsidRPr="008A4486" w:rsidRDefault="006251ED" w:rsidP="00DD3218">
            <w:pPr>
              <w:pStyle w:val="BodyText"/>
              <w:jc w:val="both"/>
              <w:rPr>
                <w:rFonts w:ascii="Times New Roman" w:hAnsi="Times New Roman" w:cs="Times New Roman"/>
                <w:bCs/>
                <w:sz w:val="22"/>
                <w:szCs w:val="22"/>
              </w:rPr>
            </w:pPr>
          </w:p>
          <w:p w14:paraId="3FCCE440" w14:textId="77777777" w:rsidR="006251ED" w:rsidRPr="008A4486" w:rsidRDefault="006251ED" w:rsidP="00DD3218">
            <w:pPr>
              <w:pStyle w:val="BodyText"/>
              <w:jc w:val="both"/>
              <w:rPr>
                <w:rFonts w:ascii="Times New Roman" w:hAnsi="Times New Roman" w:cs="Times New Roman"/>
                <w:bCs/>
                <w:sz w:val="22"/>
                <w:szCs w:val="22"/>
              </w:rPr>
            </w:pPr>
          </w:p>
          <w:p w14:paraId="325D5008" w14:textId="77777777" w:rsidR="006251ED" w:rsidRPr="008A4486" w:rsidRDefault="006251ED" w:rsidP="00DD3218">
            <w:pPr>
              <w:pStyle w:val="BodyText"/>
              <w:jc w:val="both"/>
              <w:rPr>
                <w:rFonts w:ascii="Times New Roman" w:hAnsi="Times New Roman" w:cs="Times New Roman"/>
                <w:bCs/>
                <w:sz w:val="22"/>
                <w:szCs w:val="22"/>
              </w:rPr>
            </w:pPr>
            <w:r w:rsidRPr="008A4486">
              <w:rPr>
                <w:rFonts w:ascii="Times New Roman" w:hAnsi="Times New Roman" w:cs="Times New Roman"/>
                <w:bCs/>
                <w:sz w:val="22"/>
                <w:szCs w:val="22"/>
              </w:rPr>
              <w:t xml:space="preserve">Project Implementation report </w:t>
            </w:r>
          </w:p>
        </w:tc>
      </w:tr>
      <w:tr w:rsidR="00832C48" w:rsidRPr="00832C48" w14:paraId="0550E245" w14:textId="77777777" w:rsidTr="38525CFC">
        <w:tc>
          <w:tcPr>
            <w:tcW w:w="2347" w:type="dxa"/>
            <w:vMerge w:val="restart"/>
            <w:shd w:val="clear" w:color="auto" w:fill="auto"/>
          </w:tcPr>
          <w:p w14:paraId="20632AF9" w14:textId="77777777" w:rsidR="006251ED" w:rsidRPr="008A4486" w:rsidRDefault="006251ED" w:rsidP="00DD3218">
            <w:pPr>
              <w:pStyle w:val="BodyText"/>
              <w:jc w:val="both"/>
              <w:rPr>
                <w:rFonts w:ascii="Times New Roman" w:hAnsi="Times New Roman" w:cs="Times New Roman"/>
                <w:bCs/>
                <w:sz w:val="22"/>
                <w:szCs w:val="22"/>
              </w:rPr>
            </w:pPr>
            <w:r w:rsidRPr="008A4486">
              <w:rPr>
                <w:rFonts w:ascii="Times New Roman" w:hAnsi="Times New Roman" w:cs="Times New Roman"/>
                <w:b/>
                <w:sz w:val="22"/>
                <w:szCs w:val="22"/>
              </w:rPr>
              <w:t>Output 1.3:</w:t>
            </w:r>
            <w:r w:rsidRPr="008A4486">
              <w:rPr>
                <w:rFonts w:ascii="Times New Roman" w:hAnsi="Times New Roman" w:cs="Times New Roman"/>
                <w:bCs/>
                <w:sz w:val="22"/>
                <w:szCs w:val="22"/>
              </w:rPr>
              <w:t xml:space="preserve"> Community capacities to take up/adopt positive behaviors for uptake of education, WASH, Health, and Protection.</w:t>
            </w:r>
          </w:p>
          <w:p w14:paraId="17744AA8" w14:textId="77777777" w:rsidR="006251ED" w:rsidRPr="008A4486" w:rsidRDefault="006251ED" w:rsidP="00DD3218">
            <w:pPr>
              <w:pStyle w:val="BodyText"/>
              <w:jc w:val="both"/>
              <w:rPr>
                <w:rFonts w:ascii="Times New Roman" w:hAnsi="Times New Roman" w:cs="Times New Roman"/>
                <w:b/>
                <w:sz w:val="22"/>
                <w:szCs w:val="22"/>
              </w:rPr>
            </w:pPr>
          </w:p>
          <w:p w14:paraId="02465652" w14:textId="77777777" w:rsidR="006251ED" w:rsidRPr="008A4486" w:rsidRDefault="006251ED" w:rsidP="00DD3218">
            <w:pPr>
              <w:pStyle w:val="BodyText"/>
              <w:jc w:val="both"/>
              <w:rPr>
                <w:rFonts w:ascii="Times New Roman" w:hAnsi="Times New Roman" w:cs="Times New Roman"/>
                <w:bCs/>
                <w:sz w:val="22"/>
                <w:szCs w:val="22"/>
              </w:rPr>
            </w:pPr>
          </w:p>
          <w:p w14:paraId="5F6A392A" w14:textId="77777777" w:rsidR="006251ED" w:rsidRPr="008A4486" w:rsidRDefault="006251ED" w:rsidP="00DD3218">
            <w:pPr>
              <w:pStyle w:val="BodyText"/>
              <w:jc w:val="both"/>
              <w:rPr>
                <w:rFonts w:ascii="Times New Roman" w:hAnsi="Times New Roman" w:cs="Times New Roman"/>
                <w:bCs/>
                <w:sz w:val="22"/>
                <w:szCs w:val="22"/>
              </w:rPr>
            </w:pPr>
          </w:p>
          <w:p w14:paraId="091FF501" w14:textId="77777777" w:rsidR="006251ED" w:rsidRPr="008A4486" w:rsidRDefault="006251ED" w:rsidP="00DD3218">
            <w:pPr>
              <w:pStyle w:val="BodyText"/>
              <w:jc w:val="both"/>
              <w:rPr>
                <w:rFonts w:ascii="Times New Roman" w:hAnsi="Times New Roman" w:cs="Times New Roman"/>
                <w:bCs/>
                <w:sz w:val="22"/>
                <w:szCs w:val="22"/>
              </w:rPr>
            </w:pPr>
          </w:p>
          <w:p w14:paraId="2A06CB55" w14:textId="77777777" w:rsidR="006251ED" w:rsidRPr="008A4486" w:rsidRDefault="006251ED" w:rsidP="00DD3218">
            <w:pPr>
              <w:pStyle w:val="BodyText"/>
              <w:jc w:val="both"/>
              <w:rPr>
                <w:rFonts w:ascii="Times New Roman" w:hAnsi="Times New Roman" w:cs="Times New Roman"/>
                <w:bCs/>
                <w:sz w:val="22"/>
                <w:szCs w:val="22"/>
              </w:rPr>
            </w:pPr>
          </w:p>
          <w:p w14:paraId="61B3368C" w14:textId="77777777" w:rsidR="006251ED" w:rsidRPr="008A4486" w:rsidRDefault="006251ED" w:rsidP="00DD3218">
            <w:pPr>
              <w:pStyle w:val="BodyText"/>
              <w:jc w:val="both"/>
              <w:rPr>
                <w:rFonts w:ascii="Times New Roman" w:hAnsi="Times New Roman" w:cs="Times New Roman"/>
                <w:bCs/>
                <w:sz w:val="22"/>
                <w:szCs w:val="22"/>
              </w:rPr>
            </w:pPr>
          </w:p>
          <w:p w14:paraId="33407B51" w14:textId="77777777" w:rsidR="006251ED" w:rsidRPr="008A4486" w:rsidRDefault="006251ED" w:rsidP="00DD3218">
            <w:pPr>
              <w:pStyle w:val="BodyText"/>
              <w:jc w:val="both"/>
              <w:rPr>
                <w:rFonts w:ascii="Times New Roman" w:hAnsi="Times New Roman" w:cs="Times New Roman"/>
                <w:bCs/>
                <w:sz w:val="22"/>
                <w:szCs w:val="22"/>
              </w:rPr>
            </w:pPr>
          </w:p>
          <w:p w14:paraId="4BC79FD4" w14:textId="77777777" w:rsidR="006251ED" w:rsidRPr="008A4486" w:rsidRDefault="006251ED" w:rsidP="00DD3218">
            <w:pPr>
              <w:pStyle w:val="BodyText"/>
              <w:jc w:val="both"/>
              <w:rPr>
                <w:rFonts w:ascii="Times New Roman" w:hAnsi="Times New Roman" w:cs="Times New Roman"/>
                <w:bCs/>
                <w:sz w:val="22"/>
                <w:szCs w:val="22"/>
              </w:rPr>
            </w:pPr>
          </w:p>
          <w:p w14:paraId="444B53D8" w14:textId="77777777" w:rsidR="006251ED" w:rsidRPr="008A4486" w:rsidRDefault="006251ED" w:rsidP="00DD3218">
            <w:pPr>
              <w:pStyle w:val="BodyText"/>
              <w:jc w:val="both"/>
              <w:rPr>
                <w:rFonts w:ascii="Times New Roman" w:hAnsi="Times New Roman" w:cs="Times New Roman"/>
                <w:bCs/>
                <w:sz w:val="22"/>
                <w:szCs w:val="22"/>
              </w:rPr>
            </w:pPr>
          </w:p>
          <w:p w14:paraId="18DC586B" w14:textId="77777777" w:rsidR="006251ED" w:rsidRPr="008A4486" w:rsidRDefault="006251ED" w:rsidP="00DD3218">
            <w:pPr>
              <w:pStyle w:val="BodyText"/>
              <w:jc w:val="both"/>
              <w:rPr>
                <w:rFonts w:ascii="Times New Roman" w:hAnsi="Times New Roman" w:cs="Times New Roman"/>
                <w:bCs/>
                <w:sz w:val="22"/>
                <w:szCs w:val="22"/>
              </w:rPr>
            </w:pPr>
          </w:p>
          <w:p w14:paraId="5838B745" w14:textId="77777777" w:rsidR="006251ED" w:rsidRPr="008A4486" w:rsidRDefault="006251ED" w:rsidP="00DD3218">
            <w:pPr>
              <w:pStyle w:val="BodyText"/>
              <w:jc w:val="both"/>
              <w:rPr>
                <w:rFonts w:ascii="Times New Roman" w:hAnsi="Times New Roman" w:cs="Times New Roman"/>
                <w:bCs/>
                <w:sz w:val="22"/>
                <w:szCs w:val="22"/>
              </w:rPr>
            </w:pPr>
          </w:p>
          <w:p w14:paraId="12DBA6F7" w14:textId="77777777" w:rsidR="006251ED" w:rsidRPr="008A4486" w:rsidRDefault="006251ED" w:rsidP="00DD3218">
            <w:pPr>
              <w:pStyle w:val="BodyText"/>
              <w:jc w:val="both"/>
              <w:rPr>
                <w:rFonts w:ascii="Times New Roman" w:hAnsi="Times New Roman" w:cs="Times New Roman"/>
                <w:bCs/>
                <w:sz w:val="22"/>
                <w:szCs w:val="22"/>
              </w:rPr>
            </w:pPr>
          </w:p>
          <w:p w14:paraId="0FA0FD7E" w14:textId="77777777" w:rsidR="006251ED" w:rsidRPr="008A4486" w:rsidRDefault="006251ED" w:rsidP="00DD3218">
            <w:pPr>
              <w:pStyle w:val="BodyText"/>
              <w:jc w:val="both"/>
              <w:rPr>
                <w:rFonts w:ascii="Times New Roman" w:hAnsi="Times New Roman" w:cs="Times New Roman"/>
                <w:bCs/>
                <w:sz w:val="22"/>
                <w:szCs w:val="22"/>
              </w:rPr>
            </w:pPr>
          </w:p>
          <w:p w14:paraId="7321C7B4" w14:textId="77777777" w:rsidR="006251ED" w:rsidRPr="008A4486" w:rsidRDefault="006251ED" w:rsidP="00DD3218">
            <w:pPr>
              <w:pStyle w:val="BodyText"/>
              <w:jc w:val="both"/>
              <w:rPr>
                <w:rFonts w:ascii="Times New Roman" w:hAnsi="Times New Roman" w:cs="Times New Roman"/>
                <w:bCs/>
                <w:sz w:val="22"/>
                <w:szCs w:val="22"/>
              </w:rPr>
            </w:pPr>
          </w:p>
          <w:p w14:paraId="71F74A82" w14:textId="77777777" w:rsidR="006251ED" w:rsidRPr="008A4486" w:rsidRDefault="006251ED" w:rsidP="00DD3218">
            <w:pPr>
              <w:pStyle w:val="BodyText"/>
              <w:jc w:val="both"/>
              <w:rPr>
                <w:rFonts w:ascii="Times New Roman" w:hAnsi="Times New Roman" w:cs="Times New Roman"/>
                <w:bCs/>
                <w:sz w:val="22"/>
                <w:szCs w:val="22"/>
              </w:rPr>
            </w:pPr>
          </w:p>
          <w:p w14:paraId="36F262D3" w14:textId="77777777" w:rsidR="006251ED" w:rsidRPr="008A4486" w:rsidRDefault="006251ED" w:rsidP="00DD3218">
            <w:pPr>
              <w:pStyle w:val="BodyText"/>
              <w:jc w:val="both"/>
              <w:rPr>
                <w:rFonts w:ascii="Times New Roman" w:hAnsi="Times New Roman" w:cs="Times New Roman"/>
                <w:b/>
                <w:sz w:val="22"/>
                <w:szCs w:val="22"/>
              </w:rPr>
            </w:pPr>
          </w:p>
          <w:p w14:paraId="0A80E47A" w14:textId="77777777" w:rsidR="006251ED" w:rsidRPr="008A4486" w:rsidRDefault="006251ED" w:rsidP="00DD3218">
            <w:pPr>
              <w:pStyle w:val="BodyText"/>
              <w:jc w:val="both"/>
              <w:rPr>
                <w:rFonts w:ascii="Times New Roman" w:hAnsi="Times New Roman" w:cs="Times New Roman"/>
                <w:bCs/>
                <w:sz w:val="22"/>
                <w:szCs w:val="22"/>
              </w:rPr>
            </w:pPr>
          </w:p>
          <w:p w14:paraId="0DC9D605" w14:textId="77777777" w:rsidR="006251ED" w:rsidRPr="008A4486" w:rsidRDefault="006251ED" w:rsidP="00DD3218">
            <w:pPr>
              <w:pStyle w:val="BodyText"/>
              <w:jc w:val="both"/>
              <w:rPr>
                <w:rFonts w:ascii="Times New Roman" w:hAnsi="Times New Roman" w:cs="Times New Roman"/>
                <w:bCs/>
                <w:sz w:val="22"/>
                <w:szCs w:val="22"/>
              </w:rPr>
            </w:pPr>
          </w:p>
          <w:p w14:paraId="13242C0D" w14:textId="77777777" w:rsidR="006251ED" w:rsidRPr="008A4486" w:rsidRDefault="006251ED" w:rsidP="00DD3218">
            <w:pPr>
              <w:pStyle w:val="BodyText"/>
              <w:jc w:val="both"/>
              <w:rPr>
                <w:rFonts w:ascii="Times New Roman" w:hAnsi="Times New Roman" w:cs="Times New Roman"/>
                <w:bCs/>
                <w:sz w:val="22"/>
                <w:szCs w:val="22"/>
              </w:rPr>
            </w:pPr>
          </w:p>
          <w:p w14:paraId="6DBAA4F8" w14:textId="77777777" w:rsidR="006251ED" w:rsidRPr="008A4486" w:rsidRDefault="006251ED" w:rsidP="00DD3218">
            <w:pPr>
              <w:pStyle w:val="BodyText"/>
              <w:jc w:val="both"/>
              <w:rPr>
                <w:rFonts w:ascii="Times New Roman" w:hAnsi="Times New Roman" w:cs="Times New Roman"/>
                <w:bCs/>
                <w:sz w:val="22"/>
                <w:szCs w:val="22"/>
              </w:rPr>
            </w:pPr>
          </w:p>
          <w:p w14:paraId="2C57AB6A" w14:textId="77777777" w:rsidR="006251ED" w:rsidRPr="008A4486" w:rsidRDefault="006251ED" w:rsidP="00DD3218">
            <w:pPr>
              <w:pStyle w:val="BodyText"/>
              <w:jc w:val="both"/>
              <w:rPr>
                <w:rFonts w:ascii="Times New Roman" w:hAnsi="Times New Roman" w:cs="Times New Roman"/>
                <w:bCs/>
                <w:sz w:val="22"/>
                <w:szCs w:val="22"/>
              </w:rPr>
            </w:pPr>
          </w:p>
          <w:p w14:paraId="3A57DBF2" w14:textId="77777777" w:rsidR="006251ED" w:rsidRPr="008A4486" w:rsidRDefault="006251ED" w:rsidP="00DD3218">
            <w:pPr>
              <w:pStyle w:val="BodyText"/>
              <w:jc w:val="both"/>
              <w:rPr>
                <w:rFonts w:ascii="Times New Roman" w:hAnsi="Times New Roman" w:cs="Times New Roman"/>
                <w:bCs/>
                <w:sz w:val="22"/>
                <w:szCs w:val="22"/>
              </w:rPr>
            </w:pPr>
          </w:p>
          <w:p w14:paraId="579DB5F8" w14:textId="77777777" w:rsidR="006251ED" w:rsidRPr="008A4486" w:rsidRDefault="006251ED" w:rsidP="00DD3218">
            <w:pPr>
              <w:pStyle w:val="BodyText"/>
              <w:jc w:val="both"/>
              <w:rPr>
                <w:rFonts w:ascii="Times New Roman" w:hAnsi="Times New Roman" w:cs="Times New Roman"/>
                <w:b/>
                <w:sz w:val="22"/>
                <w:szCs w:val="22"/>
              </w:rPr>
            </w:pPr>
          </w:p>
          <w:p w14:paraId="585AC9E0" w14:textId="77777777" w:rsidR="006251ED" w:rsidRPr="008A4486" w:rsidRDefault="006251ED" w:rsidP="00DD3218">
            <w:pPr>
              <w:pStyle w:val="BodyText"/>
              <w:jc w:val="both"/>
              <w:rPr>
                <w:rFonts w:ascii="Times New Roman" w:hAnsi="Times New Roman" w:cs="Times New Roman"/>
                <w:b/>
                <w:sz w:val="22"/>
                <w:szCs w:val="22"/>
              </w:rPr>
            </w:pPr>
          </w:p>
          <w:p w14:paraId="2DFF8DF6" w14:textId="77777777" w:rsidR="006251ED" w:rsidRPr="008A4486" w:rsidRDefault="006251ED" w:rsidP="00DD3218">
            <w:pPr>
              <w:pStyle w:val="BodyText"/>
              <w:jc w:val="both"/>
              <w:rPr>
                <w:rFonts w:ascii="Times New Roman" w:hAnsi="Times New Roman" w:cs="Times New Roman"/>
                <w:b/>
                <w:sz w:val="22"/>
                <w:szCs w:val="22"/>
              </w:rPr>
            </w:pPr>
          </w:p>
          <w:p w14:paraId="05D30A18" w14:textId="77777777" w:rsidR="006251ED" w:rsidRPr="008A4486" w:rsidRDefault="006251ED" w:rsidP="00DD3218">
            <w:pPr>
              <w:pStyle w:val="BodyText"/>
              <w:jc w:val="both"/>
              <w:rPr>
                <w:rFonts w:ascii="Times New Roman" w:hAnsi="Times New Roman" w:cs="Times New Roman"/>
                <w:bCs/>
                <w:sz w:val="22"/>
                <w:szCs w:val="22"/>
              </w:rPr>
            </w:pPr>
          </w:p>
        </w:tc>
        <w:tc>
          <w:tcPr>
            <w:tcW w:w="4819" w:type="dxa"/>
          </w:tcPr>
          <w:p w14:paraId="5033D6E4" w14:textId="77777777" w:rsidR="006251ED" w:rsidRPr="008A4486" w:rsidRDefault="006251ED" w:rsidP="00DD3218">
            <w:pPr>
              <w:pStyle w:val="BodyText"/>
              <w:jc w:val="both"/>
              <w:rPr>
                <w:rFonts w:ascii="Times New Roman" w:hAnsi="Times New Roman" w:cs="Times New Roman"/>
                <w:bCs/>
                <w:sz w:val="22"/>
                <w:szCs w:val="22"/>
              </w:rPr>
            </w:pPr>
            <w:r w:rsidRPr="008A4486">
              <w:rPr>
                <w:rFonts w:ascii="Times New Roman" w:hAnsi="Times New Roman" w:cs="Times New Roman"/>
                <w:b/>
                <w:sz w:val="22"/>
                <w:szCs w:val="22"/>
              </w:rPr>
              <w:lastRenderedPageBreak/>
              <w:t>Indicator 1.3.1:</w:t>
            </w:r>
            <w:r w:rsidRPr="008A4486">
              <w:rPr>
                <w:rFonts w:ascii="Times New Roman" w:hAnsi="Times New Roman" w:cs="Times New Roman"/>
                <w:sz w:val="22"/>
                <w:szCs w:val="22"/>
              </w:rPr>
              <w:t xml:space="preserve"> </w:t>
            </w:r>
            <w:r w:rsidRPr="008A4486">
              <w:rPr>
                <w:rFonts w:ascii="Times New Roman" w:hAnsi="Times New Roman" w:cs="Times New Roman"/>
                <w:bCs/>
                <w:sz w:val="22"/>
                <w:szCs w:val="22"/>
              </w:rPr>
              <w:t># of community members reached with VAWC prevention and response messages and/or skills through various community mechanisms, approaches or forums (disaggregated by sex)</w:t>
            </w:r>
          </w:p>
          <w:p w14:paraId="6FC7C942" w14:textId="77777777" w:rsidR="006251ED" w:rsidRPr="008A4486" w:rsidRDefault="006251ED" w:rsidP="00DD3218">
            <w:pPr>
              <w:pStyle w:val="BodyText"/>
              <w:jc w:val="both"/>
              <w:rPr>
                <w:rFonts w:ascii="Times New Roman" w:hAnsi="Times New Roman" w:cs="Times New Roman"/>
                <w:b/>
                <w:sz w:val="22"/>
                <w:szCs w:val="22"/>
              </w:rPr>
            </w:pPr>
          </w:p>
          <w:p w14:paraId="5E80E069" w14:textId="78DC6BBD" w:rsidR="006251ED" w:rsidRPr="008A4486" w:rsidRDefault="006251ED" w:rsidP="00DD3218">
            <w:pPr>
              <w:pStyle w:val="BodyText"/>
              <w:jc w:val="both"/>
              <w:rPr>
                <w:rFonts w:ascii="Times New Roman" w:hAnsi="Times New Roman" w:cs="Times New Roman"/>
                <w:bCs/>
                <w:sz w:val="22"/>
                <w:szCs w:val="22"/>
              </w:rPr>
            </w:pPr>
            <w:r w:rsidRPr="008A4486">
              <w:rPr>
                <w:rFonts w:ascii="Times New Roman" w:hAnsi="Times New Roman" w:cs="Times New Roman"/>
                <w:b/>
                <w:sz w:val="22"/>
                <w:szCs w:val="22"/>
              </w:rPr>
              <w:t>Baseline:</w:t>
            </w:r>
            <w:r w:rsidRPr="008A4486">
              <w:rPr>
                <w:rFonts w:ascii="Times New Roman" w:hAnsi="Times New Roman" w:cs="Times New Roman"/>
                <w:sz w:val="22"/>
                <w:szCs w:val="22"/>
              </w:rPr>
              <w:t xml:space="preserve"> </w:t>
            </w:r>
            <w:r w:rsidRPr="008A4486">
              <w:rPr>
                <w:rFonts w:ascii="Times New Roman" w:hAnsi="Times New Roman" w:cs="Times New Roman"/>
                <w:bCs/>
                <w:sz w:val="22"/>
                <w:szCs w:val="22"/>
              </w:rPr>
              <w:t>154</w:t>
            </w:r>
            <w:r w:rsidR="00134E94" w:rsidRPr="008A4486">
              <w:rPr>
                <w:rFonts w:ascii="Times New Roman" w:hAnsi="Times New Roman" w:cs="Times New Roman"/>
                <w:bCs/>
                <w:sz w:val="22"/>
                <w:szCs w:val="22"/>
              </w:rPr>
              <w:t>,</w:t>
            </w:r>
            <w:r w:rsidRPr="008A4486">
              <w:rPr>
                <w:rFonts w:ascii="Times New Roman" w:hAnsi="Times New Roman" w:cs="Times New Roman"/>
                <w:bCs/>
                <w:sz w:val="22"/>
                <w:szCs w:val="22"/>
              </w:rPr>
              <w:t xml:space="preserve">599 </w:t>
            </w:r>
          </w:p>
          <w:p w14:paraId="112E0AAB" w14:textId="77777777" w:rsidR="006251ED" w:rsidRPr="008A4486" w:rsidRDefault="006251ED" w:rsidP="00DD3218">
            <w:pPr>
              <w:pStyle w:val="BodyText"/>
              <w:jc w:val="both"/>
              <w:rPr>
                <w:rFonts w:ascii="Times New Roman" w:hAnsi="Times New Roman" w:cs="Times New Roman"/>
                <w:b/>
                <w:sz w:val="22"/>
                <w:szCs w:val="22"/>
              </w:rPr>
            </w:pPr>
          </w:p>
          <w:p w14:paraId="2E5BF287" w14:textId="77777777" w:rsidR="006251ED" w:rsidRPr="008A4486" w:rsidRDefault="006251ED" w:rsidP="00DD3218">
            <w:pPr>
              <w:pStyle w:val="BodyText"/>
              <w:jc w:val="both"/>
              <w:rPr>
                <w:rFonts w:ascii="Times New Roman" w:hAnsi="Times New Roman" w:cs="Times New Roman"/>
                <w:bCs/>
                <w:sz w:val="22"/>
                <w:szCs w:val="22"/>
              </w:rPr>
            </w:pPr>
            <w:r w:rsidRPr="008A4486">
              <w:rPr>
                <w:rFonts w:ascii="Times New Roman" w:hAnsi="Times New Roman" w:cs="Times New Roman"/>
                <w:b/>
                <w:sz w:val="22"/>
                <w:szCs w:val="22"/>
              </w:rPr>
              <w:t>Planned Target:</w:t>
            </w:r>
            <w:r w:rsidRPr="008A4486">
              <w:rPr>
                <w:rFonts w:ascii="Times New Roman" w:hAnsi="Times New Roman" w:cs="Times New Roman"/>
                <w:sz w:val="22"/>
                <w:szCs w:val="22"/>
              </w:rPr>
              <w:t xml:space="preserve"> </w:t>
            </w:r>
            <w:r w:rsidRPr="008A4486">
              <w:rPr>
                <w:rFonts w:ascii="Times New Roman" w:hAnsi="Times New Roman" w:cs="Times New Roman"/>
                <w:bCs/>
                <w:sz w:val="22"/>
                <w:szCs w:val="22"/>
              </w:rPr>
              <w:t>155,900</w:t>
            </w:r>
          </w:p>
          <w:p w14:paraId="0093A4EE" w14:textId="77777777" w:rsidR="006251ED" w:rsidRPr="008A4486" w:rsidRDefault="006251ED" w:rsidP="00DD3218">
            <w:pPr>
              <w:pStyle w:val="BodyText"/>
              <w:jc w:val="both"/>
              <w:rPr>
                <w:rFonts w:ascii="Times New Roman" w:hAnsi="Times New Roman" w:cs="Times New Roman"/>
                <w:bCs/>
                <w:sz w:val="22"/>
                <w:szCs w:val="22"/>
              </w:rPr>
            </w:pPr>
          </w:p>
        </w:tc>
        <w:tc>
          <w:tcPr>
            <w:tcW w:w="4111" w:type="dxa"/>
            <w:shd w:val="clear" w:color="auto" w:fill="auto"/>
          </w:tcPr>
          <w:p w14:paraId="24F1E045" w14:textId="77777777" w:rsidR="006251ED" w:rsidRPr="00122ACF" w:rsidRDefault="006251ED" w:rsidP="00DD3218">
            <w:pPr>
              <w:pStyle w:val="BodyText"/>
              <w:jc w:val="both"/>
              <w:rPr>
                <w:rFonts w:ascii="Times New Roman" w:hAnsi="Times New Roman" w:cs="Times New Roman"/>
                <w:bCs/>
                <w:sz w:val="22"/>
                <w:szCs w:val="22"/>
              </w:rPr>
            </w:pPr>
            <w:r w:rsidRPr="00122ACF">
              <w:rPr>
                <w:rFonts w:ascii="Times New Roman" w:hAnsi="Times New Roman" w:cs="Times New Roman"/>
                <w:bCs/>
                <w:sz w:val="22"/>
                <w:szCs w:val="22"/>
              </w:rPr>
              <w:t xml:space="preserve">130,000 individuals reached through collaborative community radio programs, conducted in partnership with local authorities, </w:t>
            </w:r>
          </w:p>
          <w:p w14:paraId="0AD1A4E7" w14:textId="77777777" w:rsidR="00832C48" w:rsidRPr="00122ACF" w:rsidRDefault="00832C48" w:rsidP="008A4486">
            <w:pPr>
              <w:pStyle w:val="BodyText"/>
              <w:jc w:val="both"/>
              <w:rPr>
                <w:rFonts w:ascii="Times New Roman" w:hAnsi="Times New Roman" w:cs="Times New Roman"/>
                <w:sz w:val="22"/>
                <w:szCs w:val="22"/>
              </w:rPr>
            </w:pPr>
          </w:p>
          <w:p w14:paraId="6E358DD5" w14:textId="77777777" w:rsidR="006251ED" w:rsidRPr="00122ACF" w:rsidRDefault="006251ED" w:rsidP="00DD3218">
            <w:pPr>
              <w:pStyle w:val="BodyText"/>
              <w:jc w:val="both"/>
              <w:rPr>
                <w:rFonts w:ascii="Times New Roman" w:hAnsi="Times New Roman" w:cs="Times New Roman"/>
                <w:bCs/>
                <w:sz w:val="22"/>
                <w:szCs w:val="22"/>
              </w:rPr>
            </w:pPr>
            <w:r w:rsidRPr="00122ACF">
              <w:rPr>
                <w:rFonts w:ascii="Times New Roman" w:hAnsi="Times New Roman" w:cs="Times New Roman"/>
                <w:bCs/>
                <w:sz w:val="22"/>
                <w:szCs w:val="22"/>
              </w:rPr>
              <w:t>524 participants empowered on fostering awareness and dialogue around GBV and harmful practices.</w:t>
            </w:r>
          </w:p>
          <w:p w14:paraId="35D1B1C5" w14:textId="77777777" w:rsidR="00832C48" w:rsidRPr="00122ACF" w:rsidRDefault="00832C48" w:rsidP="008A4486">
            <w:pPr>
              <w:pStyle w:val="BodyText"/>
              <w:jc w:val="both"/>
              <w:rPr>
                <w:rFonts w:ascii="Times New Roman" w:hAnsi="Times New Roman" w:cs="Times New Roman"/>
                <w:sz w:val="22"/>
                <w:szCs w:val="22"/>
              </w:rPr>
            </w:pPr>
          </w:p>
          <w:p w14:paraId="65434B9D" w14:textId="20652832" w:rsidR="00832C48" w:rsidRPr="00122ACF" w:rsidRDefault="006251ED" w:rsidP="008A4486">
            <w:pPr>
              <w:pStyle w:val="BodyText"/>
              <w:jc w:val="both"/>
              <w:rPr>
                <w:rFonts w:ascii="Times New Roman" w:hAnsi="Times New Roman" w:cs="Times New Roman"/>
                <w:sz w:val="22"/>
                <w:szCs w:val="22"/>
              </w:rPr>
            </w:pPr>
            <w:r w:rsidRPr="38525CFC">
              <w:rPr>
                <w:rFonts w:ascii="Times New Roman" w:hAnsi="Times New Roman" w:cs="Times New Roman"/>
                <w:sz w:val="22"/>
                <w:szCs w:val="22"/>
              </w:rPr>
              <w:t xml:space="preserve">1500 individuals (First Time Young Mothers) trained </w:t>
            </w:r>
            <w:r w:rsidR="5575938C" w:rsidRPr="38525CFC">
              <w:rPr>
                <w:rFonts w:ascii="Times New Roman" w:hAnsi="Times New Roman" w:cs="Times New Roman"/>
                <w:sz w:val="22"/>
                <w:szCs w:val="22"/>
              </w:rPr>
              <w:t>in</w:t>
            </w:r>
            <w:r w:rsidRPr="38525CFC">
              <w:rPr>
                <w:rFonts w:ascii="Times New Roman" w:hAnsi="Times New Roman" w:cs="Times New Roman"/>
                <w:sz w:val="22"/>
                <w:szCs w:val="22"/>
              </w:rPr>
              <w:t xml:space="preserve"> GBV prevention and </w:t>
            </w:r>
            <w:r w:rsidRPr="38525CFC">
              <w:rPr>
                <w:rFonts w:ascii="Times New Roman" w:hAnsi="Times New Roman" w:cs="Times New Roman"/>
                <w:sz w:val="22"/>
                <w:szCs w:val="22"/>
              </w:rPr>
              <w:lastRenderedPageBreak/>
              <w:t>response to protect themselves and their children from violence.</w:t>
            </w:r>
          </w:p>
          <w:p w14:paraId="4AF0397F" w14:textId="77777777" w:rsidR="006251ED" w:rsidRPr="00122ACF" w:rsidRDefault="006251ED" w:rsidP="00DD3218">
            <w:pPr>
              <w:pStyle w:val="BodyText"/>
              <w:jc w:val="both"/>
              <w:rPr>
                <w:rFonts w:ascii="Times New Roman" w:hAnsi="Times New Roman" w:cs="Times New Roman"/>
                <w:sz w:val="22"/>
                <w:szCs w:val="22"/>
              </w:rPr>
            </w:pPr>
          </w:p>
          <w:p w14:paraId="7CDA98C5" w14:textId="77777777" w:rsidR="006251ED" w:rsidRPr="00122ACF" w:rsidRDefault="006251ED" w:rsidP="008A4486">
            <w:pPr>
              <w:pStyle w:val="BodyText"/>
              <w:jc w:val="both"/>
              <w:rPr>
                <w:rFonts w:ascii="Times New Roman" w:hAnsi="Times New Roman" w:cs="Times New Roman"/>
                <w:sz w:val="22"/>
                <w:szCs w:val="22"/>
              </w:rPr>
            </w:pPr>
            <w:r w:rsidRPr="00122ACF">
              <w:rPr>
                <w:rFonts w:ascii="Times New Roman" w:hAnsi="Times New Roman" w:cs="Times New Roman"/>
                <w:sz w:val="22"/>
                <w:szCs w:val="22"/>
              </w:rPr>
              <w:t xml:space="preserve">4,600 individuals across the region reached through community dialogues on fostering awareness around GBV and harmful practices. </w:t>
            </w:r>
          </w:p>
          <w:p w14:paraId="230EF07B" w14:textId="77777777" w:rsidR="006251ED" w:rsidRPr="00122ACF" w:rsidRDefault="006251ED" w:rsidP="00734761">
            <w:pPr>
              <w:pStyle w:val="BodyText"/>
              <w:jc w:val="both"/>
              <w:rPr>
                <w:rFonts w:ascii="Times New Roman" w:hAnsi="Times New Roman" w:cs="Times New Roman"/>
                <w:bCs/>
                <w:sz w:val="22"/>
                <w:szCs w:val="22"/>
              </w:rPr>
            </w:pPr>
          </w:p>
        </w:tc>
        <w:tc>
          <w:tcPr>
            <w:tcW w:w="1559" w:type="dxa"/>
            <w:shd w:val="clear" w:color="auto" w:fill="auto"/>
          </w:tcPr>
          <w:p w14:paraId="0F2C541C" w14:textId="77777777" w:rsidR="006251ED" w:rsidRPr="008A4486" w:rsidRDefault="006251ED" w:rsidP="00DD3218">
            <w:pPr>
              <w:pStyle w:val="BodyText"/>
              <w:jc w:val="both"/>
              <w:rPr>
                <w:rFonts w:ascii="Times New Roman" w:hAnsi="Times New Roman" w:cs="Times New Roman"/>
                <w:bCs/>
                <w:sz w:val="22"/>
                <w:szCs w:val="22"/>
              </w:rPr>
            </w:pPr>
          </w:p>
        </w:tc>
        <w:tc>
          <w:tcPr>
            <w:tcW w:w="1985" w:type="dxa"/>
            <w:shd w:val="clear" w:color="auto" w:fill="auto"/>
          </w:tcPr>
          <w:p w14:paraId="32A37D34" w14:textId="77777777" w:rsidR="006251ED" w:rsidRPr="008A4486" w:rsidRDefault="006251ED" w:rsidP="00DD3218">
            <w:pPr>
              <w:pStyle w:val="BodyText"/>
              <w:jc w:val="both"/>
              <w:rPr>
                <w:rFonts w:ascii="Times New Roman" w:hAnsi="Times New Roman" w:cs="Times New Roman"/>
                <w:bCs/>
                <w:sz w:val="22"/>
                <w:szCs w:val="22"/>
              </w:rPr>
            </w:pPr>
          </w:p>
          <w:p w14:paraId="45071539" w14:textId="77777777" w:rsidR="006251ED" w:rsidRPr="008A4486" w:rsidRDefault="006251ED" w:rsidP="00DD3218">
            <w:pPr>
              <w:pStyle w:val="BodyText"/>
              <w:jc w:val="both"/>
              <w:rPr>
                <w:rFonts w:ascii="Times New Roman" w:hAnsi="Times New Roman" w:cs="Times New Roman"/>
                <w:bCs/>
                <w:sz w:val="22"/>
                <w:szCs w:val="22"/>
              </w:rPr>
            </w:pPr>
          </w:p>
          <w:p w14:paraId="3BC603AC" w14:textId="77777777" w:rsidR="006251ED" w:rsidRPr="008A4486" w:rsidRDefault="006251ED" w:rsidP="00DD3218">
            <w:pPr>
              <w:pStyle w:val="BodyText"/>
              <w:jc w:val="both"/>
              <w:rPr>
                <w:rFonts w:ascii="Times New Roman" w:hAnsi="Times New Roman" w:cs="Times New Roman"/>
                <w:bCs/>
                <w:sz w:val="22"/>
                <w:szCs w:val="22"/>
              </w:rPr>
            </w:pPr>
          </w:p>
          <w:p w14:paraId="3687C0C4" w14:textId="77777777" w:rsidR="006251ED" w:rsidRPr="008A4486" w:rsidRDefault="006251ED" w:rsidP="00DD3218">
            <w:pPr>
              <w:pStyle w:val="BodyText"/>
              <w:jc w:val="both"/>
              <w:rPr>
                <w:rFonts w:ascii="Times New Roman" w:hAnsi="Times New Roman" w:cs="Times New Roman"/>
                <w:bCs/>
                <w:sz w:val="22"/>
                <w:szCs w:val="22"/>
              </w:rPr>
            </w:pPr>
          </w:p>
          <w:p w14:paraId="10FAEC88" w14:textId="77777777" w:rsidR="006251ED" w:rsidRPr="008A4486" w:rsidRDefault="006251ED" w:rsidP="00DD3218">
            <w:pPr>
              <w:pStyle w:val="BodyText"/>
              <w:jc w:val="both"/>
              <w:rPr>
                <w:rFonts w:ascii="Times New Roman" w:hAnsi="Times New Roman" w:cs="Times New Roman"/>
                <w:bCs/>
                <w:sz w:val="22"/>
                <w:szCs w:val="22"/>
              </w:rPr>
            </w:pPr>
            <w:r w:rsidRPr="008A4486">
              <w:rPr>
                <w:rFonts w:ascii="Times New Roman" w:hAnsi="Times New Roman" w:cs="Times New Roman"/>
                <w:bCs/>
                <w:sz w:val="22"/>
                <w:szCs w:val="22"/>
              </w:rPr>
              <w:t xml:space="preserve">Project Implementation report </w:t>
            </w:r>
          </w:p>
        </w:tc>
      </w:tr>
      <w:tr w:rsidR="00832C48" w:rsidRPr="00832C48" w14:paraId="410B33CF" w14:textId="77777777" w:rsidTr="38525CFC">
        <w:tc>
          <w:tcPr>
            <w:tcW w:w="2347" w:type="dxa"/>
            <w:vMerge/>
          </w:tcPr>
          <w:p w14:paraId="79AE9E49" w14:textId="77777777" w:rsidR="006251ED" w:rsidRPr="008A4486" w:rsidRDefault="006251ED" w:rsidP="00DD3218">
            <w:pPr>
              <w:pStyle w:val="BodyText"/>
              <w:jc w:val="both"/>
              <w:rPr>
                <w:rFonts w:ascii="Times New Roman" w:hAnsi="Times New Roman" w:cs="Times New Roman"/>
                <w:b/>
                <w:sz w:val="22"/>
                <w:szCs w:val="22"/>
              </w:rPr>
            </w:pPr>
          </w:p>
        </w:tc>
        <w:tc>
          <w:tcPr>
            <w:tcW w:w="4819" w:type="dxa"/>
          </w:tcPr>
          <w:p w14:paraId="78A7939A" w14:textId="5ED7E854" w:rsidR="006251ED" w:rsidRPr="008A4486" w:rsidRDefault="006251ED" w:rsidP="008A4486">
            <w:pPr>
              <w:pStyle w:val="BodyText"/>
              <w:jc w:val="both"/>
              <w:rPr>
                <w:rFonts w:ascii="Times New Roman" w:hAnsi="Times New Roman" w:cs="Times New Roman"/>
                <w:b/>
                <w:bCs/>
                <w:sz w:val="22"/>
                <w:szCs w:val="22"/>
              </w:rPr>
            </w:pPr>
            <w:r w:rsidRPr="008A4486">
              <w:rPr>
                <w:rFonts w:ascii="Times New Roman" w:hAnsi="Times New Roman" w:cs="Times New Roman"/>
                <w:b/>
                <w:sz w:val="22"/>
                <w:szCs w:val="22"/>
              </w:rPr>
              <w:t>Indicator 1.3.2:</w:t>
            </w:r>
            <w:r w:rsidRPr="008A4486">
              <w:rPr>
                <w:rFonts w:ascii="Times New Roman" w:hAnsi="Times New Roman" w:cs="Times New Roman"/>
                <w:b/>
                <w:bCs/>
                <w:sz w:val="22"/>
                <w:szCs w:val="22"/>
              </w:rPr>
              <w:t xml:space="preserve"> </w:t>
            </w:r>
            <w:r w:rsidRPr="008A4486">
              <w:rPr>
                <w:rFonts w:ascii="Times New Roman" w:hAnsi="Times New Roman" w:cs="Times New Roman"/>
                <w:sz w:val="22"/>
                <w:szCs w:val="22"/>
              </w:rPr>
              <w:t xml:space="preserve"># of community leaders including religious, </w:t>
            </w:r>
            <w:r w:rsidR="00122ACF" w:rsidRPr="008A4486">
              <w:rPr>
                <w:rFonts w:ascii="Times New Roman" w:hAnsi="Times New Roman" w:cs="Times New Roman"/>
                <w:sz w:val="22"/>
                <w:szCs w:val="22"/>
              </w:rPr>
              <w:t>traditional,</w:t>
            </w:r>
            <w:r w:rsidRPr="008A4486">
              <w:rPr>
                <w:rFonts w:ascii="Times New Roman" w:hAnsi="Times New Roman" w:cs="Times New Roman"/>
                <w:sz w:val="22"/>
                <w:szCs w:val="22"/>
              </w:rPr>
              <w:t xml:space="preserve"> and influential local leaders (including teachers), capacitated to actively engage in prevention of VAWC in the community (disaggregated by sex)</w:t>
            </w:r>
          </w:p>
          <w:p w14:paraId="4FD6790D" w14:textId="77777777" w:rsidR="006251ED" w:rsidRPr="008A4486" w:rsidRDefault="006251ED" w:rsidP="008A4486">
            <w:pPr>
              <w:pStyle w:val="BodyText"/>
              <w:jc w:val="both"/>
              <w:rPr>
                <w:rFonts w:ascii="Times New Roman" w:hAnsi="Times New Roman" w:cs="Times New Roman"/>
                <w:b/>
                <w:sz w:val="22"/>
                <w:szCs w:val="22"/>
              </w:rPr>
            </w:pPr>
          </w:p>
          <w:p w14:paraId="71EEB62B" w14:textId="77777777" w:rsidR="006251ED" w:rsidRPr="008A4486" w:rsidRDefault="006251ED" w:rsidP="008A4486">
            <w:pPr>
              <w:pStyle w:val="BodyText"/>
              <w:jc w:val="both"/>
              <w:rPr>
                <w:rFonts w:ascii="Times New Roman" w:hAnsi="Times New Roman" w:cs="Times New Roman"/>
                <w:b/>
                <w:bCs/>
                <w:sz w:val="22"/>
                <w:szCs w:val="22"/>
              </w:rPr>
            </w:pPr>
            <w:r w:rsidRPr="008A4486">
              <w:rPr>
                <w:rFonts w:ascii="Times New Roman" w:hAnsi="Times New Roman" w:cs="Times New Roman"/>
                <w:b/>
                <w:sz w:val="22"/>
                <w:szCs w:val="22"/>
              </w:rPr>
              <w:t xml:space="preserve">Baseline: </w:t>
            </w:r>
            <w:r w:rsidRPr="008A4486">
              <w:rPr>
                <w:rFonts w:ascii="Times New Roman" w:hAnsi="Times New Roman" w:cs="Times New Roman"/>
                <w:b/>
                <w:bCs/>
                <w:sz w:val="22"/>
                <w:szCs w:val="22"/>
              </w:rPr>
              <w:t>3,415</w:t>
            </w:r>
          </w:p>
          <w:p w14:paraId="6DCF96A4" w14:textId="77777777" w:rsidR="006251ED" w:rsidRPr="008A4486" w:rsidRDefault="006251ED" w:rsidP="008A4486">
            <w:pPr>
              <w:pStyle w:val="BodyText"/>
              <w:jc w:val="both"/>
              <w:rPr>
                <w:rFonts w:ascii="Times New Roman" w:hAnsi="Times New Roman" w:cs="Times New Roman"/>
                <w:b/>
                <w:bCs/>
                <w:sz w:val="22"/>
                <w:szCs w:val="22"/>
              </w:rPr>
            </w:pPr>
            <w:r w:rsidRPr="008A4486">
              <w:rPr>
                <w:rFonts w:ascii="Times New Roman" w:hAnsi="Times New Roman" w:cs="Times New Roman"/>
                <w:b/>
                <w:sz w:val="22"/>
                <w:szCs w:val="22"/>
              </w:rPr>
              <w:t xml:space="preserve">Planned Target: </w:t>
            </w:r>
            <w:r w:rsidRPr="008A4486">
              <w:rPr>
                <w:rFonts w:ascii="Times New Roman" w:hAnsi="Times New Roman" w:cs="Times New Roman"/>
                <w:b/>
                <w:bCs/>
                <w:sz w:val="22"/>
                <w:szCs w:val="22"/>
              </w:rPr>
              <w:t>200 (30% female, 70% male).</w:t>
            </w:r>
          </w:p>
          <w:p w14:paraId="3AFB4437" w14:textId="77777777" w:rsidR="006251ED" w:rsidRPr="008A4486" w:rsidRDefault="006251ED" w:rsidP="00DD3218">
            <w:pPr>
              <w:pStyle w:val="BodyText"/>
              <w:jc w:val="both"/>
              <w:rPr>
                <w:rFonts w:ascii="Times New Roman" w:hAnsi="Times New Roman" w:cs="Times New Roman"/>
                <w:b/>
                <w:sz w:val="22"/>
                <w:szCs w:val="22"/>
              </w:rPr>
            </w:pPr>
          </w:p>
        </w:tc>
        <w:tc>
          <w:tcPr>
            <w:tcW w:w="4111" w:type="dxa"/>
            <w:shd w:val="clear" w:color="auto" w:fill="auto"/>
          </w:tcPr>
          <w:p w14:paraId="5474C8D2" w14:textId="77777777" w:rsidR="006251ED" w:rsidRPr="008A4486" w:rsidRDefault="006251ED" w:rsidP="00DD3218">
            <w:pPr>
              <w:pStyle w:val="BodyText"/>
              <w:jc w:val="both"/>
              <w:rPr>
                <w:rFonts w:ascii="Times New Roman" w:hAnsi="Times New Roman" w:cs="Times New Roman"/>
                <w:bCs/>
                <w:sz w:val="22"/>
                <w:szCs w:val="22"/>
              </w:rPr>
            </w:pPr>
          </w:p>
        </w:tc>
        <w:tc>
          <w:tcPr>
            <w:tcW w:w="1559" w:type="dxa"/>
            <w:shd w:val="clear" w:color="auto" w:fill="auto"/>
          </w:tcPr>
          <w:p w14:paraId="1F490E23" w14:textId="77777777" w:rsidR="006251ED" w:rsidRPr="008A4486" w:rsidRDefault="006251ED" w:rsidP="00DD3218">
            <w:pPr>
              <w:pStyle w:val="BodyText"/>
              <w:jc w:val="both"/>
              <w:rPr>
                <w:rFonts w:ascii="Times New Roman" w:hAnsi="Times New Roman" w:cs="Times New Roman"/>
                <w:bCs/>
                <w:sz w:val="22"/>
                <w:szCs w:val="22"/>
              </w:rPr>
            </w:pPr>
          </w:p>
        </w:tc>
        <w:tc>
          <w:tcPr>
            <w:tcW w:w="1985" w:type="dxa"/>
            <w:shd w:val="clear" w:color="auto" w:fill="auto"/>
          </w:tcPr>
          <w:p w14:paraId="340A28D5" w14:textId="77777777" w:rsidR="004A235C" w:rsidRPr="004A235C" w:rsidRDefault="004A235C" w:rsidP="004A235C">
            <w:pPr>
              <w:pStyle w:val="BodyText"/>
              <w:jc w:val="both"/>
              <w:rPr>
                <w:rFonts w:ascii="Times New Roman" w:hAnsi="Times New Roman" w:cs="Times New Roman"/>
                <w:bCs/>
                <w:sz w:val="22"/>
                <w:szCs w:val="22"/>
              </w:rPr>
            </w:pPr>
          </w:p>
          <w:p w14:paraId="50B01321" w14:textId="04CD3625" w:rsidR="006251ED" w:rsidRPr="008A4486" w:rsidRDefault="004A235C" w:rsidP="004A235C">
            <w:pPr>
              <w:pStyle w:val="BodyText"/>
              <w:jc w:val="both"/>
              <w:rPr>
                <w:rFonts w:ascii="Times New Roman" w:hAnsi="Times New Roman" w:cs="Times New Roman"/>
                <w:bCs/>
                <w:sz w:val="22"/>
                <w:szCs w:val="22"/>
              </w:rPr>
            </w:pPr>
            <w:r w:rsidRPr="004A235C">
              <w:rPr>
                <w:rFonts w:ascii="Times New Roman" w:hAnsi="Times New Roman" w:cs="Times New Roman"/>
                <w:bCs/>
                <w:sz w:val="22"/>
                <w:szCs w:val="22"/>
              </w:rPr>
              <w:t>Project Implementation report</w:t>
            </w:r>
          </w:p>
        </w:tc>
      </w:tr>
      <w:tr w:rsidR="00832C48" w:rsidRPr="00832C48" w14:paraId="0BB8E37C" w14:textId="77777777" w:rsidTr="38525CFC">
        <w:tc>
          <w:tcPr>
            <w:tcW w:w="2347" w:type="dxa"/>
            <w:vMerge/>
          </w:tcPr>
          <w:p w14:paraId="41429F90" w14:textId="77777777" w:rsidR="006251ED" w:rsidRPr="008A4486" w:rsidRDefault="006251ED" w:rsidP="00DD3218">
            <w:pPr>
              <w:pStyle w:val="BodyText"/>
              <w:jc w:val="both"/>
              <w:rPr>
                <w:rFonts w:ascii="Times New Roman" w:hAnsi="Times New Roman" w:cs="Times New Roman"/>
                <w:b/>
                <w:sz w:val="22"/>
                <w:szCs w:val="22"/>
              </w:rPr>
            </w:pPr>
          </w:p>
        </w:tc>
        <w:tc>
          <w:tcPr>
            <w:tcW w:w="4819" w:type="dxa"/>
          </w:tcPr>
          <w:p w14:paraId="5E44578F" w14:textId="77777777" w:rsidR="006251ED" w:rsidRPr="008A4486" w:rsidRDefault="006251ED" w:rsidP="008A4486">
            <w:pPr>
              <w:pStyle w:val="BodyText"/>
              <w:jc w:val="both"/>
              <w:rPr>
                <w:rFonts w:ascii="Times New Roman" w:hAnsi="Times New Roman" w:cs="Times New Roman"/>
                <w:b/>
                <w:bCs/>
                <w:sz w:val="22"/>
                <w:szCs w:val="22"/>
              </w:rPr>
            </w:pPr>
            <w:r w:rsidRPr="008A4486">
              <w:rPr>
                <w:rFonts w:ascii="Times New Roman" w:hAnsi="Times New Roman" w:cs="Times New Roman"/>
                <w:b/>
                <w:sz w:val="22"/>
                <w:szCs w:val="22"/>
              </w:rPr>
              <w:t>Indicator 1.3.3:</w:t>
            </w:r>
            <w:r w:rsidRPr="008A4486">
              <w:rPr>
                <w:rFonts w:ascii="Times New Roman" w:hAnsi="Times New Roman" w:cs="Times New Roman"/>
                <w:bCs/>
                <w:sz w:val="22"/>
                <w:szCs w:val="22"/>
              </w:rPr>
              <w:t xml:space="preserve"> # of young people reached by SRH information and services (Disaggregated by age and sex)</w:t>
            </w:r>
          </w:p>
          <w:p w14:paraId="7EDFF96A" w14:textId="77777777" w:rsidR="006251ED" w:rsidRPr="008A4486" w:rsidRDefault="006251ED" w:rsidP="008A4486">
            <w:pPr>
              <w:pStyle w:val="BodyText"/>
              <w:jc w:val="both"/>
              <w:rPr>
                <w:rFonts w:ascii="Times New Roman" w:hAnsi="Times New Roman" w:cs="Times New Roman"/>
                <w:b/>
                <w:sz w:val="22"/>
                <w:szCs w:val="22"/>
              </w:rPr>
            </w:pPr>
          </w:p>
          <w:p w14:paraId="717049FF" w14:textId="77777777" w:rsidR="006251ED" w:rsidRPr="008A4486" w:rsidRDefault="006251ED" w:rsidP="008A4486">
            <w:pPr>
              <w:pStyle w:val="BodyText"/>
              <w:jc w:val="both"/>
              <w:rPr>
                <w:rFonts w:ascii="Times New Roman" w:hAnsi="Times New Roman" w:cs="Times New Roman"/>
                <w:b/>
                <w:bCs/>
                <w:sz w:val="22"/>
                <w:szCs w:val="22"/>
              </w:rPr>
            </w:pPr>
            <w:r w:rsidRPr="008A4486">
              <w:rPr>
                <w:rFonts w:ascii="Times New Roman" w:hAnsi="Times New Roman" w:cs="Times New Roman"/>
                <w:b/>
                <w:sz w:val="22"/>
                <w:szCs w:val="22"/>
              </w:rPr>
              <w:t xml:space="preserve">Baseline: </w:t>
            </w:r>
            <w:r w:rsidRPr="008A4486">
              <w:rPr>
                <w:rFonts w:ascii="Times New Roman" w:hAnsi="Times New Roman" w:cs="Times New Roman"/>
                <w:b/>
                <w:bCs/>
                <w:sz w:val="22"/>
                <w:szCs w:val="22"/>
              </w:rPr>
              <w:t>6,635 (2,230 M and 4,435 F)</w:t>
            </w:r>
          </w:p>
          <w:p w14:paraId="7BD3AA74" w14:textId="77777777" w:rsidR="006251ED" w:rsidRPr="008A4486" w:rsidRDefault="006251ED" w:rsidP="008A4486">
            <w:pPr>
              <w:pStyle w:val="BodyText"/>
              <w:jc w:val="both"/>
              <w:rPr>
                <w:rFonts w:ascii="Times New Roman" w:hAnsi="Times New Roman" w:cs="Times New Roman"/>
                <w:b/>
                <w:bCs/>
                <w:sz w:val="22"/>
                <w:szCs w:val="22"/>
              </w:rPr>
            </w:pPr>
            <w:r w:rsidRPr="008A4486">
              <w:rPr>
                <w:rFonts w:ascii="Times New Roman" w:hAnsi="Times New Roman" w:cs="Times New Roman"/>
                <w:b/>
                <w:sz w:val="22"/>
                <w:szCs w:val="22"/>
              </w:rPr>
              <w:t xml:space="preserve">Planned Target: </w:t>
            </w:r>
            <w:r w:rsidRPr="008A4486">
              <w:rPr>
                <w:rFonts w:ascii="Times New Roman" w:hAnsi="Times New Roman" w:cs="Times New Roman"/>
                <w:b/>
                <w:bCs/>
                <w:sz w:val="22"/>
                <w:szCs w:val="22"/>
              </w:rPr>
              <w:t>12,000 (5,000 M and 7,000 F)</w:t>
            </w:r>
          </w:p>
          <w:p w14:paraId="33F0363F" w14:textId="77777777" w:rsidR="006251ED" w:rsidRPr="008A4486" w:rsidRDefault="006251ED" w:rsidP="008A4486">
            <w:pPr>
              <w:pStyle w:val="BodyText"/>
              <w:jc w:val="both"/>
              <w:rPr>
                <w:rFonts w:ascii="Times New Roman" w:hAnsi="Times New Roman" w:cs="Times New Roman"/>
                <w:b/>
                <w:sz w:val="22"/>
                <w:szCs w:val="22"/>
              </w:rPr>
            </w:pPr>
          </w:p>
        </w:tc>
        <w:tc>
          <w:tcPr>
            <w:tcW w:w="4111" w:type="dxa"/>
            <w:shd w:val="clear" w:color="auto" w:fill="auto"/>
          </w:tcPr>
          <w:p w14:paraId="5888FD0C" w14:textId="77777777" w:rsidR="00134E94" w:rsidRPr="008A4486" w:rsidRDefault="00134E94" w:rsidP="008A4486">
            <w:pPr>
              <w:pStyle w:val="BodyText"/>
              <w:jc w:val="both"/>
              <w:rPr>
                <w:rFonts w:ascii="Times New Roman" w:hAnsi="Times New Roman" w:cs="Times New Roman"/>
                <w:sz w:val="22"/>
                <w:szCs w:val="22"/>
              </w:rPr>
            </w:pPr>
            <w:r w:rsidRPr="008A4486">
              <w:rPr>
                <w:rFonts w:ascii="Times New Roman" w:hAnsi="Times New Roman" w:cs="Times New Roman"/>
                <w:sz w:val="22"/>
                <w:szCs w:val="22"/>
              </w:rPr>
              <w:t>1,354 adolescents accessed SRH services in Youth-Friendly Service (YFS) corners.</w:t>
            </w:r>
          </w:p>
          <w:p w14:paraId="1D41EFDA" w14:textId="77777777" w:rsidR="00832C48" w:rsidRPr="008A4486" w:rsidRDefault="00832C48" w:rsidP="00DD3218">
            <w:pPr>
              <w:pStyle w:val="BodyText"/>
              <w:jc w:val="both"/>
              <w:rPr>
                <w:rFonts w:ascii="Times New Roman" w:hAnsi="Times New Roman" w:cs="Times New Roman"/>
                <w:sz w:val="22"/>
                <w:szCs w:val="22"/>
              </w:rPr>
            </w:pPr>
          </w:p>
          <w:p w14:paraId="16A3FB85" w14:textId="7C63D727" w:rsidR="00134E94" w:rsidRPr="008A4486" w:rsidRDefault="00134E94" w:rsidP="008A4486">
            <w:pPr>
              <w:pStyle w:val="BodyText"/>
              <w:jc w:val="both"/>
              <w:rPr>
                <w:rFonts w:ascii="Times New Roman" w:hAnsi="Times New Roman" w:cs="Times New Roman"/>
                <w:sz w:val="22"/>
                <w:szCs w:val="22"/>
              </w:rPr>
            </w:pPr>
            <w:r w:rsidRPr="008A4486">
              <w:rPr>
                <w:rFonts w:ascii="Times New Roman" w:hAnsi="Times New Roman" w:cs="Times New Roman"/>
                <w:sz w:val="22"/>
                <w:szCs w:val="22"/>
              </w:rPr>
              <w:t>10,000 youths reached with information on Adolescent Sexual Reproductive Health (ASRH) and Family Planning (FP) through Radio programs broadcasted.</w:t>
            </w:r>
          </w:p>
          <w:p w14:paraId="4688B4F8" w14:textId="77777777" w:rsidR="00832C48" w:rsidRPr="008A4486" w:rsidRDefault="00832C48" w:rsidP="00DD3218">
            <w:pPr>
              <w:pStyle w:val="BodyText"/>
              <w:jc w:val="both"/>
              <w:rPr>
                <w:rFonts w:ascii="Times New Roman" w:hAnsi="Times New Roman" w:cs="Times New Roman"/>
                <w:sz w:val="22"/>
                <w:szCs w:val="22"/>
              </w:rPr>
            </w:pPr>
          </w:p>
          <w:p w14:paraId="6B6EC24E" w14:textId="13FC0641" w:rsidR="00134E94" w:rsidRPr="008A4486" w:rsidRDefault="00134E94" w:rsidP="008A4486">
            <w:pPr>
              <w:pStyle w:val="BodyText"/>
              <w:jc w:val="both"/>
              <w:rPr>
                <w:rFonts w:ascii="Times New Roman" w:hAnsi="Times New Roman" w:cs="Times New Roman"/>
                <w:sz w:val="22"/>
                <w:szCs w:val="22"/>
              </w:rPr>
            </w:pPr>
            <w:r w:rsidRPr="008A4486">
              <w:rPr>
                <w:rFonts w:ascii="Times New Roman" w:hAnsi="Times New Roman" w:cs="Times New Roman"/>
                <w:sz w:val="22"/>
                <w:szCs w:val="22"/>
              </w:rPr>
              <w:t xml:space="preserve">3,000 youths received critical Sexual and Reproductive Health (SRH) information through peer education programs. </w:t>
            </w:r>
          </w:p>
          <w:p w14:paraId="215DEE0C" w14:textId="77777777" w:rsidR="006251ED" w:rsidRPr="008A4486" w:rsidRDefault="006251ED" w:rsidP="00DD3218">
            <w:pPr>
              <w:pStyle w:val="BodyText"/>
              <w:jc w:val="both"/>
              <w:rPr>
                <w:rFonts w:ascii="Times New Roman" w:hAnsi="Times New Roman" w:cs="Times New Roman"/>
                <w:bCs/>
                <w:sz w:val="22"/>
                <w:szCs w:val="22"/>
              </w:rPr>
            </w:pPr>
          </w:p>
        </w:tc>
        <w:tc>
          <w:tcPr>
            <w:tcW w:w="1559" w:type="dxa"/>
            <w:shd w:val="clear" w:color="auto" w:fill="auto"/>
          </w:tcPr>
          <w:p w14:paraId="2B821010" w14:textId="77777777" w:rsidR="006251ED" w:rsidRPr="008A4486" w:rsidRDefault="006251ED" w:rsidP="00DD3218">
            <w:pPr>
              <w:pStyle w:val="BodyText"/>
              <w:jc w:val="both"/>
              <w:rPr>
                <w:rFonts w:ascii="Times New Roman" w:hAnsi="Times New Roman" w:cs="Times New Roman"/>
                <w:bCs/>
                <w:sz w:val="22"/>
                <w:szCs w:val="22"/>
              </w:rPr>
            </w:pPr>
          </w:p>
        </w:tc>
        <w:tc>
          <w:tcPr>
            <w:tcW w:w="1985" w:type="dxa"/>
            <w:shd w:val="clear" w:color="auto" w:fill="auto"/>
          </w:tcPr>
          <w:p w14:paraId="37AEF727" w14:textId="2CCF786F" w:rsidR="006251ED" w:rsidRPr="008A4486" w:rsidRDefault="004A235C" w:rsidP="004A235C">
            <w:pPr>
              <w:pStyle w:val="BodyText"/>
              <w:jc w:val="both"/>
              <w:rPr>
                <w:rFonts w:ascii="Times New Roman" w:hAnsi="Times New Roman" w:cs="Times New Roman"/>
                <w:bCs/>
                <w:sz w:val="22"/>
                <w:szCs w:val="22"/>
              </w:rPr>
            </w:pPr>
            <w:r w:rsidRPr="004A235C">
              <w:rPr>
                <w:rFonts w:ascii="Times New Roman" w:hAnsi="Times New Roman" w:cs="Times New Roman"/>
                <w:bCs/>
                <w:sz w:val="22"/>
                <w:szCs w:val="22"/>
              </w:rPr>
              <w:t>Project Implementation report</w:t>
            </w:r>
          </w:p>
        </w:tc>
      </w:tr>
      <w:tr w:rsidR="00832C48" w:rsidRPr="00832C48" w14:paraId="4A289CC8" w14:textId="77777777" w:rsidTr="38525CFC">
        <w:tc>
          <w:tcPr>
            <w:tcW w:w="2347" w:type="dxa"/>
            <w:vMerge/>
          </w:tcPr>
          <w:p w14:paraId="327C09CB" w14:textId="77777777" w:rsidR="006251ED" w:rsidRPr="008A4486" w:rsidRDefault="006251ED" w:rsidP="00DD3218">
            <w:pPr>
              <w:pStyle w:val="BodyText"/>
              <w:jc w:val="both"/>
              <w:rPr>
                <w:rFonts w:ascii="Times New Roman" w:hAnsi="Times New Roman" w:cs="Times New Roman"/>
                <w:b/>
                <w:sz w:val="22"/>
                <w:szCs w:val="22"/>
              </w:rPr>
            </w:pPr>
          </w:p>
        </w:tc>
        <w:tc>
          <w:tcPr>
            <w:tcW w:w="4819" w:type="dxa"/>
          </w:tcPr>
          <w:p w14:paraId="7D25B6B4" w14:textId="77777777" w:rsidR="006251ED" w:rsidRPr="008A4486" w:rsidRDefault="006251ED" w:rsidP="008A4486">
            <w:pPr>
              <w:pStyle w:val="BodyText"/>
              <w:jc w:val="both"/>
              <w:rPr>
                <w:rFonts w:ascii="Times New Roman" w:hAnsi="Times New Roman" w:cs="Times New Roman"/>
                <w:bCs/>
                <w:sz w:val="22"/>
                <w:szCs w:val="22"/>
              </w:rPr>
            </w:pPr>
            <w:r w:rsidRPr="008A4486">
              <w:rPr>
                <w:rFonts w:ascii="Times New Roman" w:hAnsi="Times New Roman" w:cs="Times New Roman"/>
                <w:b/>
                <w:sz w:val="22"/>
                <w:szCs w:val="22"/>
              </w:rPr>
              <w:t>Indicator 1.3.4:</w:t>
            </w:r>
            <w:r w:rsidRPr="008A4486">
              <w:rPr>
                <w:rFonts w:ascii="Times New Roman" w:hAnsi="Times New Roman" w:cs="Times New Roman"/>
                <w:bCs/>
                <w:sz w:val="22"/>
                <w:szCs w:val="22"/>
              </w:rPr>
              <w:t xml:space="preserve"> # of adolescent girls and boys reached with SRHR/HIV/ VAC/GBV/life skills education.</w:t>
            </w:r>
          </w:p>
          <w:p w14:paraId="2ADF12F3" w14:textId="77777777" w:rsidR="006251ED" w:rsidRPr="008A4486" w:rsidRDefault="006251ED" w:rsidP="008A4486">
            <w:pPr>
              <w:pStyle w:val="BodyText"/>
              <w:jc w:val="both"/>
              <w:rPr>
                <w:rFonts w:ascii="Times New Roman" w:hAnsi="Times New Roman" w:cs="Times New Roman"/>
                <w:b/>
                <w:bCs/>
                <w:sz w:val="22"/>
                <w:szCs w:val="22"/>
              </w:rPr>
            </w:pPr>
            <w:r w:rsidRPr="008A4486">
              <w:rPr>
                <w:rFonts w:ascii="Times New Roman" w:hAnsi="Times New Roman" w:cs="Times New Roman"/>
                <w:b/>
                <w:sz w:val="22"/>
                <w:szCs w:val="22"/>
              </w:rPr>
              <w:lastRenderedPageBreak/>
              <w:t xml:space="preserve">Baseline: </w:t>
            </w:r>
            <w:r w:rsidRPr="008A4486">
              <w:rPr>
                <w:rFonts w:ascii="Times New Roman" w:hAnsi="Times New Roman" w:cs="Times New Roman"/>
                <w:b/>
                <w:bCs/>
                <w:sz w:val="22"/>
                <w:szCs w:val="22"/>
              </w:rPr>
              <w:t>1,744</w:t>
            </w:r>
          </w:p>
          <w:p w14:paraId="4AE6BBFC" w14:textId="77777777" w:rsidR="006251ED" w:rsidRPr="008A4486" w:rsidRDefault="006251ED" w:rsidP="008A4486">
            <w:pPr>
              <w:pStyle w:val="BodyText"/>
              <w:jc w:val="both"/>
              <w:rPr>
                <w:rFonts w:ascii="Times New Roman" w:hAnsi="Times New Roman" w:cs="Times New Roman"/>
                <w:b/>
                <w:bCs/>
                <w:sz w:val="22"/>
                <w:szCs w:val="22"/>
              </w:rPr>
            </w:pPr>
            <w:r w:rsidRPr="008A4486">
              <w:rPr>
                <w:rFonts w:ascii="Times New Roman" w:hAnsi="Times New Roman" w:cs="Times New Roman"/>
                <w:b/>
                <w:sz w:val="22"/>
                <w:szCs w:val="22"/>
              </w:rPr>
              <w:t>Planned Target:</w:t>
            </w:r>
            <w:r w:rsidRPr="008A4486">
              <w:rPr>
                <w:rFonts w:ascii="Times New Roman" w:hAnsi="Times New Roman" w:cs="Times New Roman"/>
                <w:b/>
                <w:bCs/>
                <w:sz w:val="22"/>
                <w:szCs w:val="22"/>
              </w:rPr>
              <w:t>3160</w:t>
            </w:r>
          </w:p>
          <w:p w14:paraId="5B908F14" w14:textId="77777777" w:rsidR="006251ED" w:rsidRPr="008A4486" w:rsidRDefault="006251ED" w:rsidP="008A4486">
            <w:pPr>
              <w:pStyle w:val="BodyText"/>
              <w:jc w:val="both"/>
              <w:rPr>
                <w:rFonts w:ascii="Times New Roman" w:hAnsi="Times New Roman" w:cs="Times New Roman"/>
                <w:b/>
                <w:sz w:val="22"/>
                <w:szCs w:val="22"/>
              </w:rPr>
            </w:pPr>
          </w:p>
        </w:tc>
        <w:tc>
          <w:tcPr>
            <w:tcW w:w="4111" w:type="dxa"/>
            <w:shd w:val="clear" w:color="auto" w:fill="auto"/>
          </w:tcPr>
          <w:p w14:paraId="4DE86095" w14:textId="77777777" w:rsidR="00134E94" w:rsidRPr="008A4486" w:rsidRDefault="00134E94" w:rsidP="008A4486">
            <w:pPr>
              <w:pStyle w:val="BodyText"/>
              <w:jc w:val="both"/>
              <w:rPr>
                <w:rFonts w:ascii="Times New Roman" w:hAnsi="Times New Roman" w:cs="Times New Roman"/>
                <w:sz w:val="22"/>
                <w:szCs w:val="22"/>
              </w:rPr>
            </w:pPr>
            <w:r w:rsidRPr="008A4486">
              <w:rPr>
                <w:rFonts w:ascii="Times New Roman" w:hAnsi="Times New Roman" w:cs="Times New Roman"/>
                <w:sz w:val="22"/>
                <w:szCs w:val="22"/>
              </w:rPr>
              <w:lastRenderedPageBreak/>
              <w:t>226 adolescent girls and boys have benefited from livelihood enhancement and SRH education.</w:t>
            </w:r>
          </w:p>
          <w:p w14:paraId="53CDE667" w14:textId="77777777" w:rsidR="006251ED" w:rsidRPr="008A4486" w:rsidRDefault="006251ED" w:rsidP="00DD3218">
            <w:pPr>
              <w:pStyle w:val="BodyText"/>
              <w:jc w:val="both"/>
              <w:rPr>
                <w:rFonts w:ascii="Times New Roman" w:hAnsi="Times New Roman" w:cs="Times New Roman"/>
                <w:bCs/>
                <w:sz w:val="22"/>
                <w:szCs w:val="22"/>
              </w:rPr>
            </w:pPr>
          </w:p>
        </w:tc>
        <w:tc>
          <w:tcPr>
            <w:tcW w:w="1559" w:type="dxa"/>
            <w:shd w:val="clear" w:color="auto" w:fill="auto"/>
          </w:tcPr>
          <w:p w14:paraId="1D0CEC17" w14:textId="77777777" w:rsidR="006251ED" w:rsidRPr="008A4486" w:rsidRDefault="006251ED" w:rsidP="00DD3218">
            <w:pPr>
              <w:pStyle w:val="BodyText"/>
              <w:jc w:val="both"/>
              <w:rPr>
                <w:rFonts w:ascii="Times New Roman" w:hAnsi="Times New Roman" w:cs="Times New Roman"/>
                <w:bCs/>
                <w:sz w:val="22"/>
                <w:szCs w:val="22"/>
              </w:rPr>
            </w:pPr>
          </w:p>
        </w:tc>
        <w:tc>
          <w:tcPr>
            <w:tcW w:w="1985" w:type="dxa"/>
            <w:shd w:val="clear" w:color="auto" w:fill="auto"/>
          </w:tcPr>
          <w:p w14:paraId="13C9ECB3" w14:textId="77777777" w:rsidR="006251ED" w:rsidRPr="008A4486" w:rsidRDefault="006251ED" w:rsidP="00DD3218">
            <w:pPr>
              <w:pStyle w:val="BodyText"/>
              <w:jc w:val="both"/>
              <w:rPr>
                <w:rFonts w:ascii="Times New Roman" w:hAnsi="Times New Roman" w:cs="Times New Roman"/>
                <w:bCs/>
                <w:sz w:val="22"/>
                <w:szCs w:val="22"/>
              </w:rPr>
            </w:pPr>
          </w:p>
        </w:tc>
      </w:tr>
      <w:tr w:rsidR="00832C48" w:rsidRPr="00832C48" w14:paraId="787DF973" w14:textId="77777777" w:rsidTr="38525CFC">
        <w:tc>
          <w:tcPr>
            <w:tcW w:w="2347" w:type="dxa"/>
            <w:shd w:val="clear" w:color="auto" w:fill="auto"/>
          </w:tcPr>
          <w:p w14:paraId="5EED5EF4" w14:textId="77777777" w:rsidR="006251ED" w:rsidRPr="008A4486" w:rsidRDefault="006251ED" w:rsidP="00DD3218">
            <w:pPr>
              <w:pStyle w:val="BodyText"/>
              <w:jc w:val="both"/>
              <w:rPr>
                <w:rFonts w:ascii="Times New Roman" w:hAnsi="Times New Roman" w:cs="Times New Roman"/>
                <w:bCs/>
                <w:sz w:val="22"/>
                <w:szCs w:val="22"/>
              </w:rPr>
            </w:pPr>
            <w:r w:rsidRPr="008A4486">
              <w:rPr>
                <w:rFonts w:ascii="Times New Roman" w:hAnsi="Times New Roman" w:cs="Times New Roman"/>
                <w:b/>
                <w:sz w:val="22"/>
                <w:szCs w:val="22"/>
              </w:rPr>
              <w:t>Output 1.4:</w:t>
            </w:r>
            <w:r w:rsidRPr="008A4486">
              <w:rPr>
                <w:rFonts w:ascii="Times New Roman" w:hAnsi="Times New Roman" w:cs="Times New Roman"/>
                <w:bCs/>
                <w:sz w:val="22"/>
                <w:szCs w:val="22"/>
              </w:rPr>
              <w:t xml:space="preserve"> Strengthened capacities of duty bearers and stakeholders to sustain improved basic education, health, WASH, and protection services during emergencies.</w:t>
            </w:r>
          </w:p>
          <w:p w14:paraId="633BC41A" w14:textId="77777777" w:rsidR="006251ED" w:rsidRPr="008A4486" w:rsidRDefault="006251ED" w:rsidP="008A4486">
            <w:pPr>
              <w:jc w:val="both"/>
              <w:rPr>
                <w:bCs/>
                <w:sz w:val="22"/>
                <w:szCs w:val="22"/>
              </w:rPr>
            </w:pPr>
          </w:p>
        </w:tc>
        <w:tc>
          <w:tcPr>
            <w:tcW w:w="4819" w:type="dxa"/>
          </w:tcPr>
          <w:p w14:paraId="1617C3C8" w14:textId="77777777" w:rsidR="006251ED" w:rsidRPr="008A4486" w:rsidRDefault="006251ED" w:rsidP="008A4486">
            <w:pPr>
              <w:jc w:val="both"/>
              <w:rPr>
                <w:bCs/>
                <w:sz w:val="22"/>
                <w:szCs w:val="22"/>
              </w:rPr>
            </w:pPr>
            <w:r w:rsidRPr="008A4486">
              <w:rPr>
                <w:b/>
                <w:sz w:val="22"/>
                <w:szCs w:val="22"/>
              </w:rPr>
              <w:t>Indicator 1.4.1</w:t>
            </w:r>
            <w:r w:rsidRPr="008A4486">
              <w:rPr>
                <w:bCs/>
                <w:sz w:val="22"/>
                <w:szCs w:val="22"/>
              </w:rPr>
              <w:t>: #. of LGAs with skills and knowledge to coordinate and implement multi-sectoral gender-responsive, emergency/epidemic/Humanitarian preparedness plans.</w:t>
            </w:r>
          </w:p>
          <w:p w14:paraId="28BE80BC" w14:textId="77777777" w:rsidR="006251ED" w:rsidRPr="008A4486" w:rsidRDefault="006251ED" w:rsidP="008A4486">
            <w:pPr>
              <w:jc w:val="both"/>
              <w:rPr>
                <w:b/>
                <w:sz w:val="22"/>
                <w:szCs w:val="22"/>
              </w:rPr>
            </w:pPr>
          </w:p>
          <w:p w14:paraId="2F5D852A" w14:textId="53B446B0" w:rsidR="006251ED" w:rsidRPr="00BE5381" w:rsidRDefault="006251ED" w:rsidP="008A4486">
            <w:pPr>
              <w:jc w:val="both"/>
              <w:rPr>
                <w:b/>
                <w:sz w:val="22"/>
                <w:szCs w:val="22"/>
              </w:rPr>
            </w:pPr>
            <w:r w:rsidRPr="00BE5381">
              <w:rPr>
                <w:b/>
                <w:sz w:val="22"/>
                <w:szCs w:val="22"/>
              </w:rPr>
              <w:t>Baseline:</w:t>
            </w:r>
            <w:r w:rsidRPr="00BE5381">
              <w:rPr>
                <w:sz w:val="22"/>
                <w:szCs w:val="22"/>
              </w:rPr>
              <w:t xml:space="preserve"> </w:t>
            </w:r>
            <w:r w:rsidR="00BE5381" w:rsidRPr="00BE5381">
              <w:rPr>
                <w:sz w:val="22"/>
                <w:szCs w:val="22"/>
              </w:rPr>
              <w:t>0</w:t>
            </w:r>
          </w:p>
          <w:p w14:paraId="31CA6012" w14:textId="0D742A01" w:rsidR="006251ED" w:rsidRPr="008A4486" w:rsidRDefault="006251ED" w:rsidP="008A4486">
            <w:pPr>
              <w:jc w:val="both"/>
              <w:rPr>
                <w:sz w:val="22"/>
                <w:szCs w:val="22"/>
              </w:rPr>
            </w:pPr>
            <w:r w:rsidRPr="00BE5381">
              <w:rPr>
                <w:b/>
                <w:sz w:val="22"/>
                <w:szCs w:val="22"/>
              </w:rPr>
              <w:t>Planned Target:</w:t>
            </w:r>
            <w:r w:rsidRPr="00BE5381">
              <w:rPr>
                <w:sz w:val="22"/>
                <w:szCs w:val="22"/>
              </w:rPr>
              <w:t xml:space="preserve"> </w:t>
            </w:r>
            <w:r w:rsidR="00BE5381" w:rsidRPr="00BE5381">
              <w:rPr>
                <w:sz w:val="22"/>
                <w:szCs w:val="22"/>
              </w:rPr>
              <w:t>1</w:t>
            </w:r>
          </w:p>
          <w:p w14:paraId="76405C02" w14:textId="77777777" w:rsidR="006251ED" w:rsidRPr="008A4486" w:rsidRDefault="006251ED" w:rsidP="00DD3218">
            <w:pPr>
              <w:pStyle w:val="BodyText"/>
              <w:jc w:val="both"/>
              <w:rPr>
                <w:rFonts w:ascii="Times New Roman" w:hAnsi="Times New Roman" w:cs="Times New Roman"/>
                <w:bCs/>
                <w:sz w:val="22"/>
                <w:szCs w:val="22"/>
              </w:rPr>
            </w:pPr>
          </w:p>
        </w:tc>
        <w:tc>
          <w:tcPr>
            <w:tcW w:w="4111" w:type="dxa"/>
            <w:shd w:val="clear" w:color="auto" w:fill="auto"/>
          </w:tcPr>
          <w:p w14:paraId="5F3A9F41" w14:textId="77777777" w:rsidR="006251ED" w:rsidRPr="008A4486" w:rsidRDefault="006251ED" w:rsidP="008A4486">
            <w:pPr>
              <w:pStyle w:val="BodyText"/>
              <w:jc w:val="both"/>
              <w:rPr>
                <w:rFonts w:ascii="Times New Roman" w:hAnsi="Times New Roman" w:cs="Times New Roman"/>
                <w:bCs/>
                <w:sz w:val="22"/>
                <w:szCs w:val="22"/>
              </w:rPr>
            </w:pPr>
            <w:r w:rsidRPr="008A4486">
              <w:rPr>
                <w:rFonts w:ascii="Times New Roman" w:hAnsi="Times New Roman" w:cs="Times New Roman"/>
                <w:bCs/>
                <w:sz w:val="22"/>
                <w:szCs w:val="22"/>
              </w:rPr>
              <w:t xml:space="preserve">One Strategy for Improving Environmental Sanitation and Hygiene for All in the Kigoma region (July 2023 to June 2026) developed. </w:t>
            </w:r>
          </w:p>
        </w:tc>
        <w:tc>
          <w:tcPr>
            <w:tcW w:w="1559" w:type="dxa"/>
            <w:shd w:val="clear" w:color="auto" w:fill="auto"/>
          </w:tcPr>
          <w:p w14:paraId="66FC580D" w14:textId="77777777" w:rsidR="006251ED" w:rsidRPr="008A4486" w:rsidRDefault="006251ED" w:rsidP="00DD3218">
            <w:pPr>
              <w:pStyle w:val="BodyText"/>
              <w:jc w:val="both"/>
              <w:rPr>
                <w:rFonts w:ascii="Times New Roman" w:hAnsi="Times New Roman" w:cs="Times New Roman"/>
                <w:bCs/>
                <w:sz w:val="22"/>
                <w:szCs w:val="22"/>
              </w:rPr>
            </w:pPr>
          </w:p>
        </w:tc>
        <w:tc>
          <w:tcPr>
            <w:tcW w:w="1985" w:type="dxa"/>
            <w:shd w:val="clear" w:color="auto" w:fill="auto"/>
          </w:tcPr>
          <w:p w14:paraId="79CAE9F3" w14:textId="4F0050C1" w:rsidR="006251ED" w:rsidRPr="008A4486" w:rsidRDefault="00D07F50" w:rsidP="00DD3218">
            <w:pPr>
              <w:pStyle w:val="BodyText"/>
              <w:jc w:val="both"/>
              <w:rPr>
                <w:rFonts w:ascii="Times New Roman" w:hAnsi="Times New Roman" w:cs="Times New Roman"/>
                <w:bCs/>
                <w:sz w:val="22"/>
                <w:szCs w:val="22"/>
              </w:rPr>
            </w:pPr>
            <w:r w:rsidRPr="00D07F50">
              <w:rPr>
                <w:rFonts w:ascii="Times New Roman" w:hAnsi="Times New Roman" w:cs="Times New Roman"/>
                <w:bCs/>
                <w:sz w:val="22"/>
                <w:szCs w:val="22"/>
              </w:rPr>
              <w:t>Project Implementation report</w:t>
            </w:r>
          </w:p>
        </w:tc>
      </w:tr>
      <w:tr w:rsidR="00832C48" w:rsidRPr="00832C48" w14:paraId="5AF54928" w14:textId="77777777" w:rsidTr="38525CFC">
        <w:tc>
          <w:tcPr>
            <w:tcW w:w="2347" w:type="dxa"/>
            <w:shd w:val="clear" w:color="auto" w:fill="auto"/>
          </w:tcPr>
          <w:p w14:paraId="13D79975" w14:textId="77777777" w:rsidR="006251ED" w:rsidRPr="00122ACF" w:rsidRDefault="006251ED" w:rsidP="006251ED">
            <w:pPr>
              <w:pStyle w:val="BodyText"/>
              <w:jc w:val="both"/>
              <w:rPr>
                <w:rFonts w:ascii="Times New Roman" w:hAnsi="Times New Roman" w:cs="Times New Roman"/>
                <w:bCs/>
                <w:sz w:val="22"/>
                <w:szCs w:val="22"/>
              </w:rPr>
            </w:pPr>
            <w:r w:rsidRPr="00122ACF">
              <w:rPr>
                <w:rFonts w:ascii="Times New Roman" w:hAnsi="Times New Roman" w:cs="Times New Roman"/>
                <w:b/>
                <w:sz w:val="22"/>
                <w:szCs w:val="22"/>
              </w:rPr>
              <w:t>Output 1.5:</w:t>
            </w:r>
            <w:r w:rsidRPr="00122ACF">
              <w:rPr>
                <w:rFonts w:ascii="Times New Roman" w:hAnsi="Times New Roman" w:cs="Times New Roman"/>
                <w:bCs/>
                <w:sz w:val="22"/>
                <w:szCs w:val="22"/>
              </w:rPr>
              <w:t xml:space="preserve"> Duty bearers and key stakeholders in Kigoma have improved capacity for evidence-based planning, M&amp;E, budgeting, and coordination of interventions in education, health, nutrition, WASH, and protection including VAWC.</w:t>
            </w:r>
          </w:p>
          <w:p w14:paraId="4134D2BA" w14:textId="05D90C12" w:rsidR="006251ED" w:rsidRPr="00122ACF" w:rsidRDefault="006251ED" w:rsidP="006251ED">
            <w:pPr>
              <w:rPr>
                <w:b/>
                <w:sz w:val="22"/>
                <w:szCs w:val="22"/>
              </w:rPr>
            </w:pPr>
          </w:p>
        </w:tc>
        <w:tc>
          <w:tcPr>
            <w:tcW w:w="4819" w:type="dxa"/>
          </w:tcPr>
          <w:p w14:paraId="25442392" w14:textId="77777777" w:rsidR="006251ED" w:rsidRPr="00D07F50" w:rsidRDefault="006251ED" w:rsidP="006251ED">
            <w:pPr>
              <w:rPr>
                <w:b/>
                <w:sz w:val="22"/>
                <w:szCs w:val="22"/>
              </w:rPr>
            </w:pPr>
            <w:r w:rsidRPr="00122ACF">
              <w:rPr>
                <w:b/>
                <w:sz w:val="22"/>
                <w:szCs w:val="22"/>
              </w:rPr>
              <w:t xml:space="preserve">Indicator 1:5:1: </w:t>
            </w:r>
            <w:r w:rsidRPr="00122ACF">
              <w:rPr>
                <w:bCs/>
                <w:sz w:val="22"/>
                <w:szCs w:val="22"/>
              </w:rPr>
              <w:t xml:space="preserve">No. of LGAs with evidence based MTEF plans (# LGAs who use data for gender-responsive and inclusive planning, monitoring and </w:t>
            </w:r>
            <w:r w:rsidRPr="00D07F50">
              <w:rPr>
                <w:bCs/>
                <w:sz w:val="22"/>
                <w:szCs w:val="22"/>
              </w:rPr>
              <w:t>accountability.)</w:t>
            </w:r>
          </w:p>
          <w:p w14:paraId="5AD7A17B" w14:textId="77777777" w:rsidR="00D07F50" w:rsidRPr="00D07F50" w:rsidRDefault="00D07F50" w:rsidP="00D07F50">
            <w:pPr>
              <w:shd w:val="clear" w:color="auto" w:fill="FFFFFF" w:themeFill="background1"/>
              <w:rPr>
                <w:b/>
                <w:sz w:val="22"/>
                <w:szCs w:val="22"/>
              </w:rPr>
            </w:pPr>
          </w:p>
          <w:p w14:paraId="42155FF8" w14:textId="1B4C57F9" w:rsidR="006251ED" w:rsidRPr="00D07F50" w:rsidRDefault="006251ED" w:rsidP="00D07F50">
            <w:pPr>
              <w:shd w:val="clear" w:color="auto" w:fill="FFFFFF" w:themeFill="background1"/>
              <w:rPr>
                <w:b/>
                <w:sz w:val="22"/>
                <w:szCs w:val="22"/>
              </w:rPr>
            </w:pPr>
            <w:r w:rsidRPr="00D07F50">
              <w:rPr>
                <w:b/>
                <w:sz w:val="22"/>
                <w:szCs w:val="22"/>
              </w:rPr>
              <w:t>Baseline: 0</w:t>
            </w:r>
          </w:p>
          <w:p w14:paraId="689ED5C2" w14:textId="490F9552" w:rsidR="006251ED" w:rsidRPr="00122ACF" w:rsidRDefault="006251ED" w:rsidP="00D07F50">
            <w:pPr>
              <w:pStyle w:val="BodyText"/>
              <w:shd w:val="clear" w:color="auto" w:fill="FFFFFF" w:themeFill="background1"/>
              <w:jc w:val="both"/>
              <w:rPr>
                <w:rFonts w:ascii="Times New Roman" w:hAnsi="Times New Roman" w:cs="Times New Roman"/>
                <w:bCs/>
                <w:sz w:val="22"/>
                <w:szCs w:val="22"/>
              </w:rPr>
            </w:pPr>
            <w:r w:rsidRPr="00D07F50">
              <w:rPr>
                <w:rFonts w:ascii="Times New Roman" w:hAnsi="Times New Roman" w:cs="Times New Roman"/>
                <w:b/>
                <w:sz w:val="22"/>
                <w:szCs w:val="22"/>
              </w:rPr>
              <w:t xml:space="preserve">Planned Target: </w:t>
            </w:r>
            <w:r w:rsidRPr="00D07F50">
              <w:rPr>
                <w:rFonts w:ascii="Times New Roman" w:hAnsi="Times New Roman" w:cs="Times New Roman"/>
                <w:bCs/>
                <w:sz w:val="22"/>
                <w:szCs w:val="22"/>
              </w:rPr>
              <w:t>8</w:t>
            </w:r>
          </w:p>
        </w:tc>
        <w:tc>
          <w:tcPr>
            <w:tcW w:w="4111" w:type="dxa"/>
            <w:shd w:val="clear" w:color="auto" w:fill="auto"/>
          </w:tcPr>
          <w:p w14:paraId="4E01C355" w14:textId="77777777" w:rsidR="006251ED" w:rsidRPr="00122ACF" w:rsidRDefault="006251ED" w:rsidP="008A4486">
            <w:pPr>
              <w:pStyle w:val="BodyText"/>
              <w:jc w:val="both"/>
              <w:rPr>
                <w:rFonts w:ascii="Times New Roman" w:hAnsi="Times New Roman" w:cs="Times New Roman"/>
                <w:bCs/>
                <w:sz w:val="22"/>
                <w:szCs w:val="22"/>
              </w:rPr>
            </w:pPr>
            <w:r w:rsidRPr="00122ACF">
              <w:rPr>
                <w:rFonts w:ascii="Times New Roman" w:hAnsi="Times New Roman" w:cs="Times New Roman"/>
                <w:bCs/>
                <w:sz w:val="22"/>
                <w:szCs w:val="22"/>
              </w:rPr>
              <w:t xml:space="preserve">4 Local Government Authorities (LGAs) in the region have allocated budgets specifically for VAWC interventions for the fiscal year 2024/25. </w:t>
            </w:r>
          </w:p>
        </w:tc>
        <w:tc>
          <w:tcPr>
            <w:tcW w:w="1559" w:type="dxa"/>
            <w:shd w:val="clear" w:color="auto" w:fill="auto"/>
          </w:tcPr>
          <w:p w14:paraId="34AF7403" w14:textId="77777777" w:rsidR="006251ED" w:rsidRPr="00122ACF" w:rsidRDefault="006251ED" w:rsidP="006251ED">
            <w:pPr>
              <w:pStyle w:val="BodyText"/>
              <w:jc w:val="both"/>
              <w:rPr>
                <w:rFonts w:ascii="Times New Roman" w:hAnsi="Times New Roman" w:cs="Times New Roman"/>
                <w:bCs/>
                <w:sz w:val="22"/>
                <w:szCs w:val="22"/>
              </w:rPr>
            </w:pPr>
          </w:p>
        </w:tc>
        <w:tc>
          <w:tcPr>
            <w:tcW w:w="1985" w:type="dxa"/>
            <w:shd w:val="clear" w:color="auto" w:fill="auto"/>
          </w:tcPr>
          <w:p w14:paraId="4A0272A7" w14:textId="77777777" w:rsidR="006251ED" w:rsidRPr="00122ACF" w:rsidRDefault="006251ED" w:rsidP="006251ED">
            <w:pPr>
              <w:pStyle w:val="BodyText"/>
              <w:jc w:val="both"/>
              <w:rPr>
                <w:rFonts w:ascii="Times New Roman" w:hAnsi="Times New Roman" w:cs="Times New Roman"/>
                <w:bCs/>
                <w:sz w:val="22"/>
                <w:szCs w:val="22"/>
              </w:rPr>
            </w:pPr>
            <w:r w:rsidRPr="00122ACF">
              <w:rPr>
                <w:rFonts w:ascii="Times New Roman" w:hAnsi="Times New Roman" w:cs="Times New Roman"/>
                <w:bCs/>
                <w:sz w:val="22"/>
                <w:szCs w:val="22"/>
              </w:rPr>
              <w:t xml:space="preserve">Project Implementation report </w:t>
            </w:r>
          </w:p>
        </w:tc>
      </w:tr>
    </w:tbl>
    <w:p w14:paraId="329432A7" w14:textId="77777777" w:rsidR="006251ED" w:rsidRDefault="006251ED">
      <w:r>
        <w:br w:type="page"/>
      </w:r>
    </w:p>
    <w:tbl>
      <w:tblPr>
        <w:tblW w:w="1453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5"/>
        <w:gridCol w:w="3686"/>
        <w:gridCol w:w="3544"/>
        <w:gridCol w:w="2268"/>
        <w:gridCol w:w="1984"/>
      </w:tblGrid>
      <w:tr w:rsidR="00832C48" w:rsidRPr="008D685F" w14:paraId="609FA90B" w14:textId="77777777" w:rsidTr="38525CFC">
        <w:trPr>
          <w:tblHeader/>
        </w:trPr>
        <w:tc>
          <w:tcPr>
            <w:tcW w:w="14537" w:type="dxa"/>
            <w:gridSpan w:val="5"/>
            <w:shd w:val="clear" w:color="auto" w:fill="D0CECE" w:themeFill="background2" w:themeFillShade="E6"/>
          </w:tcPr>
          <w:p w14:paraId="50D18DBC" w14:textId="0E54F18A" w:rsidR="00832C48" w:rsidRPr="008A4486" w:rsidRDefault="00832C48" w:rsidP="006251ED">
            <w:pPr>
              <w:pStyle w:val="BodyText"/>
              <w:jc w:val="both"/>
              <w:rPr>
                <w:rFonts w:ascii="Times New Roman" w:hAnsi="Times New Roman" w:cs="Times New Roman"/>
                <w:b/>
                <w:sz w:val="22"/>
                <w:szCs w:val="22"/>
              </w:rPr>
            </w:pPr>
            <w:r w:rsidRPr="008A4486">
              <w:rPr>
                <w:rFonts w:ascii="Times New Roman" w:hAnsi="Times New Roman" w:cs="Times New Roman"/>
                <w:b/>
                <w:sz w:val="22"/>
                <w:szCs w:val="22"/>
              </w:rPr>
              <w:lastRenderedPageBreak/>
              <w:t>Outcome 2: By 2027, people in the United Republic of Tanzania working in MSMEs and small-scale agriculture, especially the most vulnerable, achieve increased, more sustainable productivity and incomes with more equitable access to productive resources.</w:t>
            </w:r>
          </w:p>
          <w:p w14:paraId="5E6B977E" w14:textId="77777777" w:rsidR="00832C48" w:rsidRPr="008A4486" w:rsidRDefault="00832C48" w:rsidP="006251ED">
            <w:pPr>
              <w:pStyle w:val="BodyText"/>
              <w:jc w:val="both"/>
              <w:rPr>
                <w:rFonts w:ascii="Times New Roman" w:hAnsi="Times New Roman" w:cs="Times New Roman"/>
                <w:bCs/>
                <w:sz w:val="22"/>
                <w:szCs w:val="22"/>
              </w:rPr>
            </w:pPr>
          </w:p>
        </w:tc>
      </w:tr>
      <w:tr w:rsidR="00832C48" w:rsidRPr="008D685F" w14:paraId="0108B964" w14:textId="77777777" w:rsidTr="38525CFC">
        <w:trPr>
          <w:tblHeader/>
        </w:trPr>
        <w:tc>
          <w:tcPr>
            <w:tcW w:w="3055" w:type="dxa"/>
            <w:shd w:val="clear" w:color="auto" w:fill="D0CECE" w:themeFill="background2" w:themeFillShade="E6"/>
          </w:tcPr>
          <w:p w14:paraId="59F3506A" w14:textId="018C9AC0" w:rsidR="00832C48" w:rsidRPr="008A4486" w:rsidRDefault="00832C48" w:rsidP="006251ED">
            <w:pPr>
              <w:pStyle w:val="BodyText"/>
              <w:jc w:val="both"/>
              <w:rPr>
                <w:rFonts w:ascii="Times New Roman" w:hAnsi="Times New Roman" w:cs="Times New Roman"/>
                <w:b/>
                <w:sz w:val="22"/>
                <w:szCs w:val="22"/>
              </w:rPr>
            </w:pPr>
            <w:r w:rsidRPr="008A4486">
              <w:rPr>
                <w:rFonts w:ascii="Times New Roman" w:hAnsi="Times New Roman" w:cs="Times New Roman"/>
                <w:b/>
                <w:sz w:val="22"/>
                <w:szCs w:val="22"/>
              </w:rPr>
              <w:t xml:space="preserve">Output </w:t>
            </w:r>
          </w:p>
        </w:tc>
        <w:tc>
          <w:tcPr>
            <w:tcW w:w="3686" w:type="dxa"/>
            <w:shd w:val="clear" w:color="auto" w:fill="D0CECE" w:themeFill="background2" w:themeFillShade="E6"/>
          </w:tcPr>
          <w:p w14:paraId="6660D51D" w14:textId="28D3C262" w:rsidR="00832C48" w:rsidRPr="008A4486" w:rsidRDefault="00832C48" w:rsidP="006251ED">
            <w:pPr>
              <w:pStyle w:val="BodyText"/>
              <w:jc w:val="both"/>
              <w:rPr>
                <w:rFonts w:ascii="Times New Roman" w:hAnsi="Times New Roman" w:cs="Times New Roman"/>
                <w:b/>
                <w:sz w:val="22"/>
                <w:szCs w:val="22"/>
              </w:rPr>
            </w:pPr>
            <w:r w:rsidRPr="008A4486">
              <w:rPr>
                <w:rFonts w:ascii="Times New Roman" w:hAnsi="Times New Roman" w:cs="Times New Roman"/>
                <w:b/>
                <w:sz w:val="22"/>
                <w:szCs w:val="22"/>
              </w:rPr>
              <w:t xml:space="preserve">Indicator </w:t>
            </w:r>
          </w:p>
        </w:tc>
        <w:tc>
          <w:tcPr>
            <w:tcW w:w="3544" w:type="dxa"/>
            <w:shd w:val="clear" w:color="auto" w:fill="D0CECE" w:themeFill="background2" w:themeFillShade="E6"/>
          </w:tcPr>
          <w:p w14:paraId="4ADCC81B" w14:textId="043497A7" w:rsidR="00832C48" w:rsidRPr="008A4486" w:rsidRDefault="00832C48" w:rsidP="006251ED">
            <w:pPr>
              <w:pStyle w:val="BodyText"/>
              <w:jc w:val="both"/>
              <w:rPr>
                <w:rFonts w:ascii="Times New Roman" w:hAnsi="Times New Roman" w:cs="Times New Roman"/>
                <w:b/>
                <w:sz w:val="22"/>
                <w:szCs w:val="22"/>
              </w:rPr>
            </w:pPr>
            <w:r w:rsidRPr="0052578F">
              <w:rPr>
                <w:rFonts w:ascii="Times New Roman" w:hAnsi="Times New Roman" w:cs="Times New Roman"/>
                <w:b/>
                <w:sz w:val="22"/>
                <w:szCs w:val="22"/>
              </w:rPr>
              <w:t>Achieved</w:t>
            </w:r>
            <w:r w:rsidRPr="008A4486">
              <w:rPr>
                <w:rFonts w:ascii="Times New Roman" w:hAnsi="Times New Roman" w:cs="Times New Roman"/>
                <w:b/>
                <w:sz w:val="22"/>
                <w:szCs w:val="22"/>
              </w:rPr>
              <w:t xml:space="preserve"> Indicator Targets</w:t>
            </w:r>
          </w:p>
        </w:tc>
        <w:tc>
          <w:tcPr>
            <w:tcW w:w="2268" w:type="dxa"/>
            <w:shd w:val="clear" w:color="auto" w:fill="D0CECE" w:themeFill="background2" w:themeFillShade="E6"/>
          </w:tcPr>
          <w:p w14:paraId="2BDC94E0" w14:textId="48CCC35D" w:rsidR="00832C48" w:rsidRPr="008A4486" w:rsidRDefault="00832C48" w:rsidP="006251ED">
            <w:pPr>
              <w:pStyle w:val="BodyText"/>
              <w:jc w:val="both"/>
              <w:rPr>
                <w:rFonts w:ascii="Times New Roman" w:hAnsi="Times New Roman" w:cs="Times New Roman"/>
                <w:b/>
                <w:sz w:val="22"/>
                <w:szCs w:val="22"/>
              </w:rPr>
            </w:pPr>
            <w:r w:rsidRPr="008A4486">
              <w:rPr>
                <w:rFonts w:ascii="Times New Roman" w:hAnsi="Times New Roman" w:cs="Times New Roman"/>
                <w:b/>
                <w:sz w:val="22"/>
                <w:szCs w:val="22"/>
              </w:rPr>
              <w:t>Reasons for Variance with Planned Target (if any)</w:t>
            </w:r>
          </w:p>
        </w:tc>
        <w:tc>
          <w:tcPr>
            <w:tcW w:w="1984" w:type="dxa"/>
            <w:shd w:val="clear" w:color="auto" w:fill="D0CECE" w:themeFill="background2" w:themeFillShade="E6"/>
          </w:tcPr>
          <w:p w14:paraId="484818F6" w14:textId="0233535D" w:rsidR="00832C48" w:rsidRPr="008A4486" w:rsidRDefault="00832C48" w:rsidP="006251ED">
            <w:pPr>
              <w:pStyle w:val="BodyText"/>
              <w:jc w:val="both"/>
              <w:rPr>
                <w:rFonts w:ascii="Times New Roman" w:hAnsi="Times New Roman" w:cs="Times New Roman"/>
                <w:b/>
                <w:sz w:val="22"/>
                <w:szCs w:val="22"/>
              </w:rPr>
            </w:pPr>
            <w:r w:rsidRPr="008A4486">
              <w:rPr>
                <w:rFonts w:ascii="Times New Roman" w:hAnsi="Times New Roman" w:cs="Times New Roman"/>
                <w:b/>
                <w:sz w:val="22"/>
                <w:szCs w:val="22"/>
              </w:rPr>
              <w:t>Source of Verification</w:t>
            </w:r>
          </w:p>
        </w:tc>
      </w:tr>
      <w:tr w:rsidR="00832C48" w:rsidRPr="008D685F" w14:paraId="3529030F" w14:textId="77777777" w:rsidTr="0077767E">
        <w:trPr>
          <w:trHeight w:val="4092"/>
        </w:trPr>
        <w:tc>
          <w:tcPr>
            <w:tcW w:w="3055" w:type="dxa"/>
            <w:shd w:val="clear" w:color="auto" w:fill="auto"/>
          </w:tcPr>
          <w:p w14:paraId="6CB3E537" w14:textId="4A4E0504" w:rsidR="00832C48" w:rsidRPr="008A4486" w:rsidRDefault="00832C48" w:rsidP="001D1741">
            <w:pPr>
              <w:pStyle w:val="BodyText"/>
              <w:jc w:val="both"/>
              <w:rPr>
                <w:rFonts w:ascii="Times New Roman" w:hAnsi="Times New Roman" w:cs="Times New Roman"/>
                <w:bCs/>
                <w:sz w:val="22"/>
                <w:szCs w:val="22"/>
              </w:rPr>
            </w:pPr>
            <w:r w:rsidRPr="008A4486">
              <w:rPr>
                <w:rFonts w:ascii="Times New Roman" w:hAnsi="Times New Roman" w:cs="Times New Roman"/>
                <w:b/>
                <w:sz w:val="22"/>
                <w:szCs w:val="22"/>
              </w:rPr>
              <w:t>Output 2.1:</w:t>
            </w:r>
            <w:r w:rsidRPr="008A4486">
              <w:rPr>
                <w:rFonts w:ascii="Times New Roman" w:hAnsi="Times New Roman" w:cs="Times New Roman"/>
                <w:bCs/>
                <w:sz w:val="22"/>
                <w:szCs w:val="22"/>
              </w:rPr>
              <w:t xml:space="preserve"> </w:t>
            </w:r>
            <w:r w:rsidR="001D1741">
              <w:rPr>
                <w:rFonts w:ascii="Times New Roman" w:hAnsi="Times New Roman" w:cs="Times New Roman"/>
                <w:bCs/>
                <w:sz w:val="22"/>
                <w:szCs w:val="22"/>
              </w:rPr>
              <w:t>C</w:t>
            </w:r>
            <w:r w:rsidRPr="008A4486">
              <w:rPr>
                <w:rFonts w:ascii="Times New Roman" w:hAnsi="Times New Roman" w:cs="Times New Roman"/>
                <w:bCs/>
                <w:sz w:val="22"/>
                <w:szCs w:val="22"/>
              </w:rPr>
              <w:t>apacity of the Regional Secretariat and LGAs to develop, implement, monitor, and coordinate gender-responsive and evidence-based plans and programmes that address the needs of MSMEs and smallholder farmers.</w:t>
            </w:r>
          </w:p>
          <w:p w14:paraId="4C6D5170" w14:textId="77777777" w:rsidR="00832C48" w:rsidRPr="008A4486" w:rsidRDefault="00832C48" w:rsidP="008A4486">
            <w:pPr>
              <w:jc w:val="both"/>
              <w:rPr>
                <w:b/>
                <w:sz w:val="22"/>
                <w:szCs w:val="22"/>
              </w:rPr>
            </w:pPr>
          </w:p>
          <w:p w14:paraId="43F33445" w14:textId="77777777" w:rsidR="00832C48" w:rsidRPr="008A4486" w:rsidRDefault="00832C48" w:rsidP="008A4486">
            <w:pPr>
              <w:jc w:val="both"/>
              <w:rPr>
                <w:bCs/>
                <w:sz w:val="22"/>
                <w:szCs w:val="22"/>
              </w:rPr>
            </w:pPr>
          </w:p>
        </w:tc>
        <w:tc>
          <w:tcPr>
            <w:tcW w:w="3686" w:type="dxa"/>
            <w:shd w:val="clear" w:color="auto" w:fill="auto"/>
          </w:tcPr>
          <w:p w14:paraId="5D4F25E5" w14:textId="15E38352" w:rsidR="00832C48" w:rsidRPr="008A4486" w:rsidRDefault="00832C48" w:rsidP="008A4486">
            <w:pPr>
              <w:jc w:val="both"/>
              <w:rPr>
                <w:b/>
                <w:sz w:val="22"/>
                <w:szCs w:val="22"/>
              </w:rPr>
            </w:pPr>
            <w:r w:rsidRPr="008A4486">
              <w:rPr>
                <w:b/>
                <w:sz w:val="22"/>
                <w:szCs w:val="22"/>
              </w:rPr>
              <w:t>Indicator 2.1.1:  #</w:t>
            </w:r>
            <w:r w:rsidRPr="008A4486">
              <w:rPr>
                <w:bCs/>
                <w:sz w:val="22"/>
                <w:szCs w:val="22"/>
              </w:rPr>
              <w:t xml:space="preserve"> of RS and LGAs with enhanced technical capacity to develop, implement and monitor transformative, gender-</w:t>
            </w:r>
            <w:r w:rsidR="00355CA4" w:rsidRPr="008A4486">
              <w:rPr>
                <w:bCs/>
                <w:sz w:val="22"/>
                <w:szCs w:val="22"/>
              </w:rPr>
              <w:t>responsive, inclusive</w:t>
            </w:r>
            <w:r w:rsidRPr="008A4486">
              <w:rPr>
                <w:bCs/>
                <w:sz w:val="22"/>
                <w:szCs w:val="22"/>
              </w:rPr>
              <w:t xml:space="preserve">, evidence-based policies, plans, strategies, and regulatory frameworks that address the needs of the MSMEs and Small holder </w:t>
            </w:r>
            <w:r w:rsidR="00122ACF" w:rsidRPr="008A4486">
              <w:rPr>
                <w:bCs/>
                <w:sz w:val="22"/>
                <w:szCs w:val="22"/>
              </w:rPr>
              <w:t>farmers by</w:t>
            </w:r>
            <w:r w:rsidRPr="008A4486">
              <w:rPr>
                <w:bCs/>
                <w:sz w:val="22"/>
                <w:szCs w:val="22"/>
              </w:rPr>
              <w:t xml:space="preserve"> type</w:t>
            </w:r>
            <w:r w:rsidRPr="008A4486">
              <w:rPr>
                <w:b/>
                <w:sz w:val="22"/>
                <w:szCs w:val="22"/>
              </w:rPr>
              <w:t>.</w:t>
            </w:r>
          </w:p>
          <w:p w14:paraId="406D9896" w14:textId="77777777" w:rsidR="00832C48" w:rsidRPr="008A4486" w:rsidRDefault="00832C48" w:rsidP="008A4486">
            <w:pPr>
              <w:jc w:val="both"/>
              <w:rPr>
                <w:b/>
                <w:sz w:val="22"/>
                <w:szCs w:val="22"/>
              </w:rPr>
            </w:pPr>
          </w:p>
          <w:p w14:paraId="47837687" w14:textId="77777777" w:rsidR="00832C48" w:rsidRPr="008A4486" w:rsidRDefault="00832C48" w:rsidP="008A4486">
            <w:pPr>
              <w:jc w:val="both"/>
              <w:rPr>
                <w:b/>
                <w:sz w:val="22"/>
                <w:szCs w:val="22"/>
              </w:rPr>
            </w:pPr>
            <w:r w:rsidRPr="008A4486">
              <w:rPr>
                <w:b/>
                <w:sz w:val="22"/>
                <w:szCs w:val="22"/>
              </w:rPr>
              <w:t>Baseline:</w:t>
            </w:r>
            <w:r w:rsidRPr="008A4486">
              <w:rPr>
                <w:sz w:val="22"/>
                <w:szCs w:val="22"/>
              </w:rPr>
              <w:t xml:space="preserve"> </w:t>
            </w:r>
            <w:r w:rsidRPr="008A4486">
              <w:rPr>
                <w:bCs/>
                <w:sz w:val="22"/>
                <w:szCs w:val="22"/>
              </w:rPr>
              <w:t>LGAs:  4</w:t>
            </w:r>
          </w:p>
          <w:p w14:paraId="1966F030" w14:textId="77777777" w:rsidR="00832C48" w:rsidRPr="008A4486" w:rsidRDefault="00832C48" w:rsidP="008A4486">
            <w:pPr>
              <w:jc w:val="both"/>
              <w:rPr>
                <w:bCs/>
                <w:sz w:val="22"/>
                <w:szCs w:val="22"/>
              </w:rPr>
            </w:pPr>
            <w:r w:rsidRPr="008A4486">
              <w:rPr>
                <w:b/>
                <w:sz w:val="22"/>
                <w:szCs w:val="22"/>
              </w:rPr>
              <w:t>Planned Target:</w:t>
            </w:r>
            <w:r w:rsidRPr="008A4486">
              <w:rPr>
                <w:sz w:val="22"/>
                <w:szCs w:val="22"/>
              </w:rPr>
              <w:t xml:space="preserve"> </w:t>
            </w:r>
            <w:r w:rsidRPr="008A4486">
              <w:rPr>
                <w:bCs/>
                <w:sz w:val="22"/>
                <w:szCs w:val="22"/>
              </w:rPr>
              <w:t>LGAs: No. of LGAs: 5 (Kigoma RAS, Kasulu TC, Kasulu DC, Kibondo DC, Kakonko DC)</w:t>
            </w:r>
          </w:p>
          <w:p w14:paraId="1D191E6E" w14:textId="77777777" w:rsidR="00832C48" w:rsidRPr="008A4486" w:rsidRDefault="00832C48" w:rsidP="001D1741">
            <w:pPr>
              <w:pStyle w:val="BodyText"/>
              <w:jc w:val="both"/>
              <w:rPr>
                <w:rFonts w:ascii="Times New Roman" w:hAnsi="Times New Roman" w:cs="Times New Roman"/>
                <w:bCs/>
                <w:sz w:val="22"/>
                <w:szCs w:val="22"/>
              </w:rPr>
            </w:pPr>
          </w:p>
          <w:p w14:paraId="58E9ECED" w14:textId="294AD326" w:rsidR="00832C48" w:rsidRPr="008A4486" w:rsidRDefault="00832C48" w:rsidP="008A4486">
            <w:pPr>
              <w:pStyle w:val="BodyText"/>
              <w:jc w:val="both"/>
              <w:rPr>
                <w:rFonts w:ascii="Times New Roman" w:hAnsi="Times New Roman" w:cs="Times New Roman"/>
                <w:bCs/>
                <w:sz w:val="22"/>
                <w:szCs w:val="22"/>
              </w:rPr>
            </w:pPr>
          </w:p>
        </w:tc>
        <w:tc>
          <w:tcPr>
            <w:tcW w:w="3544" w:type="dxa"/>
            <w:shd w:val="clear" w:color="auto" w:fill="auto"/>
          </w:tcPr>
          <w:p w14:paraId="7458A7AB" w14:textId="2FEFB9AF" w:rsidR="00832C48" w:rsidRPr="0077767E" w:rsidRDefault="3591F6C4" w:rsidP="38525CFC">
            <w:pPr>
              <w:pStyle w:val="BodyText"/>
              <w:jc w:val="both"/>
              <w:rPr>
                <w:rFonts w:ascii="Times New Roman" w:hAnsi="Times New Roman" w:cs="Times New Roman"/>
                <w:sz w:val="22"/>
                <w:szCs w:val="22"/>
              </w:rPr>
            </w:pPr>
            <w:r w:rsidRPr="0077767E">
              <w:rPr>
                <w:rFonts w:ascii="Times New Roman" w:hAnsi="Times New Roman" w:cs="Times New Roman"/>
                <w:sz w:val="22"/>
                <w:szCs w:val="22"/>
              </w:rPr>
              <w:t>C</w:t>
            </w:r>
            <w:r w:rsidR="14CF3B82" w:rsidRPr="0077767E">
              <w:rPr>
                <w:rFonts w:ascii="Times New Roman" w:hAnsi="Times New Roman" w:cs="Times New Roman"/>
                <w:sz w:val="22"/>
                <w:szCs w:val="22"/>
              </w:rPr>
              <w:t>apacity</w:t>
            </w:r>
            <w:r w:rsidR="07749A88" w:rsidRPr="0077767E">
              <w:rPr>
                <w:rFonts w:ascii="Times New Roman" w:hAnsi="Times New Roman" w:cs="Times New Roman"/>
                <w:sz w:val="22"/>
                <w:szCs w:val="22"/>
              </w:rPr>
              <w:t xml:space="preserve"> of 3 LGAs</w:t>
            </w:r>
            <w:r w:rsidR="14CF3B82" w:rsidRPr="0077767E">
              <w:rPr>
                <w:rFonts w:ascii="Times New Roman" w:hAnsi="Times New Roman" w:cs="Times New Roman"/>
                <w:sz w:val="22"/>
                <w:szCs w:val="22"/>
              </w:rPr>
              <w:t xml:space="preserve"> on gender-responsive budgeting and utilizing </w:t>
            </w:r>
            <w:r w:rsidR="0077767E">
              <w:rPr>
                <w:rFonts w:ascii="Times New Roman" w:hAnsi="Times New Roman" w:cs="Times New Roman"/>
                <w:sz w:val="22"/>
                <w:szCs w:val="22"/>
              </w:rPr>
              <w:t xml:space="preserve">of </w:t>
            </w:r>
            <w:r w:rsidR="14CF3B82" w:rsidRPr="0077767E">
              <w:rPr>
                <w:rFonts w:ascii="Times New Roman" w:hAnsi="Times New Roman" w:cs="Times New Roman"/>
                <w:sz w:val="22"/>
                <w:szCs w:val="22"/>
              </w:rPr>
              <w:t>the</w:t>
            </w:r>
            <w:r w:rsidR="0077767E">
              <w:rPr>
                <w:rFonts w:ascii="Times New Roman" w:hAnsi="Times New Roman" w:cs="Times New Roman"/>
                <w:sz w:val="22"/>
                <w:szCs w:val="22"/>
              </w:rPr>
              <w:t xml:space="preserve"> </w:t>
            </w:r>
            <w:r w:rsidR="14CF3B82" w:rsidRPr="0077767E">
              <w:rPr>
                <w:rFonts w:ascii="Times New Roman" w:hAnsi="Times New Roman" w:cs="Times New Roman"/>
                <w:sz w:val="22"/>
                <w:szCs w:val="22"/>
              </w:rPr>
              <w:t>GBV prevention tool</w:t>
            </w:r>
            <w:r w:rsidR="0077767E" w:rsidRPr="0077767E">
              <w:rPr>
                <w:rFonts w:ascii="Times New Roman" w:hAnsi="Times New Roman" w:cs="Times New Roman"/>
                <w:sz w:val="22"/>
                <w:szCs w:val="22"/>
              </w:rPr>
              <w:t xml:space="preserve"> (</w:t>
            </w:r>
            <w:r w:rsidR="14CF3B82" w:rsidRPr="0077767E">
              <w:rPr>
                <w:rFonts w:ascii="Times New Roman" w:hAnsi="Times New Roman" w:cs="Times New Roman"/>
                <w:sz w:val="22"/>
                <w:szCs w:val="22"/>
              </w:rPr>
              <w:t>RESPECT</w:t>
            </w:r>
            <w:r w:rsidR="0077767E" w:rsidRPr="0077767E">
              <w:rPr>
                <w:rFonts w:ascii="Times New Roman" w:hAnsi="Times New Roman" w:cs="Times New Roman"/>
                <w:sz w:val="22"/>
                <w:szCs w:val="22"/>
              </w:rPr>
              <w:t>)</w:t>
            </w:r>
            <w:r w:rsidR="14CF3B82" w:rsidRPr="0077767E">
              <w:rPr>
                <w:rFonts w:ascii="Times New Roman" w:hAnsi="Times New Roman" w:cs="Times New Roman"/>
                <w:sz w:val="22"/>
                <w:szCs w:val="22"/>
              </w:rPr>
              <w:t xml:space="preserve"> strengthened</w:t>
            </w:r>
          </w:p>
        </w:tc>
        <w:tc>
          <w:tcPr>
            <w:tcW w:w="2268" w:type="dxa"/>
            <w:shd w:val="clear" w:color="auto" w:fill="auto"/>
          </w:tcPr>
          <w:p w14:paraId="213313F2" w14:textId="12F5A21B" w:rsidR="00832C48" w:rsidRPr="008A4486" w:rsidRDefault="00832C48" w:rsidP="001D1741">
            <w:pPr>
              <w:pStyle w:val="BodyText"/>
              <w:jc w:val="both"/>
              <w:rPr>
                <w:rFonts w:ascii="Times New Roman" w:hAnsi="Times New Roman" w:cs="Times New Roman"/>
                <w:bCs/>
                <w:sz w:val="22"/>
                <w:szCs w:val="22"/>
              </w:rPr>
            </w:pPr>
          </w:p>
        </w:tc>
        <w:tc>
          <w:tcPr>
            <w:tcW w:w="1984" w:type="dxa"/>
            <w:shd w:val="clear" w:color="auto" w:fill="auto"/>
          </w:tcPr>
          <w:p w14:paraId="259F4A04" w14:textId="77777777" w:rsidR="00832C48" w:rsidRPr="008A4486" w:rsidRDefault="00832C48" w:rsidP="001D1741">
            <w:pPr>
              <w:pStyle w:val="BodyText"/>
              <w:jc w:val="both"/>
              <w:rPr>
                <w:rFonts w:ascii="Times New Roman" w:hAnsi="Times New Roman" w:cs="Times New Roman"/>
                <w:bCs/>
                <w:sz w:val="22"/>
                <w:szCs w:val="22"/>
              </w:rPr>
            </w:pPr>
          </w:p>
          <w:p w14:paraId="3F90E835" w14:textId="35D636D4" w:rsidR="00832C48" w:rsidRPr="008A4486" w:rsidRDefault="00D07F50" w:rsidP="001D1741">
            <w:pPr>
              <w:pStyle w:val="BodyText"/>
              <w:jc w:val="both"/>
              <w:rPr>
                <w:rFonts w:ascii="Times New Roman" w:hAnsi="Times New Roman" w:cs="Times New Roman"/>
                <w:bCs/>
                <w:sz w:val="22"/>
                <w:szCs w:val="22"/>
              </w:rPr>
            </w:pPr>
            <w:r w:rsidRPr="00D07F50">
              <w:rPr>
                <w:rFonts w:ascii="Times New Roman" w:hAnsi="Times New Roman" w:cs="Times New Roman"/>
                <w:bCs/>
                <w:sz w:val="22"/>
                <w:szCs w:val="22"/>
              </w:rPr>
              <w:t>Project Implementation report</w:t>
            </w:r>
          </w:p>
        </w:tc>
      </w:tr>
      <w:tr w:rsidR="00832C48" w:rsidRPr="008D685F" w14:paraId="3419F400" w14:textId="77777777" w:rsidTr="38525CFC">
        <w:tc>
          <w:tcPr>
            <w:tcW w:w="3055" w:type="dxa"/>
            <w:shd w:val="clear" w:color="auto" w:fill="auto"/>
          </w:tcPr>
          <w:p w14:paraId="2F6D7C9C" w14:textId="75121709" w:rsidR="00832C48" w:rsidRPr="008A4486" w:rsidRDefault="14CF3B82" w:rsidP="38525CFC">
            <w:pPr>
              <w:pStyle w:val="BodyText"/>
              <w:jc w:val="both"/>
              <w:rPr>
                <w:rFonts w:ascii="Times New Roman" w:hAnsi="Times New Roman" w:cs="Times New Roman"/>
                <w:sz w:val="22"/>
                <w:szCs w:val="22"/>
              </w:rPr>
            </w:pPr>
            <w:r w:rsidRPr="38525CFC">
              <w:rPr>
                <w:rFonts w:ascii="Times New Roman" w:hAnsi="Times New Roman" w:cs="Times New Roman"/>
                <w:b/>
                <w:bCs/>
                <w:sz w:val="22"/>
                <w:szCs w:val="22"/>
              </w:rPr>
              <w:t>Output 2.2</w:t>
            </w:r>
            <w:r w:rsidR="2D801637" w:rsidRPr="38525CFC">
              <w:rPr>
                <w:rFonts w:ascii="Times New Roman" w:hAnsi="Times New Roman" w:cs="Times New Roman"/>
                <w:b/>
                <w:bCs/>
                <w:sz w:val="22"/>
                <w:szCs w:val="22"/>
              </w:rPr>
              <w:t>: Enhancing</w:t>
            </w:r>
            <w:r w:rsidRPr="38525CFC">
              <w:rPr>
                <w:rFonts w:ascii="Times New Roman" w:hAnsi="Times New Roman" w:cs="Times New Roman"/>
                <w:sz w:val="22"/>
                <w:szCs w:val="22"/>
              </w:rPr>
              <w:t xml:space="preserve"> the capacity of relevant institutions in Kigoma to provide gender-responsive, market-oriented, quality programmes, infrastructure/facilities, products, and services to MSMEs and small holder producers.</w:t>
            </w:r>
          </w:p>
          <w:p w14:paraId="07148046" w14:textId="1CAE4B97" w:rsidR="00832C48" w:rsidRPr="008A4486" w:rsidRDefault="00832C48" w:rsidP="008A4486">
            <w:pPr>
              <w:jc w:val="both"/>
              <w:rPr>
                <w:b/>
                <w:sz w:val="22"/>
                <w:szCs w:val="22"/>
              </w:rPr>
            </w:pPr>
          </w:p>
        </w:tc>
        <w:tc>
          <w:tcPr>
            <w:tcW w:w="3686" w:type="dxa"/>
            <w:shd w:val="clear" w:color="auto" w:fill="auto"/>
          </w:tcPr>
          <w:p w14:paraId="52441756" w14:textId="77777777" w:rsidR="00832C48" w:rsidRPr="008A4486" w:rsidRDefault="00832C48" w:rsidP="008A4486">
            <w:pPr>
              <w:jc w:val="both"/>
              <w:rPr>
                <w:bCs/>
                <w:sz w:val="22"/>
                <w:szCs w:val="22"/>
              </w:rPr>
            </w:pPr>
            <w:r w:rsidRPr="008A4486">
              <w:rPr>
                <w:b/>
                <w:sz w:val="22"/>
                <w:szCs w:val="22"/>
              </w:rPr>
              <w:t xml:space="preserve">Indicator 2.2.1: </w:t>
            </w:r>
            <w:r w:rsidRPr="008A4486">
              <w:rPr>
                <w:bCs/>
                <w:sz w:val="22"/>
                <w:szCs w:val="22"/>
              </w:rPr>
              <w:t>No. of public and private investments supporting MSMEs and small holder farmers that also address the needs of PWD, youth and women.</w:t>
            </w:r>
          </w:p>
          <w:p w14:paraId="194014B6" w14:textId="77777777" w:rsidR="00832C48" w:rsidRPr="008A4486" w:rsidRDefault="00832C48" w:rsidP="008A4486">
            <w:pPr>
              <w:jc w:val="both"/>
              <w:rPr>
                <w:b/>
                <w:sz w:val="22"/>
                <w:szCs w:val="22"/>
              </w:rPr>
            </w:pPr>
          </w:p>
          <w:p w14:paraId="4A67551F" w14:textId="77777777" w:rsidR="00832C48" w:rsidRPr="008A4486" w:rsidRDefault="00832C48" w:rsidP="008A4486">
            <w:pPr>
              <w:jc w:val="both"/>
              <w:rPr>
                <w:b/>
                <w:sz w:val="22"/>
                <w:szCs w:val="22"/>
              </w:rPr>
            </w:pPr>
            <w:r w:rsidRPr="008A4486">
              <w:rPr>
                <w:b/>
                <w:sz w:val="22"/>
                <w:szCs w:val="22"/>
              </w:rPr>
              <w:t>Baseline:</w:t>
            </w:r>
            <w:r w:rsidRPr="008A4486">
              <w:rPr>
                <w:sz w:val="22"/>
                <w:szCs w:val="22"/>
              </w:rPr>
              <w:t xml:space="preserve"> </w:t>
            </w:r>
            <w:r w:rsidRPr="008A4486">
              <w:rPr>
                <w:b/>
                <w:sz w:val="22"/>
                <w:szCs w:val="22"/>
              </w:rPr>
              <w:t xml:space="preserve">Private: </w:t>
            </w:r>
            <w:r w:rsidRPr="008A4486">
              <w:rPr>
                <w:bCs/>
                <w:sz w:val="22"/>
                <w:szCs w:val="22"/>
              </w:rPr>
              <w:t>25, Public: 19</w:t>
            </w:r>
          </w:p>
          <w:p w14:paraId="14A52DD8" w14:textId="11A98A45" w:rsidR="00832C48" w:rsidRPr="008A4486" w:rsidRDefault="00832C48" w:rsidP="0000147F">
            <w:pPr>
              <w:pStyle w:val="BodyText"/>
              <w:jc w:val="both"/>
              <w:rPr>
                <w:rFonts w:ascii="Times New Roman" w:hAnsi="Times New Roman" w:cs="Times New Roman"/>
                <w:bCs/>
                <w:sz w:val="22"/>
                <w:szCs w:val="22"/>
              </w:rPr>
            </w:pPr>
            <w:r w:rsidRPr="008A4486">
              <w:rPr>
                <w:rFonts w:ascii="Times New Roman" w:hAnsi="Times New Roman" w:cs="Times New Roman"/>
                <w:b/>
                <w:sz w:val="22"/>
                <w:szCs w:val="22"/>
              </w:rPr>
              <w:t>Planned Target:</w:t>
            </w:r>
            <w:r w:rsidRPr="008A4486">
              <w:rPr>
                <w:rFonts w:ascii="Times New Roman" w:hAnsi="Times New Roman" w:cs="Times New Roman"/>
                <w:sz w:val="22"/>
                <w:szCs w:val="22"/>
              </w:rPr>
              <w:t xml:space="preserve"> </w:t>
            </w:r>
            <w:r w:rsidRPr="008A4486">
              <w:rPr>
                <w:rFonts w:ascii="Times New Roman" w:hAnsi="Times New Roman" w:cs="Times New Roman"/>
                <w:bCs/>
                <w:sz w:val="22"/>
                <w:szCs w:val="22"/>
              </w:rPr>
              <w:t>Private: 34 Public: 27</w:t>
            </w:r>
          </w:p>
          <w:p w14:paraId="1FDC7FB4" w14:textId="77777777" w:rsidR="00832C48" w:rsidRPr="008A4486" w:rsidRDefault="00832C48" w:rsidP="0000147F">
            <w:pPr>
              <w:pStyle w:val="BodyText"/>
              <w:jc w:val="both"/>
              <w:rPr>
                <w:rFonts w:ascii="Times New Roman" w:hAnsi="Times New Roman" w:cs="Times New Roman"/>
                <w:bCs/>
                <w:sz w:val="22"/>
                <w:szCs w:val="22"/>
              </w:rPr>
            </w:pPr>
          </w:p>
          <w:p w14:paraId="691BD3C3" w14:textId="77777777" w:rsidR="00832C48" w:rsidRPr="008A4486" w:rsidRDefault="00832C48" w:rsidP="0000147F">
            <w:pPr>
              <w:pStyle w:val="BodyText"/>
              <w:jc w:val="both"/>
              <w:rPr>
                <w:rFonts w:ascii="Times New Roman" w:hAnsi="Times New Roman" w:cs="Times New Roman"/>
                <w:bCs/>
                <w:sz w:val="22"/>
                <w:szCs w:val="22"/>
              </w:rPr>
            </w:pPr>
          </w:p>
          <w:p w14:paraId="6B97C298" w14:textId="77777777" w:rsidR="00832C48" w:rsidRPr="008A4486" w:rsidRDefault="00832C48" w:rsidP="0000147F">
            <w:pPr>
              <w:pStyle w:val="BodyText"/>
              <w:jc w:val="both"/>
              <w:rPr>
                <w:rFonts w:ascii="Times New Roman" w:hAnsi="Times New Roman" w:cs="Times New Roman"/>
                <w:bCs/>
                <w:sz w:val="22"/>
                <w:szCs w:val="22"/>
              </w:rPr>
            </w:pPr>
          </w:p>
        </w:tc>
        <w:tc>
          <w:tcPr>
            <w:tcW w:w="3544" w:type="dxa"/>
          </w:tcPr>
          <w:p w14:paraId="3D242CED" w14:textId="6E57CFBE" w:rsidR="00832C48" w:rsidRPr="008A4486" w:rsidRDefault="0000147F" w:rsidP="0000147F">
            <w:pPr>
              <w:pStyle w:val="BodyText"/>
              <w:jc w:val="both"/>
              <w:rPr>
                <w:rFonts w:ascii="Times New Roman" w:hAnsi="Times New Roman" w:cs="Times New Roman"/>
                <w:bCs/>
                <w:sz w:val="22"/>
                <w:szCs w:val="22"/>
              </w:rPr>
            </w:pPr>
            <w:r>
              <w:rPr>
                <w:rFonts w:ascii="Times New Roman" w:hAnsi="Times New Roman" w:cs="Times New Roman"/>
                <w:bCs/>
                <w:sz w:val="22"/>
                <w:szCs w:val="22"/>
              </w:rPr>
              <w:t>N/A</w:t>
            </w:r>
          </w:p>
        </w:tc>
        <w:tc>
          <w:tcPr>
            <w:tcW w:w="2268" w:type="dxa"/>
            <w:shd w:val="clear" w:color="auto" w:fill="auto"/>
          </w:tcPr>
          <w:p w14:paraId="6EBD9B78" w14:textId="5ECC079D" w:rsidR="0000147F" w:rsidRPr="00F6671A" w:rsidRDefault="0000147F" w:rsidP="0000147F">
            <w:pPr>
              <w:pStyle w:val="BodyText"/>
              <w:jc w:val="both"/>
              <w:rPr>
                <w:rFonts w:ascii="Times New Roman" w:hAnsi="Times New Roman" w:cs="Times New Roman"/>
                <w:bCs/>
                <w:sz w:val="22"/>
                <w:szCs w:val="22"/>
              </w:rPr>
            </w:pPr>
            <w:r w:rsidRPr="00F6671A">
              <w:rPr>
                <w:rFonts w:ascii="Times New Roman" w:hAnsi="Times New Roman" w:cs="Times New Roman"/>
                <w:bCs/>
                <w:sz w:val="22"/>
                <w:szCs w:val="22"/>
              </w:rPr>
              <w:t xml:space="preserve">Implementation of activities under this output </w:t>
            </w:r>
            <w:r w:rsidR="0052578F">
              <w:rPr>
                <w:rFonts w:ascii="Times New Roman" w:hAnsi="Times New Roman" w:cs="Times New Roman"/>
                <w:bCs/>
                <w:sz w:val="22"/>
                <w:szCs w:val="22"/>
              </w:rPr>
              <w:t xml:space="preserve">will commence in </w:t>
            </w:r>
            <w:r w:rsidRPr="00F6671A">
              <w:rPr>
                <w:rFonts w:ascii="Times New Roman" w:hAnsi="Times New Roman" w:cs="Times New Roman"/>
                <w:bCs/>
                <w:sz w:val="22"/>
                <w:szCs w:val="22"/>
              </w:rPr>
              <w:t>2024. The indicators will be reported in MPTF year 2024 report.</w:t>
            </w:r>
          </w:p>
          <w:p w14:paraId="38112A7E" w14:textId="101628B4" w:rsidR="00832C48" w:rsidRPr="008A4486" w:rsidRDefault="00832C48" w:rsidP="0000147F">
            <w:pPr>
              <w:pStyle w:val="BodyText"/>
              <w:jc w:val="both"/>
              <w:rPr>
                <w:rFonts w:ascii="Times New Roman" w:hAnsi="Times New Roman" w:cs="Times New Roman"/>
                <w:bCs/>
                <w:sz w:val="22"/>
                <w:szCs w:val="22"/>
              </w:rPr>
            </w:pPr>
          </w:p>
        </w:tc>
        <w:tc>
          <w:tcPr>
            <w:tcW w:w="1984" w:type="dxa"/>
            <w:shd w:val="clear" w:color="auto" w:fill="auto"/>
          </w:tcPr>
          <w:p w14:paraId="0598058F" w14:textId="1B00CFB2" w:rsidR="00832C48" w:rsidRPr="008A4486" w:rsidRDefault="00D07F50" w:rsidP="0000147F">
            <w:pPr>
              <w:pStyle w:val="BodyText"/>
              <w:jc w:val="both"/>
              <w:rPr>
                <w:rFonts w:ascii="Times New Roman" w:hAnsi="Times New Roman" w:cs="Times New Roman"/>
                <w:bCs/>
                <w:sz w:val="22"/>
                <w:szCs w:val="22"/>
              </w:rPr>
            </w:pPr>
            <w:r w:rsidRPr="00D07F50">
              <w:rPr>
                <w:rFonts w:ascii="Times New Roman" w:hAnsi="Times New Roman" w:cs="Times New Roman"/>
                <w:bCs/>
                <w:sz w:val="22"/>
                <w:szCs w:val="22"/>
              </w:rPr>
              <w:t>Project Implementation report</w:t>
            </w:r>
          </w:p>
        </w:tc>
      </w:tr>
      <w:tr w:rsidR="00832C48" w:rsidRPr="008D685F" w14:paraId="0E0F74E9" w14:textId="77777777" w:rsidTr="38525CFC">
        <w:tc>
          <w:tcPr>
            <w:tcW w:w="3055" w:type="dxa"/>
            <w:shd w:val="clear" w:color="auto" w:fill="auto"/>
          </w:tcPr>
          <w:p w14:paraId="62B26E8D" w14:textId="77777777" w:rsidR="00832C48" w:rsidRPr="008A4486" w:rsidRDefault="00832C48" w:rsidP="0000147F">
            <w:pPr>
              <w:pStyle w:val="BodyText"/>
              <w:jc w:val="both"/>
              <w:rPr>
                <w:rFonts w:ascii="Times New Roman" w:hAnsi="Times New Roman" w:cs="Times New Roman"/>
                <w:bCs/>
                <w:sz w:val="22"/>
                <w:szCs w:val="22"/>
              </w:rPr>
            </w:pPr>
            <w:r w:rsidRPr="008A4486">
              <w:rPr>
                <w:rFonts w:ascii="Times New Roman" w:hAnsi="Times New Roman" w:cs="Times New Roman"/>
                <w:b/>
                <w:sz w:val="22"/>
                <w:szCs w:val="22"/>
              </w:rPr>
              <w:t>Output 2.3:</w:t>
            </w:r>
            <w:r w:rsidRPr="008A4486">
              <w:rPr>
                <w:rFonts w:ascii="Times New Roman" w:hAnsi="Times New Roman" w:cs="Times New Roman"/>
                <w:bCs/>
                <w:sz w:val="22"/>
                <w:szCs w:val="22"/>
              </w:rPr>
              <w:t xml:space="preserve"> Enhancing capacities of the Kigoma Regional Administration and LGAs and the key private sector actors to mobilize resources for </w:t>
            </w:r>
            <w:r w:rsidRPr="008A4486">
              <w:rPr>
                <w:rFonts w:ascii="Times New Roman" w:hAnsi="Times New Roman" w:cs="Times New Roman"/>
                <w:bCs/>
                <w:sz w:val="22"/>
                <w:szCs w:val="22"/>
              </w:rPr>
              <w:lastRenderedPageBreak/>
              <w:t>financing MSMEs and agricultural development.</w:t>
            </w:r>
          </w:p>
          <w:p w14:paraId="72480D28" w14:textId="77777777" w:rsidR="00832C48" w:rsidRPr="008A4486" w:rsidRDefault="00832C48" w:rsidP="008A4486">
            <w:pPr>
              <w:jc w:val="both"/>
              <w:rPr>
                <w:b/>
                <w:sz w:val="22"/>
                <w:szCs w:val="22"/>
              </w:rPr>
            </w:pPr>
          </w:p>
          <w:p w14:paraId="512DB3FD" w14:textId="77777777" w:rsidR="00832C48" w:rsidRPr="008A4486" w:rsidRDefault="00832C48" w:rsidP="0000147F">
            <w:pPr>
              <w:pStyle w:val="BodyText"/>
              <w:jc w:val="both"/>
              <w:rPr>
                <w:rFonts w:ascii="Times New Roman" w:hAnsi="Times New Roman" w:cs="Times New Roman"/>
                <w:bCs/>
                <w:sz w:val="22"/>
                <w:szCs w:val="22"/>
              </w:rPr>
            </w:pPr>
          </w:p>
          <w:p w14:paraId="2A5F2695" w14:textId="3485255E" w:rsidR="00832C48" w:rsidRPr="008A4486" w:rsidRDefault="00832C48" w:rsidP="0000147F">
            <w:pPr>
              <w:pStyle w:val="BodyText"/>
              <w:jc w:val="both"/>
              <w:rPr>
                <w:rFonts w:ascii="Times New Roman" w:hAnsi="Times New Roman" w:cs="Times New Roman"/>
                <w:bCs/>
                <w:sz w:val="22"/>
                <w:szCs w:val="22"/>
              </w:rPr>
            </w:pPr>
          </w:p>
        </w:tc>
        <w:tc>
          <w:tcPr>
            <w:tcW w:w="3686" w:type="dxa"/>
            <w:shd w:val="clear" w:color="auto" w:fill="auto"/>
          </w:tcPr>
          <w:p w14:paraId="512D3AC2" w14:textId="77777777" w:rsidR="00832C48" w:rsidRPr="008A4486" w:rsidRDefault="00832C48" w:rsidP="0000147F">
            <w:pPr>
              <w:pStyle w:val="BodyText"/>
              <w:jc w:val="both"/>
              <w:rPr>
                <w:rFonts w:ascii="Times New Roman" w:hAnsi="Times New Roman" w:cs="Times New Roman"/>
                <w:bCs/>
                <w:sz w:val="22"/>
                <w:szCs w:val="22"/>
              </w:rPr>
            </w:pPr>
            <w:r w:rsidRPr="008A4486">
              <w:rPr>
                <w:rFonts w:ascii="Times New Roman" w:hAnsi="Times New Roman" w:cs="Times New Roman"/>
                <w:b/>
                <w:sz w:val="22"/>
                <w:szCs w:val="22"/>
              </w:rPr>
              <w:lastRenderedPageBreak/>
              <w:t>Indicator 2.3.1:</w:t>
            </w:r>
            <w:r w:rsidRPr="008A4486">
              <w:rPr>
                <w:rFonts w:ascii="Times New Roman" w:hAnsi="Times New Roman" w:cs="Times New Roman"/>
                <w:sz w:val="22"/>
                <w:szCs w:val="22"/>
              </w:rPr>
              <w:t xml:space="preserve"> </w:t>
            </w:r>
            <w:r w:rsidRPr="008A4486">
              <w:rPr>
                <w:rFonts w:ascii="Times New Roman" w:hAnsi="Times New Roman" w:cs="Times New Roman"/>
                <w:bCs/>
                <w:sz w:val="22"/>
                <w:szCs w:val="22"/>
              </w:rPr>
              <w:t># of UN supported MSMEs accessing gender responsive financial products and services (e.g., guarantee,</w:t>
            </w:r>
            <w:r w:rsidRPr="008A4486">
              <w:rPr>
                <w:rFonts w:ascii="Times New Roman" w:hAnsi="Times New Roman" w:cs="Times New Roman"/>
                <w:sz w:val="22"/>
                <w:szCs w:val="22"/>
              </w:rPr>
              <w:t xml:space="preserve"> </w:t>
            </w:r>
            <w:r w:rsidRPr="008A4486">
              <w:rPr>
                <w:rFonts w:ascii="Times New Roman" w:hAnsi="Times New Roman" w:cs="Times New Roman"/>
                <w:bCs/>
                <w:sz w:val="22"/>
                <w:szCs w:val="22"/>
              </w:rPr>
              <w:t>grants schemes, loans) disaggregated by sex, youth, PWD,) (ref AWP 2.4.3)</w:t>
            </w:r>
          </w:p>
          <w:p w14:paraId="4F340223" w14:textId="77777777" w:rsidR="00832C48" w:rsidRPr="008A4486" w:rsidRDefault="00832C48" w:rsidP="0000147F">
            <w:pPr>
              <w:pStyle w:val="BodyText"/>
              <w:jc w:val="both"/>
              <w:rPr>
                <w:rFonts w:ascii="Times New Roman" w:hAnsi="Times New Roman" w:cs="Times New Roman"/>
                <w:b/>
                <w:sz w:val="22"/>
                <w:szCs w:val="22"/>
              </w:rPr>
            </w:pPr>
          </w:p>
          <w:p w14:paraId="1942D481" w14:textId="77777777" w:rsidR="00832C48" w:rsidRPr="008A4486" w:rsidRDefault="00832C48" w:rsidP="0000147F">
            <w:pPr>
              <w:pStyle w:val="BodyText"/>
              <w:jc w:val="both"/>
              <w:rPr>
                <w:rFonts w:ascii="Times New Roman" w:hAnsi="Times New Roman" w:cs="Times New Roman"/>
                <w:bCs/>
                <w:sz w:val="22"/>
                <w:szCs w:val="22"/>
              </w:rPr>
            </w:pPr>
            <w:r w:rsidRPr="008A4486">
              <w:rPr>
                <w:rFonts w:ascii="Times New Roman" w:hAnsi="Times New Roman" w:cs="Times New Roman"/>
                <w:b/>
                <w:sz w:val="22"/>
                <w:szCs w:val="22"/>
              </w:rPr>
              <w:t>Baseline:</w:t>
            </w:r>
            <w:r w:rsidRPr="008A4486">
              <w:rPr>
                <w:rFonts w:ascii="Times New Roman" w:hAnsi="Times New Roman" w:cs="Times New Roman"/>
                <w:sz w:val="22"/>
                <w:szCs w:val="22"/>
              </w:rPr>
              <w:t xml:space="preserve"> </w:t>
            </w:r>
            <w:r w:rsidRPr="008A4486">
              <w:rPr>
                <w:rFonts w:ascii="Times New Roman" w:hAnsi="Times New Roman" w:cs="Times New Roman"/>
                <w:bCs/>
                <w:sz w:val="22"/>
                <w:szCs w:val="22"/>
              </w:rPr>
              <w:t xml:space="preserve">Loans =3 SMEs, </w:t>
            </w:r>
          </w:p>
          <w:p w14:paraId="33DF1FE5" w14:textId="77777777" w:rsidR="00832C48" w:rsidRPr="008A4486" w:rsidRDefault="00832C48" w:rsidP="0000147F">
            <w:pPr>
              <w:pStyle w:val="BodyText"/>
              <w:jc w:val="both"/>
              <w:rPr>
                <w:rFonts w:ascii="Times New Roman" w:hAnsi="Times New Roman" w:cs="Times New Roman"/>
                <w:bCs/>
                <w:sz w:val="22"/>
                <w:szCs w:val="22"/>
              </w:rPr>
            </w:pPr>
            <w:r w:rsidRPr="008A4486">
              <w:rPr>
                <w:rFonts w:ascii="Times New Roman" w:hAnsi="Times New Roman" w:cs="Times New Roman"/>
                <w:bCs/>
                <w:sz w:val="22"/>
                <w:szCs w:val="22"/>
              </w:rPr>
              <w:t>Grants =7SMEs</w:t>
            </w:r>
          </w:p>
          <w:p w14:paraId="11D77587" w14:textId="77777777" w:rsidR="00832C48" w:rsidRPr="008A4486" w:rsidRDefault="00832C48" w:rsidP="0000147F">
            <w:pPr>
              <w:pStyle w:val="BodyText"/>
              <w:jc w:val="both"/>
              <w:rPr>
                <w:rFonts w:ascii="Times New Roman" w:hAnsi="Times New Roman" w:cs="Times New Roman"/>
                <w:bCs/>
                <w:sz w:val="22"/>
                <w:szCs w:val="22"/>
              </w:rPr>
            </w:pPr>
            <w:r w:rsidRPr="008A4486">
              <w:rPr>
                <w:rFonts w:ascii="Times New Roman" w:hAnsi="Times New Roman" w:cs="Times New Roman"/>
                <w:bCs/>
                <w:sz w:val="22"/>
                <w:szCs w:val="22"/>
              </w:rPr>
              <w:t>Credit guarantee =0(Disaggregated by sex, youth, PWD,)</w:t>
            </w:r>
          </w:p>
          <w:p w14:paraId="11C46DA6" w14:textId="77777777" w:rsidR="00832C48" w:rsidRPr="008A4486" w:rsidRDefault="00832C48" w:rsidP="0000147F">
            <w:pPr>
              <w:pStyle w:val="BodyText"/>
              <w:jc w:val="both"/>
              <w:rPr>
                <w:rFonts w:ascii="Times New Roman" w:hAnsi="Times New Roman" w:cs="Times New Roman"/>
                <w:bCs/>
                <w:sz w:val="22"/>
                <w:szCs w:val="22"/>
              </w:rPr>
            </w:pPr>
            <w:r w:rsidRPr="008A4486">
              <w:rPr>
                <w:rFonts w:ascii="Times New Roman" w:hAnsi="Times New Roman" w:cs="Times New Roman"/>
                <w:b/>
                <w:sz w:val="22"/>
                <w:szCs w:val="22"/>
              </w:rPr>
              <w:t>Planned Target:</w:t>
            </w:r>
            <w:r w:rsidRPr="008A4486">
              <w:rPr>
                <w:rFonts w:ascii="Times New Roman" w:hAnsi="Times New Roman" w:cs="Times New Roman"/>
                <w:bCs/>
                <w:sz w:val="22"/>
                <w:szCs w:val="22"/>
              </w:rPr>
              <w:t xml:space="preserve"> Planned Target: Loans =5 SMEs, </w:t>
            </w:r>
          </w:p>
          <w:p w14:paraId="37AF3639" w14:textId="77777777" w:rsidR="00832C48" w:rsidRPr="008A4486" w:rsidRDefault="00832C48" w:rsidP="0000147F">
            <w:pPr>
              <w:pStyle w:val="BodyText"/>
              <w:jc w:val="both"/>
              <w:rPr>
                <w:rFonts w:ascii="Times New Roman" w:hAnsi="Times New Roman" w:cs="Times New Roman"/>
                <w:bCs/>
                <w:sz w:val="22"/>
                <w:szCs w:val="22"/>
              </w:rPr>
            </w:pPr>
            <w:r w:rsidRPr="008A4486">
              <w:rPr>
                <w:rFonts w:ascii="Times New Roman" w:hAnsi="Times New Roman" w:cs="Times New Roman"/>
                <w:bCs/>
                <w:sz w:val="22"/>
                <w:szCs w:val="22"/>
              </w:rPr>
              <w:t>Grants =7 SMEs Credit guarantee =2</w:t>
            </w:r>
          </w:p>
          <w:p w14:paraId="1F57F1B4" w14:textId="57BFF608" w:rsidR="00832C48" w:rsidRPr="008A4486" w:rsidRDefault="00832C48" w:rsidP="0000147F">
            <w:pPr>
              <w:pStyle w:val="BodyText"/>
              <w:jc w:val="both"/>
              <w:rPr>
                <w:rFonts w:ascii="Times New Roman" w:hAnsi="Times New Roman" w:cs="Times New Roman"/>
                <w:bCs/>
                <w:sz w:val="22"/>
                <w:szCs w:val="22"/>
              </w:rPr>
            </w:pPr>
            <w:r w:rsidRPr="008A4486">
              <w:rPr>
                <w:rFonts w:ascii="Times New Roman" w:hAnsi="Times New Roman" w:cs="Times New Roman"/>
                <w:bCs/>
                <w:sz w:val="22"/>
                <w:szCs w:val="22"/>
              </w:rPr>
              <w:t>(Disaggregated by sex, youth, PWD,)</w:t>
            </w:r>
          </w:p>
          <w:p w14:paraId="0EB72FA4" w14:textId="77777777" w:rsidR="00832C48" w:rsidRPr="008A4486" w:rsidRDefault="00832C48" w:rsidP="0000147F">
            <w:pPr>
              <w:pStyle w:val="BodyText"/>
              <w:jc w:val="both"/>
              <w:rPr>
                <w:rFonts w:ascii="Times New Roman" w:hAnsi="Times New Roman" w:cs="Times New Roman"/>
                <w:bCs/>
                <w:sz w:val="22"/>
                <w:szCs w:val="22"/>
              </w:rPr>
            </w:pPr>
          </w:p>
        </w:tc>
        <w:tc>
          <w:tcPr>
            <w:tcW w:w="3544" w:type="dxa"/>
          </w:tcPr>
          <w:p w14:paraId="65ADB477" w14:textId="0C631526" w:rsidR="00832C48" w:rsidRPr="008A4486" w:rsidRDefault="00832C48" w:rsidP="008A4486">
            <w:pPr>
              <w:pStyle w:val="BodyText"/>
              <w:jc w:val="both"/>
              <w:rPr>
                <w:rFonts w:ascii="Times New Roman" w:hAnsi="Times New Roman" w:cs="Times New Roman"/>
                <w:bCs/>
                <w:sz w:val="22"/>
                <w:szCs w:val="22"/>
              </w:rPr>
            </w:pPr>
            <w:r w:rsidRPr="008A4486">
              <w:rPr>
                <w:rFonts w:ascii="Times New Roman" w:hAnsi="Times New Roman" w:cs="Times New Roman"/>
                <w:bCs/>
                <w:sz w:val="22"/>
                <w:szCs w:val="22"/>
              </w:rPr>
              <w:lastRenderedPageBreak/>
              <w:t>17 saving groups comprising 408 members, of which 297 are women received credit facilities totaling TZS 57,750,000.</w:t>
            </w:r>
          </w:p>
          <w:p w14:paraId="53F11551" w14:textId="77777777" w:rsidR="00832C48" w:rsidRPr="008A4486" w:rsidRDefault="00832C48" w:rsidP="0000147F">
            <w:pPr>
              <w:pStyle w:val="BodyText"/>
              <w:jc w:val="both"/>
              <w:rPr>
                <w:rFonts w:ascii="Times New Roman" w:hAnsi="Times New Roman" w:cs="Times New Roman"/>
                <w:bCs/>
                <w:sz w:val="22"/>
                <w:szCs w:val="22"/>
              </w:rPr>
            </w:pPr>
          </w:p>
          <w:p w14:paraId="30C41CC5" w14:textId="77777777" w:rsidR="00832C48" w:rsidRPr="008A4486" w:rsidRDefault="00832C48" w:rsidP="0000147F">
            <w:pPr>
              <w:pStyle w:val="BodyText"/>
              <w:jc w:val="both"/>
              <w:rPr>
                <w:rFonts w:ascii="Times New Roman" w:hAnsi="Times New Roman" w:cs="Times New Roman"/>
                <w:bCs/>
                <w:sz w:val="22"/>
                <w:szCs w:val="22"/>
              </w:rPr>
            </w:pPr>
          </w:p>
        </w:tc>
        <w:tc>
          <w:tcPr>
            <w:tcW w:w="2268" w:type="dxa"/>
            <w:shd w:val="clear" w:color="auto" w:fill="auto"/>
          </w:tcPr>
          <w:p w14:paraId="24AB69CA" w14:textId="2FDC4808" w:rsidR="00832C48" w:rsidRPr="008A4486" w:rsidRDefault="00832C48" w:rsidP="0000147F">
            <w:pPr>
              <w:pStyle w:val="BodyText"/>
              <w:jc w:val="both"/>
              <w:rPr>
                <w:rFonts w:ascii="Times New Roman" w:hAnsi="Times New Roman" w:cs="Times New Roman"/>
                <w:bCs/>
                <w:sz w:val="22"/>
                <w:szCs w:val="22"/>
              </w:rPr>
            </w:pPr>
          </w:p>
        </w:tc>
        <w:tc>
          <w:tcPr>
            <w:tcW w:w="1984" w:type="dxa"/>
            <w:shd w:val="clear" w:color="auto" w:fill="auto"/>
          </w:tcPr>
          <w:p w14:paraId="5F064199" w14:textId="77777777" w:rsidR="00832C48" w:rsidRPr="008A4486" w:rsidRDefault="00832C48" w:rsidP="0000147F">
            <w:pPr>
              <w:pStyle w:val="BodyText"/>
              <w:jc w:val="both"/>
              <w:rPr>
                <w:rFonts w:ascii="Times New Roman" w:hAnsi="Times New Roman" w:cs="Times New Roman"/>
                <w:bCs/>
                <w:sz w:val="22"/>
                <w:szCs w:val="22"/>
              </w:rPr>
            </w:pPr>
            <w:r w:rsidRPr="008A4486">
              <w:rPr>
                <w:rFonts w:ascii="Times New Roman" w:hAnsi="Times New Roman" w:cs="Times New Roman"/>
                <w:bCs/>
                <w:sz w:val="22"/>
                <w:szCs w:val="22"/>
              </w:rPr>
              <w:t xml:space="preserve">Project Implementation report </w:t>
            </w:r>
          </w:p>
        </w:tc>
      </w:tr>
      <w:tr w:rsidR="0000147F" w:rsidRPr="008D685F" w14:paraId="6D8159A8" w14:textId="77777777" w:rsidTr="38525CFC">
        <w:trPr>
          <w:trHeight w:val="818"/>
        </w:trPr>
        <w:tc>
          <w:tcPr>
            <w:tcW w:w="3055" w:type="dxa"/>
            <w:vMerge w:val="restart"/>
            <w:shd w:val="clear" w:color="auto" w:fill="auto"/>
          </w:tcPr>
          <w:p w14:paraId="0204B875" w14:textId="1D74C609" w:rsidR="0000147F" w:rsidRPr="008A4486" w:rsidRDefault="0000147F" w:rsidP="0000147F">
            <w:pPr>
              <w:pStyle w:val="BodyText"/>
              <w:jc w:val="both"/>
              <w:rPr>
                <w:rFonts w:ascii="Times New Roman" w:hAnsi="Times New Roman" w:cs="Times New Roman"/>
                <w:bCs/>
                <w:sz w:val="22"/>
                <w:szCs w:val="22"/>
              </w:rPr>
            </w:pPr>
            <w:r w:rsidRPr="008A4486">
              <w:rPr>
                <w:rFonts w:ascii="Times New Roman" w:hAnsi="Times New Roman" w:cs="Times New Roman"/>
                <w:b/>
                <w:sz w:val="22"/>
                <w:szCs w:val="22"/>
              </w:rPr>
              <w:t>Output 2.4:</w:t>
            </w:r>
            <w:r w:rsidRPr="008A4486">
              <w:rPr>
                <w:rFonts w:ascii="Times New Roman" w:hAnsi="Times New Roman" w:cs="Times New Roman"/>
                <w:bCs/>
                <w:sz w:val="22"/>
                <w:szCs w:val="22"/>
              </w:rPr>
              <w:t xml:space="preserve"> Small holder producers and MSMEs in Kigoma, particularly led by women, youth and people with disabilities have improved capacities to adopt innovative, climate resilient practices, access productive resources, commercializes agricultural production, sustainably grow their business, </w:t>
            </w:r>
            <w:r w:rsidR="00122ACF" w:rsidRPr="008A4486">
              <w:rPr>
                <w:rFonts w:ascii="Times New Roman" w:hAnsi="Times New Roman" w:cs="Times New Roman"/>
                <w:bCs/>
                <w:sz w:val="22"/>
                <w:szCs w:val="22"/>
              </w:rPr>
              <w:t>formalize,</w:t>
            </w:r>
            <w:r w:rsidRPr="008A4486">
              <w:rPr>
                <w:rFonts w:ascii="Times New Roman" w:hAnsi="Times New Roman" w:cs="Times New Roman"/>
                <w:bCs/>
                <w:sz w:val="22"/>
                <w:szCs w:val="22"/>
              </w:rPr>
              <w:t xml:space="preserve"> and engage in national, regional and international trade.</w:t>
            </w:r>
          </w:p>
          <w:p w14:paraId="4E38569B" w14:textId="77777777" w:rsidR="0000147F" w:rsidRPr="008A4486" w:rsidRDefault="0000147F" w:rsidP="008A4486">
            <w:pPr>
              <w:jc w:val="both"/>
              <w:rPr>
                <w:b/>
                <w:sz w:val="22"/>
                <w:szCs w:val="22"/>
              </w:rPr>
            </w:pPr>
          </w:p>
        </w:tc>
        <w:tc>
          <w:tcPr>
            <w:tcW w:w="3686" w:type="dxa"/>
            <w:shd w:val="clear" w:color="auto" w:fill="auto"/>
          </w:tcPr>
          <w:p w14:paraId="37635781" w14:textId="77777777" w:rsidR="0000147F" w:rsidRPr="008A4486" w:rsidRDefault="0000147F" w:rsidP="0000147F">
            <w:pPr>
              <w:pStyle w:val="BodyText"/>
              <w:jc w:val="both"/>
              <w:rPr>
                <w:rFonts w:ascii="Times New Roman" w:hAnsi="Times New Roman" w:cs="Times New Roman"/>
                <w:bCs/>
                <w:sz w:val="22"/>
                <w:szCs w:val="22"/>
              </w:rPr>
            </w:pPr>
            <w:r w:rsidRPr="008A4486">
              <w:rPr>
                <w:rFonts w:ascii="Times New Roman" w:hAnsi="Times New Roman" w:cs="Times New Roman"/>
                <w:b/>
                <w:sz w:val="22"/>
                <w:szCs w:val="22"/>
              </w:rPr>
              <w:t>Indicator 2.4.1</w:t>
            </w:r>
            <w:r w:rsidRPr="008A4486">
              <w:rPr>
                <w:rFonts w:ascii="Times New Roman" w:hAnsi="Times New Roman" w:cs="Times New Roman"/>
                <w:bCs/>
                <w:sz w:val="22"/>
                <w:szCs w:val="22"/>
              </w:rPr>
              <w:t>:</w:t>
            </w:r>
            <w:r w:rsidRPr="008A4486">
              <w:rPr>
                <w:rFonts w:ascii="Times New Roman" w:hAnsi="Times New Roman" w:cs="Times New Roman"/>
                <w:sz w:val="22"/>
                <w:szCs w:val="22"/>
              </w:rPr>
              <w:t xml:space="preserve"> </w:t>
            </w:r>
            <w:r w:rsidRPr="008A4486">
              <w:rPr>
                <w:rFonts w:ascii="Times New Roman" w:hAnsi="Times New Roman" w:cs="Times New Roman"/>
                <w:bCs/>
                <w:sz w:val="22"/>
                <w:szCs w:val="22"/>
              </w:rPr>
              <w:t>No. of small-holder farmers with acquired knowledge on good and climate smart agricultural practices and inclusive business models (disaggregated by sex, youth, PWD, mainland/Zanzibar)</w:t>
            </w:r>
          </w:p>
          <w:p w14:paraId="7920B9D0" w14:textId="77777777" w:rsidR="0000147F" w:rsidRPr="008A4486" w:rsidRDefault="0000147F" w:rsidP="008A4486">
            <w:pPr>
              <w:jc w:val="both"/>
              <w:rPr>
                <w:b/>
                <w:sz w:val="22"/>
                <w:szCs w:val="22"/>
              </w:rPr>
            </w:pPr>
          </w:p>
          <w:p w14:paraId="77856B7A" w14:textId="77777777" w:rsidR="0000147F" w:rsidRPr="008A4486" w:rsidRDefault="0000147F" w:rsidP="008A4486">
            <w:pPr>
              <w:jc w:val="both"/>
              <w:rPr>
                <w:b/>
                <w:sz w:val="22"/>
                <w:szCs w:val="22"/>
              </w:rPr>
            </w:pPr>
            <w:r w:rsidRPr="008A4486">
              <w:rPr>
                <w:b/>
                <w:sz w:val="22"/>
                <w:szCs w:val="22"/>
              </w:rPr>
              <w:t>Baseline:</w:t>
            </w:r>
            <w:r w:rsidRPr="008A4486">
              <w:rPr>
                <w:sz w:val="22"/>
                <w:szCs w:val="22"/>
              </w:rPr>
              <w:t xml:space="preserve"> </w:t>
            </w:r>
            <w:r w:rsidRPr="008A4486">
              <w:rPr>
                <w:b/>
                <w:sz w:val="22"/>
                <w:szCs w:val="22"/>
              </w:rPr>
              <w:t xml:space="preserve">24,317 </w:t>
            </w:r>
            <w:r w:rsidRPr="008A4486">
              <w:rPr>
                <w:bCs/>
                <w:sz w:val="22"/>
                <w:szCs w:val="22"/>
              </w:rPr>
              <w:t>small-holder farmers</w:t>
            </w:r>
          </w:p>
          <w:p w14:paraId="4C7DAC1C" w14:textId="0737F695" w:rsidR="0000147F" w:rsidRPr="008A4486" w:rsidRDefault="0000147F" w:rsidP="008A4486">
            <w:pPr>
              <w:jc w:val="both"/>
              <w:rPr>
                <w:sz w:val="22"/>
                <w:szCs w:val="22"/>
              </w:rPr>
            </w:pPr>
            <w:r w:rsidRPr="008A4486">
              <w:rPr>
                <w:b/>
                <w:sz w:val="22"/>
                <w:szCs w:val="22"/>
              </w:rPr>
              <w:t>Planned Target:</w:t>
            </w:r>
            <w:r w:rsidRPr="008A4486">
              <w:rPr>
                <w:sz w:val="22"/>
                <w:szCs w:val="22"/>
              </w:rPr>
              <w:t xml:space="preserve"> </w:t>
            </w:r>
            <w:r w:rsidRPr="008A4486">
              <w:rPr>
                <w:bCs/>
                <w:sz w:val="22"/>
                <w:szCs w:val="22"/>
              </w:rPr>
              <w:t xml:space="preserve">28,317 small holder </w:t>
            </w:r>
            <w:r w:rsidR="00122ACF" w:rsidRPr="008A4486">
              <w:rPr>
                <w:bCs/>
                <w:sz w:val="22"/>
                <w:szCs w:val="22"/>
              </w:rPr>
              <w:t>farmers.</w:t>
            </w:r>
          </w:p>
          <w:p w14:paraId="18DE6430" w14:textId="77777777" w:rsidR="0000147F" w:rsidRPr="008A4486" w:rsidRDefault="0000147F" w:rsidP="008A4486">
            <w:pPr>
              <w:pStyle w:val="ListParagraph"/>
              <w:ind w:left="360"/>
              <w:jc w:val="both"/>
              <w:rPr>
                <w:sz w:val="22"/>
                <w:szCs w:val="22"/>
              </w:rPr>
            </w:pPr>
          </w:p>
        </w:tc>
        <w:tc>
          <w:tcPr>
            <w:tcW w:w="3544" w:type="dxa"/>
          </w:tcPr>
          <w:p w14:paraId="3DD9BE08" w14:textId="77777777" w:rsidR="0000147F" w:rsidRPr="008A4486" w:rsidRDefault="0000147F" w:rsidP="008A4486">
            <w:pPr>
              <w:jc w:val="both"/>
              <w:rPr>
                <w:sz w:val="22"/>
                <w:szCs w:val="22"/>
              </w:rPr>
            </w:pPr>
            <w:r w:rsidRPr="008A4486">
              <w:rPr>
                <w:sz w:val="22"/>
                <w:szCs w:val="22"/>
              </w:rPr>
              <w:t>400 farmers from Kibondo and Kasulu trained on knowledge to use fertilizer to increase crop productivity.</w:t>
            </w:r>
          </w:p>
          <w:p w14:paraId="43337604" w14:textId="77777777" w:rsidR="0000147F" w:rsidRPr="008A4486" w:rsidRDefault="0000147F" w:rsidP="008A4486">
            <w:pPr>
              <w:jc w:val="both"/>
              <w:rPr>
                <w:sz w:val="22"/>
                <w:szCs w:val="22"/>
              </w:rPr>
            </w:pPr>
          </w:p>
          <w:p w14:paraId="0227F92D" w14:textId="4EC3A8E7" w:rsidR="0000147F" w:rsidRPr="008A4486" w:rsidRDefault="0000147F" w:rsidP="008A4486">
            <w:pPr>
              <w:jc w:val="both"/>
              <w:rPr>
                <w:sz w:val="22"/>
                <w:szCs w:val="22"/>
              </w:rPr>
            </w:pPr>
            <w:r w:rsidRPr="008A4486">
              <w:rPr>
                <w:sz w:val="22"/>
                <w:szCs w:val="22"/>
              </w:rPr>
              <w:t xml:space="preserve">522 farmers in 20 producer groups capacitated to engage in micro-investment activities in horticulture through the utilization of micro-irrigation technology. </w:t>
            </w:r>
          </w:p>
          <w:p w14:paraId="45D02E6B" w14:textId="77777777" w:rsidR="0000147F" w:rsidRPr="008A4486" w:rsidRDefault="0000147F" w:rsidP="008A4486">
            <w:pPr>
              <w:jc w:val="both"/>
              <w:rPr>
                <w:sz w:val="22"/>
                <w:szCs w:val="22"/>
              </w:rPr>
            </w:pPr>
          </w:p>
          <w:p w14:paraId="384F9CD4" w14:textId="2E4CD77B" w:rsidR="0000147F" w:rsidRPr="008A4486" w:rsidRDefault="0000147F" w:rsidP="008A4486">
            <w:pPr>
              <w:jc w:val="both"/>
              <w:rPr>
                <w:sz w:val="22"/>
                <w:szCs w:val="22"/>
              </w:rPr>
            </w:pPr>
          </w:p>
        </w:tc>
        <w:tc>
          <w:tcPr>
            <w:tcW w:w="2268" w:type="dxa"/>
            <w:shd w:val="clear" w:color="auto" w:fill="auto"/>
          </w:tcPr>
          <w:p w14:paraId="26B634F2" w14:textId="6E907E71" w:rsidR="0000147F" w:rsidRPr="008A4486" w:rsidRDefault="0000147F" w:rsidP="0000147F">
            <w:pPr>
              <w:pStyle w:val="BodyText"/>
              <w:jc w:val="both"/>
              <w:rPr>
                <w:rFonts w:ascii="Times New Roman" w:hAnsi="Times New Roman" w:cs="Times New Roman"/>
                <w:bCs/>
                <w:sz w:val="22"/>
                <w:szCs w:val="22"/>
              </w:rPr>
            </w:pPr>
          </w:p>
        </w:tc>
        <w:tc>
          <w:tcPr>
            <w:tcW w:w="1984" w:type="dxa"/>
            <w:shd w:val="clear" w:color="auto" w:fill="auto"/>
          </w:tcPr>
          <w:p w14:paraId="7EA7269D" w14:textId="77777777" w:rsidR="0000147F" w:rsidRPr="008A4486" w:rsidRDefault="0000147F" w:rsidP="0000147F">
            <w:pPr>
              <w:pStyle w:val="BodyText"/>
              <w:jc w:val="both"/>
              <w:rPr>
                <w:rFonts w:ascii="Times New Roman" w:hAnsi="Times New Roman" w:cs="Times New Roman"/>
                <w:bCs/>
                <w:sz w:val="22"/>
                <w:szCs w:val="22"/>
              </w:rPr>
            </w:pPr>
            <w:r w:rsidRPr="008A4486">
              <w:rPr>
                <w:rFonts w:ascii="Times New Roman" w:hAnsi="Times New Roman" w:cs="Times New Roman"/>
                <w:bCs/>
                <w:sz w:val="22"/>
                <w:szCs w:val="22"/>
              </w:rPr>
              <w:t>Project Implementation report and training reports</w:t>
            </w:r>
          </w:p>
        </w:tc>
      </w:tr>
      <w:tr w:rsidR="0000147F" w:rsidRPr="008D685F" w14:paraId="0ADD89AB" w14:textId="77777777" w:rsidTr="38525CFC">
        <w:tc>
          <w:tcPr>
            <w:tcW w:w="3055" w:type="dxa"/>
            <w:vMerge/>
          </w:tcPr>
          <w:p w14:paraId="04A50513" w14:textId="77777777" w:rsidR="0000147F" w:rsidRPr="008A4486" w:rsidRDefault="0000147F" w:rsidP="006251ED">
            <w:pPr>
              <w:pStyle w:val="BodyText"/>
              <w:jc w:val="both"/>
              <w:rPr>
                <w:rFonts w:ascii="Times New Roman" w:hAnsi="Times New Roman" w:cs="Times New Roman"/>
                <w:bCs/>
                <w:sz w:val="22"/>
                <w:szCs w:val="22"/>
              </w:rPr>
            </w:pPr>
          </w:p>
        </w:tc>
        <w:tc>
          <w:tcPr>
            <w:tcW w:w="3686" w:type="dxa"/>
            <w:shd w:val="clear" w:color="auto" w:fill="auto"/>
          </w:tcPr>
          <w:p w14:paraId="2B430402" w14:textId="77DF0AFA" w:rsidR="0000147F" w:rsidRPr="008A4486" w:rsidRDefault="24794D9D" w:rsidP="38525CFC">
            <w:pPr>
              <w:pStyle w:val="BodyText"/>
              <w:jc w:val="both"/>
              <w:rPr>
                <w:rFonts w:ascii="Times New Roman" w:hAnsi="Times New Roman" w:cs="Times New Roman"/>
                <w:sz w:val="22"/>
                <w:szCs w:val="22"/>
              </w:rPr>
            </w:pPr>
            <w:r w:rsidRPr="38525CFC">
              <w:rPr>
                <w:rFonts w:ascii="Times New Roman" w:hAnsi="Times New Roman" w:cs="Times New Roman"/>
                <w:b/>
                <w:bCs/>
                <w:sz w:val="22"/>
                <w:szCs w:val="22"/>
              </w:rPr>
              <w:t>Indicator: 2.4.2:</w:t>
            </w:r>
            <w:r w:rsidRPr="38525CFC">
              <w:rPr>
                <w:rFonts w:ascii="Times New Roman" w:hAnsi="Times New Roman" w:cs="Times New Roman"/>
                <w:sz w:val="22"/>
                <w:szCs w:val="22"/>
              </w:rPr>
              <w:t xml:space="preserve"> # of smallholder farmers and MSMEs with acquired knowledge of innovative, gender responsive and demand driven, affordable climate smart, resilient, environmentally sustainable practices and technologies for increased productivity and income (disaggregated by sex, type </w:t>
            </w:r>
            <w:r w:rsidR="54A20248" w:rsidRPr="38525CFC">
              <w:rPr>
                <w:rFonts w:ascii="Times New Roman" w:hAnsi="Times New Roman" w:cs="Times New Roman"/>
                <w:sz w:val="22"/>
                <w:szCs w:val="22"/>
              </w:rPr>
              <w:t>of</w:t>
            </w:r>
            <w:r w:rsidRPr="38525CFC">
              <w:rPr>
                <w:rFonts w:ascii="Times New Roman" w:hAnsi="Times New Roman" w:cs="Times New Roman"/>
                <w:sz w:val="22"/>
                <w:szCs w:val="22"/>
              </w:rPr>
              <w:t xml:space="preserve"> technology, youth, PWD)</w:t>
            </w:r>
          </w:p>
          <w:p w14:paraId="48A1ED5A" w14:textId="77777777" w:rsidR="0000147F" w:rsidRPr="008A4486" w:rsidRDefault="0000147F" w:rsidP="00832C48">
            <w:pPr>
              <w:pStyle w:val="BodyText"/>
              <w:jc w:val="both"/>
              <w:rPr>
                <w:rFonts w:ascii="Times New Roman" w:hAnsi="Times New Roman" w:cs="Times New Roman"/>
                <w:bCs/>
                <w:sz w:val="22"/>
                <w:szCs w:val="22"/>
              </w:rPr>
            </w:pPr>
          </w:p>
          <w:p w14:paraId="1A4ABB43" w14:textId="77777777" w:rsidR="0000147F" w:rsidRPr="008A4486" w:rsidRDefault="0000147F" w:rsidP="00832C48">
            <w:pPr>
              <w:pStyle w:val="BodyText"/>
              <w:jc w:val="both"/>
              <w:rPr>
                <w:rFonts w:ascii="Times New Roman" w:hAnsi="Times New Roman" w:cs="Times New Roman"/>
                <w:b/>
                <w:sz w:val="22"/>
                <w:szCs w:val="22"/>
              </w:rPr>
            </w:pPr>
            <w:r w:rsidRPr="008A4486">
              <w:rPr>
                <w:rFonts w:ascii="Times New Roman" w:hAnsi="Times New Roman" w:cs="Times New Roman"/>
                <w:b/>
                <w:sz w:val="22"/>
                <w:szCs w:val="22"/>
              </w:rPr>
              <w:lastRenderedPageBreak/>
              <w:t>Baseline:0</w:t>
            </w:r>
          </w:p>
          <w:p w14:paraId="3FFEB5F5" w14:textId="77777777" w:rsidR="0000147F" w:rsidRPr="008A4486" w:rsidRDefault="0000147F" w:rsidP="00832C48">
            <w:pPr>
              <w:pStyle w:val="BodyText"/>
              <w:jc w:val="both"/>
              <w:rPr>
                <w:rFonts w:ascii="Times New Roman" w:hAnsi="Times New Roman" w:cs="Times New Roman"/>
                <w:bCs/>
                <w:sz w:val="22"/>
                <w:szCs w:val="22"/>
              </w:rPr>
            </w:pPr>
            <w:r w:rsidRPr="008A4486">
              <w:rPr>
                <w:rFonts w:ascii="Times New Roman" w:hAnsi="Times New Roman" w:cs="Times New Roman"/>
                <w:b/>
                <w:sz w:val="22"/>
                <w:szCs w:val="22"/>
              </w:rPr>
              <w:t xml:space="preserve">Planned Target: </w:t>
            </w:r>
            <w:r w:rsidRPr="008A4486">
              <w:rPr>
                <w:rFonts w:ascii="Times New Roman" w:hAnsi="Times New Roman" w:cs="Times New Roman"/>
                <w:bCs/>
                <w:sz w:val="22"/>
                <w:szCs w:val="22"/>
              </w:rPr>
              <w:t>10 SMEs deliver climate smart technology to support and promote climate smart agriculture and clean energy.</w:t>
            </w:r>
          </w:p>
          <w:p w14:paraId="49C05B81" w14:textId="77777777" w:rsidR="0000147F" w:rsidRPr="008A4486" w:rsidRDefault="0000147F" w:rsidP="0000147F">
            <w:pPr>
              <w:pStyle w:val="BodyText"/>
              <w:jc w:val="both"/>
              <w:rPr>
                <w:rFonts w:ascii="Times New Roman" w:hAnsi="Times New Roman" w:cs="Times New Roman"/>
                <w:bCs/>
                <w:sz w:val="22"/>
                <w:szCs w:val="22"/>
              </w:rPr>
            </w:pPr>
          </w:p>
        </w:tc>
        <w:tc>
          <w:tcPr>
            <w:tcW w:w="3544" w:type="dxa"/>
          </w:tcPr>
          <w:p w14:paraId="4D30C205" w14:textId="77777777" w:rsidR="0000147F" w:rsidRDefault="0000147F" w:rsidP="0000147F">
            <w:pPr>
              <w:rPr>
                <w:sz w:val="22"/>
                <w:szCs w:val="22"/>
              </w:rPr>
            </w:pPr>
            <w:r w:rsidRPr="0000147F">
              <w:rPr>
                <w:sz w:val="22"/>
                <w:szCs w:val="22"/>
              </w:rPr>
              <w:lastRenderedPageBreak/>
              <w:t>2 youth enterprises capacitated to locally fabricate drip irrigation kits and supported to increase use of climate smart technology in horticulture small producers through use of drip irrigation kits in their respective areas.</w:t>
            </w:r>
          </w:p>
          <w:p w14:paraId="4E4E8EAF" w14:textId="77777777" w:rsidR="0000147F" w:rsidRDefault="0000147F" w:rsidP="0000147F">
            <w:pPr>
              <w:rPr>
                <w:sz w:val="22"/>
                <w:szCs w:val="22"/>
              </w:rPr>
            </w:pPr>
          </w:p>
          <w:p w14:paraId="54753430" w14:textId="77777777" w:rsidR="0000147F" w:rsidRPr="0000147F" w:rsidRDefault="0000147F" w:rsidP="0000147F">
            <w:pPr>
              <w:rPr>
                <w:sz w:val="22"/>
                <w:szCs w:val="22"/>
              </w:rPr>
            </w:pPr>
          </w:p>
          <w:p w14:paraId="2F5FFE0A" w14:textId="77777777" w:rsidR="0000147F" w:rsidRPr="0000147F" w:rsidRDefault="0000147F" w:rsidP="0000147F">
            <w:pPr>
              <w:rPr>
                <w:sz w:val="22"/>
                <w:szCs w:val="22"/>
              </w:rPr>
            </w:pPr>
            <w:r w:rsidRPr="0000147F">
              <w:rPr>
                <w:sz w:val="22"/>
                <w:szCs w:val="22"/>
              </w:rPr>
              <w:t xml:space="preserve">12 youth extension officers enhanced their capacity to support smallholder </w:t>
            </w:r>
            <w:r w:rsidRPr="0000147F">
              <w:rPr>
                <w:sz w:val="22"/>
                <w:szCs w:val="22"/>
              </w:rPr>
              <w:lastRenderedPageBreak/>
              <w:t>farmers in Climate Smart Agriculture and Good Agricultural Practices.</w:t>
            </w:r>
          </w:p>
          <w:p w14:paraId="73834724" w14:textId="5BACE390" w:rsidR="0000147F" w:rsidRPr="008A4486" w:rsidRDefault="0000147F" w:rsidP="008A4486">
            <w:pPr>
              <w:rPr>
                <w:sz w:val="22"/>
                <w:szCs w:val="22"/>
              </w:rPr>
            </w:pPr>
          </w:p>
        </w:tc>
        <w:tc>
          <w:tcPr>
            <w:tcW w:w="2268" w:type="dxa"/>
            <w:shd w:val="clear" w:color="auto" w:fill="auto"/>
          </w:tcPr>
          <w:p w14:paraId="0E4D23C5" w14:textId="77777777" w:rsidR="0000147F" w:rsidRPr="008A4486" w:rsidRDefault="0000147F" w:rsidP="006251ED">
            <w:pPr>
              <w:pStyle w:val="BodyText"/>
              <w:jc w:val="both"/>
              <w:rPr>
                <w:rFonts w:ascii="Times New Roman" w:hAnsi="Times New Roman" w:cs="Times New Roman"/>
                <w:bCs/>
                <w:sz w:val="22"/>
                <w:szCs w:val="22"/>
              </w:rPr>
            </w:pPr>
          </w:p>
        </w:tc>
        <w:tc>
          <w:tcPr>
            <w:tcW w:w="1984" w:type="dxa"/>
            <w:shd w:val="clear" w:color="auto" w:fill="auto"/>
          </w:tcPr>
          <w:p w14:paraId="4062016D" w14:textId="5652A2B6" w:rsidR="0000147F" w:rsidRPr="008A4486" w:rsidRDefault="00A6795D" w:rsidP="006251ED">
            <w:pPr>
              <w:pStyle w:val="BodyText"/>
              <w:jc w:val="both"/>
              <w:rPr>
                <w:rFonts w:ascii="Times New Roman" w:hAnsi="Times New Roman" w:cs="Times New Roman"/>
                <w:bCs/>
                <w:sz w:val="22"/>
                <w:szCs w:val="22"/>
              </w:rPr>
            </w:pPr>
            <w:r w:rsidRPr="00A6795D">
              <w:rPr>
                <w:rFonts w:ascii="Times New Roman" w:hAnsi="Times New Roman" w:cs="Times New Roman"/>
                <w:bCs/>
                <w:sz w:val="22"/>
                <w:szCs w:val="22"/>
              </w:rPr>
              <w:t>Project Implementation report and training reports</w:t>
            </w:r>
          </w:p>
        </w:tc>
      </w:tr>
      <w:tr w:rsidR="00832C48" w:rsidRPr="008D685F" w14:paraId="31F83D07" w14:textId="77777777" w:rsidTr="38525CFC">
        <w:tc>
          <w:tcPr>
            <w:tcW w:w="3055" w:type="dxa"/>
            <w:shd w:val="clear" w:color="auto" w:fill="auto"/>
          </w:tcPr>
          <w:p w14:paraId="165C4678" w14:textId="77777777" w:rsidR="00832C48" w:rsidRPr="008A4486" w:rsidRDefault="00832C48" w:rsidP="006251ED">
            <w:pPr>
              <w:pStyle w:val="BodyText"/>
              <w:jc w:val="both"/>
              <w:rPr>
                <w:rFonts w:ascii="Times New Roman" w:hAnsi="Times New Roman" w:cs="Times New Roman"/>
                <w:b/>
                <w:sz w:val="22"/>
                <w:szCs w:val="22"/>
              </w:rPr>
            </w:pPr>
          </w:p>
        </w:tc>
        <w:tc>
          <w:tcPr>
            <w:tcW w:w="3686" w:type="dxa"/>
            <w:shd w:val="clear" w:color="auto" w:fill="auto"/>
          </w:tcPr>
          <w:p w14:paraId="0902FE04" w14:textId="77777777" w:rsidR="00832C48" w:rsidRPr="008A4486" w:rsidRDefault="00832C48" w:rsidP="00832C48">
            <w:pPr>
              <w:pStyle w:val="BodyText"/>
              <w:jc w:val="both"/>
              <w:rPr>
                <w:rFonts w:ascii="Times New Roman" w:hAnsi="Times New Roman" w:cs="Times New Roman"/>
                <w:bCs/>
                <w:sz w:val="22"/>
                <w:szCs w:val="22"/>
              </w:rPr>
            </w:pPr>
            <w:r w:rsidRPr="008A4486">
              <w:rPr>
                <w:rFonts w:ascii="Times New Roman" w:hAnsi="Times New Roman" w:cs="Times New Roman"/>
                <w:bCs/>
                <w:sz w:val="22"/>
                <w:szCs w:val="22"/>
              </w:rPr>
              <w:t>Indicator: No. of MSMES with increased knowledge on leadership and business management (disaggregated by sex, youth, PWD)</w:t>
            </w:r>
          </w:p>
          <w:p w14:paraId="52D787FD" w14:textId="77777777" w:rsidR="00832C48" w:rsidRPr="008A4486" w:rsidRDefault="00832C48" w:rsidP="00832C48">
            <w:pPr>
              <w:pStyle w:val="BodyText"/>
              <w:jc w:val="both"/>
              <w:rPr>
                <w:rFonts w:ascii="Times New Roman" w:hAnsi="Times New Roman" w:cs="Times New Roman"/>
                <w:bCs/>
                <w:sz w:val="22"/>
                <w:szCs w:val="22"/>
              </w:rPr>
            </w:pPr>
            <w:r w:rsidRPr="008A4486">
              <w:rPr>
                <w:rFonts w:ascii="Times New Roman" w:hAnsi="Times New Roman" w:cs="Times New Roman"/>
                <w:bCs/>
                <w:sz w:val="22"/>
                <w:szCs w:val="22"/>
              </w:rPr>
              <w:t>Baseline: 534(Men-led: 125, Women-led: 394 Youth-led: PWD-led: 15</w:t>
            </w:r>
          </w:p>
          <w:p w14:paraId="3188D904" w14:textId="77777777" w:rsidR="00832C48" w:rsidRPr="008A4486" w:rsidRDefault="00832C48" w:rsidP="00832C48">
            <w:pPr>
              <w:pStyle w:val="BodyText"/>
              <w:jc w:val="both"/>
              <w:rPr>
                <w:rFonts w:ascii="Times New Roman" w:hAnsi="Times New Roman" w:cs="Times New Roman"/>
                <w:bCs/>
                <w:sz w:val="22"/>
                <w:szCs w:val="22"/>
              </w:rPr>
            </w:pPr>
            <w:r w:rsidRPr="008A4486">
              <w:rPr>
                <w:rFonts w:ascii="Times New Roman" w:hAnsi="Times New Roman" w:cs="Times New Roman"/>
                <w:bCs/>
                <w:sz w:val="22"/>
                <w:szCs w:val="22"/>
              </w:rPr>
              <w:t>Planned Target: 5000 (Men-led: 1000, Women-led: 2000, Youth-led: 2000)</w:t>
            </w:r>
          </w:p>
          <w:p w14:paraId="6D08241C" w14:textId="77777777" w:rsidR="00832C48" w:rsidRPr="008A4486" w:rsidRDefault="00832C48" w:rsidP="00832C48">
            <w:pPr>
              <w:pStyle w:val="BodyText"/>
              <w:jc w:val="both"/>
              <w:rPr>
                <w:rFonts w:ascii="Times New Roman" w:hAnsi="Times New Roman" w:cs="Times New Roman"/>
                <w:b/>
                <w:sz w:val="22"/>
                <w:szCs w:val="22"/>
              </w:rPr>
            </w:pPr>
          </w:p>
        </w:tc>
        <w:tc>
          <w:tcPr>
            <w:tcW w:w="3544" w:type="dxa"/>
          </w:tcPr>
          <w:p w14:paraId="76B02DEE" w14:textId="77777777" w:rsidR="00832C48" w:rsidRPr="008A4486" w:rsidRDefault="007F5BE1" w:rsidP="007F5BE1">
            <w:pPr>
              <w:rPr>
                <w:sz w:val="22"/>
                <w:szCs w:val="22"/>
              </w:rPr>
            </w:pPr>
            <w:r w:rsidRPr="008A4486">
              <w:rPr>
                <w:sz w:val="22"/>
                <w:szCs w:val="22"/>
              </w:rPr>
              <w:t>62 women entrepreneurs from 5 business groups trained on aspects of business management.</w:t>
            </w:r>
          </w:p>
          <w:p w14:paraId="290D0126" w14:textId="77777777" w:rsidR="007F5BE1" w:rsidRPr="008A4486" w:rsidRDefault="007F5BE1" w:rsidP="007F5BE1">
            <w:pPr>
              <w:rPr>
                <w:sz w:val="22"/>
                <w:szCs w:val="22"/>
              </w:rPr>
            </w:pPr>
          </w:p>
          <w:p w14:paraId="6C5E410D" w14:textId="29A03317" w:rsidR="007F5BE1" w:rsidRPr="008A4486" w:rsidRDefault="007F5BE1" w:rsidP="008A4486">
            <w:pPr>
              <w:rPr>
                <w:sz w:val="22"/>
                <w:szCs w:val="22"/>
              </w:rPr>
            </w:pPr>
          </w:p>
        </w:tc>
        <w:tc>
          <w:tcPr>
            <w:tcW w:w="2268" w:type="dxa"/>
            <w:shd w:val="clear" w:color="auto" w:fill="auto"/>
          </w:tcPr>
          <w:p w14:paraId="76F28BBA" w14:textId="77777777" w:rsidR="00832C48" w:rsidRPr="008A4486" w:rsidRDefault="00832C48" w:rsidP="006251ED">
            <w:pPr>
              <w:pStyle w:val="BodyText"/>
              <w:jc w:val="both"/>
              <w:rPr>
                <w:rFonts w:ascii="Times New Roman" w:hAnsi="Times New Roman" w:cs="Times New Roman"/>
                <w:bCs/>
                <w:sz w:val="22"/>
                <w:szCs w:val="22"/>
              </w:rPr>
            </w:pPr>
          </w:p>
        </w:tc>
        <w:tc>
          <w:tcPr>
            <w:tcW w:w="1984" w:type="dxa"/>
            <w:shd w:val="clear" w:color="auto" w:fill="auto"/>
          </w:tcPr>
          <w:p w14:paraId="51E75016" w14:textId="33299331" w:rsidR="00832C48" w:rsidRPr="008A4486" w:rsidRDefault="00A6795D" w:rsidP="006251ED">
            <w:pPr>
              <w:pStyle w:val="BodyText"/>
              <w:jc w:val="both"/>
              <w:rPr>
                <w:rFonts w:ascii="Times New Roman" w:hAnsi="Times New Roman" w:cs="Times New Roman"/>
                <w:bCs/>
                <w:sz w:val="22"/>
                <w:szCs w:val="22"/>
              </w:rPr>
            </w:pPr>
            <w:r w:rsidRPr="00A6795D">
              <w:rPr>
                <w:rFonts w:ascii="Times New Roman" w:hAnsi="Times New Roman" w:cs="Times New Roman"/>
                <w:bCs/>
                <w:sz w:val="22"/>
                <w:szCs w:val="22"/>
              </w:rPr>
              <w:t>Project Implementation report and training reports</w:t>
            </w:r>
          </w:p>
        </w:tc>
      </w:tr>
    </w:tbl>
    <w:p w14:paraId="591AA6F6" w14:textId="77777777" w:rsidR="006251ED" w:rsidRDefault="006251ED">
      <w:r>
        <w:br w:type="page"/>
      </w:r>
    </w:p>
    <w:tbl>
      <w:tblPr>
        <w:tblW w:w="14481"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5"/>
        <w:gridCol w:w="3119"/>
        <w:gridCol w:w="3685"/>
        <w:gridCol w:w="1985"/>
        <w:gridCol w:w="2637"/>
      </w:tblGrid>
      <w:tr w:rsidR="00EB56B1" w:rsidRPr="008D685F" w14:paraId="27A695F0" w14:textId="77777777" w:rsidTr="008A4486">
        <w:trPr>
          <w:tblHeader/>
        </w:trPr>
        <w:tc>
          <w:tcPr>
            <w:tcW w:w="14481" w:type="dxa"/>
            <w:gridSpan w:val="5"/>
            <w:shd w:val="clear" w:color="auto" w:fill="D0CECE" w:themeFill="background2" w:themeFillShade="E6"/>
          </w:tcPr>
          <w:p w14:paraId="7E5540DF" w14:textId="38925A27" w:rsidR="00EB56B1" w:rsidRPr="008A4486" w:rsidRDefault="00EB56B1" w:rsidP="006251ED">
            <w:pPr>
              <w:pStyle w:val="BodyText"/>
              <w:jc w:val="both"/>
              <w:rPr>
                <w:rFonts w:ascii="Times New Roman" w:hAnsi="Times New Roman" w:cs="Times New Roman"/>
                <w:b/>
                <w:sz w:val="22"/>
                <w:szCs w:val="22"/>
              </w:rPr>
            </w:pPr>
            <w:r w:rsidRPr="008A4486">
              <w:rPr>
                <w:rFonts w:ascii="Times New Roman" w:hAnsi="Times New Roman" w:cs="Times New Roman"/>
                <w:b/>
                <w:sz w:val="22"/>
                <w:szCs w:val="22"/>
              </w:rPr>
              <w:lastRenderedPageBreak/>
              <w:t>Outcome 3: By 2027, communities in Kigoma Region have improved capacity to manage and conserve natural resources and plan land-use, increased resiliency to disasters and adverse effects of climate change and have greater access to efficient and renewable energy.</w:t>
            </w:r>
          </w:p>
        </w:tc>
      </w:tr>
      <w:tr w:rsidR="00EB56B1" w:rsidRPr="008D685F" w14:paraId="091CE0CC" w14:textId="48E751FB" w:rsidTr="008A4486">
        <w:trPr>
          <w:tblHeader/>
        </w:trPr>
        <w:tc>
          <w:tcPr>
            <w:tcW w:w="3055" w:type="dxa"/>
            <w:shd w:val="clear" w:color="auto" w:fill="D0CECE" w:themeFill="background2" w:themeFillShade="E6"/>
          </w:tcPr>
          <w:p w14:paraId="46A77744" w14:textId="0BFC6F71" w:rsidR="00EB56B1" w:rsidRPr="008A4486" w:rsidRDefault="00EB56B1" w:rsidP="007F5BE1">
            <w:pPr>
              <w:pStyle w:val="BodyText"/>
              <w:jc w:val="both"/>
              <w:rPr>
                <w:rFonts w:ascii="Times New Roman" w:hAnsi="Times New Roman"/>
                <w:bCs/>
                <w:sz w:val="24"/>
              </w:rPr>
            </w:pPr>
            <w:r>
              <w:rPr>
                <w:rFonts w:ascii="Times New Roman" w:hAnsi="Times New Roman"/>
                <w:bCs/>
                <w:sz w:val="24"/>
              </w:rPr>
              <w:t xml:space="preserve">Output </w:t>
            </w:r>
          </w:p>
        </w:tc>
        <w:tc>
          <w:tcPr>
            <w:tcW w:w="3119" w:type="dxa"/>
            <w:shd w:val="clear" w:color="auto" w:fill="D0CECE" w:themeFill="background2" w:themeFillShade="E6"/>
          </w:tcPr>
          <w:p w14:paraId="41DB281C" w14:textId="1449A82E" w:rsidR="00EB56B1" w:rsidRPr="008A4486" w:rsidRDefault="00EB56B1" w:rsidP="007F5BE1">
            <w:pPr>
              <w:pStyle w:val="BodyText"/>
              <w:jc w:val="both"/>
              <w:rPr>
                <w:rFonts w:ascii="Times New Roman" w:hAnsi="Times New Roman" w:cs="Times New Roman"/>
                <w:b/>
                <w:sz w:val="22"/>
                <w:szCs w:val="22"/>
              </w:rPr>
            </w:pPr>
            <w:r w:rsidRPr="008A4486">
              <w:rPr>
                <w:rFonts w:ascii="Times New Roman" w:hAnsi="Times New Roman" w:cs="Times New Roman"/>
                <w:b/>
                <w:sz w:val="22"/>
                <w:szCs w:val="22"/>
              </w:rPr>
              <w:t xml:space="preserve">Indicator </w:t>
            </w:r>
          </w:p>
        </w:tc>
        <w:tc>
          <w:tcPr>
            <w:tcW w:w="3685" w:type="dxa"/>
            <w:shd w:val="clear" w:color="auto" w:fill="D0CECE" w:themeFill="background2" w:themeFillShade="E6"/>
          </w:tcPr>
          <w:p w14:paraId="5651F80A" w14:textId="7091E828" w:rsidR="00EB56B1" w:rsidRPr="008A4486" w:rsidRDefault="00EB56B1" w:rsidP="007F5BE1">
            <w:pPr>
              <w:pStyle w:val="BodyText"/>
              <w:jc w:val="both"/>
              <w:rPr>
                <w:rFonts w:ascii="Times New Roman" w:hAnsi="Times New Roman" w:cs="Times New Roman"/>
                <w:b/>
                <w:sz w:val="22"/>
                <w:szCs w:val="22"/>
              </w:rPr>
            </w:pPr>
            <w:r w:rsidRPr="008A4486">
              <w:rPr>
                <w:rFonts w:ascii="Times New Roman" w:hAnsi="Times New Roman" w:cs="Times New Roman"/>
                <w:b/>
                <w:sz w:val="22"/>
                <w:szCs w:val="22"/>
                <w:u w:val="single"/>
              </w:rPr>
              <w:t>Achieved</w:t>
            </w:r>
            <w:r w:rsidRPr="008A4486">
              <w:rPr>
                <w:rFonts w:ascii="Times New Roman" w:hAnsi="Times New Roman" w:cs="Times New Roman"/>
                <w:b/>
                <w:sz w:val="22"/>
                <w:szCs w:val="22"/>
              </w:rPr>
              <w:t xml:space="preserve"> Indicator Targets</w:t>
            </w:r>
          </w:p>
        </w:tc>
        <w:tc>
          <w:tcPr>
            <w:tcW w:w="1985" w:type="dxa"/>
            <w:shd w:val="clear" w:color="auto" w:fill="D0CECE" w:themeFill="background2" w:themeFillShade="E6"/>
          </w:tcPr>
          <w:p w14:paraId="0F9E9656" w14:textId="75BC4F61" w:rsidR="00EB56B1" w:rsidRPr="008A4486" w:rsidRDefault="00EB56B1" w:rsidP="007F5BE1">
            <w:pPr>
              <w:pStyle w:val="BodyText"/>
              <w:jc w:val="both"/>
              <w:rPr>
                <w:rFonts w:ascii="Times New Roman" w:hAnsi="Times New Roman" w:cs="Times New Roman"/>
                <w:b/>
                <w:sz w:val="22"/>
                <w:szCs w:val="22"/>
              </w:rPr>
            </w:pPr>
            <w:r w:rsidRPr="008A4486">
              <w:rPr>
                <w:rFonts w:ascii="Times New Roman" w:hAnsi="Times New Roman" w:cs="Times New Roman"/>
                <w:b/>
                <w:sz w:val="22"/>
                <w:szCs w:val="22"/>
              </w:rPr>
              <w:t>Reasons for Variance with Planned Target (if any)</w:t>
            </w:r>
          </w:p>
        </w:tc>
        <w:tc>
          <w:tcPr>
            <w:tcW w:w="2637" w:type="dxa"/>
            <w:shd w:val="clear" w:color="auto" w:fill="D0CECE" w:themeFill="background2" w:themeFillShade="E6"/>
          </w:tcPr>
          <w:p w14:paraId="1ED26943" w14:textId="4574D122" w:rsidR="00EB56B1" w:rsidRPr="008A4486" w:rsidRDefault="00EB56B1" w:rsidP="007F5BE1">
            <w:pPr>
              <w:pStyle w:val="BodyText"/>
              <w:jc w:val="both"/>
              <w:rPr>
                <w:rFonts w:ascii="Times New Roman" w:hAnsi="Times New Roman" w:cs="Times New Roman"/>
                <w:b/>
                <w:sz w:val="22"/>
                <w:szCs w:val="22"/>
              </w:rPr>
            </w:pPr>
            <w:r w:rsidRPr="008A4486">
              <w:rPr>
                <w:rFonts w:ascii="Times New Roman" w:hAnsi="Times New Roman" w:cs="Times New Roman"/>
                <w:b/>
                <w:sz w:val="22"/>
                <w:szCs w:val="22"/>
              </w:rPr>
              <w:t>Source of Verification</w:t>
            </w:r>
          </w:p>
        </w:tc>
      </w:tr>
      <w:tr w:rsidR="00EB56B1" w:rsidRPr="00122ACF" w14:paraId="79FD4115" w14:textId="77777777" w:rsidTr="00122ACF">
        <w:tc>
          <w:tcPr>
            <w:tcW w:w="3055" w:type="dxa"/>
            <w:shd w:val="clear" w:color="auto" w:fill="FFFFFF" w:themeFill="background1"/>
          </w:tcPr>
          <w:p w14:paraId="6DD7794C" w14:textId="6BA799D6" w:rsidR="00EB56B1" w:rsidRPr="00122ACF" w:rsidRDefault="00EB56B1" w:rsidP="008A4486">
            <w:pPr>
              <w:jc w:val="both"/>
              <w:rPr>
                <w:b/>
                <w:sz w:val="22"/>
                <w:szCs w:val="22"/>
              </w:rPr>
            </w:pPr>
            <w:r w:rsidRPr="00122ACF">
              <w:rPr>
                <w:b/>
                <w:sz w:val="22"/>
                <w:szCs w:val="22"/>
              </w:rPr>
              <w:t>Output 3.2:</w:t>
            </w:r>
            <w:r w:rsidRPr="00122ACF">
              <w:rPr>
                <w:bCs/>
                <w:sz w:val="22"/>
                <w:szCs w:val="22"/>
              </w:rPr>
              <w:t xml:space="preserve">  MDAs, LGAs, and relevant stakeholders (Universities, NGOs) in Kigoma region have increased capacity to generate, analyze and use disaggregated data, as well as research, develop, innovate, and promote technological development for improved inclusive management and reporting on natural resources and land-use, climate change resilience, DRR and renewable energy.</w:t>
            </w:r>
          </w:p>
        </w:tc>
        <w:tc>
          <w:tcPr>
            <w:tcW w:w="3119" w:type="dxa"/>
            <w:shd w:val="clear" w:color="auto" w:fill="FFFFFF" w:themeFill="background1"/>
          </w:tcPr>
          <w:p w14:paraId="35FD51A2" w14:textId="35D05E15" w:rsidR="00EB56B1" w:rsidRPr="00122ACF" w:rsidRDefault="00EB56B1" w:rsidP="008A4486">
            <w:pPr>
              <w:jc w:val="both"/>
              <w:rPr>
                <w:bCs/>
                <w:sz w:val="22"/>
                <w:szCs w:val="22"/>
              </w:rPr>
            </w:pPr>
            <w:r w:rsidRPr="00122ACF">
              <w:rPr>
                <w:b/>
                <w:sz w:val="22"/>
                <w:szCs w:val="22"/>
              </w:rPr>
              <w:t xml:space="preserve">Indicator3.2.1: # </w:t>
            </w:r>
            <w:r w:rsidRPr="00122ACF">
              <w:rPr>
                <w:bCs/>
                <w:sz w:val="22"/>
                <w:szCs w:val="22"/>
              </w:rPr>
              <w:t>of</w:t>
            </w:r>
            <w:r w:rsidRPr="00122ACF">
              <w:rPr>
                <w:b/>
                <w:sz w:val="22"/>
                <w:szCs w:val="22"/>
              </w:rPr>
              <w:t xml:space="preserve"> </w:t>
            </w:r>
            <w:r w:rsidRPr="00122ACF">
              <w:rPr>
                <w:bCs/>
                <w:sz w:val="22"/>
                <w:szCs w:val="22"/>
              </w:rPr>
              <w:t xml:space="preserve">MDAs and LGAs </w:t>
            </w:r>
            <w:r w:rsidR="00122ACF" w:rsidRPr="00122ACF">
              <w:rPr>
                <w:bCs/>
                <w:sz w:val="22"/>
                <w:szCs w:val="22"/>
              </w:rPr>
              <w:t>with systems</w:t>
            </w:r>
            <w:r w:rsidRPr="00122ACF">
              <w:rPr>
                <w:bCs/>
                <w:sz w:val="22"/>
                <w:szCs w:val="22"/>
              </w:rPr>
              <w:t xml:space="preserve"> for data management reporting on natural resources management, climate change disaster risk reduction and renewable energy management, climate change resilience, disaster risk reduction and efficient renewable energy access and use for all.</w:t>
            </w:r>
          </w:p>
          <w:p w14:paraId="523178EF" w14:textId="77777777" w:rsidR="00EB56B1" w:rsidRPr="00122ACF" w:rsidRDefault="00EB56B1" w:rsidP="008A4486">
            <w:pPr>
              <w:jc w:val="both"/>
              <w:rPr>
                <w:b/>
                <w:sz w:val="22"/>
                <w:szCs w:val="22"/>
              </w:rPr>
            </w:pPr>
            <w:r w:rsidRPr="00122ACF">
              <w:rPr>
                <w:b/>
                <w:sz w:val="22"/>
                <w:szCs w:val="22"/>
              </w:rPr>
              <w:t>Baseline:0</w:t>
            </w:r>
          </w:p>
          <w:p w14:paraId="56E70BF0" w14:textId="0B22DE73" w:rsidR="00EB56B1" w:rsidRPr="00122ACF" w:rsidRDefault="00EB56B1" w:rsidP="001D1741">
            <w:pPr>
              <w:pStyle w:val="BodyText"/>
              <w:jc w:val="both"/>
              <w:rPr>
                <w:rFonts w:ascii="Times New Roman" w:hAnsi="Times New Roman" w:cs="Times New Roman"/>
                <w:bCs/>
                <w:sz w:val="22"/>
                <w:szCs w:val="22"/>
              </w:rPr>
            </w:pPr>
            <w:r w:rsidRPr="00122ACF">
              <w:rPr>
                <w:rFonts w:ascii="Times New Roman" w:hAnsi="Times New Roman" w:cs="Times New Roman"/>
                <w:b/>
                <w:sz w:val="22"/>
                <w:szCs w:val="22"/>
              </w:rPr>
              <w:t>Planned Target:3</w:t>
            </w:r>
          </w:p>
          <w:p w14:paraId="73EED083" w14:textId="77777777" w:rsidR="00EB56B1" w:rsidRPr="00122ACF" w:rsidRDefault="00EB56B1" w:rsidP="001D1741">
            <w:pPr>
              <w:pStyle w:val="BodyText"/>
              <w:jc w:val="both"/>
              <w:rPr>
                <w:rFonts w:ascii="Times New Roman" w:hAnsi="Times New Roman" w:cs="Times New Roman"/>
                <w:bCs/>
                <w:sz w:val="22"/>
                <w:szCs w:val="22"/>
              </w:rPr>
            </w:pPr>
          </w:p>
        </w:tc>
        <w:tc>
          <w:tcPr>
            <w:tcW w:w="3685" w:type="dxa"/>
            <w:shd w:val="clear" w:color="auto" w:fill="FFFFFF" w:themeFill="background1"/>
          </w:tcPr>
          <w:p w14:paraId="64BC8C95" w14:textId="30A8E211" w:rsidR="00EB56B1" w:rsidRPr="00122ACF" w:rsidRDefault="00EB56B1" w:rsidP="001D1741">
            <w:pPr>
              <w:pStyle w:val="BodyText"/>
              <w:jc w:val="both"/>
              <w:rPr>
                <w:rFonts w:ascii="Times New Roman" w:hAnsi="Times New Roman" w:cs="Times New Roman"/>
                <w:bCs/>
                <w:sz w:val="22"/>
                <w:szCs w:val="22"/>
              </w:rPr>
            </w:pPr>
            <w:r w:rsidRPr="00122ACF">
              <w:rPr>
                <w:rFonts w:ascii="Times New Roman" w:hAnsi="Times New Roman" w:cs="Times New Roman"/>
                <w:bCs/>
                <w:sz w:val="22"/>
                <w:szCs w:val="22"/>
              </w:rPr>
              <w:t xml:space="preserve">1 </w:t>
            </w:r>
            <w:r w:rsidR="00122ACF" w:rsidRPr="00122ACF">
              <w:rPr>
                <w:rFonts w:ascii="Times New Roman" w:hAnsi="Times New Roman" w:cs="Times New Roman"/>
                <w:bCs/>
                <w:sz w:val="22"/>
                <w:szCs w:val="22"/>
              </w:rPr>
              <w:t>research paper</w:t>
            </w:r>
            <w:r w:rsidRPr="00122ACF">
              <w:rPr>
                <w:rFonts w:ascii="Times New Roman" w:hAnsi="Times New Roman" w:cs="Times New Roman"/>
                <w:bCs/>
                <w:sz w:val="22"/>
                <w:szCs w:val="22"/>
              </w:rPr>
              <w:t xml:space="preserve"> on the climate impact on Water, Sanitation, and Hygiene (WASH) systems sustainability</w:t>
            </w:r>
            <w:r w:rsidR="001D1741" w:rsidRPr="00122ACF">
              <w:rPr>
                <w:rFonts w:ascii="Times New Roman" w:hAnsi="Times New Roman" w:cs="Times New Roman"/>
                <w:bCs/>
                <w:sz w:val="22"/>
                <w:szCs w:val="22"/>
              </w:rPr>
              <w:t xml:space="preserve"> published.</w:t>
            </w:r>
          </w:p>
        </w:tc>
        <w:tc>
          <w:tcPr>
            <w:tcW w:w="1985" w:type="dxa"/>
            <w:shd w:val="clear" w:color="auto" w:fill="FFFFFF" w:themeFill="background1"/>
          </w:tcPr>
          <w:p w14:paraId="2BC22B5A" w14:textId="21A57D17" w:rsidR="00EB56B1" w:rsidRPr="00122ACF" w:rsidRDefault="00EB56B1" w:rsidP="001D1741">
            <w:pPr>
              <w:pStyle w:val="BodyText"/>
              <w:jc w:val="both"/>
              <w:rPr>
                <w:rFonts w:ascii="Times New Roman" w:hAnsi="Times New Roman" w:cs="Times New Roman"/>
                <w:bCs/>
                <w:sz w:val="22"/>
                <w:szCs w:val="22"/>
              </w:rPr>
            </w:pPr>
          </w:p>
        </w:tc>
        <w:tc>
          <w:tcPr>
            <w:tcW w:w="2637" w:type="dxa"/>
            <w:shd w:val="clear" w:color="auto" w:fill="FFFFFF" w:themeFill="background1"/>
          </w:tcPr>
          <w:p w14:paraId="30EFC8F6" w14:textId="7A2FF7E5" w:rsidR="00EB56B1" w:rsidRPr="00122ACF" w:rsidRDefault="00A6795D" w:rsidP="001D1741">
            <w:pPr>
              <w:pStyle w:val="BodyText"/>
              <w:jc w:val="both"/>
              <w:rPr>
                <w:rFonts w:ascii="Times New Roman" w:hAnsi="Times New Roman" w:cs="Times New Roman"/>
                <w:bCs/>
                <w:sz w:val="22"/>
                <w:szCs w:val="22"/>
              </w:rPr>
            </w:pPr>
            <w:r w:rsidRPr="00A6795D">
              <w:rPr>
                <w:rFonts w:ascii="Times New Roman" w:hAnsi="Times New Roman" w:cs="Times New Roman"/>
                <w:bCs/>
                <w:sz w:val="22"/>
                <w:szCs w:val="22"/>
              </w:rPr>
              <w:t>Project Implementation report and training reports</w:t>
            </w:r>
          </w:p>
        </w:tc>
      </w:tr>
      <w:tr w:rsidR="00EB56B1" w:rsidRPr="00122ACF" w14:paraId="25077FAC" w14:textId="77777777" w:rsidTr="00122ACF">
        <w:tc>
          <w:tcPr>
            <w:tcW w:w="3055" w:type="dxa"/>
            <w:shd w:val="clear" w:color="auto" w:fill="FFFFFF" w:themeFill="background1"/>
          </w:tcPr>
          <w:p w14:paraId="5EE28633" w14:textId="45B81BFE" w:rsidR="00EB56B1" w:rsidRPr="00122ACF" w:rsidRDefault="00EB56B1" w:rsidP="008A4486">
            <w:pPr>
              <w:jc w:val="both"/>
              <w:rPr>
                <w:sz w:val="22"/>
                <w:szCs w:val="22"/>
              </w:rPr>
            </w:pPr>
            <w:r w:rsidRPr="00122ACF">
              <w:rPr>
                <w:b/>
                <w:sz w:val="22"/>
                <w:szCs w:val="22"/>
              </w:rPr>
              <w:t>Output 3.3:</w:t>
            </w:r>
            <w:r w:rsidRPr="00122ACF">
              <w:rPr>
                <w:bCs/>
                <w:sz w:val="22"/>
                <w:szCs w:val="22"/>
              </w:rPr>
              <w:t xml:space="preserve"> Increased service delivery systems capacity for efficient and effective natural resources management, climate change resilience, disaster risk reduction, and renewable energy solutions for women, PWDs, youth and other vulnerable groups in Kigoma region.  </w:t>
            </w:r>
          </w:p>
        </w:tc>
        <w:tc>
          <w:tcPr>
            <w:tcW w:w="3119" w:type="dxa"/>
            <w:shd w:val="clear" w:color="auto" w:fill="FFFFFF" w:themeFill="background1"/>
          </w:tcPr>
          <w:p w14:paraId="02CEB13F" w14:textId="77777777" w:rsidR="00EB56B1" w:rsidRPr="00122ACF" w:rsidRDefault="00EB56B1" w:rsidP="001D1741">
            <w:pPr>
              <w:pStyle w:val="BodyText"/>
              <w:jc w:val="both"/>
              <w:rPr>
                <w:rFonts w:ascii="Times New Roman" w:hAnsi="Times New Roman" w:cs="Times New Roman"/>
                <w:bCs/>
                <w:sz w:val="22"/>
                <w:szCs w:val="22"/>
              </w:rPr>
            </w:pPr>
            <w:r w:rsidRPr="00122ACF">
              <w:rPr>
                <w:rFonts w:ascii="Times New Roman" w:hAnsi="Times New Roman" w:cs="Times New Roman"/>
                <w:b/>
                <w:sz w:val="22"/>
                <w:szCs w:val="22"/>
              </w:rPr>
              <w:t>Indicator3.3.1:</w:t>
            </w:r>
            <w:r w:rsidRPr="00122ACF">
              <w:rPr>
                <w:rFonts w:ascii="Times New Roman" w:hAnsi="Times New Roman" w:cs="Times New Roman"/>
                <w:bCs/>
                <w:sz w:val="22"/>
                <w:szCs w:val="22"/>
              </w:rPr>
              <w:t xml:space="preserve"> # Refugees and host communities benefiting from rainwater harvesting and storage technologies and irrigation interventions.</w:t>
            </w:r>
          </w:p>
          <w:p w14:paraId="4E727F4C" w14:textId="77777777" w:rsidR="00EB56B1" w:rsidRPr="00122ACF" w:rsidRDefault="00EB56B1" w:rsidP="001D1741">
            <w:pPr>
              <w:pStyle w:val="BodyText"/>
              <w:jc w:val="both"/>
              <w:rPr>
                <w:rFonts w:ascii="Times New Roman" w:hAnsi="Times New Roman" w:cs="Times New Roman"/>
                <w:b/>
                <w:sz w:val="22"/>
                <w:szCs w:val="22"/>
              </w:rPr>
            </w:pPr>
          </w:p>
          <w:p w14:paraId="198A7668" w14:textId="77777777" w:rsidR="00EB56B1" w:rsidRPr="00122ACF" w:rsidRDefault="00EB56B1" w:rsidP="001D1741">
            <w:pPr>
              <w:pStyle w:val="BodyText"/>
              <w:jc w:val="both"/>
              <w:rPr>
                <w:rFonts w:ascii="Times New Roman" w:hAnsi="Times New Roman" w:cs="Times New Roman"/>
                <w:bCs/>
                <w:sz w:val="22"/>
                <w:szCs w:val="22"/>
              </w:rPr>
            </w:pPr>
            <w:r w:rsidRPr="00122ACF">
              <w:rPr>
                <w:rFonts w:ascii="Times New Roman" w:hAnsi="Times New Roman" w:cs="Times New Roman"/>
                <w:b/>
                <w:sz w:val="22"/>
                <w:szCs w:val="22"/>
              </w:rPr>
              <w:t>Baseline:</w:t>
            </w:r>
            <w:r w:rsidRPr="00122ACF">
              <w:rPr>
                <w:rFonts w:ascii="Times New Roman" w:hAnsi="Times New Roman" w:cs="Times New Roman"/>
                <w:bCs/>
                <w:sz w:val="22"/>
                <w:szCs w:val="22"/>
              </w:rPr>
              <w:t>0</w:t>
            </w:r>
          </w:p>
          <w:p w14:paraId="3343368F" w14:textId="25652EC4" w:rsidR="00EB56B1" w:rsidRPr="00122ACF" w:rsidRDefault="00EB56B1" w:rsidP="008A4486">
            <w:pPr>
              <w:jc w:val="both"/>
              <w:rPr>
                <w:bCs/>
                <w:sz w:val="22"/>
                <w:szCs w:val="22"/>
              </w:rPr>
            </w:pPr>
            <w:r w:rsidRPr="00122ACF">
              <w:rPr>
                <w:b/>
                <w:sz w:val="22"/>
                <w:szCs w:val="22"/>
              </w:rPr>
              <w:t>Planned Target:</w:t>
            </w:r>
            <w:r w:rsidRPr="00122ACF">
              <w:rPr>
                <w:sz w:val="22"/>
                <w:szCs w:val="22"/>
              </w:rPr>
              <w:t xml:space="preserve"> </w:t>
            </w:r>
            <w:r w:rsidRPr="00122ACF">
              <w:rPr>
                <w:bCs/>
                <w:sz w:val="22"/>
                <w:szCs w:val="22"/>
              </w:rPr>
              <w:t>1200 people (Refugees and host communities)</w:t>
            </w:r>
          </w:p>
          <w:p w14:paraId="41916F3B" w14:textId="5E3BC9CD" w:rsidR="00EB56B1" w:rsidRPr="00122ACF" w:rsidRDefault="00EB56B1" w:rsidP="008A4486">
            <w:pPr>
              <w:jc w:val="both"/>
              <w:rPr>
                <w:sz w:val="22"/>
                <w:szCs w:val="22"/>
              </w:rPr>
            </w:pPr>
          </w:p>
        </w:tc>
        <w:tc>
          <w:tcPr>
            <w:tcW w:w="3685" w:type="dxa"/>
            <w:shd w:val="clear" w:color="auto" w:fill="FFFFFF" w:themeFill="background1"/>
          </w:tcPr>
          <w:p w14:paraId="70FE8A64" w14:textId="6055A065" w:rsidR="00EB56B1" w:rsidRPr="00122ACF" w:rsidRDefault="00EB56B1" w:rsidP="001D1741">
            <w:pPr>
              <w:pStyle w:val="BodyText"/>
              <w:jc w:val="both"/>
              <w:rPr>
                <w:rFonts w:ascii="Times New Roman" w:hAnsi="Times New Roman" w:cs="Times New Roman"/>
                <w:bCs/>
                <w:sz w:val="22"/>
                <w:szCs w:val="22"/>
              </w:rPr>
            </w:pPr>
            <w:r w:rsidRPr="00122ACF">
              <w:rPr>
                <w:rFonts w:ascii="Times New Roman" w:hAnsi="Times New Roman" w:cs="Times New Roman"/>
                <w:bCs/>
                <w:sz w:val="22"/>
                <w:szCs w:val="22"/>
              </w:rPr>
              <w:t>7,765 individuals (3,730 male and 4,035 female) access</w:t>
            </w:r>
            <w:r w:rsidR="001D1741" w:rsidRPr="00122ACF">
              <w:rPr>
                <w:rFonts w:ascii="Times New Roman" w:hAnsi="Times New Roman" w:cs="Times New Roman"/>
                <w:bCs/>
                <w:sz w:val="22"/>
                <w:szCs w:val="22"/>
              </w:rPr>
              <w:t>ed</w:t>
            </w:r>
            <w:r w:rsidRPr="00122ACF">
              <w:rPr>
                <w:rFonts w:ascii="Times New Roman" w:hAnsi="Times New Roman" w:cs="Times New Roman"/>
                <w:bCs/>
                <w:sz w:val="22"/>
                <w:szCs w:val="22"/>
              </w:rPr>
              <w:t xml:space="preserve"> clean water from 2 new constructed climate-sensitive water supply systems</w:t>
            </w:r>
          </w:p>
        </w:tc>
        <w:tc>
          <w:tcPr>
            <w:tcW w:w="1985" w:type="dxa"/>
            <w:shd w:val="clear" w:color="auto" w:fill="FFFFFF" w:themeFill="background1"/>
          </w:tcPr>
          <w:p w14:paraId="0365003B" w14:textId="306A16EF" w:rsidR="00EB56B1" w:rsidRPr="00122ACF" w:rsidRDefault="00EB56B1" w:rsidP="001D1741">
            <w:pPr>
              <w:pStyle w:val="BodyText"/>
              <w:jc w:val="both"/>
              <w:rPr>
                <w:rFonts w:ascii="Times New Roman" w:hAnsi="Times New Roman" w:cs="Times New Roman"/>
                <w:bCs/>
                <w:sz w:val="22"/>
                <w:szCs w:val="22"/>
              </w:rPr>
            </w:pPr>
          </w:p>
        </w:tc>
        <w:tc>
          <w:tcPr>
            <w:tcW w:w="2637" w:type="dxa"/>
            <w:shd w:val="clear" w:color="auto" w:fill="FFFFFF" w:themeFill="background1"/>
          </w:tcPr>
          <w:p w14:paraId="6D255C7D" w14:textId="66AFBEE6" w:rsidR="00EB56B1" w:rsidRPr="00122ACF" w:rsidRDefault="00A6795D" w:rsidP="001D1741">
            <w:pPr>
              <w:pStyle w:val="BodyText"/>
              <w:jc w:val="both"/>
              <w:rPr>
                <w:rFonts w:ascii="Times New Roman" w:hAnsi="Times New Roman" w:cs="Times New Roman"/>
                <w:bCs/>
                <w:sz w:val="22"/>
                <w:szCs w:val="22"/>
              </w:rPr>
            </w:pPr>
            <w:r w:rsidRPr="00A6795D">
              <w:rPr>
                <w:rFonts w:ascii="Times New Roman" w:hAnsi="Times New Roman" w:cs="Times New Roman"/>
                <w:bCs/>
                <w:sz w:val="22"/>
                <w:szCs w:val="22"/>
              </w:rPr>
              <w:t>Project Implementation report and training reports</w:t>
            </w:r>
          </w:p>
          <w:p w14:paraId="4D5A1076" w14:textId="77777777" w:rsidR="00EB56B1" w:rsidRPr="00122ACF" w:rsidRDefault="00EB56B1" w:rsidP="001D1741">
            <w:pPr>
              <w:pStyle w:val="BodyText"/>
              <w:jc w:val="both"/>
              <w:rPr>
                <w:rFonts w:ascii="Times New Roman" w:hAnsi="Times New Roman" w:cs="Times New Roman"/>
                <w:bCs/>
                <w:sz w:val="22"/>
                <w:szCs w:val="22"/>
              </w:rPr>
            </w:pPr>
          </w:p>
          <w:p w14:paraId="13364BD2" w14:textId="77777777" w:rsidR="00EB56B1" w:rsidRPr="00122ACF" w:rsidRDefault="00EB56B1" w:rsidP="001D1741">
            <w:pPr>
              <w:pStyle w:val="BodyText"/>
              <w:jc w:val="both"/>
              <w:rPr>
                <w:rFonts w:ascii="Times New Roman" w:hAnsi="Times New Roman" w:cs="Times New Roman"/>
                <w:bCs/>
                <w:sz w:val="22"/>
                <w:szCs w:val="22"/>
              </w:rPr>
            </w:pPr>
          </w:p>
        </w:tc>
      </w:tr>
      <w:tr w:rsidR="001D1741" w:rsidRPr="00122ACF" w14:paraId="611D0091" w14:textId="77777777" w:rsidTr="00122ACF">
        <w:tc>
          <w:tcPr>
            <w:tcW w:w="3055" w:type="dxa"/>
            <w:vMerge w:val="restart"/>
            <w:shd w:val="clear" w:color="auto" w:fill="FFFFFF" w:themeFill="background1"/>
          </w:tcPr>
          <w:p w14:paraId="2BB9AECB" w14:textId="77777777" w:rsidR="001D1741" w:rsidRPr="00122ACF" w:rsidRDefault="001D1741" w:rsidP="001D1741">
            <w:pPr>
              <w:pStyle w:val="BodyText"/>
              <w:jc w:val="both"/>
              <w:rPr>
                <w:rFonts w:ascii="Times New Roman" w:hAnsi="Times New Roman" w:cs="Times New Roman"/>
                <w:bCs/>
                <w:sz w:val="22"/>
                <w:szCs w:val="22"/>
              </w:rPr>
            </w:pPr>
            <w:r w:rsidRPr="00122ACF">
              <w:rPr>
                <w:rFonts w:ascii="Times New Roman" w:hAnsi="Times New Roman" w:cs="Times New Roman"/>
                <w:b/>
                <w:sz w:val="22"/>
                <w:szCs w:val="22"/>
              </w:rPr>
              <w:t>Output 3.4:</w:t>
            </w:r>
            <w:r w:rsidRPr="00122ACF">
              <w:rPr>
                <w:rFonts w:ascii="Times New Roman" w:hAnsi="Times New Roman" w:cs="Times New Roman"/>
                <w:bCs/>
                <w:sz w:val="22"/>
                <w:szCs w:val="22"/>
              </w:rPr>
              <w:t xml:space="preserve"> Increased capacity to develop incentives and infrastructure to harness innovation, attract partnerships and encourage investments in public goods and service delivery related to natural resource management, climate </w:t>
            </w:r>
            <w:r w:rsidRPr="00122ACF">
              <w:rPr>
                <w:rFonts w:ascii="Times New Roman" w:hAnsi="Times New Roman" w:cs="Times New Roman"/>
                <w:bCs/>
                <w:sz w:val="22"/>
                <w:szCs w:val="22"/>
              </w:rPr>
              <w:lastRenderedPageBreak/>
              <w:t>change resilience, disaster risk reduction, and access to and use of efficient renewable energy by women, PWDs, youth and other vulnerable groups.</w:t>
            </w:r>
          </w:p>
          <w:p w14:paraId="2272DA01" w14:textId="77777777" w:rsidR="001D1741" w:rsidRPr="00122ACF" w:rsidRDefault="001D1741" w:rsidP="008A4486">
            <w:pPr>
              <w:jc w:val="both"/>
              <w:rPr>
                <w:b/>
                <w:sz w:val="22"/>
                <w:szCs w:val="22"/>
              </w:rPr>
            </w:pPr>
          </w:p>
          <w:p w14:paraId="0C19AF06" w14:textId="77777777" w:rsidR="001D1741" w:rsidRPr="00122ACF" w:rsidRDefault="001D1741" w:rsidP="008A4486">
            <w:pPr>
              <w:jc w:val="both"/>
              <w:rPr>
                <w:bCs/>
                <w:sz w:val="22"/>
                <w:szCs w:val="22"/>
              </w:rPr>
            </w:pPr>
          </w:p>
        </w:tc>
        <w:tc>
          <w:tcPr>
            <w:tcW w:w="3119" w:type="dxa"/>
            <w:shd w:val="clear" w:color="auto" w:fill="FFFFFF" w:themeFill="background1"/>
          </w:tcPr>
          <w:p w14:paraId="00D12BF8" w14:textId="77777777" w:rsidR="001D1741" w:rsidRPr="00122ACF" w:rsidRDefault="001D1741" w:rsidP="008A4486">
            <w:pPr>
              <w:jc w:val="both"/>
              <w:rPr>
                <w:bCs/>
                <w:sz w:val="22"/>
                <w:szCs w:val="22"/>
              </w:rPr>
            </w:pPr>
            <w:r w:rsidRPr="00122ACF">
              <w:rPr>
                <w:b/>
                <w:sz w:val="22"/>
                <w:szCs w:val="22"/>
              </w:rPr>
              <w:lastRenderedPageBreak/>
              <w:t xml:space="preserve">Indicator: </w:t>
            </w:r>
            <w:r w:rsidRPr="00122ACF">
              <w:rPr>
                <w:bCs/>
                <w:sz w:val="22"/>
                <w:szCs w:val="22"/>
              </w:rPr>
              <w:t>Number of innovations or technologies that were harnessed to facilitate effective management of natural resources and efficient renewable energy.</w:t>
            </w:r>
          </w:p>
          <w:p w14:paraId="7390687C" w14:textId="77777777" w:rsidR="001D1741" w:rsidRPr="00122ACF" w:rsidRDefault="001D1741" w:rsidP="008A4486">
            <w:pPr>
              <w:jc w:val="both"/>
              <w:rPr>
                <w:bCs/>
                <w:sz w:val="22"/>
                <w:szCs w:val="22"/>
              </w:rPr>
            </w:pPr>
            <w:r w:rsidRPr="00122ACF">
              <w:rPr>
                <w:bCs/>
                <w:sz w:val="22"/>
                <w:szCs w:val="22"/>
              </w:rPr>
              <w:t>Baseline:0</w:t>
            </w:r>
          </w:p>
          <w:p w14:paraId="06056160" w14:textId="77777777" w:rsidR="001D1741" w:rsidRPr="00122ACF" w:rsidRDefault="001D1741" w:rsidP="008A4486">
            <w:pPr>
              <w:jc w:val="both"/>
              <w:rPr>
                <w:bCs/>
                <w:sz w:val="22"/>
                <w:szCs w:val="22"/>
              </w:rPr>
            </w:pPr>
            <w:r w:rsidRPr="00122ACF">
              <w:rPr>
                <w:bCs/>
                <w:sz w:val="22"/>
                <w:szCs w:val="22"/>
              </w:rPr>
              <w:t>Planned Target:3</w:t>
            </w:r>
          </w:p>
          <w:p w14:paraId="7B2E7E69" w14:textId="77777777" w:rsidR="001D1741" w:rsidRPr="00122ACF" w:rsidRDefault="001D1741" w:rsidP="001D1741">
            <w:pPr>
              <w:pStyle w:val="BodyText"/>
              <w:jc w:val="both"/>
              <w:rPr>
                <w:rFonts w:ascii="Times New Roman" w:hAnsi="Times New Roman" w:cs="Times New Roman"/>
                <w:bCs/>
                <w:sz w:val="22"/>
                <w:szCs w:val="22"/>
              </w:rPr>
            </w:pPr>
          </w:p>
        </w:tc>
        <w:tc>
          <w:tcPr>
            <w:tcW w:w="3685" w:type="dxa"/>
            <w:shd w:val="clear" w:color="auto" w:fill="FFFFFF" w:themeFill="background1"/>
          </w:tcPr>
          <w:p w14:paraId="320360AC" w14:textId="2B99DBA9" w:rsidR="001D1741" w:rsidRPr="00122ACF" w:rsidRDefault="001D1741" w:rsidP="001D1741">
            <w:pPr>
              <w:pStyle w:val="BodyText"/>
              <w:jc w:val="both"/>
              <w:rPr>
                <w:rFonts w:ascii="Times New Roman" w:hAnsi="Times New Roman" w:cs="Times New Roman"/>
                <w:bCs/>
                <w:sz w:val="22"/>
                <w:szCs w:val="22"/>
              </w:rPr>
            </w:pPr>
            <w:r w:rsidRPr="00122ACF">
              <w:rPr>
                <w:rFonts w:ascii="Times New Roman" w:hAnsi="Times New Roman" w:cs="Times New Roman"/>
                <w:bCs/>
                <w:sz w:val="22"/>
                <w:szCs w:val="22"/>
              </w:rPr>
              <w:lastRenderedPageBreak/>
              <w:t>N/A</w:t>
            </w:r>
          </w:p>
        </w:tc>
        <w:tc>
          <w:tcPr>
            <w:tcW w:w="1985" w:type="dxa"/>
            <w:shd w:val="clear" w:color="auto" w:fill="FFFFFF" w:themeFill="background1"/>
          </w:tcPr>
          <w:p w14:paraId="612674F7" w14:textId="77777777" w:rsidR="0052578F" w:rsidRPr="00F6671A" w:rsidRDefault="0052578F" w:rsidP="0052578F">
            <w:pPr>
              <w:pStyle w:val="BodyText"/>
              <w:jc w:val="both"/>
              <w:rPr>
                <w:rFonts w:ascii="Times New Roman" w:hAnsi="Times New Roman" w:cs="Times New Roman"/>
                <w:bCs/>
                <w:sz w:val="22"/>
                <w:szCs w:val="22"/>
              </w:rPr>
            </w:pPr>
            <w:r w:rsidRPr="00F6671A">
              <w:rPr>
                <w:rFonts w:ascii="Times New Roman" w:hAnsi="Times New Roman" w:cs="Times New Roman"/>
                <w:bCs/>
                <w:sz w:val="22"/>
                <w:szCs w:val="22"/>
              </w:rPr>
              <w:t xml:space="preserve">Implementation of activities under this output </w:t>
            </w:r>
            <w:r>
              <w:rPr>
                <w:rFonts w:ascii="Times New Roman" w:hAnsi="Times New Roman" w:cs="Times New Roman"/>
                <w:bCs/>
                <w:sz w:val="22"/>
                <w:szCs w:val="22"/>
              </w:rPr>
              <w:t xml:space="preserve">will commence in </w:t>
            </w:r>
            <w:r w:rsidRPr="00F6671A">
              <w:rPr>
                <w:rFonts w:ascii="Times New Roman" w:hAnsi="Times New Roman" w:cs="Times New Roman"/>
                <w:bCs/>
                <w:sz w:val="22"/>
                <w:szCs w:val="22"/>
              </w:rPr>
              <w:t>2024. The indicators will be reported in MPTF year 2024 report.</w:t>
            </w:r>
          </w:p>
          <w:p w14:paraId="41B48E09" w14:textId="701007AD" w:rsidR="001D1741" w:rsidRPr="00122ACF" w:rsidRDefault="001D1741" w:rsidP="001D1741">
            <w:pPr>
              <w:pStyle w:val="BodyText"/>
              <w:jc w:val="both"/>
              <w:rPr>
                <w:rFonts w:ascii="Times New Roman" w:hAnsi="Times New Roman" w:cs="Times New Roman"/>
                <w:bCs/>
                <w:sz w:val="22"/>
                <w:szCs w:val="22"/>
              </w:rPr>
            </w:pPr>
          </w:p>
        </w:tc>
        <w:tc>
          <w:tcPr>
            <w:tcW w:w="2637" w:type="dxa"/>
            <w:shd w:val="clear" w:color="auto" w:fill="FFFFFF" w:themeFill="background1"/>
          </w:tcPr>
          <w:p w14:paraId="46B9CDE7" w14:textId="00C71F21" w:rsidR="001D1741" w:rsidRPr="00122ACF" w:rsidRDefault="00A6795D" w:rsidP="001D1741">
            <w:pPr>
              <w:pStyle w:val="BodyText"/>
              <w:jc w:val="both"/>
              <w:rPr>
                <w:rFonts w:ascii="Times New Roman" w:hAnsi="Times New Roman" w:cs="Times New Roman"/>
                <w:bCs/>
                <w:sz w:val="22"/>
                <w:szCs w:val="22"/>
              </w:rPr>
            </w:pPr>
            <w:r w:rsidRPr="00A6795D">
              <w:rPr>
                <w:rFonts w:ascii="Times New Roman" w:hAnsi="Times New Roman" w:cs="Times New Roman"/>
                <w:bCs/>
                <w:sz w:val="22"/>
                <w:szCs w:val="22"/>
              </w:rPr>
              <w:lastRenderedPageBreak/>
              <w:t>Project Implementation report and training reports</w:t>
            </w:r>
          </w:p>
        </w:tc>
      </w:tr>
      <w:tr w:rsidR="001D1741" w:rsidRPr="00122ACF" w14:paraId="442B81BE" w14:textId="77777777" w:rsidTr="00122ACF">
        <w:tc>
          <w:tcPr>
            <w:tcW w:w="3055" w:type="dxa"/>
            <w:vMerge/>
            <w:shd w:val="clear" w:color="auto" w:fill="FFFFFF" w:themeFill="background1"/>
          </w:tcPr>
          <w:p w14:paraId="332248F6" w14:textId="77777777" w:rsidR="001D1741" w:rsidRPr="00122ACF" w:rsidRDefault="001D1741" w:rsidP="001D1741">
            <w:pPr>
              <w:pStyle w:val="BodyText"/>
              <w:jc w:val="both"/>
              <w:rPr>
                <w:rFonts w:ascii="Times New Roman" w:hAnsi="Times New Roman" w:cs="Times New Roman"/>
                <w:b/>
                <w:sz w:val="22"/>
                <w:szCs w:val="22"/>
              </w:rPr>
            </w:pPr>
          </w:p>
        </w:tc>
        <w:tc>
          <w:tcPr>
            <w:tcW w:w="3119" w:type="dxa"/>
            <w:shd w:val="clear" w:color="auto" w:fill="FFFFFF" w:themeFill="background1"/>
          </w:tcPr>
          <w:p w14:paraId="72E02C46" w14:textId="77777777" w:rsidR="001D1741" w:rsidRPr="00122ACF" w:rsidRDefault="001D1741" w:rsidP="008A4486">
            <w:pPr>
              <w:jc w:val="both"/>
              <w:rPr>
                <w:b/>
                <w:bCs/>
                <w:sz w:val="22"/>
                <w:szCs w:val="22"/>
              </w:rPr>
            </w:pPr>
            <w:r w:rsidRPr="00122ACF">
              <w:rPr>
                <w:b/>
                <w:bCs/>
                <w:sz w:val="22"/>
                <w:szCs w:val="22"/>
              </w:rPr>
              <w:t xml:space="preserve">Indicator 3.4.1: </w:t>
            </w:r>
            <w:r w:rsidRPr="00122ACF">
              <w:rPr>
                <w:bCs/>
                <w:sz w:val="22"/>
                <w:szCs w:val="22"/>
              </w:rPr>
              <w:t>Number of MDAs and LGAs that develop at least two new mechanisms/ incentives to harness innovation on natural resources management, climate change resilience and renewable energy.</w:t>
            </w:r>
          </w:p>
          <w:p w14:paraId="4555CF52" w14:textId="77777777" w:rsidR="001D1741" w:rsidRPr="00122ACF" w:rsidDel="007F5BE1" w:rsidRDefault="001D1741" w:rsidP="008A4486">
            <w:pPr>
              <w:jc w:val="both"/>
              <w:rPr>
                <w:bCs/>
                <w:sz w:val="22"/>
                <w:szCs w:val="22"/>
              </w:rPr>
            </w:pPr>
          </w:p>
        </w:tc>
        <w:tc>
          <w:tcPr>
            <w:tcW w:w="3685" w:type="dxa"/>
            <w:shd w:val="clear" w:color="auto" w:fill="FFFFFF" w:themeFill="background1"/>
          </w:tcPr>
          <w:p w14:paraId="07FF6159" w14:textId="77777777" w:rsidR="001D1741" w:rsidRPr="00122ACF" w:rsidRDefault="001D1741" w:rsidP="001D1741">
            <w:pPr>
              <w:pStyle w:val="BodyText"/>
              <w:jc w:val="both"/>
              <w:rPr>
                <w:rFonts w:ascii="Times New Roman" w:hAnsi="Times New Roman" w:cs="Times New Roman"/>
                <w:bCs/>
                <w:sz w:val="22"/>
                <w:szCs w:val="22"/>
              </w:rPr>
            </w:pPr>
          </w:p>
        </w:tc>
        <w:tc>
          <w:tcPr>
            <w:tcW w:w="1985" w:type="dxa"/>
            <w:shd w:val="clear" w:color="auto" w:fill="FFFFFF" w:themeFill="background1"/>
          </w:tcPr>
          <w:p w14:paraId="6E8FFF82" w14:textId="77777777" w:rsidR="0052578F" w:rsidRPr="00F6671A" w:rsidRDefault="0052578F" w:rsidP="0052578F">
            <w:pPr>
              <w:pStyle w:val="BodyText"/>
              <w:jc w:val="both"/>
              <w:rPr>
                <w:rFonts w:ascii="Times New Roman" w:hAnsi="Times New Roman" w:cs="Times New Roman"/>
                <w:bCs/>
                <w:sz w:val="22"/>
                <w:szCs w:val="22"/>
              </w:rPr>
            </w:pPr>
            <w:r w:rsidRPr="00F6671A">
              <w:rPr>
                <w:rFonts w:ascii="Times New Roman" w:hAnsi="Times New Roman" w:cs="Times New Roman"/>
                <w:bCs/>
                <w:sz w:val="22"/>
                <w:szCs w:val="22"/>
              </w:rPr>
              <w:t xml:space="preserve">Implementation of activities under this output </w:t>
            </w:r>
            <w:r>
              <w:rPr>
                <w:rFonts w:ascii="Times New Roman" w:hAnsi="Times New Roman" w:cs="Times New Roman"/>
                <w:bCs/>
                <w:sz w:val="22"/>
                <w:szCs w:val="22"/>
              </w:rPr>
              <w:t xml:space="preserve">will commence in </w:t>
            </w:r>
            <w:r w:rsidRPr="00F6671A">
              <w:rPr>
                <w:rFonts w:ascii="Times New Roman" w:hAnsi="Times New Roman" w:cs="Times New Roman"/>
                <w:bCs/>
                <w:sz w:val="22"/>
                <w:szCs w:val="22"/>
              </w:rPr>
              <w:t>2024. The indicators will be reported in MPTF year 2024 report.</w:t>
            </w:r>
          </w:p>
          <w:p w14:paraId="6B463DAA" w14:textId="77777777" w:rsidR="001D1741" w:rsidRPr="00122ACF" w:rsidRDefault="001D1741" w:rsidP="001D1741">
            <w:pPr>
              <w:pStyle w:val="BodyText"/>
              <w:jc w:val="both"/>
              <w:rPr>
                <w:rFonts w:ascii="Times New Roman" w:hAnsi="Times New Roman" w:cs="Times New Roman"/>
                <w:bCs/>
                <w:sz w:val="22"/>
                <w:szCs w:val="22"/>
              </w:rPr>
            </w:pPr>
          </w:p>
        </w:tc>
        <w:tc>
          <w:tcPr>
            <w:tcW w:w="2637" w:type="dxa"/>
            <w:shd w:val="clear" w:color="auto" w:fill="FFFFFF" w:themeFill="background1"/>
          </w:tcPr>
          <w:p w14:paraId="00B894A7" w14:textId="0F5E49B7" w:rsidR="001D1741" w:rsidRPr="00122ACF" w:rsidRDefault="00A6795D" w:rsidP="001D1741">
            <w:pPr>
              <w:pStyle w:val="BodyText"/>
              <w:jc w:val="both"/>
              <w:rPr>
                <w:rFonts w:ascii="Times New Roman" w:hAnsi="Times New Roman" w:cs="Times New Roman"/>
                <w:bCs/>
                <w:sz w:val="22"/>
                <w:szCs w:val="22"/>
              </w:rPr>
            </w:pPr>
            <w:r w:rsidRPr="00A6795D">
              <w:rPr>
                <w:rFonts w:ascii="Times New Roman" w:hAnsi="Times New Roman" w:cs="Times New Roman"/>
                <w:bCs/>
                <w:sz w:val="22"/>
                <w:szCs w:val="22"/>
              </w:rPr>
              <w:t>Project Implementation report and training reports</w:t>
            </w:r>
          </w:p>
        </w:tc>
      </w:tr>
    </w:tbl>
    <w:p w14:paraId="3FE661C6" w14:textId="77777777" w:rsidR="006251ED" w:rsidRPr="00122ACF" w:rsidRDefault="006251ED">
      <w:pPr>
        <w:rPr>
          <w:sz w:val="22"/>
          <w:szCs w:val="22"/>
        </w:rPr>
      </w:pPr>
      <w:r w:rsidRPr="00122ACF">
        <w:rPr>
          <w:sz w:val="22"/>
          <w:szCs w:val="22"/>
        </w:rPr>
        <w:br w:type="page"/>
      </w:r>
    </w:p>
    <w:tbl>
      <w:tblPr>
        <w:tblW w:w="14395"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8"/>
        <w:gridCol w:w="4672"/>
        <w:gridCol w:w="7"/>
        <w:gridCol w:w="3303"/>
        <w:gridCol w:w="35"/>
        <w:gridCol w:w="2048"/>
        <w:gridCol w:w="1842"/>
      </w:tblGrid>
      <w:tr w:rsidR="001D1741" w:rsidRPr="00122ACF" w14:paraId="5F00BF52" w14:textId="77777777">
        <w:tc>
          <w:tcPr>
            <w:tcW w:w="14395" w:type="dxa"/>
            <w:gridSpan w:val="7"/>
            <w:shd w:val="clear" w:color="auto" w:fill="D0CECE" w:themeFill="background2" w:themeFillShade="E6"/>
          </w:tcPr>
          <w:p w14:paraId="7742F6BE" w14:textId="0727B0D6" w:rsidR="001D1741" w:rsidRPr="00122ACF" w:rsidRDefault="001D1741" w:rsidP="006251ED">
            <w:pPr>
              <w:pStyle w:val="BodyText"/>
              <w:jc w:val="both"/>
              <w:rPr>
                <w:rFonts w:ascii="Times New Roman" w:hAnsi="Times New Roman" w:cs="Times New Roman"/>
                <w:b/>
                <w:sz w:val="22"/>
                <w:szCs w:val="22"/>
              </w:rPr>
            </w:pPr>
            <w:r w:rsidRPr="00122ACF">
              <w:rPr>
                <w:rFonts w:ascii="Times New Roman" w:hAnsi="Times New Roman" w:cs="Times New Roman"/>
                <w:b/>
                <w:sz w:val="22"/>
                <w:szCs w:val="22"/>
              </w:rPr>
              <w:lastRenderedPageBreak/>
              <w:t>Outcome 4: By 2027 communities in Kigoma participate in and benefit from more effective, inclusive, and accountable economic, migration governance, peace and security and justice systems.</w:t>
            </w:r>
          </w:p>
        </w:tc>
      </w:tr>
      <w:tr w:rsidR="001D1741" w:rsidRPr="00122ACF" w14:paraId="44043AAE" w14:textId="77777777" w:rsidTr="00122ACF">
        <w:tc>
          <w:tcPr>
            <w:tcW w:w="2488" w:type="dxa"/>
            <w:shd w:val="clear" w:color="auto" w:fill="FFFFFF" w:themeFill="background1"/>
          </w:tcPr>
          <w:p w14:paraId="1B934196" w14:textId="11B5E51D" w:rsidR="001D1741" w:rsidRPr="00122ACF" w:rsidRDefault="001D1741" w:rsidP="00122ACF">
            <w:pPr>
              <w:pStyle w:val="BodyText"/>
              <w:shd w:val="clear" w:color="auto" w:fill="FFFFFF" w:themeFill="background1"/>
              <w:jc w:val="both"/>
              <w:rPr>
                <w:rFonts w:ascii="Times New Roman" w:hAnsi="Times New Roman" w:cs="Times New Roman"/>
                <w:b/>
                <w:sz w:val="22"/>
                <w:szCs w:val="22"/>
              </w:rPr>
            </w:pPr>
            <w:r w:rsidRPr="00122ACF">
              <w:rPr>
                <w:rFonts w:ascii="Times New Roman" w:hAnsi="Times New Roman" w:cs="Times New Roman"/>
                <w:b/>
                <w:sz w:val="22"/>
                <w:szCs w:val="22"/>
              </w:rPr>
              <w:t xml:space="preserve">Output </w:t>
            </w:r>
          </w:p>
        </w:tc>
        <w:tc>
          <w:tcPr>
            <w:tcW w:w="4679" w:type="dxa"/>
            <w:gridSpan w:val="2"/>
            <w:shd w:val="clear" w:color="auto" w:fill="FFFFFF" w:themeFill="background1"/>
          </w:tcPr>
          <w:p w14:paraId="5296B6A5" w14:textId="50726EC8" w:rsidR="001D1741" w:rsidRPr="00122ACF" w:rsidRDefault="001D1741" w:rsidP="00122ACF">
            <w:pPr>
              <w:pStyle w:val="BodyText"/>
              <w:shd w:val="clear" w:color="auto" w:fill="FFFFFF" w:themeFill="background1"/>
              <w:jc w:val="both"/>
              <w:rPr>
                <w:rFonts w:ascii="Times New Roman" w:hAnsi="Times New Roman" w:cs="Times New Roman"/>
                <w:b/>
                <w:sz w:val="22"/>
                <w:szCs w:val="22"/>
              </w:rPr>
            </w:pPr>
            <w:r w:rsidRPr="00122ACF">
              <w:rPr>
                <w:rFonts w:ascii="Times New Roman" w:hAnsi="Times New Roman" w:cs="Times New Roman"/>
                <w:b/>
                <w:sz w:val="22"/>
                <w:szCs w:val="22"/>
              </w:rPr>
              <w:t>Indicator</w:t>
            </w:r>
          </w:p>
        </w:tc>
        <w:tc>
          <w:tcPr>
            <w:tcW w:w="3303" w:type="dxa"/>
            <w:shd w:val="clear" w:color="auto" w:fill="FFFFFF" w:themeFill="background1"/>
          </w:tcPr>
          <w:p w14:paraId="7AE9C269" w14:textId="53EEBEFF" w:rsidR="001D1741" w:rsidRPr="00122ACF" w:rsidRDefault="001D1741" w:rsidP="00122ACF">
            <w:pPr>
              <w:pStyle w:val="BodyText"/>
              <w:shd w:val="clear" w:color="auto" w:fill="FFFFFF" w:themeFill="background1"/>
              <w:jc w:val="both"/>
              <w:rPr>
                <w:rFonts w:ascii="Times New Roman" w:hAnsi="Times New Roman" w:cs="Times New Roman"/>
                <w:b/>
                <w:sz w:val="22"/>
                <w:szCs w:val="22"/>
              </w:rPr>
            </w:pPr>
            <w:r w:rsidRPr="00122ACF">
              <w:rPr>
                <w:rFonts w:ascii="Times New Roman" w:hAnsi="Times New Roman" w:cs="Times New Roman"/>
                <w:b/>
                <w:sz w:val="22"/>
                <w:szCs w:val="22"/>
                <w:u w:val="single"/>
              </w:rPr>
              <w:t>Achieved</w:t>
            </w:r>
            <w:r w:rsidRPr="00122ACF">
              <w:rPr>
                <w:rFonts w:ascii="Times New Roman" w:hAnsi="Times New Roman" w:cs="Times New Roman"/>
                <w:b/>
                <w:sz w:val="22"/>
                <w:szCs w:val="22"/>
              </w:rPr>
              <w:t xml:space="preserve"> Indicator Targets</w:t>
            </w:r>
          </w:p>
        </w:tc>
        <w:tc>
          <w:tcPr>
            <w:tcW w:w="2083" w:type="dxa"/>
            <w:gridSpan w:val="2"/>
            <w:shd w:val="clear" w:color="auto" w:fill="FFFFFF" w:themeFill="background1"/>
          </w:tcPr>
          <w:p w14:paraId="74D43A9D" w14:textId="3EE93CFF" w:rsidR="001D1741" w:rsidRPr="00122ACF" w:rsidRDefault="001D1741" w:rsidP="00122ACF">
            <w:pPr>
              <w:pStyle w:val="BodyText"/>
              <w:shd w:val="clear" w:color="auto" w:fill="FFFFFF" w:themeFill="background1"/>
              <w:jc w:val="both"/>
              <w:rPr>
                <w:rFonts w:ascii="Times New Roman" w:hAnsi="Times New Roman" w:cs="Times New Roman"/>
                <w:b/>
                <w:sz w:val="22"/>
                <w:szCs w:val="22"/>
              </w:rPr>
            </w:pPr>
            <w:r w:rsidRPr="00122ACF">
              <w:rPr>
                <w:rFonts w:ascii="Times New Roman" w:hAnsi="Times New Roman" w:cs="Times New Roman"/>
                <w:b/>
                <w:sz w:val="22"/>
                <w:szCs w:val="22"/>
              </w:rPr>
              <w:t>Reasons for Variance with Planned Target (if any)</w:t>
            </w:r>
          </w:p>
        </w:tc>
        <w:tc>
          <w:tcPr>
            <w:tcW w:w="1842" w:type="dxa"/>
            <w:shd w:val="clear" w:color="auto" w:fill="FFFFFF" w:themeFill="background1"/>
          </w:tcPr>
          <w:p w14:paraId="3566CE47" w14:textId="30FE7895" w:rsidR="001D1741" w:rsidRPr="00122ACF" w:rsidRDefault="001D1741" w:rsidP="00122ACF">
            <w:pPr>
              <w:pStyle w:val="BodyText"/>
              <w:shd w:val="clear" w:color="auto" w:fill="FFFFFF" w:themeFill="background1"/>
              <w:jc w:val="both"/>
              <w:rPr>
                <w:rFonts w:ascii="Times New Roman" w:hAnsi="Times New Roman" w:cs="Times New Roman"/>
                <w:b/>
                <w:sz w:val="22"/>
                <w:szCs w:val="22"/>
              </w:rPr>
            </w:pPr>
            <w:r w:rsidRPr="00122ACF">
              <w:rPr>
                <w:rFonts w:ascii="Times New Roman" w:hAnsi="Times New Roman" w:cs="Times New Roman"/>
                <w:b/>
                <w:sz w:val="22"/>
                <w:szCs w:val="22"/>
              </w:rPr>
              <w:t>Source of Verification</w:t>
            </w:r>
          </w:p>
        </w:tc>
      </w:tr>
      <w:tr w:rsidR="001D1741" w:rsidRPr="00122ACF" w14:paraId="6261BFFD" w14:textId="77777777" w:rsidTr="00122ACF">
        <w:tc>
          <w:tcPr>
            <w:tcW w:w="2488" w:type="dxa"/>
            <w:shd w:val="clear" w:color="auto" w:fill="FFFFFF" w:themeFill="background1"/>
          </w:tcPr>
          <w:p w14:paraId="1A8C8CB5" w14:textId="77777777" w:rsidR="001D1741" w:rsidRPr="00122ACF" w:rsidRDefault="001D1741" w:rsidP="00122ACF">
            <w:pPr>
              <w:pStyle w:val="BodyText"/>
              <w:shd w:val="clear" w:color="auto" w:fill="FFFFFF" w:themeFill="background1"/>
              <w:jc w:val="both"/>
              <w:rPr>
                <w:rFonts w:ascii="Times New Roman" w:hAnsi="Times New Roman" w:cs="Times New Roman"/>
                <w:bCs/>
                <w:sz w:val="22"/>
                <w:szCs w:val="22"/>
              </w:rPr>
            </w:pPr>
            <w:r w:rsidRPr="00122ACF">
              <w:rPr>
                <w:rFonts w:ascii="Times New Roman" w:hAnsi="Times New Roman" w:cs="Times New Roman"/>
                <w:b/>
                <w:sz w:val="22"/>
                <w:szCs w:val="22"/>
              </w:rPr>
              <w:t>Output 4.1:</w:t>
            </w:r>
            <w:r w:rsidRPr="00122ACF">
              <w:rPr>
                <w:rFonts w:ascii="Times New Roman" w:hAnsi="Times New Roman" w:cs="Times New Roman"/>
                <w:bCs/>
                <w:sz w:val="22"/>
                <w:szCs w:val="22"/>
              </w:rPr>
              <w:t xml:space="preserve"> Increased capacities at the local government level to effectively mobilize resources to finance sustainable local economic development.</w:t>
            </w:r>
          </w:p>
          <w:p w14:paraId="662D7548" w14:textId="77777777" w:rsidR="001D1741" w:rsidRPr="00122ACF" w:rsidRDefault="001D1741" w:rsidP="00122ACF">
            <w:pPr>
              <w:pStyle w:val="BodyText"/>
              <w:shd w:val="clear" w:color="auto" w:fill="FFFFFF" w:themeFill="background1"/>
              <w:jc w:val="both"/>
              <w:rPr>
                <w:rFonts w:ascii="Times New Roman" w:hAnsi="Times New Roman" w:cs="Times New Roman"/>
                <w:bCs/>
                <w:sz w:val="22"/>
                <w:szCs w:val="22"/>
              </w:rPr>
            </w:pPr>
          </w:p>
        </w:tc>
        <w:tc>
          <w:tcPr>
            <w:tcW w:w="4672" w:type="dxa"/>
            <w:shd w:val="clear" w:color="auto" w:fill="FFFFFF" w:themeFill="background1"/>
          </w:tcPr>
          <w:p w14:paraId="62F5045B" w14:textId="4FE0DB36" w:rsidR="001D1741" w:rsidRPr="00122ACF" w:rsidRDefault="001D1741" w:rsidP="00122ACF">
            <w:pPr>
              <w:pStyle w:val="BodyText"/>
              <w:shd w:val="clear" w:color="auto" w:fill="FFFFFF" w:themeFill="background1"/>
              <w:jc w:val="both"/>
              <w:rPr>
                <w:rFonts w:ascii="Times New Roman" w:hAnsi="Times New Roman" w:cs="Times New Roman"/>
                <w:bCs/>
                <w:sz w:val="22"/>
                <w:szCs w:val="22"/>
              </w:rPr>
            </w:pPr>
            <w:r w:rsidRPr="00122ACF">
              <w:rPr>
                <w:rFonts w:ascii="Times New Roman" w:hAnsi="Times New Roman" w:cs="Times New Roman"/>
                <w:bCs/>
                <w:sz w:val="22"/>
                <w:szCs w:val="22"/>
              </w:rPr>
              <w:t xml:space="preserve"> </w:t>
            </w:r>
            <w:r w:rsidRPr="00122ACF">
              <w:rPr>
                <w:rFonts w:ascii="Times New Roman" w:hAnsi="Times New Roman" w:cs="Times New Roman"/>
                <w:b/>
                <w:sz w:val="22"/>
                <w:szCs w:val="22"/>
              </w:rPr>
              <w:t>Indicator 4.1.1:</w:t>
            </w:r>
            <w:r w:rsidRPr="00122ACF">
              <w:rPr>
                <w:rFonts w:ascii="Times New Roman" w:hAnsi="Times New Roman" w:cs="Times New Roman"/>
                <w:bCs/>
                <w:sz w:val="22"/>
                <w:szCs w:val="22"/>
              </w:rPr>
              <w:t xml:space="preserve"> No. of officials that receive capacity building support on mainstreaming gender responsive local economic development, planning, budgeting and &amp; coordination.</w:t>
            </w:r>
          </w:p>
          <w:p w14:paraId="0C28761A" w14:textId="77777777" w:rsidR="001D1741" w:rsidRPr="00122ACF" w:rsidRDefault="001D1741" w:rsidP="00122ACF">
            <w:pPr>
              <w:pStyle w:val="BodyText"/>
              <w:shd w:val="clear" w:color="auto" w:fill="FFFFFF" w:themeFill="background1"/>
              <w:jc w:val="both"/>
              <w:rPr>
                <w:rFonts w:ascii="Times New Roman" w:hAnsi="Times New Roman" w:cs="Times New Roman"/>
                <w:b/>
                <w:sz w:val="22"/>
                <w:szCs w:val="22"/>
              </w:rPr>
            </w:pPr>
          </w:p>
          <w:p w14:paraId="6CB4F265" w14:textId="30DF9373" w:rsidR="001D1741" w:rsidRPr="00122ACF" w:rsidRDefault="001D1741" w:rsidP="00122ACF">
            <w:pPr>
              <w:pStyle w:val="BodyText"/>
              <w:shd w:val="clear" w:color="auto" w:fill="FFFFFF" w:themeFill="background1"/>
              <w:jc w:val="both"/>
              <w:rPr>
                <w:rFonts w:ascii="Times New Roman" w:hAnsi="Times New Roman" w:cs="Times New Roman"/>
                <w:bCs/>
                <w:sz w:val="22"/>
                <w:szCs w:val="22"/>
              </w:rPr>
            </w:pPr>
            <w:r w:rsidRPr="00122ACF">
              <w:rPr>
                <w:rFonts w:ascii="Times New Roman" w:hAnsi="Times New Roman" w:cs="Times New Roman"/>
                <w:b/>
                <w:sz w:val="22"/>
                <w:szCs w:val="22"/>
              </w:rPr>
              <w:t>Baseline:</w:t>
            </w:r>
            <w:r w:rsidRPr="00122ACF">
              <w:rPr>
                <w:rFonts w:ascii="Times New Roman" w:hAnsi="Times New Roman" w:cs="Times New Roman"/>
                <w:bCs/>
                <w:sz w:val="22"/>
                <w:szCs w:val="22"/>
              </w:rPr>
              <w:t>0</w:t>
            </w:r>
          </w:p>
          <w:p w14:paraId="74C3F6A3" w14:textId="77777777" w:rsidR="001D1741" w:rsidRPr="00122ACF" w:rsidRDefault="001D1741" w:rsidP="00122ACF">
            <w:pPr>
              <w:pStyle w:val="BodyText"/>
              <w:shd w:val="clear" w:color="auto" w:fill="FFFFFF" w:themeFill="background1"/>
              <w:jc w:val="both"/>
              <w:rPr>
                <w:rFonts w:ascii="Times New Roman" w:hAnsi="Times New Roman" w:cs="Times New Roman"/>
                <w:bCs/>
                <w:sz w:val="22"/>
                <w:szCs w:val="22"/>
              </w:rPr>
            </w:pPr>
            <w:r w:rsidRPr="00122ACF">
              <w:rPr>
                <w:rFonts w:ascii="Times New Roman" w:hAnsi="Times New Roman" w:cs="Times New Roman"/>
                <w:b/>
                <w:sz w:val="22"/>
                <w:szCs w:val="22"/>
              </w:rPr>
              <w:t>Planned Target:</w:t>
            </w:r>
            <w:r w:rsidRPr="00122ACF">
              <w:rPr>
                <w:rFonts w:ascii="Times New Roman" w:hAnsi="Times New Roman" w:cs="Times New Roman"/>
                <w:bCs/>
                <w:sz w:val="22"/>
                <w:szCs w:val="22"/>
              </w:rPr>
              <w:t>45</w:t>
            </w:r>
          </w:p>
          <w:p w14:paraId="0C6E5563" w14:textId="1CD9C56D" w:rsidR="001D1741" w:rsidRPr="00122ACF" w:rsidRDefault="001D1741" w:rsidP="00122ACF">
            <w:pPr>
              <w:pStyle w:val="BodyText"/>
              <w:shd w:val="clear" w:color="auto" w:fill="FFFFFF" w:themeFill="background1"/>
              <w:jc w:val="both"/>
              <w:rPr>
                <w:rFonts w:ascii="Times New Roman" w:hAnsi="Times New Roman" w:cs="Times New Roman"/>
                <w:bCs/>
                <w:sz w:val="22"/>
                <w:szCs w:val="22"/>
              </w:rPr>
            </w:pPr>
          </w:p>
        </w:tc>
        <w:tc>
          <w:tcPr>
            <w:tcW w:w="3345" w:type="dxa"/>
            <w:gridSpan w:val="3"/>
            <w:shd w:val="clear" w:color="auto" w:fill="FFFFFF" w:themeFill="background1"/>
          </w:tcPr>
          <w:p w14:paraId="0E25480B" w14:textId="4AB24D7B" w:rsidR="001D1741" w:rsidRPr="00122ACF" w:rsidRDefault="001D1741" w:rsidP="00122ACF">
            <w:pPr>
              <w:pStyle w:val="BodyText"/>
              <w:shd w:val="clear" w:color="auto" w:fill="FFFFFF" w:themeFill="background1"/>
              <w:jc w:val="both"/>
              <w:rPr>
                <w:rFonts w:ascii="Times New Roman" w:hAnsi="Times New Roman" w:cs="Times New Roman"/>
                <w:bCs/>
                <w:sz w:val="22"/>
                <w:szCs w:val="22"/>
              </w:rPr>
            </w:pPr>
            <w:r w:rsidRPr="00122ACF">
              <w:rPr>
                <w:rFonts w:ascii="Times New Roman" w:hAnsi="Times New Roman" w:cs="Times New Roman"/>
                <w:bCs/>
                <w:sz w:val="22"/>
                <w:szCs w:val="22"/>
              </w:rPr>
              <w:t xml:space="preserve">104 LGA participants oriented on-Special Purpose Vehicles (SPV) LGAs </w:t>
            </w:r>
          </w:p>
        </w:tc>
        <w:tc>
          <w:tcPr>
            <w:tcW w:w="2048" w:type="dxa"/>
            <w:shd w:val="clear" w:color="auto" w:fill="FFFFFF" w:themeFill="background1"/>
          </w:tcPr>
          <w:p w14:paraId="7FCE5D40" w14:textId="7B47D78D" w:rsidR="001D1741" w:rsidRPr="00122ACF" w:rsidRDefault="001D1741" w:rsidP="00122ACF">
            <w:pPr>
              <w:pStyle w:val="BodyText"/>
              <w:shd w:val="clear" w:color="auto" w:fill="FFFFFF" w:themeFill="background1"/>
              <w:jc w:val="both"/>
              <w:rPr>
                <w:rFonts w:ascii="Times New Roman" w:hAnsi="Times New Roman" w:cs="Times New Roman"/>
                <w:bCs/>
                <w:sz w:val="22"/>
                <w:szCs w:val="22"/>
              </w:rPr>
            </w:pPr>
          </w:p>
        </w:tc>
        <w:tc>
          <w:tcPr>
            <w:tcW w:w="1842" w:type="dxa"/>
            <w:shd w:val="clear" w:color="auto" w:fill="FFFFFF" w:themeFill="background1"/>
          </w:tcPr>
          <w:p w14:paraId="2ADC597C" w14:textId="77777777" w:rsidR="001D1741" w:rsidRPr="00122ACF" w:rsidRDefault="001D1741" w:rsidP="00122ACF">
            <w:pPr>
              <w:pStyle w:val="BodyText"/>
              <w:shd w:val="clear" w:color="auto" w:fill="FFFFFF" w:themeFill="background1"/>
              <w:jc w:val="both"/>
              <w:rPr>
                <w:rFonts w:ascii="Times New Roman" w:hAnsi="Times New Roman" w:cs="Times New Roman"/>
                <w:bCs/>
                <w:sz w:val="22"/>
                <w:szCs w:val="22"/>
              </w:rPr>
            </w:pPr>
            <w:r w:rsidRPr="00122ACF">
              <w:rPr>
                <w:rFonts w:ascii="Times New Roman" w:hAnsi="Times New Roman" w:cs="Times New Roman"/>
                <w:bCs/>
                <w:sz w:val="22"/>
                <w:szCs w:val="22"/>
              </w:rPr>
              <w:t>Project Implementation report and training reports</w:t>
            </w:r>
          </w:p>
        </w:tc>
      </w:tr>
    </w:tbl>
    <w:p w14:paraId="5B0F33DC" w14:textId="77777777" w:rsidR="007A4948" w:rsidRPr="00122ACF" w:rsidRDefault="007A4948" w:rsidP="00122ACF">
      <w:pPr>
        <w:pStyle w:val="BodyText"/>
        <w:shd w:val="clear" w:color="auto" w:fill="FFFFFF" w:themeFill="background1"/>
        <w:jc w:val="both"/>
        <w:rPr>
          <w:rFonts w:ascii="Times New Roman" w:hAnsi="Times New Roman" w:cs="Times New Roman"/>
          <w:sz w:val="22"/>
          <w:szCs w:val="22"/>
        </w:rPr>
      </w:pPr>
    </w:p>
    <w:p w14:paraId="71456ECA" w14:textId="77777777" w:rsidR="007A4948" w:rsidRDefault="007A4948" w:rsidP="007A4948">
      <w:pPr>
        <w:pStyle w:val="BodyText"/>
        <w:jc w:val="both"/>
        <w:rPr>
          <w:rFonts w:ascii="Times New Roman" w:hAnsi="Times New Roman"/>
          <w:sz w:val="24"/>
        </w:rPr>
        <w:sectPr w:rsidR="007A4948" w:rsidSect="00080426">
          <w:headerReference w:type="default" r:id="rId17"/>
          <w:pgSz w:w="15840" w:h="12240" w:orient="landscape" w:code="1"/>
          <w:pgMar w:top="806" w:right="810" w:bottom="810" w:left="1354" w:header="720" w:footer="418" w:gutter="0"/>
          <w:cols w:space="720"/>
          <w:docGrid w:linePitch="360"/>
        </w:sectPr>
      </w:pPr>
    </w:p>
    <w:p w14:paraId="0FB81C7E" w14:textId="124B5CEA" w:rsidR="007A4948" w:rsidRPr="007C14A5" w:rsidRDefault="007A4948" w:rsidP="007A4948">
      <w:pPr>
        <w:pStyle w:val="BodyText"/>
        <w:jc w:val="both"/>
        <w:rPr>
          <w:rFonts w:ascii="Times New Roman" w:hAnsi="Times New Roman"/>
          <w:b/>
          <w:sz w:val="24"/>
        </w:rPr>
      </w:pPr>
      <w:r w:rsidRPr="00DF4C99">
        <w:rPr>
          <w:rFonts w:ascii="Times New Roman" w:hAnsi="Times New Roman"/>
          <w:b/>
          <w:sz w:val="24"/>
        </w:rPr>
        <w:lastRenderedPageBreak/>
        <w:t xml:space="preserve">iii) </w:t>
      </w:r>
      <w:r>
        <w:rPr>
          <w:rFonts w:ascii="Times New Roman" w:hAnsi="Times New Roman"/>
          <w:b/>
          <w:sz w:val="24"/>
        </w:rPr>
        <w:t>A</w:t>
      </w:r>
      <w:r w:rsidRPr="007C14A5">
        <w:rPr>
          <w:rFonts w:ascii="Times New Roman" w:hAnsi="Times New Roman"/>
          <w:b/>
          <w:sz w:val="24"/>
        </w:rPr>
        <w:t xml:space="preserve"> </w:t>
      </w:r>
      <w:r>
        <w:rPr>
          <w:rFonts w:ascii="Times New Roman" w:hAnsi="Times New Roman"/>
          <w:b/>
          <w:sz w:val="24"/>
        </w:rPr>
        <w:t xml:space="preserve">Specific </w:t>
      </w:r>
      <w:r w:rsidRPr="007C14A5">
        <w:rPr>
          <w:rFonts w:ascii="Times New Roman" w:hAnsi="Times New Roman"/>
          <w:b/>
          <w:sz w:val="24"/>
        </w:rPr>
        <w:t>Story</w:t>
      </w:r>
      <w:r>
        <w:rPr>
          <w:rFonts w:ascii="Times New Roman" w:hAnsi="Times New Roman"/>
          <w:b/>
          <w:sz w:val="24"/>
        </w:rPr>
        <w:t xml:space="preserve"> </w:t>
      </w:r>
    </w:p>
    <w:p w14:paraId="5F3F9161" w14:textId="26937D82" w:rsidR="007A4948" w:rsidRDefault="0052578F" w:rsidP="007A4948">
      <w:pPr>
        <w:pStyle w:val="BodyText"/>
        <w:jc w:val="both"/>
        <w:rPr>
          <w:rFonts w:ascii="Times New Roman" w:hAnsi="Times New Roman"/>
          <w:sz w:val="24"/>
        </w:rPr>
      </w:pPr>
      <w:r>
        <w:rPr>
          <w:rFonts w:ascii="Times New Roman" w:hAnsi="Times New Roman"/>
          <w:sz w:val="24"/>
        </w:rPr>
        <w:tab/>
      </w:r>
    </w:p>
    <w:p w14:paraId="42463594" w14:textId="363B9BA2" w:rsidR="0052578F" w:rsidRDefault="0052578F" w:rsidP="0052578F">
      <w:pPr>
        <w:spacing w:before="120" w:after="120"/>
        <w:jc w:val="center"/>
        <w:rPr>
          <w:b/>
          <w:bCs/>
        </w:rPr>
      </w:pPr>
      <w:r>
        <w:t xml:space="preserve"> </w:t>
      </w:r>
      <w:r w:rsidRPr="005C1581">
        <w:rPr>
          <w:b/>
          <w:bCs/>
          <w:shd w:val="clear" w:color="auto" w:fill="DEEAF6" w:themeFill="accent5" w:themeFillTint="33"/>
        </w:rPr>
        <w:t>Promoting Gender-Responsive Cross-Border Trade</w:t>
      </w:r>
    </w:p>
    <w:p w14:paraId="3E5699B7" w14:textId="77777777" w:rsidR="00E33327" w:rsidRDefault="00E33327" w:rsidP="0052578F">
      <w:pPr>
        <w:spacing w:before="120" w:after="120"/>
        <w:jc w:val="both"/>
        <w:rPr>
          <w:b/>
          <w:bCs/>
        </w:rPr>
      </w:pPr>
    </w:p>
    <w:p w14:paraId="1A825066" w14:textId="5CF501E5" w:rsidR="0052578F" w:rsidRPr="00D468FD" w:rsidRDefault="0052578F" w:rsidP="0052578F">
      <w:pPr>
        <w:spacing w:before="120" w:after="120"/>
        <w:jc w:val="both"/>
      </w:pPr>
      <w:r w:rsidRPr="00D468FD">
        <w:rPr>
          <w:b/>
          <w:bCs/>
        </w:rPr>
        <w:t>Cross-border Trade: Addressing Challenges in Tanzania</w:t>
      </w:r>
    </w:p>
    <w:p w14:paraId="14532689" w14:textId="77777777" w:rsidR="0052578F" w:rsidRPr="00D468FD" w:rsidRDefault="0052578F" w:rsidP="0052578F">
      <w:pPr>
        <w:jc w:val="both"/>
      </w:pPr>
      <w:r w:rsidRPr="00D468FD">
        <w:t>The United Republic of Tanzania is a key member of the East African Community (EAC), sharing borders with Uganda, Kenya, Rwanda, the Democratic Republic of Congo (DRC), and Burundi, an all are integral Partner States within the EAC framework. The EAC focuses on widening and deepening the cooperation among Partner States in political, economic, social and cultural fields for the mutual benefit of its citizens. While the EAC Treaty underscores the importance of women's roles in socio-economic progress and includes provisions for gender equality and empowerment, navigating the intricate trade protocols within the EAC poses challenges, hindering citizens from fully capitalizing on available opportunities and holding back the potential impact of cross-border trade.</w:t>
      </w:r>
    </w:p>
    <w:p w14:paraId="54FA0233" w14:textId="77777777" w:rsidR="0052578F" w:rsidRPr="00D468FD" w:rsidRDefault="0052578F" w:rsidP="0052578F">
      <w:pPr>
        <w:jc w:val="both"/>
      </w:pPr>
      <w:r w:rsidRPr="00D468FD">
        <w:rPr>
          <w:rStyle w:val="hgkelc"/>
          <w:lang w:val="en"/>
        </w:rPr>
        <w:t xml:space="preserve">Kigoma Region in northwestern Tanzania shares a border with </w:t>
      </w:r>
      <w:r w:rsidRPr="00D468FD">
        <w:t xml:space="preserve">Burundi, Democratic of Congo (DRC) and Zambia. Women and youth constitute a significant portion, estimated at over 80%, of cross-border traders. However, their effective participation in formal cross-border trade and the export market is impeded by a lack of familiarity with the EAC trade regulations and regulatory frameworks. This knowledge gap hinders the </w:t>
      </w:r>
      <w:proofErr w:type="spellStart"/>
      <w:r w:rsidRPr="00D468FD">
        <w:t>formalisation</w:t>
      </w:r>
      <w:proofErr w:type="spellEnd"/>
      <w:r w:rsidRPr="00D468FD">
        <w:t xml:space="preserve"> and growth  of their businesses. </w:t>
      </w:r>
    </w:p>
    <w:p w14:paraId="413CAD09" w14:textId="77777777" w:rsidR="00E33327" w:rsidRDefault="00E33327" w:rsidP="0052578F">
      <w:pPr>
        <w:jc w:val="both"/>
        <w:rPr>
          <w:b/>
          <w:bCs/>
        </w:rPr>
      </w:pPr>
    </w:p>
    <w:p w14:paraId="163353B8" w14:textId="2E6058D5" w:rsidR="0052578F" w:rsidRPr="00D468FD" w:rsidRDefault="0052578F" w:rsidP="0052578F">
      <w:pPr>
        <w:jc w:val="both"/>
        <w:rPr>
          <w:b/>
          <w:bCs/>
        </w:rPr>
      </w:pPr>
      <w:r w:rsidRPr="00D468FD">
        <w:rPr>
          <w:b/>
          <w:bCs/>
        </w:rPr>
        <w:t xml:space="preserve">UN response </w:t>
      </w:r>
    </w:p>
    <w:p w14:paraId="4A1F709E" w14:textId="77777777" w:rsidR="0052578F" w:rsidRPr="00D468FD" w:rsidRDefault="0052578F" w:rsidP="0052578F">
      <w:pPr>
        <w:jc w:val="both"/>
      </w:pPr>
      <w:r w:rsidRPr="00D468FD">
        <w:t>Responding to these challenges, the United Nations (UN) in Tanzania promotes an integrated approach to empower women and youth economically in the region through the Kigoma Joint Programme (KJP) Phase II (KJP). This collaborative initiative is made possible by the Tanzania SDG Acceleration Fund, generously supported by the Governments of Norway and Ireland.</w:t>
      </w:r>
    </w:p>
    <w:p w14:paraId="33302EC6" w14:textId="77777777" w:rsidR="0052578F" w:rsidRPr="00D468FD" w:rsidRDefault="0052578F" w:rsidP="0052578F">
      <w:pPr>
        <w:jc w:val="both"/>
      </w:pPr>
      <w:r w:rsidRPr="00D468FD">
        <w:t xml:space="preserve">As part of the KJP’s efforts to advance cross-border trade and to increase affordable and reliable business development services (BDS) to youth and women in MSEs, three UN agencies (ILO, ITC and UN WOMEN) collaborated to build capacity of Business Development Providers and District and Regional Trade Officers in Kigoma. Through this inter-agency collaboration, women and youth have enhanced their knowledge of the EAC Trade Rules, </w:t>
      </w:r>
      <w:proofErr w:type="spellStart"/>
      <w:r w:rsidRPr="00D468FD">
        <w:t>Labour</w:t>
      </w:r>
      <w:proofErr w:type="spellEnd"/>
      <w:r w:rsidRPr="00D468FD">
        <w:t xml:space="preserve"> Laws in small and medium-sized enterprises (SMEs), strengthened their exhibition  and marketing skills and gender dynamics in cross-border trade issues. The Training of Trainers programme coupled with capacity building sessions and information materials provided by the UN covers essential topics such as policies, procedures, requirements, rules of origin, taxes, tariffs, exemptions, and other facilities available to cross border traders. Notably, the program also delves into critical issues related to gender-based violence (GBV), fostering safe spaces for women, ensuring security in trade environments, and addressing the prevention, response, and reporting of GBV incidents.</w:t>
      </w:r>
    </w:p>
    <w:p w14:paraId="5A7F1F72" w14:textId="77777777" w:rsidR="0052578F" w:rsidRPr="00D468FD" w:rsidRDefault="0052578F" w:rsidP="0052578F">
      <w:pPr>
        <w:jc w:val="both"/>
      </w:pPr>
      <w:r w:rsidRPr="00D468FD">
        <w:t>In November 2023, 26 trainers</w:t>
      </w:r>
      <w:r>
        <w:t xml:space="preserve"> - </w:t>
      </w:r>
      <w:r w:rsidRPr="00D468FD">
        <w:t xml:space="preserve"> Government Trade Officers and Business Development Officers, were trained through this programme and had their knowledge and capacity enhanced to support the implementation of national laws safeguarding women and children safety at public places including the marketplace. The training sessions featured valuable firsthand experiences and insights shared by women actively engaged in cross-border trade, offering a nuanced understanding of the challenges they face and lessons learned.</w:t>
      </w:r>
    </w:p>
    <w:p w14:paraId="1F961D76" w14:textId="77777777" w:rsidR="00E33327" w:rsidRDefault="00E33327" w:rsidP="0052578F">
      <w:pPr>
        <w:rPr>
          <w:b/>
          <w:bCs/>
        </w:rPr>
      </w:pPr>
    </w:p>
    <w:p w14:paraId="59E6371F" w14:textId="4FC6FAF3" w:rsidR="0052578F" w:rsidRPr="00D468FD" w:rsidRDefault="0052578F" w:rsidP="0052578F">
      <w:pPr>
        <w:rPr>
          <w:b/>
          <w:bCs/>
        </w:rPr>
      </w:pPr>
      <w:r w:rsidRPr="00D468FD">
        <w:rPr>
          <w:b/>
          <w:bCs/>
        </w:rPr>
        <w:t>Empowering Women Entrepreneurs: Success Stories</w:t>
      </w:r>
    </w:p>
    <w:p w14:paraId="6FDD90E0" w14:textId="77777777" w:rsidR="0052578F" w:rsidRPr="00D468FD" w:rsidRDefault="0052578F" w:rsidP="0052578F">
      <w:pPr>
        <w:jc w:val="both"/>
      </w:pPr>
      <w:r w:rsidRPr="00D468FD">
        <w:t xml:space="preserve">Following the completion of the TOT, trainers proceeded to empower 62 women entrepreneurs from five business groups on various business-related issues, including gender considerations, self-assessment, product pricing, exhibition skills, marketing strategies, business networking, and optimal market positioning. Additionally, these trainers facilitated the participation of 55 women in the EAC Exhibitions for small </w:t>
      </w:r>
      <w:r w:rsidRPr="00D468FD">
        <w:lastRenderedPageBreak/>
        <w:t>businesses, held in December 2023 in Bujumbura, Burundi—an annual event known as 'Jua Kali' ('Hot Sun') exhibitions, aimed at bolstering the small industries sector of the regional economy. Four of the supported women from Kigoma received certificates of recognition for having the best exhibition and customer care during the 10-day trade fair. Additionally, three of the trained women participants managed to sell about 80% of the consignment selling products valued at USD 1,500</w:t>
      </w:r>
      <w:r w:rsidRPr="00D468FD" w:rsidDel="00EE2563">
        <w:t xml:space="preserve"> </w:t>
      </w:r>
      <w:r w:rsidRPr="00D468FD">
        <w:t>which included food products, leather products, textiles, mats and baskets made of grass, palm oil, natural honey, sunflower oil, cosmetics soaps, dried sardines and fish. Two women even forged business partnerships to supply cassava flour and chia seeds to the markets in Burundi and Rwanda.</w:t>
      </w:r>
    </w:p>
    <w:p w14:paraId="220BE1CE" w14:textId="305DE90A" w:rsidR="0052578F" w:rsidRDefault="0052578F" w:rsidP="0052578F">
      <w:pPr>
        <w:jc w:val="both"/>
      </w:pPr>
      <w:r w:rsidRPr="00D468FD">
        <w:t>The training support preceding the trade fairs, coupled with successful participation in these exhibitions, instilled confidence among women entrepreneurs, igniting a newfound enthusiasm to actively engage in forthcoming local and regional trade events.</w:t>
      </w:r>
    </w:p>
    <w:p w14:paraId="32317246" w14:textId="77777777" w:rsidR="0005053E" w:rsidRPr="00D468FD" w:rsidRDefault="0005053E" w:rsidP="0052578F">
      <w:pPr>
        <w:jc w:val="both"/>
      </w:pPr>
    </w:p>
    <w:p w14:paraId="3CE25C33" w14:textId="1DC1F230" w:rsidR="0052578F" w:rsidRPr="00D468FD" w:rsidRDefault="0052578F" w:rsidP="0052578F">
      <w:pPr>
        <w:jc w:val="both"/>
      </w:pPr>
      <w:r>
        <w:rPr>
          <w:noProof/>
        </w:rPr>
        <w:drawing>
          <wp:anchor distT="0" distB="0" distL="114300" distR="114300" simplePos="0" relativeHeight="251663365" behindDoc="0" locked="0" layoutInCell="1" allowOverlap="1" wp14:anchorId="2AC52B0A" wp14:editId="609923FC">
            <wp:simplePos x="0" y="0"/>
            <wp:positionH relativeFrom="column">
              <wp:posOffset>80645</wp:posOffset>
            </wp:positionH>
            <wp:positionV relativeFrom="paragraph">
              <wp:posOffset>304800</wp:posOffset>
            </wp:positionV>
            <wp:extent cx="3960495" cy="2639060"/>
            <wp:effectExtent l="133350" t="114300" r="154305" b="161290"/>
            <wp:wrapSquare wrapText="bothSides"/>
            <wp:docPr id="1571076894" name="Picture 1" descr="A person in purple holding a white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076894" name="Picture 1" descr="A person in purple holding a white board&#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495" cy="26390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roofErr w:type="spellStart"/>
      <w:r w:rsidRPr="00D468FD">
        <w:t>Swaumu</w:t>
      </w:r>
      <w:proofErr w:type="spellEnd"/>
      <w:r w:rsidRPr="00D468FD">
        <w:t xml:space="preserve"> Hussein </w:t>
      </w:r>
      <w:r w:rsidRPr="00D468FD">
        <w:rPr>
          <w:b/>
          <w:bCs/>
          <w:i/>
          <w:iCs/>
        </w:rPr>
        <w:t>(on the photo)</w:t>
      </w:r>
      <w:r w:rsidRPr="00D468FD">
        <w:t xml:space="preserve"> is  a female trader from Kibondo district bordering Burundi. Benefitting from the earlier training provided, </w:t>
      </w:r>
      <w:proofErr w:type="spellStart"/>
      <w:r w:rsidRPr="00D468FD">
        <w:t>Swaumu</w:t>
      </w:r>
      <w:proofErr w:type="spellEnd"/>
      <w:r w:rsidRPr="00D468FD">
        <w:t xml:space="preserve"> has emerged as a trainer herself, leveraging her firsthand experiences to educate others on border-trade intricacies. She recounts how the KJP, local government, and other stakeholders played a pivotal role in helping to address knowledge gaps and to empower women traders. </w:t>
      </w:r>
      <w:proofErr w:type="spellStart"/>
      <w:r w:rsidRPr="00D468FD">
        <w:t>Swaumu</w:t>
      </w:r>
      <w:proofErr w:type="spellEnd"/>
      <w:r w:rsidRPr="00D468FD">
        <w:t xml:space="preserve"> highlights the positive outcomes of sessions focused on taxation and revenue, which allowed participants to rectify past mistakes, such as inadequate documentation leading to double taxation and other hurdles.</w:t>
      </w:r>
    </w:p>
    <w:p w14:paraId="772CFD2B" w14:textId="77777777" w:rsidR="0052578F" w:rsidRDefault="0052578F" w:rsidP="0052578F">
      <w:pPr>
        <w:rPr>
          <w:b/>
          <w:bCs/>
          <w:sz w:val="20"/>
          <w:szCs w:val="20"/>
        </w:rPr>
      </w:pPr>
    </w:p>
    <w:p w14:paraId="5E36AB3E" w14:textId="77777777" w:rsidR="0005053E" w:rsidRDefault="0005053E" w:rsidP="0052578F">
      <w:pPr>
        <w:rPr>
          <w:b/>
          <w:bCs/>
          <w:sz w:val="20"/>
          <w:szCs w:val="20"/>
        </w:rPr>
      </w:pPr>
    </w:p>
    <w:p w14:paraId="26780F26" w14:textId="77777777" w:rsidR="0005053E" w:rsidRDefault="0005053E" w:rsidP="0052578F">
      <w:pPr>
        <w:rPr>
          <w:b/>
          <w:bCs/>
          <w:sz w:val="20"/>
          <w:szCs w:val="20"/>
        </w:rPr>
      </w:pPr>
    </w:p>
    <w:p w14:paraId="52F7EB7D" w14:textId="725448C1" w:rsidR="0052578F" w:rsidRDefault="0052578F" w:rsidP="0052578F">
      <w:pPr>
        <w:rPr>
          <w:sz w:val="20"/>
          <w:szCs w:val="20"/>
        </w:rPr>
      </w:pPr>
      <w:r w:rsidRPr="00EA53F6">
        <w:rPr>
          <w:b/>
          <w:bCs/>
          <w:sz w:val="20"/>
          <w:szCs w:val="20"/>
        </w:rPr>
        <w:t xml:space="preserve">Photo caption: </w:t>
      </w:r>
      <w:proofErr w:type="spellStart"/>
      <w:r w:rsidRPr="00EA53F6">
        <w:rPr>
          <w:sz w:val="20"/>
          <w:szCs w:val="20"/>
        </w:rPr>
        <w:t>Swaumu</w:t>
      </w:r>
      <w:proofErr w:type="spellEnd"/>
      <w:r w:rsidRPr="00EA53F6">
        <w:rPr>
          <w:sz w:val="20"/>
          <w:szCs w:val="20"/>
        </w:rPr>
        <w:t xml:space="preserve"> Hussein, a beneficiary of the program and now a trainer, sharing her expertise with fellow women and youth traders on cross border trade dynamics. © UN Tanzania</w:t>
      </w:r>
    </w:p>
    <w:p w14:paraId="321528C3" w14:textId="0C1207E2" w:rsidR="0052578F" w:rsidRPr="0052578F" w:rsidRDefault="0052578F" w:rsidP="0052578F">
      <w:pPr>
        <w:pStyle w:val="BodyText"/>
        <w:rPr>
          <w:rFonts w:ascii="Times New Roman" w:hAnsi="Times New Roman"/>
          <w:i/>
          <w:iCs/>
          <w:sz w:val="24"/>
        </w:rPr>
      </w:pPr>
    </w:p>
    <w:p w14:paraId="19ADE696" w14:textId="77777777" w:rsidR="007A4948" w:rsidRPr="00574596" w:rsidRDefault="007A4948" w:rsidP="005A4113">
      <w:pPr>
        <w:pStyle w:val="BodyText"/>
        <w:tabs>
          <w:tab w:val="left" w:pos="360"/>
        </w:tabs>
        <w:jc w:val="both"/>
        <w:rPr>
          <w:rFonts w:ascii="Times New Roman" w:hAnsi="Times New Roman" w:cs="Times New Roman"/>
          <w:sz w:val="24"/>
          <w:lang w:val="en-GB"/>
        </w:rPr>
      </w:pPr>
    </w:p>
    <w:sectPr w:rsidR="007A4948" w:rsidRPr="00574596" w:rsidSect="00080426">
      <w:headerReference w:type="default" r:id="rId19"/>
      <w:pgSz w:w="12240" w:h="15840" w:code="1"/>
      <w:pgMar w:top="806" w:right="806" w:bottom="1354" w:left="806"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03A2" w14:textId="77777777" w:rsidR="00520021" w:rsidRDefault="00520021">
      <w:r>
        <w:separator/>
      </w:r>
    </w:p>
  </w:endnote>
  <w:endnote w:type="continuationSeparator" w:id="0">
    <w:p w14:paraId="54C94460" w14:textId="77777777" w:rsidR="00520021" w:rsidRDefault="00520021">
      <w:r>
        <w:continuationSeparator/>
      </w:r>
    </w:p>
  </w:endnote>
  <w:endnote w:type="continuationNotice" w:id="1">
    <w:p w14:paraId="6451EC99" w14:textId="77777777" w:rsidR="00520021" w:rsidRDefault="00520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121263"/>
      <w:docPartObj>
        <w:docPartGallery w:val="Page Numbers (Bottom of Page)"/>
        <w:docPartUnique/>
      </w:docPartObj>
    </w:sdtPr>
    <w:sdtEndPr>
      <w:rPr>
        <w:noProof/>
      </w:rPr>
    </w:sdtEndPr>
    <w:sdtContent>
      <w:p w14:paraId="3862CEF7" w14:textId="5FF86576" w:rsidR="000A5FBB" w:rsidRDefault="000A5F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F909EC" w14:textId="77777777" w:rsidR="000A5FBB" w:rsidRDefault="000A5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9F68" w14:textId="77777777" w:rsidR="00520021" w:rsidRDefault="00520021">
      <w:r>
        <w:separator/>
      </w:r>
    </w:p>
  </w:footnote>
  <w:footnote w:type="continuationSeparator" w:id="0">
    <w:p w14:paraId="00A5D36C" w14:textId="77777777" w:rsidR="00520021" w:rsidRDefault="00520021">
      <w:r>
        <w:continuationSeparator/>
      </w:r>
    </w:p>
  </w:footnote>
  <w:footnote w:type="continuationNotice" w:id="1">
    <w:p w14:paraId="190989DB" w14:textId="77777777" w:rsidR="00520021" w:rsidRDefault="00520021"/>
  </w:footnote>
  <w:footnote w:id="2">
    <w:p w14:paraId="3C72CC77" w14:textId="77777777" w:rsidR="00A93A47" w:rsidRDefault="00A93A47" w:rsidP="00A93A47">
      <w:pPr>
        <w:pStyle w:val="FootnoteText"/>
      </w:pPr>
      <w:r w:rsidRPr="007C14A5">
        <w:rPr>
          <w:rStyle w:val="FootnoteReference"/>
        </w:rPr>
        <w:footnoteRef/>
      </w:r>
      <w:r w:rsidRPr="007C14A5">
        <w:t xml:space="preserve"> Strategic Results, as formulated in the </w:t>
      </w:r>
      <w:r>
        <w:t xml:space="preserve">Strategic UN Planning Framework (e.g. UNDAF) </w:t>
      </w:r>
      <w:r w:rsidRPr="007C14A5">
        <w:t>or project document</w:t>
      </w:r>
      <w:r>
        <w:t xml:space="preserve">; </w:t>
      </w:r>
    </w:p>
  </w:footnote>
  <w:footnote w:id="3">
    <w:p w14:paraId="0F1E9243" w14:textId="77777777" w:rsidR="006251ED" w:rsidRDefault="006251ED" w:rsidP="006251ED">
      <w:pPr>
        <w:pStyle w:val="FootnoteText"/>
      </w:pPr>
      <w:r>
        <w:rPr>
          <w:rStyle w:val="FootnoteReference"/>
        </w:rPr>
        <w:footnoteRef/>
      </w:r>
      <w:r>
        <w:t xml:space="preserve"> Note: Outcomes, outputs, indicators and targets should be </w:t>
      </w:r>
      <w:r w:rsidRPr="0068496F">
        <w:rPr>
          <w:b/>
        </w:rPr>
        <w:t>as outline</w:t>
      </w:r>
      <w:r>
        <w:rPr>
          <w:b/>
        </w:rPr>
        <w:t>d</w:t>
      </w:r>
      <w:r w:rsidRPr="0068496F">
        <w:rPr>
          <w:b/>
        </w:rPr>
        <w:t xml:space="preserve"> in the Project Document</w:t>
      </w:r>
      <w:r>
        <w:t xml:space="preserve"> so that you report on your </w:t>
      </w:r>
      <w:r w:rsidRPr="0068496F">
        <w:rPr>
          <w:b/>
        </w:rPr>
        <w:t xml:space="preserve">actual achievements against planned </w:t>
      </w:r>
      <w:r>
        <w:rPr>
          <w:b/>
        </w:rPr>
        <w:t>targets</w:t>
      </w:r>
      <w:r>
        <w:t xml:space="preserve">. Add rows as required for Outcome 2, 3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40"/>
      <w:gridCol w:w="3540"/>
      <w:gridCol w:w="3540"/>
    </w:tblGrid>
    <w:tr w:rsidR="09E7AB46" w14:paraId="4FBF56B4" w14:textId="77777777" w:rsidTr="003977FE">
      <w:tc>
        <w:tcPr>
          <w:tcW w:w="3540" w:type="dxa"/>
        </w:tcPr>
        <w:p w14:paraId="08CAAA26" w14:textId="6B61AB58" w:rsidR="09E7AB46" w:rsidRDefault="09E7AB46" w:rsidP="003977FE">
          <w:pPr>
            <w:pStyle w:val="Header"/>
            <w:ind w:left="-115"/>
          </w:pPr>
        </w:p>
      </w:tc>
      <w:tc>
        <w:tcPr>
          <w:tcW w:w="3540" w:type="dxa"/>
        </w:tcPr>
        <w:p w14:paraId="5BF7FEFE" w14:textId="75FD85C3" w:rsidR="09E7AB46" w:rsidRDefault="09E7AB46" w:rsidP="003977FE">
          <w:pPr>
            <w:pStyle w:val="Header"/>
            <w:jc w:val="center"/>
          </w:pPr>
        </w:p>
      </w:tc>
      <w:tc>
        <w:tcPr>
          <w:tcW w:w="3540" w:type="dxa"/>
        </w:tcPr>
        <w:p w14:paraId="76A6C74E" w14:textId="2C7616FE" w:rsidR="09E7AB46" w:rsidRDefault="09E7AB46" w:rsidP="003977FE">
          <w:pPr>
            <w:pStyle w:val="Header"/>
            <w:ind w:right="-115"/>
            <w:jc w:val="right"/>
          </w:pPr>
        </w:p>
      </w:tc>
    </w:tr>
  </w:tbl>
  <w:p w14:paraId="655FEFB3" w14:textId="70FC250C" w:rsidR="09E7AB46" w:rsidRDefault="09E7AB46" w:rsidP="00397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55"/>
      <w:gridCol w:w="4555"/>
      <w:gridCol w:w="4555"/>
    </w:tblGrid>
    <w:tr w:rsidR="007A4948" w14:paraId="6D66C8D9" w14:textId="77777777" w:rsidTr="003977FE">
      <w:tc>
        <w:tcPr>
          <w:tcW w:w="4555" w:type="dxa"/>
        </w:tcPr>
        <w:p w14:paraId="2249409B" w14:textId="77777777" w:rsidR="007A4948" w:rsidRDefault="007A4948" w:rsidP="003977FE">
          <w:pPr>
            <w:pStyle w:val="Header"/>
            <w:ind w:left="-115"/>
          </w:pPr>
        </w:p>
      </w:tc>
      <w:tc>
        <w:tcPr>
          <w:tcW w:w="4555" w:type="dxa"/>
        </w:tcPr>
        <w:p w14:paraId="6F4040F7" w14:textId="77777777" w:rsidR="007A4948" w:rsidRDefault="007A4948" w:rsidP="003977FE">
          <w:pPr>
            <w:pStyle w:val="Header"/>
            <w:jc w:val="center"/>
          </w:pPr>
        </w:p>
      </w:tc>
      <w:tc>
        <w:tcPr>
          <w:tcW w:w="4555" w:type="dxa"/>
        </w:tcPr>
        <w:p w14:paraId="0F092896" w14:textId="77777777" w:rsidR="007A4948" w:rsidRDefault="007A4948" w:rsidP="003977FE">
          <w:pPr>
            <w:pStyle w:val="Header"/>
            <w:ind w:right="-115"/>
            <w:jc w:val="right"/>
          </w:pPr>
        </w:p>
      </w:tc>
    </w:tr>
  </w:tbl>
  <w:p w14:paraId="1B341C2E" w14:textId="77777777" w:rsidR="007A4948" w:rsidRDefault="007A4948" w:rsidP="00397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40"/>
      <w:gridCol w:w="3540"/>
      <w:gridCol w:w="3540"/>
    </w:tblGrid>
    <w:tr w:rsidR="09E7AB46" w14:paraId="2E3B2320" w14:textId="77777777" w:rsidTr="003977FE">
      <w:tc>
        <w:tcPr>
          <w:tcW w:w="3540" w:type="dxa"/>
        </w:tcPr>
        <w:p w14:paraId="11E53C49" w14:textId="77777777" w:rsidR="09E7AB46" w:rsidRDefault="09E7AB46" w:rsidP="003977FE">
          <w:pPr>
            <w:pStyle w:val="Header"/>
            <w:ind w:left="-115"/>
          </w:pPr>
        </w:p>
      </w:tc>
      <w:tc>
        <w:tcPr>
          <w:tcW w:w="3540" w:type="dxa"/>
        </w:tcPr>
        <w:p w14:paraId="22467AF0" w14:textId="77777777" w:rsidR="09E7AB46" w:rsidRDefault="09E7AB46" w:rsidP="003977FE">
          <w:pPr>
            <w:pStyle w:val="Header"/>
            <w:jc w:val="center"/>
          </w:pPr>
        </w:p>
      </w:tc>
      <w:tc>
        <w:tcPr>
          <w:tcW w:w="3540" w:type="dxa"/>
        </w:tcPr>
        <w:p w14:paraId="04E7086E" w14:textId="77777777" w:rsidR="09E7AB46" w:rsidRDefault="09E7AB46" w:rsidP="003977FE">
          <w:pPr>
            <w:pStyle w:val="Header"/>
            <w:ind w:right="-115"/>
            <w:jc w:val="right"/>
          </w:pPr>
        </w:p>
      </w:tc>
    </w:tr>
  </w:tbl>
  <w:p w14:paraId="2DBF6130" w14:textId="77777777" w:rsidR="09E7AB46" w:rsidRDefault="09E7AB46" w:rsidP="00397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F88"/>
    <w:multiLevelType w:val="hybridMultilevel"/>
    <w:tmpl w:val="155CD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2" w15:restartNumberingAfterBreak="0">
    <w:nsid w:val="14233868"/>
    <w:multiLevelType w:val="hybridMultilevel"/>
    <w:tmpl w:val="B50C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7274F"/>
    <w:multiLevelType w:val="hybridMultilevel"/>
    <w:tmpl w:val="F5F44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F96AC1"/>
    <w:multiLevelType w:val="hybridMultilevel"/>
    <w:tmpl w:val="2FC4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FF3242"/>
    <w:multiLevelType w:val="hybridMultilevel"/>
    <w:tmpl w:val="F10CD9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3316505">
    <w:abstractNumId w:val="1"/>
  </w:num>
  <w:num w:numId="2" w16cid:durableId="1641305506">
    <w:abstractNumId w:val="7"/>
  </w:num>
  <w:num w:numId="3" w16cid:durableId="548422448">
    <w:abstractNumId w:val="4"/>
  </w:num>
  <w:num w:numId="4" w16cid:durableId="1917593903">
    <w:abstractNumId w:val="6"/>
  </w:num>
  <w:num w:numId="5" w16cid:durableId="11273656">
    <w:abstractNumId w:val="9"/>
  </w:num>
  <w:num w:numId="6" w16cid:durableId="173736005">
    <w:abstractNumId w:val="5"/>
  </w:num>
  <w:num w:numId="7" w16cid:durableId="1544756216">
    <w:abstractNumId w:val="2"/>
  </w:num>
  <w:num w:numId="8" w16cid:durableId="1653633598">
    <w:abstractNumId w:val="3"/>
  </w:num>
  <w:num w:numId="9" w16cid:durableId="380252449">
    <w:abstractNumId w:val="0"/>
  </w:num>
  <w:num w:numId="10" w16cid:durableId="71993734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2"/>
    <w:rsid w:val="0000147F"/>
    <w:rsid w:val="00002D88"/>
    <w:rsid w:val="00003AEB"/>
    <w:rsid w:val="000078BC"/>
    <w:rsid w:val="00007ECE"/>
    <w:rsid w:val="00010617"/>
    <w:rsid w:val="00010D0A"/>
    <w:rsid w:val="00010DA2"/>
    <w:rsid w:val="00011394"/>
    <w:rsid w:val="000117CD"/>
    <w:rsid w:val="000121B0"/>
    <w:rsid w:val="00012E9E"/>
    <w:rsid w:val="000134CC"/>
    <w:rsid w:val="0001510E"/>
    <w:rsid w:val="00015168"/>
    <w:rsid w:val="00016418"/>
    <w:rsid w:val="00020AA7"/>
    <w:rsid w:val="00023741"/>
    <w:rsid w:val="00023835"/>
    <w:rsid w:val="00024F9B"/>
    <w:rsid w:val="0002570B"/>
    <w:rsid w:val="0003053D"/>
    <w:rsid w:val="000308D4"/>
    <w:rsid w:val="00031DC9"/>
    <w:rsid w:val="00032F7E"/>
    <w:rsid w:val="0003618E"/>
    <w:rsid w:val="00037116"/>
    <w:rsid w:val="00041148"/>
    <w:rsid w:val="00043245"/>
    <w:rsid w:val="00043388"/>
    <w:rsid w:val="0005053E"/>
    <w:rsid w:val="00050FA9"/>
    <w:rsid w:val="000513BC"/>
    <w:rsid w:val="00052FF4"/>
    <w:rsid w:val="00053F0F"/>
    <w:rsid w:val="000550E6"/>
    <w:rsid w:val="0006074D"/>
    <w:rsid w:val="00060A16"/>
    <w:rsid w:val="00061281"/>
    <w:rsid w:val="000630EE"/>
    <w:rsid w:val="00063B6A"/>
    <w:rsid w:val="00064352"/>
    <w:rsid w:val="00064360"/>
    <w:rsid w:val="000649D5"/>
    <w:rsid w:val="000659D5"/>
    <w:rsid w:val="00066978"/>
    <w:rsid w:val="0007043D"/>
    <w:rsid w:val="00070671"/>
    <w:rsid w:val="00075755"/>
    <w:rsid w:val="000760F5"/>
    <w:rsid w:val="000803A0"/>
    <w:rsid w:val="00080426"/>
    <w:rsid w:val="00082892"/>
    <w:rsid w:val="00083BF6"/>
    <w:rsid w:val="00083E67"/>
    <w:rsid w:val="000847A6"/>
    <w:rsid w:val="00084A73"/>
    <w:rsid w:val="00084EEC"/>
    <w:rsid w:val="00085C04"/>
    <w:rsid w:val="0008651F"/>
    <w:rsid w:val="00090D90"/>
    <w:rsid w:val="00091174"/>
    <w:rsid w:val="00092180"/>
    <w:rsid w:val="00092501"/>
    <w:rsid w:val="00094B2F"/>
    <w:rsid w:val="00096711"/>
    <w:rsid w:val="000968C1"/>
    <w:rsid w:val="000978CA"/>
    <w:rsid w:val="000A126F"/>
    <w:rsid w:val="000A146E"/>
    <w:rsid w:val="000A5507"/>
    <w:rsid w:val="000A5536"/>
    <w:rsid w:val="000A5FBB"/>
    <w:rsid w:val="000B02A4"/>
    <w:rsid w:val="000B09FF"/>
    <w:rsid w:val="000B1289"/>
    <w:rsid w:val="000B25E7"/>
    <w:rsid w:val="000B2762"/>
    <w:rsid w:val="000B599B"/>
    <w:rsid w:val="000B5CBE"/>
    <w:rsid w:val="000B7D96"/>
    <w:rsid w:val="000C0119"/>
    <w:rsid w:val="000C03EE"/>
    <w:rsid w:val="000C0B78"/>
    <w:rsid w:val="000C2A11"/>
    <w:rsid w:val="000C35B0"/>
    <w:rsid w:val="000C656D"/>
    <w:rsid w:val="000C7BFA"/>
    <w:rsid w:val="000D0377"/>
    <w:rsid w:val="000D35C1"/>
    <w:rsid w:val="000D3A0A"/>
    <w:rsid w:val="000D498F"/>
    <w:rsid w:val="000D49DD"/>
    <w:rsid w:val="000D64C7"/>
    <w:rsid w:val="000D6D9C"/>
    <w:rsid w:val="000E0915"/>
    <w:rsid w:val="000E2FA1"/>
    <w:rsid w:val="000E4CF3"/>
    <w:rsid w:val="000E7458"/>
    <w:rsid w:val="000F23F3"/>
    <w:rsid w:val="000F65A4"/>
    <w:rsid w:val="001022B3"/>
    <w:rsid w:val="00102A7D"/>
    <w:rsid w:val="0010507A"/>
    <w:rsid w:val="00105897"/>
    <w:rsid w:val="00106168"/>
    <w:rsid w:val="00106A96"/>
    <w:rsid w:val="00106C76"/>
    <w:rsid w:val="00107760"/>
    <w:rsid w:val="001114B2"/>
    <w:rsid w:val="00111CF5"/>
    <w:rsid w:val="0011469D"/>
    <w:rsid w:val="00114C7D"/>
    <w:rsid w:val="0011699C"/>
    <w:rsid w:val="00120F55"/>
    <w:rsid w:val="00122622"/>
    <w:rsid w:val="001228E5"/>
    <w:rsid w:val="00122ACF"/>
    <w:rsid w:val="0012303A"/>
    <w:rsid w:val="00123EC0"/>
    <w:rsid w:val="00124B56"/>
    <w:rsid w:val="00124FA6"/>
    <w:rsid w:val="00126292"/>
    <w:rsid w:val="00132552"/>
    <w:rsid w:val="0013276B"/>
    <w:rsid w:val="00134E94"/>
    <w:rsid w:val="0013530A"/>
    <w:rsid w:val="0013612C"/>
    <w:rsid w:val="00136A69"/>
    <w:rsid w:val="0014251C"/>
    <w:rsid w:val="00144ED5"/>
    <w:rsid w:val="0014549D"/>
    <w:rsid w:val="00145891"/>
    <w:rsid w:val="00151383"/>
    <w:rsid w:val="0015472D"/>
    <w:rsid w:val="0015763B"/>
    <w:rsid w:val="001602DF"/>
    <w:rsid w:val="00160579"/>
    <w:rsid w:val="001608F6"/>
    <w:rsid w:val="001632C3"/>
    <w:rsid w:val="0016408E"/>
    <w:rsid w:val="0016434F"/>
    <w:rsid w:val="001649DC"/>
    <w:rsid w:val="00164F4D"/>
    <w:rsid w:val="00165038"/>
    <w:rsid w:val="00165286"/>
    <w:rsid w:val="00167A40"/>
    <w:rsid w:val="00170DD0"/>
    <w:rsid w:val="00170EF3"/>
    <w:rsid w:val="00171470"/>
    <w:rsid w:val="00171B3B"/>
    <w:rsid w:val="00173740"/>
    <w:rsid w:val="001737DA"/>
    <w:rsid w:val="0017556F"/>
    <w:rsid w:val="001767EF"/>
    <w:rsid w:val="00176A75"/>
    <w:rsid w:val="00176D76"/>
    <w:rsid w:val="00183114"/>
    <w:rsid w:val="001854AB"/>
    <w:rsid w:val="00185AB5"/>
    <w:rsid w:val="00185FC3"/>
    <w:rsid w:val="00187F16"/>
    <w:rsid w:val="00193B41"/>
    <w:rsid w:val="00193F0E"/>
    <w:rsid w:val="001942AF"/>
    <w:rsid w:val="001952E6"/>
    <w:rsid w:val="001957DC"/>
    <w:rsid w:val="00197C6B"/>
    <w:rsid w:val="001A08D0"/>
    <w:rsid w:val="001A2C73"/>
    <w:rsid w:val="001A4A4C"/>
    <w:rsid w:val="001A5801"/>
    <w:rsid w:val="001A65F3"/>
    <w:rsid w:val="001A6C5F"/>
    <w:rsid w:val="001B1760"/>
    <w:rsid w:val="001B3294"/>
    <w:rsid w:val="001B5A3D"/>
    <w:rsid w:val="001C1271"/>
    <w:rsid w:val="001C1E68"/>
    <w:rsid w:val="001C209F"/>
    <w:rsid w:val="001C2FFD"/>
    <w:rsid w:val="001C3A37"/>
    <w:rsid w:val="001C3F4C"/>
    <w:rsid w:val="001D1741"/>
    <w:rsid w:val="001D242B"/>
    <w:rsid w:val="001D358F"/>
    <w:rsid w:val="001D4CA5"/>
    <w:rsid w:val="001D4F94"/>
    <w:rsid w:val="001D757B"/>
    <w:rsid w:val="001E101F"/>
    <w:rsid w:val="001E21A6"/>
    <w:rsid w:val="001E2946"/>
    <w:rsid w:val="001E48CE"/>
    <w:rsid w:val="001E5E20"/>
    <w:rsid w:val="001F00D7"/>
    <w:rsid w:val="001F4683"/>
    <w:rsid w:val="001F4D9E"/>
    <w:rsid w:val="001F58EF"/>
    <w:rsid w:val="001F7372"/>
    <w:rsid w:val="002015DA"/>
    <w:rsid w:val="00204B81"/>
    <w:rsid w:val="00205F81"/>
    <w:rsid w:val="00206941"/>
    <w:rsid w:val="00210352"/>
    <w:rsid w:val="00210AAE"/>
    <w:rsid w:val="0021182F"/>
    <w:rsid w:val="00212FEB"/>
    <w:rsid w:val="002136DD"/>
    <w:rsid w:val="00213E87"/>
    <w:rsid w:val="002150FB"/>
    <w:rsid w:val="00215D1B"/>
    <w:rsid w:val="00216E1A"/>
    <w:rsid w:val="002179BB"/>
    <w:rsid w:val="00220D29"/>
    <w:rsid w:val="00223198"/>
    <w:rsid w:val="002272CB"/>
    <w:rsid w:val="00230C0B"/>
    <w:rsid w:val="002339EF"/>
    <w:rsid w:val="00233C6B"/>
    <w:rsid w:val="00233E28"/>
    <w:rsid w:val="0023529C"/>
    <w:rsid w:val="00237C2F"/>
    <w:rsid w:val="00241DAA"/>
    <w:rsid w:val="00243F99"/>
    <w:rsid w:val="00246B66"/>
    <w:rsid w:val="00250090"/>
    <w:rsid w:val="00251130"/>
    <w:rsid w:val="00255B0E"/>
    <w:rsid w:val="0025606E"/>
    <w:rsid w:val="00262ED4"/>
    <w:rsid w:val="002637DC"/>
    <w:rsid w:val="00263934"/>
    <w:rsid w:val="00267738"/>
    <w:rsid w:val="0027001F"/>
    <w:rsid w:val="00270043"/>
    <w:rsid w:val="00274F02"/>
    <w:rsid w:val="00275A4A"/>
    <w:rsid w:val="0027749E"/>
    <w:rsid w:val="002801C6"/>
    <w:rsid w:val="002805D4"/>
    <w:rsid w:val="00280FB9"/>
    <w:rsid w:val="00284411"/>
    <w:rsid w:val="00285801"/>
    <w:rsid w:val="00285E04"/>
    <w:rsid w:val="00295E5C"/>
    <w:rsid w:val="002A02A4"/>
    <w:rsid w:val="002A088F"/>
    <w:rsid w:val="002A3031"/>
    <w:rsid w:val="002A340B"/>
    <w:rsid w:val="002A3760"/>
    <w:rsid w:val="002A4500"/>
    <w:rsid w:val="002A5950"/>
    <w:rsid w:val="002A6952"/>
    <w:rsid w:val="002A6BF8"/>
    <w:rsid w:val="002A7665"/>
    <w:rsid w:val="002B12D3"/>
    <w:rsid w:val="002B14C9"/>
    <w:rsid w:val="002B2B6B"/>
    <w:rsid w:val="002B3C12"/>
    <w:rsid w:val="002B4AD7"/>
    <w:rsid w:val="002B6403"/>
    <w:rsid w:val="002B6B39"/>
    <w:rsid w:val="002C126A"/>
    <w:rsid w:val="002C3CA5"/>
    <w:rsid w:val="002C4A03"/>
    <w:rsid w:val="002C690B"/>
    <w:rsid w:val="002C6E2F"/>
    <w:rsid w:val="002D4E1A"/>
    <w:rsid w:val="002D5C59"/>
    <w:rsid w:val="002D7F86"/>
    <w:rsid w:val="002E24FE"/>
    <w:rsid w:val="002E3D53"/>
    <w:rsid w:val="002E50CF"/>
    <w:rsid w:val="002E77D1"/>
    <w:rsid w:val="002E7BB9"/>
    <w:rsid w:val="002F1156"/>
    <w:rsid w:val="002F26E3"/>
    <w:rsid w:val="002F3EFE"/>
    <w:rsid w:val="002F5953"/>
    <w:rsid w:val="002F6FF1"/>
    <w:rsid w:val="002F7B28"/>
    <w:rsid w:val="0030509D"/>
    <w:rsid w:val="003060F2"/>
    <w:rsid w:val="00310168"/>
    <w:rsid w:val="00310C19"/>
    <w:rsid w:val="0031204E"/>
    <w:rsid w:val="00312685"/>
    <w:rsid w:val="00314A5F"/>
    <w:rsid w:val="00314AF1"/>
    <w:rsid w:val="00317261"/>
    <w:rsid w:val="00317F81"/>
    <w:rsid w:val="00320895"/>
    <w:rsid w:val="00322B8A"/>
    <w:rsid w:val="003265AF"/>
    <w:rsid w:val="00330077"/>
    <w:rsid w:val="003308FD"/>
    <w:rsid w:val="003320D1"/>
    <w:rsid w:val="0033370D"/>
    <w:rsid w:val="0033662C"/>
    <w:rsid w:val="003369D5"/>
    <w:rsid w:val="0034386B"/>
    <w:rsid w:val="00346372"/>
    <w:rsid w:val="00346939"/>
    <w:rsid w:val="00346CB7"/>
    <w:rsid w:val="00346FFE"/>
    <w:rsid w:val="00351A14"/>
    <w:rsid w:val="00353CD0"/>
    <w:rsid w:val="00355203"/>
    <w:rsid w:val="00355673"/>
    <w:rsid w:val="00355CA4"/>
    <w:rsid w:val="00356D08"/>
    <w:rsid w:val="00360431"/>
    <w:rsid w:val="00360501"/>
    <w:rsid w:val="00360945"/>
    <w:rsid w:val="0036300D"/>
    <w:rsid w:val="0036774E"/>
    <w:rsid w:val="00370731"/>
    <w:rsid w:val="00375FFA"/>
    <w:rsid w:val="00377074"/>
    <w:rsid w:val="003806B4"/>
    <w:rsid w:val="00380D85"/>
    <w:rsid w:val="003815EF"/>
    <w:rsid w:val="00381A0F"/>
    <w:rsid w:val="00382573"/>
    <w:rsid w:val="00383A8B"/>
    <w:rsid w:val="00385614"/>
    <w:rsid w:val="003879DF"/>
    <w:rsid w:val="00390F98"/>
    <w:rsid w:val="003919E4"/>
    <w:rsid w:val="00393964"/>
    <w:rsid w:val="00395CD9"/>
    <w:rsid w:val="00396188"/>
    <w:rsid w:val="00396D76"/>
    <w:rsid w:val="003977FE"/>
    <w:rsid w:val="003A0FD3"/>
    <w:rsid w:val="003A1AF5"/>
    <w:rsid w:val="003A77A2"/>
    <w:rsid w:val="003A77AC"/>
    <w:rsid w:val="003B0303"/>
    <w:rsid w:val="003B04A3"/>
    <w:rsid w:val="003B1DFF"/>
    <w:rsid w:val="003B2716"/>
    <w:rsid w:val="003B2DBF"/>
    <w:rsid w:val="003B3B78"/>
    <w:rsid w:val="003B454A"/>
    <w:rsid w:val="003B58F9"/>
    <w:rsid w:val="003C1A52"/>
    <w:rsid w:val="003C3941"/>
    <w:rsid w:val="003C3FC0"/>
    <w:rsid w:val="003C4D74"/>
    <w:rsid w:val="003C4F55"/>
    <w:rsid w:val="003C7B12"/>
    <w:rsid w:val="003D0AA9"/>
    <w:rsid w:val="003D13A8"/>
    <w:rsid w:val="003D210A"/>
    <w:rsid w:val="003D3325"/>
    <w:rsid w:val="003D4331"/>
    <w:rsid w:val="003D7B55"/>
    <w:rsid w:val="003E51E4"/>
    <w:rsid w:val="003E59DF"/>
    <w:rsid w:val="003E62C0"/>
    <w:rsid w:val="003E63E2"/>
    <w:rsid w:val="003E7B71"/>
    <w:rsid w:val="003F3B54"/>
    <w:rsid w:val="003F446E"/>
    <w:rsid w:val="003F480D"/>
    <w:rsid w:val="003F499C"/>
    <w:rsid w:val="003F4BE1"/>
    <w:rsid w:val="003F5497"/>
    <w:rsid w:val="003F6918"/>
    <w:rsid w:val="003F6ABC"/>
    <w:rsid w:val="00405A55"/>
    <w:rsid w:val="0041185F"/>
    <w:rsid w:val="0041202B"/>
    <w:rsid w:val="00412868"/>
    <w:rsid w:val="004128CC"/>
    <w:rsid w:val="0041469C"/>
    <w:rsid w:val="004160BF"/>
    <w:rsid w:val="00416A86"/>
    <w:rsid w:val="00417B11"/>
    <w:rsid w:val="00420871"/>
    <w:rsid w:val="004216D9"/>
    <w:rsid w:val="00422D8B"/>
    <w:rsid w:val="00423E99"/>
    <w:rsid w:val="004258A1"/>
    <w:rsid w:val="00426782"/>
    <w:rsid w:val="00427179"/>
    <w:rsid w:val="00432267"/>
    <w:rsid w:val="00432634"/>
    <w:rsid w:val="00434A5A"/>
    <w:rsid w:val="00435C09"/>
    <w:rsid w:val="00442C6B"/>
    <w:rsid w:val="00442F4C"/>
    <w:rsid w:val="0044408D"/>
    <w:rsid w:val="00445203"/>
    <w:rsid w:val="00445F2F"/>
    <w:rsid w:val="0044678E"/>
    <w:rsid w:val="00447702"/>
    <w:rsid w:val="00452ED1"/>
    <w:rsid w:val="00453EAB"/>
    <w:rsid w:val="00454899"/>
    <w:rsid w:val="004551D2"/>
    <w:rsid w:val="00455DEA"/>
    <w:rsid w:val="004600E3"/>
    <w:rsid w:val="004658BE"/>
    <w:rsid w:val="00465B26"/>
    <w:rsid w:val="00465B31"/>
    <w:rsid w:val="00465C82"/>
    <w:rsid w:val="00466449"/>
    <w:rsid w:val="0046645E"/>
    <w:rsid w:val="00466DB3"/>
    <w:rsid w:val="00466DEB"/>
    <w:rsid w:val="00466E3B"/>
    <w:rsid w:val="00470009"/>
    <w:rsid w:val="00471235"/>
    <w:rsid w:val="00474922"/>
    <w:rsid w:val="00475257"/>
    <w:rsid w:val="00475C2D"/>
    <w:rsid w:val="00475E6C"/>
    <w:rsid w:val="0047626C"/>
    <w:rsid w:val="0047708F"/>
    <w:rsid w:val="0047723B"/>
    <w:rsid w:val="00480C5E"/>
    <w:rsid w:val="00482220"/>
    <w:rsid w:val="004840BA"/>
    <w:rsid w:val="004863CF"/>
    <w:rsid w:val="00490F0E"/>
    <w:rsid w:val="00491AA8"/>
    <w:rsid w:val="0049327D"/>
    <w:rsid w:val="00494507"/>
    <w:rsid w:val="00494C89"/>
    <w:rsid w:val="0049575F"/>
    <w:rsid w:val="004A0A50"/>
    <w:rsid w:val="004A1247"/>
    <w:rsid w:val="004A204B"/>
    <w:rsid w:val="004A235C"/>
    <w:rsid w:val="004A2D6F"/>
    <w:rsid w:val="004A3824"/>
    <w:rsid w:val="004A468C"/>
    <w:rsid w:val="004B0741"/>
    <w:rsid w:val="004B3328"/>
    <w:rsid w:val="004B3940"/>
    <w:rsid w:val="004B3DC3"/>
    <w:rsid w:val="004B5AAB"/>
    <w:rsid w:val="004B6BCE"/>
    <w:rsid w:val="004B6BE5"/>
    <w:rsid w:val="004C5C36"/>
    <w:rsid w:val="004C5D3F"/>
    <w:rsid w:val="004C62BF"/>
    <w:rsid w:val="004C6C3B"/>
    <w:rsid w:val="004D1571"/>
    <w:rsid w:val="004D52B0"/>
    <w:rsid w:val="004E0986"/>
    <w:rsid w:val="004E0D31"/>
    <w:rsid w:val="004E1144"/>
    <w:rsid w:val="004E4436"/>
    <w:rsid w:val="004E4B29"/>
    <w:rsid w:val="004E4B51"/>
    <w:rsid w:val="004E5974"/>
    <w:rsid w:val="004E5F75"/>
    <w:rsid w:val="004E7392"/>
    <w:rsid w:val="004F1B99"/>
    <w:rsid w:val="004F3507"/>
    <w:rsid w:val="004F5F38"/>
    <w:rsid w:val="004F6801"/>
    <w:rsid w:val="004F6B31"/>
    <w:rsid w:val="004F71AC"/>
    <w:rsid w:val="00500012"/>
    <w:rsid w:val="005014CA"/>
    <w:rsid w:val="00502F7A"/>
    <w:rsid w:val="00510055"/>
    <w:rsid w:val="005104F3"/>
    <w:rsid w:val="0051069C"/>
    <w:rsid w:val="00510D98"/>
    <w:rsid w:val="00514829"/>
    <w:rsid w:val="005174BA"/>
    <w:rsid w:val="0051764B"/>
    <w:rsid w:val="00517AA0"/>
    <w:rsid w:val="00520021"/>
    <w:rsid w:val="00520E00"/>
    <w:rsid w:val="00521F30"/>
    <w:rsid w:val="0052233B"/>
    <w:rsid w:val="005223E2"/>
    <w:rsid w:val="00523432"/>
    <w:rsid w:val="0052362E"/>
    <w:rsid w:val="005245DF"/>
    <w:rsid w:val="0052578F"/>
    <w:rsid w:val="0052663C"/>
    <w:rsid w:val="005268DC"/>
    <w:rsid w:val="00526AAD"/>
    <w:rsid w:val="00526BF7"/>
    <w:rsid w:val="0052760B"/>
    <w:rsid w:val="00530A10"/>
    <w:rsid w:val="005316DD"/>
    <w:rsid w:val="00531943"/>
    <w:rsid w:val="00532A92"/>
    <w:rsid w:val="0053545E"/>
    <w:rsid w:val="005364A0"/>
    <w:rsid w:val="00537107"/>
    <w:rsid w:val="00537CAD"/>
    <w:rsid w:val="00540142"/>
    <w:rsid w:val="00540389"/>
    <w:rsid w:val="00542255"/>
    <w:rsid w:val="00543331"/>
    <w:rsid w:val="005473D7"/>
    <w:rsid w:val="00547C71"/>
    <w:rsid w:val="00552A6B"/>
    <w:rsid w:val="00555A12"/>
    <w:rsid w:val="00555F3A"/>
    <w:rsid w:val="00556CE5"/>
    <w:rsid w:val="005578E7"/>
    <w:rsid w:val="005615A3"/>
    <w:rsid w:val="005661CA"/>
    <w:rsid w:val="005665FD"/>
    <w:rsid w:val="005669BB"/>
    <w:rsid w:val="00566DB8"/>
    <w:rsid w:val="00573DAD"/>
    <w:rsid w:val="00574596"/>
    <w:rsid w:val="00577F6E"/>
    <w:rsid w:val="00577FA3"/>
    <w:rsid w:val="00581F54"/>
    <w:rsid w:val="005844BC"/>
    <w:rsid w:val="0058622B"/>
    <w:rsid w:val="005877C3"/>
    <w:rsid w:val="00591C0B"/>
    <w:rsid w:val="0059646F"/>
    <w:rsid w:val="005A0F3F"/>
    <w:rsid w:val="005A4113"/>
    <w:rsid w:val="005A6F13"/>
    <w:rsid w:val="005A7B59"/>
    <w:rsid w:val="005A7CCE"/>
    <w:rsid w:val="005B077D"/>
    <w:rsid w:val="005B18FB"/>
    <w:rsid w:val="005B1CBB"/>
    <w:rsid w:val="005B1F46"/>
    <w:rsid w:val="005B4B46"/>
    <w:rsid w:val="005B5C75"/>
    <w:rsid w:val="005B607F"/>
    <w:rsid w:val="005C0233"/>
    <w:rsid w:val="005C1731"/>
    <w:rsid w:val="005C76B8"/>
    <w:rsid w:val="005D143B"/>
    <w:rsid w:val="005D27D4"/>
    <w:rsid w:val="005D3696"/>
    <w:rsid w:val="005D3A1F"/>
    <w:rsid w:val="005D5D53"/>
    <w:rsid w:val="005D635C"/>
    <w:rsid w:val="005D746B"/>
    <w:rsid w:val="005E289F"/>
    <w:rsid w:val="005E3A0B"/>
    <w:rsid w:val="005E4725"/>
    <w:rsid w:val="005E4E15"/>
    <w:rsid w:val="005E4EDD"/>
    <w:rsid w:val="005E6B53"/>
    <w:rsid w:val="005F0467"/>
    <w:rsid w:val="005F0C7D"/>
    <w:rsid w:val="005F3195"/>
    <w:rsid w:val="005F463A"/>
    <w:rsid w:val="005F748E"/>
    <w:rsid w:val="006002EE"/>
    <w:rsid w:val="00600E3B"/>
    <w:rsid w:val="0060180B"/>
    <w:rsid w:val="00601E0F"/>
    <w:rsid w:val="006020B1"/>
    <w:rsid w:val="006053F9"/>
    <w:rsid w:val="006117B9"/>
    <w:rsid w:val="00613761"/>
    <w:rsid w:val="006155D3"/>
    <w:rsid w:val="00615E8B"/>
    <w:rsid w:val="00617CFC"/>
    <w:rsid w:val="00620475"/>
    <w:rsid w:val="00620ADF"/>
    <w:rsid w:val="0062383D"/>
    <w:rsid w:val="006251ED"/>
    <w:rsid w:val="006266CB"/>
    <w:rsid w:val="006301E6"/>
    <w:rsid w:val="0063282F"/>
    <w:rsid w:val="00634122"/>
    <w:rsid w:val="0063538A"/>
    <w:rsid w:val="00635C54"/>
    <w:rsid w:val="00636936"/>
    <w:rsid w:val="00641437"/>
    <w:rsid w:val="00643871"/>
    <w:rsid w:val="006447B1"/>
    <w:rsid w:val="00644DFF"/>
    <w:rsid w:val="00645E3A"/>
    <w:rsid w:val="00650E20"/>
    <w:rsid w:val="0065590C"/>
    <w:rsid w:val="00655D27"/>
    <w:rsid w:val="00656759"/>
    <w:rsid w:val="006602F1"/>
    <w:rsid w:val="00660CEE"/>
    <w:rsid w:val="006643BF"/>
    <w:rsid w:val="006646D8"/>
    <w:rsid w:val="006659E3"/>
    <w:rsid w:val="00667362"/>
    <w:rsid w:val="0067054A"/>
    <w:rsid w:val="00670B59"/>
    <w:rsid w:val="00672CCF"/>
    <w:rsid w:val="0067315C"/>
    <w:rsid w:val="006732C3"/>
    <w:rsid w:val="00673516"/>
    <w:rsid w:val="00673FAE"/>
    <w:rsid w:val="00675237"/>
    <w:rsid w:val="00675934"/>
    <w:rsid w:val="0067665E"/>
    <w:rsid w:val="00676BD1"/>
    <w:rsid w:val="00680FC0"/>
    <w:rsid w:val="0068402A"/>
    <w:rsid w:val="0068496F"/>
    <w:rsid w:val="00685ABC"/>
    <w:rsid w:val="00685E32"/>
    <w:rsid w:val="00687521"/>
    <w:rsid w:val="00687EB4"/>
    <w:rsid w:val="0069293C"/>
    <w:rsid w:val="00693899"/>
    <w:rsid w:val="00696759"/>
    <w:rsid w:val="00697759"/>
    <w:rsid w:val="006A0C2D"/>
    <w:rsid w:val="006A1378"/>
    <w:rsid w:val="006A263A"/>
    <w:rsid w:val="006A7094"/>
    <w:rsid w:val="006B42EB"/>
    <w:rsid w:val="006B4562"/>
    <w:rsid w:val="006B479D"/>
    <w:rsid w:val="006B5835"/>
    <w:rsid w:val="006C3B98"/>
    <w:rsid w:val="006C5F57"/>
    <w:rsid w:val="006D2166"/>
    <w:rsid w:val="006D37B9"/>
    <w:rsid w:val="006D3D21"/>
    <w:rsid w:val="006D62DA"/>
    <w:rsid w:val="006D6369"/>
    <w:rsid w:val="006E1DFE"/>
    <w:rsid w:val="006E3927"/>
    <w:rsid w:val="006E4937"/>
    <w:rsid w:val="006E72E9"/>
    <w:rsid w:val="006F0970"/>
    <w:rsid w:val="006F1D4C"/>
    <w:rsid w:val="006F301D"/>
    <w:rsid w:val="006F4639"/>
    <w:rsid w:val="006F4C73"/>
    <w:rsid w:val="006F4E81"/>
    <w:rsid w:val="006F523B"/>
    <w:rsid w:val="006F60D9"/>
    <w:rsid w:val="006F6316"/>
    <w:rsid w:val="006F7271"/>
    <w:rsid w:val="0070378C"/>
    <w:rsid w:val="007041E5"/>
    <w:rsid w:val="0070460B"/>
    <w:rsid w:val="0070583F"/>
    <w:rsid w:val="00706081"/>
    <w:rsid w:val="0070645E"/>
    <w:rsid w:val="0071347B"/>
    <w:rsid w:val="00713703"/>
    <w:rsid w:val="00714E83"/>
    <w:rsid w:val="0071507D"/>
    <w:rsid w:val="00717598"/>
    <w:rsid w:val="00717C7A"/>
    <w:rsid w:val="00722A81"/>
    <w:rsid w:val="00725252"/>
    <w:rsid w:val="0072725E"/>
    <w:rsid w:val="00727F59"/>
    <w:rsid w:val="00730077"/>
    <w:rsid w:val="007304D6"/>
    <w:rsid w:val="00730A35"/>
    <w:rsid w:val="00733BB2"/>
    <w:rsid w:val="00734761"/>
    <w:rsid w:val="007409E8"/>
    <w:rsid w:val="007416AC"/>
    <w:rsid w:val="00744618"/>
    <w:rsid w:val="007452D7"/>
    <w:rsid w:val="0074546D"/>
    <w:rsid w:val="00747763"/>
    <w:rsid w:val="00747F9A"/>
    <w:rsid w:val="007501B3"/>
    <w:rsid w:val="00751E22"/>
    <w:rsid w:val="00756880"/>
    <w:rsid w:val="00756AD4"/>
    <w:rsid w:val="00760206"/>
    <w:rsid w:val="007626D9"/>
    <w:rsid w:val="007635DB"/>
    <w:rsid w:val="00763796"/>
    <w:rsid w:val="00764727"/>
    <w:rsid w:val="00764769"/>
    <w:rsid w:val="007660C2"/>
    <w:rsid w:val="00766AF4"/>
    <w:rsid w:val="00766B02"/>
    <w:rsid w:val="00770E69"/>
    <w:rsid w:val="00771F7F"/>
    <w:rsid w:val="007723A7"/>
    <w:rsid w:val="0077310A"/>
    <w:rsid w:val="0077767E"/>
    <w:rsid w:val="00777EBD"/>
    <w:rsid w:val="0078134A"/>
    <w:rsid w:val="00782335"/>
    <w:rsid w:val="007842A2"/>
    <w:rsid w:val="007909EC"/>
    <w:rsid w:val="00795D0F"/>
    <w:rsid w:val="00797D1D"/>
    <w:rsid w:val="007A1161"/>
    <w:rsid w:val="007A267C"/>
    <w:rsid w:val="007A4948"/>
    <w:rsid w:val="007A6817"/>
    <w:rsid w:val="007B467A"/>
    <w:rsid w:val="007B5C59"/>
    <w:rsid w:val="007B641A"/>
    <w:rsid w:val="007C14A5"/>
    <w:rsid w:val="007D144D"/>
    <w:rsid w:val="007D3689"/>
    <w:rsid w:val="007D37BA"/>
    <w:rsid w:val="007D3EB5"/>
    <w:rsid w:val="007D5A40"/>
    <w:rsid w:val="007D7694"/>
    <w:rsid w:val="007D76F9"/>
    <w:rsid w:val="007E3042"/>
    <w:rsid w:val="007E464F"/>
    <w:rsid w:val="007E4FE2"/>
    <w:rsid w:val="007E5310"/>
    <w:rsid w:val="007F0B3E"/>
    <w:rsid w:val="007F1811"/>
    <w:rsid w:val="007F1E32"/>
    <w:rsid w:val="007F5010"/>
    <w:rsid w:val="007F5BE1"/>
    <w:rsid w:val="007F6C19"/>
    <w:rsid w:val="0080126D"/>
    <w:rsid w:val="0080284B"/>
    <w:rsid w:val="008068DC"/>
    <w:rsid w:val="00806F19"/>
    <w:rsid w:val="00811DC6"/>
    <w:rsid w:val="008128E7"/>
    <w:rsid w:val="00812AEC"/>
    <w:rsid w:val="00813AC1"/>
    <w:rsid w:val="008142B4"/>
    <w:rsid w:val="00814B1B"/>
    <w:rsid w:val="00814C97"/>
    <w:rsid w:val="008159A5"/>
    <w:rsid w:val="008201BB"/>
    <w:rsid w:val="0082041B"/>
    <w:rsid w:val="0082195F"/>
    <w:rsid w:val="0082670A"/>
    <w:rsid w:val="00826E75"/>
    <w:rsid w:val="00832740"/>
    <w:rsid w:val="00832C48"/>
    <w:rsid w:val="00835628"/>
    <w:rsid w:val="00836380"/>
    <w:rsid w:val="00836702"/>
    <w:rsid w:val="008379F8"/>
    <w:rsid w:val="0084010D"/>
    <w:rsid w:val="008432CE"/>
    <w:rsid w:val="00843477"/>
    <w:rsid w:val="00847324"/>
    <w:rsid w:val="008500FC"/>
    <w:rsid w:val="0085521A"/>
    <w:rsid w:val="008552F1"/>
    <w:rsid w:val="00855E5B"/>
    <w:rsid w:val="008573F2"/>
    <w:rsid w:val="00857CFA"/>
    <w:rsid w:val="00857F9A"/>
    <w:rsid w:val="00860B04"/>
    <w:rsid w:val="00862256"/>
    <w:rsid w:val="00863C10"/>
    <w:rsid w:val="008654FB"/>
    <w:rsid w:val="00865FF9"/>
    <w:rsid w:val="0086658D"/>
    <w:rsid w:val="008678FD"/>
    <w:rsid w:val="008679D3"/>
    <w:rsid w:val="00872B6C"/>
    <w:rsid w:val="0087336E"/>
    <w:rsid w:val="00874EAE"/>
    <w:rsid w:val="00875706"/>
    <w:rsid w:val="008809EA"/>
    <w:rsid w:val="00881946"/>
    <w:rsid w:val="008823A3"/>
    <w:rsid w:val="008827A6"/>
    <w:rsid w:val="0088302C"/>
    <w:rsid w:val="00883AD6"/>
    <w:rsid w:val="008858C7"/>
    <w:rsid w:val="00886762"/>
    <w:rsid w:val="008871F6"/>
    <w:rsid w:val="008872BA"/>
    <w:rsid w:val="008877E3"/>
    <w:rsid w:val="00892409"/>
    <w:rsid w:val="008926FE"/>
    <w:rsid w:val="0089407C"/>
    <w:rsid w:val="008954F8"/>
    <w:rsid w:val="008A295D"/>
    <w:rsid w:val="008A4486"/>
    <w:rsid w:val="008A5596"/>
    <w:rsid w:val="008B3220"/>
    <w:rsid w:val="008B609E"/>
    <w:rsid w:val="008B6865"/>
    <w:rsid w:val="008C01A9"/>
    <w:rsid w:val="008C1C25"/>
    <w:rsid w:val="008C224A"/>
    <w:rsid w:val="008C3A05"/>
    <w:rsid w:val="008C479C"/>
    <w:rsid w:val="008C493E"/>
    <w:rsid w:val="008C56C4"/>
    <w:rsid w:val="008C75CC"/>
    <w:rsid w:val="008C7B0B"/>
    <w:rsid w:val="008D05CD"/>
    <w:rsid w:val="008D24BC"/>
    <w:rsid w:val="008D2DC9"/>
    <w:rsid w:val="008D49CD"/>
    <w:rsid w:val="008D5142"/>
    <w:rsid w:val="008D5832"/>
    <w:rsid w:val="008D685F"/>
    <w:rsid w:val="008D76B2"/>
    <w:rsid w:val="008D7CCE"/>
    <w:rsid w:val="008E0185"/>
    <w:rsid w:val="008E0959"/>
    <w:rsid w:val="008E17BC"/>
    <w:rsid w:val="008E39D2"/>
    <w:rsid w:val="008E5B7B"/>
    <w:rsid w:val="008E5BE7"/>
    <w:rsid w:val="008E650C"/>
    <w:rsid w:val="008F12AC"/>
    <w:rsid w:val="008F2AC2"/>
    <w:rsid w:val="008F2BCF"/>
    <w:rsid w:val="008F4A69"/>
    <w:rsid w:val="00903ED8"/>
    <w:rsid w:val="009061C9"/>
    <w:rsid w:val="00906395"/>
    <w:rsid w:val="00906F3C"/>
    <w:rsid w:val="00910018"/>
    <w:rsid w:val="00912CA0"/>
    <w:rsid w:val="00913E8A"/>
    <w:rsid w:val="00916967"/>
    <w:rsid w:val="0092093C"/>
    <w:rsid w:val="00923285"/>
    <w:rsid w:val="00924BD8"/>
    <w:rsid w:val="00925EE6"/>
    <w:rsid w:val="009261CF"/>
    <w:rsid w:val="009277BF"/>
    <w:rsid w:val="00935AED"/>
    <w:rsid w:val="00937093"/>
    <w:rsid w:val="00940317"/>
    <w:rsid w:val="00942A18"/>
    <w:rsid w:val="00944C22"/>
    <w:rsid w:val="0094664B"/>
    <w:rsid w:val="0094667E"/>
    <w:rsid w:val="00947364"/>
    <w:rsid w:val="0095058F"/>
    <w:rsid w:val="00953BFD"/>
    <w:rsid w:val="00954264"/>
    <w:rsid w:val="00954AD0"/>
    <w:rsid w:val="009551C1"/>
    <w:rsid w:val="00960114"/>
    <w:rsid w:val="00960CE7"/>
    <w:rsid w:val="00962458"/>
    <w:rsid w:val="00962E51"/>
    <w:rsid w:val="00963EC5"/>
    <w:rsid w:val="00964757"/>
    <w:rsid w:val="009654E0"/>
    <w:rsid w:val="0096704B"/>
    <w:rsid w:val="00967129"/>
    <w:rsid w:val="00971ADF"/>
    <w:rsid w:val="00971F63"/>
    <w:rsid w:val="0097453F"/>
    <w:rsid w:val="00976DCC"/>
    <w:rsid w:val="00976E29"/>
    <w:rsid w:val="00977A5A"/>
    <w:rsid w:val="00982447"/>
    <w:rsid w:val="00983256"/>
    <w:rsid w:val="00983606"/>
    <w:rsid w:val="009848E7"/>
    <w:rsid w:val="009854A5"/>
    <w:rsid w:val="00985EE0"/>
    <w:rsid w:val="00986BA5"/>
    <w:rsid w:val="009873C1"/>
    <w:rsid w:val="00987907"/>
    <w:rsid w:val="0099278C"/>
    <w:rsid w:val="00995566"/>
    <w:rsid w:val="00997F50"/>
    <w:rsid w:val="009A0EFF"/>
    <w:rsid w:val="009A35B0"/>
    <w:rsid w:val="009A3D4D"/>
    <w:rsid w:val="009B0CB3"/>
    <w:rsid w:val="009B0FDB"/>
    <w:rsid w:val="009B286A"/>
    <w:rsid w:val="009B3B76"/>
    <w:rsid w:val="009B3EC0"/>
    <w:rsid w:val="009B5878"/>
    <w:rsid w:val="009B5C75"/>
    <w:rsid w:val="009B6E02"/>
    <w:rsid w:val="009B7DBA"/>
    <w:rsid w:val="009B7F3F"/>
    <w:rsid w:val="009C05C5"/>
    <w:rsid w:val="009C1C57"/>
    <w:rsid w:val="009C39BB"/>
    <w:rsid w:val="009C5C27"/>
    <w:rsid w:val="009C65FE"/>
    <w:rsid w:val="009C7423"/>
    <w:rsid w:val="009D0955"/>
    <w:rsid w:val="009D220B"/>
    <w:rsid w:val="009D2CE7"/>
    <w:rsid w:val="009D4FB1"/>
    <w:rsid w:val="009D5D55"/>
    <w:rsid w:val="009E1FDA"/>
    <w:rsid w:val="009E3952"/>
    <w:rsid w:val="009E59EB"/>
    <w:rsid w:val="009F043F"/>
    <w:rsid w:val="009F3E07"/>
    <w:rsid w:val="009F45B8"/>
    <w:rsid w:val="009F5AF1"/>
    <w:rsid w:val="009F5CFE"/>
    <w:rsid w:val="009F6044"/>
    <w:rsid w:val="009F649C"/>
    <w:rsid w:val="00A013D7"/>
    <w:rsid w:val="00A017D7"/>
    <w:rsid w:val="00A026AF"/>
    <w:rsid w:val="00A03233"/>
    <w:rsid w:val="00A03254"/>
    <w:rsid w:val="00A051BC"/>
    <w:rsid w:val="00A06234"/>
    <w:rsid w:val="00A06DA5"/>
    <w:rsid w:val="00A07B3F"/>
    <w:rsid w:val="00A101FE"/>
    <w:rsid w:val="00A121CD"/>
    <w:rsid w:val="00A17B13"/>
    <w:rsid w:val="00A21705"/>
    <w:rsid w:val="00A23616"/>
    <w:rsid w:val="00A2458B"/>
    <w:rsid w:val="00A25A27"/>
    <w:rsid w:val="00A26BC4"/>
    <w:rsid w:val="00A27A9D"/>
    <w:rsid w:val="00A310A3"/>
    <w:rsid w:val="00A31DD7"/>
    <w:rsid w:val="00A32FDA"/>
    <w:rsid w:val="00A33879"/>
    <w:rsid w:val="00A33A02"/>
    <w:rsid w:val="00A344DE"/>
    <w:rsid w:val="00A359B9"/>
    <w:rsid w:val="00A36082"/>
    <w:rsid w:val="00A36447"/>
    <w:rsid w:val="00A46E8F"/>
    <w:rsid w:val="00A500AD"/>
    <w:rsid w:val="00A509F0"/>
    <w:rsid w:val="00A553E7"/>
    <w:rsid w:val="00A562F2"/>
    <w:rsid w:val="00A5681B"/>
    <w:rsid w:val="00A61216"/>
    <w:rsid w:val="00A62921"/>
    <w:rsid w:val="00A65EFC"/>
    <w:rsid w:val="00A66821"/>
    <w:rsid w:val="00A66BEA"/>
    <w:rsid w:val="00A6795D"/>
    <w:rsid w:val="00A7197E"/>
    <w:rsid w:val="00A734CD"/>
    <w:rsid w:val="00A81AC4"/>
    <w:rsid w:val="00A81B2A"/>
    <w:rsid w:val="00A81EFE"/>
    <w:rsid w:val="00A82D0D"/>
    <w:rsid w:val="00A846D7"/>
    <w:rsid w:val="00A856E4"/>
    <w:rsid w:val="00A86607"/>
    <w:rsid w:val="00A9121A"/>
    <w:rsid w:val="00A91552"/>
    <w:rsid w:val="00A91A74"/>
    <w:rsid w:val="00A93049"/>
    <w:rsid w:val="00A93982"/>
    <w:rsid w:val="00A93A47"/>
    <w:rsid w:val="00A95F89"/>
    <w:rsid w:val="00A96288"/>
    <w:rsid w:val="00AA4D9C"/>
    <w:rsid w:val="00AA6424"/>
    <w:rsid w:val="00AA6DE1"/>
    <w:rsid w:val="00AA75E6"/>
    <w:rsid w:val="00AB0274"/>
    <w:rsid w:val="00AB1734"/>
    <w:rsid w:val="00AB1B00"/>
    <w:rsid w:val="00AB36A9"/>
    <w:rsid w:val="00AB43C1"/>
    <w:rsid w:val="00AB4503"/>
    <w:rsid w:val="00AC0117"/>
    <w:rsid w:val="00AC0B78"/>
    <w:rsid w:val="00AC2CF0"/>
    <w:rsid w:val="00AC2CF6"/>
    <w:rsid w:val="00AC4360"/>
    <w:rsid w:val="00AC4D8F"/>
    <w:rsid w:val="00AC5D88"/>
    <w:rsid w:val="00AC6753"/>
    <w:rsid w:val="00AC6E12"/>
    <w:rsid w:val="00AC7FD3"/>
    <w:rsid w:val="00AD1065"/>
    <w:rsid w:val="00AD1CE7"/>
    <w:rsid w:val="00AD3286"/>
    <w:rsid w:val="00AD3AC3"/>
    <w:rsid w:val="00AD4758"/>
    <w:rsid w:val="00AD4F41"/>
    <w:rsid w:val="00AD7BFD"/>
    <w:rsid w:val="00AE057A"/>
    <w:rsid w:val="00AE07A2"/>
    <w:rsid w:val="00AE188B"/>
    <w:rsid w:val="00AE1F6B"/>
    <w:rsid w:val="00AE3237"/>
    <w:rsid w:val="00AE3459"/>
    <w:rsid w:val="00AE4A17"/>
    <w:rsid w:val="00AE6FEC"/>
    <w:rsid w:val="00AF0C4A"/>
    <w:rsid w:val="00AF6095"/>
    <w:rsid w:val="00AF7809"/>
    <w:rsid w:val="00AF7B8F"/>
    <w:rsid w:val="00B0218A"/>
    <w:rsid w:val="00B03F76"/>
    <w:rsid w:val="00B0457F"/>
    <w:rsid w:val="00B11C4C"/>
    <w:rsid w:val="00B13F7D"/>
    <w:rsid w:val="00B156CE"/>
    <w:rsid w:val="00B21C60"/>
    <w:rsid w:val="00B23165"/>
    <w:rsid w:val="00B24CE1"/>
    <w:rsid w:val="00B26E7E"/>
    <w:rsid w:val="00B27172"/>
    <w:rsid w:val="00B276DB"/>
    <w:rsid w:val="00B30E23"/>
    <w:rsid w:val="00B36B8A"/>
    <w:rsid w:val="00B37E11"/>
    <w:rsid w:val="00B42BB9"/>
    <w:rsid w:val="00B43E7D"/>
    <w:rsid w:val="00B447C7"/>
    <w:rsid w:val="00B460A1"/>
    <w:rsid w:val="00B50BD2"/>
    <w:rsid w:val="00B54645"/>
    <w:rsid w:val="00B54704"/>
    <w:rsid w:val="00B613EB"/>
    <w:rsid w:val="00B65B29"/>
    <w:rsid w:val="00B67DD0"/>
    <w:rsid w:val="00B67EEC"/>
    <w:rsid w:val="00B71EF1"/>
    <w:rsid w:val="00B72C73"/>
    <w:rsid w:val="00B72F0B"/>
    <w:rsid w:val="00B734EC"/>
    <w:rsid w:val="00B74961"/>
    <w:rsid w:val="00B7777C"/>
    <w:rsid w:val="00B809DF"/>
    <w:rsid w:val="00B815C7"/>
    <w:rsid w:val="00B84453"/>
    <w:rsid w:val="00B84BA4"/>
    <w:rsid w:val="00B872DD"/>
    <w:rsid w:val="00B912E2"/>
    <w:rsid w:val="00B97FBF"/>
    <w:rsid w:val="00BA19F2"/>
    <w:rsid w:val="00BA2996"/>
    <w:rsid w:val="00BA3272"/>
    <w:rsid w:val="00BA3663"/>
    <w:rsid w:val="00BA3FA9"/>
    <w:rsid w:val="00BA5995"/>
    <w:rsid w:val="00BA6457"/>
    <w:rsid w:val="00BB0A3A"/>
    <w:rsid w:val="00BB17B3"/>
    <w:rsid w:val="00BB1EF4"/>
    <w:rsid w:val="00BB2196"/>
    <w:rsid w:val="00BB294F"/>
    <w:rsid w:val="00BB3696"/>
    <w:rsid w:val="00BB5A76"/>
    <w:rsid w:val="00BB5AD7"/>
    <w:rsid w:val="00BB7074"/>
    <w:rsid w:val="00BC3A44"/>
    <w:rsid w:val="00BC5114"/>
    <w:rsid w:val="00BC5B10"/>
    <w:rsid w:val="00BD06EF"/>
    <w:rsid w:val="00BD17AE"/>
    <w:rsid w:val="00BD5831"/>
    <w:rsid w:val="00BE0857"/>
    <w:rsid w:val="00BE13F2"/>
    <w:rsid w:val="00BE25ED"/>
    <w:rsid w:val="00BE31C8"/>
    <w:rsid w:val="00BE3A57"/>
    <w:rsid w:val="00BE3B0B"/>
    <w:rsid w:val="00BE4982"/>
    <w:rsid w:val="00BE5381"/>
    <w:rsid w:val="00BE54DC"/>
    <w:rsid w:val="00BE593D"/>
    <w:rsid w:val="00BE5B12"/>
    <w:rsid w:val="00BE7AE7"/>
    <w:rsid w:val="00BF1CC9"/>
    <w:rsid w:val="00BF4791"/>
    <w:rsid w:val="00BF4E6F"/>
    <w:rsid w:val="00C01A6C"/>
    <w:rsid w:val="00C02530"/>
    <w:rsid w:val="00C0253F"/>
    <w:rsid w:val="00C02B6B"/>
    <w:rsid w:val="00C02CA8"/>
    <w:rsid w:val="00C04E8D"/>
    <w:rsid w:val="00C07AFC"/>
    <w:rsid w:val="00C12E88"/>
    <w:rsid w:val="00C15A7D"/>
    <w:rsid w:val="00C16E7B"/>
    <w:rsid w:val="00C17F79"/>
    <w:rsid w:val="00C2162B"/>
    <w:rsid w:val="00C21861"/>
    <w:rsid w:val="00C2342B"/>
    <w:rsid w:val="00C23B8B"/>
    <w:rsid w:val="00C2533A"/>
    <w:rsid w:val="00C25DB9"/>
    <w:rsid w:val="00C26A72"/>
    <w:rsid w:val="00C26EC4"/>
    <w:rsid w:val="00C31035"/>
    <w:rsid w:val="00C32E7C"/>
    <w:rsid w:val="00C33B57"/>
    <w:rsid w:val="00C33C1C"/>
    <w:rsid w:val="00C34D23"/>
    <w:rsid w:val="00C35B6E"/>
    <w:rsid w:val="00C37214"/>
    <w:rsid w:val="00C40A36"/>
    <w:rsid w:val="00C416C0"/>
    <w:rsid w:val="00C41F9C"/>
    <w:rsid w:val="00C424C2"/>
    <w:rsid w:val="00C43CB9"/>
    <w:rsid w:val="00C43F58"/>
    <w:rsid w:val="00C51AE9"/>
    <w:rsid w:val="00C5241C"/>
    <w:rsid w:val="00C54B7D"/>
    <w:rsid w:val="00C5660F"/>
    <w:rsid w:val="00C5695E"/>
    <w:rsid w:val="00C57AA9"/>
    <w:rsid w:val="00C57C0B"/>
    <w:rsid w:val="00C60354"/>
    <w:rsid w:val="00C61F52"/>
    <w:rsid w:val="00C634B5"/>
    <w:rsid w:val="00C64981"/>
    <w:rsid w:val="00C70A32"/>
    <w:rsid w:val="00C747D7"/>
    <w:rsid w:val="00C75798"/>
    <w:rsid w:val="00C763C5"/>
    <w:rsid w:val="00C77978"/>
    <w:rsid w:val="00C802F8"/>
    <w:rsid w:val="00C806AD"/>
    <w:rsid w:val="00C80CE4"/>
    <w:rsid w:val="00C81746"/>
    <w:rsid w:val="00C823DA"/>
    <w:rsid w:val="00C82A2B"/>
    <w:rsid w:val="00C85B34"/>
    <w:rsid w:val="00C87E85"/>
    <w:rsid w:val="00C90289"/>
    <w:rsid w:val="00C91B1F"/>
    <w:rsid w:val="00C92171"/>
    <w:rsid w:val="00C94870"/>
    <w:rsid w:val="00C9554C"/>
    <w:rsid w:val="00C96F44"/>
    <w:rsid w:val="00CA01FE"/>
    <w:rsid w:val="00CA0DEC"/>
    <w:rsid w:val="00CA12C6"/>
    <w:rsid w:val="00CA179E"/>
    <w:rsid w:val="00CA1A88"/>
    <w:rsid w:val="00CA33AC"/>
    <w:rsid w:val="00CA38BE"/>
    <w:rsid w:val="00CA38FE"/>
    <w:rsid w:val="00CB009B"/>
    <w:rsid w:val="00CB3C5F"/>
    <w:rsid w:val="00CB44C5"/>
    <w:rsid w:val="00CB6B6C"/>
    <w:rsid w:val="00CB6BC7"/>
    <w:rsid w:val="00CB7849"/>
    <w:rsid w:val="00CB7EE3"/>
    <w:rsid w:val="00CC0DD6"/>
    <w:rsid w:val="00CC35EC"/>
    <w:rsid w:val="00CC660A"/>
    <w:rsid w:val="00CC6E5F"/>
    <w:rsid w:val="00CD1B74"/>
    <w:rsid w:val="00CD27E9"/>
    <w:rsid w:val="00CD34FE"/>
    <w:rsid w:val="00CD4CC8"/>
    <w:rsid w:val="00CD4E4C"/>
    <w:rsid w:val="00CD522D"/>
    <w:rsid w:val="00CD76FD"/>
    <w:rsid w:val="00CD7AF1"/>
    <w:rsid w:val="00CE49E6"/>
    <w:rsid w:val="00CE500A"/>
    <w:rsid w:val="00CE54A7"/>
    <w:rsid w:val="00CE5560"/>
    <w:rsid w:val="00CE6C27"/>
    <w:rsid w:val="00CE6E34"/>
    <w:rsid w:val="00CF1C55"/>
    <w:rsid w:val="00CF272B"/>
    <w:rsid w:val="00CF339C"/>
    <w:rsid w:val="00CF40A2"/>
    <w:rsid w:val="00CF414A"/>
    <w:rsid w:val="00CF4774"/>
    <w:rsid w:val="00CF69D4"/>
    <w:rsid w:val="00D00906"/>
    <w:rsid w:val="00D00AEA"/>
    <w:rsid w:val="00D00E18"/>
    <w:rsid w:val="00D0103E"/>
    <w:rsid w:val="00D0112B"/>
    <w:rsid w:val="00D022F2"/>
    <w:rsid w:val="00D02FD3"/>
    <w:rsid w:val="00D0308D"/>
    <w:rsid w:val="00D05BE4"/>
    <w:rsid w:val="00D07F50"/>
    <w:rsid w:val="00D10407"/>
    <w:rsid w:val="00D10850"/>
    <w:rsid w:val="00D111DE"/>
    <w:rsid w:val="00D112BC"/>
    <w:rsid w:val="00D139C9"/>
    <w:rsid w:val="00D14F94"/>
    <w:rsid w:val="00D15431"/>
    <w:rsid w:val="00D16722"/>
    <w:rsid w:val="00D218C2"/>
    <w:rsid w:val="00D2236E"/>
    <w:rsid w:val="00D22A1B"/>
    <w:rsid w:val="00D23EF4"/>
    <w:rsid w:val="00D247FD"/>
    <w:rsid w:val="00D24A1F"/>
    <w:rsid w:val="00D26F53"/>
    <w:rsid w:val="00D2764B"/>
    <w:rsid w:val="00D30974"/>
    <w:rsid w:val="00D330B1"/>
    <w:rsid w:val="00D33C1C"/>
    <w:rsid w:val="00D35F2B"/>
    <w:rsid w:val="00D36941"/>
    <w:rsid w:val="00D369DF"/>
    <w:rsid w:val="00D4003B"/>
    <w:rsid w:val="00D41DC0"/>
    <w:rsid w:val="00D42ADE"/>
    <w:rsid w:val="00D444C1"/>
    <w:rsid w:val="00D44F39"/>
    <w:rsid w:val="00D46419"/>
    <w:rsid w:val="00D503B0"/>
    <w:rsid w:val="00D5127E"/>
    <w:rsid w:val="00D5296E"/>
    <w:rsid w:val="00D55FE8"/>
    <w:rsid w:val="00D615C3"/>
    <w:rsid w:val="00D63659"/>
    <w:rsid w:val="00D6369A"/>
    <w:rsid w:val="00D658DF"/>
    <w:rsid w:val="00D70766"/>
    <w:rsid w:val="00D72043"/>
    <w:rsid w:val="00D72415"/>
    <w:rsid w:val="00D72A60"/>
    <w:rsid w:val="00D73780"/>
    <w:rsid w:val="00D73CA4"/>
    <w:rsid w:val="00D7553F"/>
    <w:rsid w:val="00D83C17"/>
    <w:rsid w:val="00D86A12"/>
    <w:rsid w:val="00D86C89"/>
    <w:rsid w:val="00D8715B"/>
    <w:rsid w:val="00D9058B"/>
    <w:rsid w:val="00D90A90"/>
    <w:rsid w:val="00D92A87"/>
    <w:rsid w:val="00D941E1"/>
    <w:rsid w:val="00D94E6E"/>
    <w:rsid w:val="00D9786F"/>
    <w:rsid w:val="00DA1731"/>
    <w:rsid w:val="00DA3DCF"/>
    <w:rsid w:val="00DA4006"/>
    <w:rsid w:val="00DA78C8"/>
    <w:rsid w:val="00DB17AB"/>
    <w:rsid w:val="00DB2CF1"/>
    <w:rsid w:val="00DB514C"/>
    <w:rsid w:val="00DB6417"/>
    <w:rsid w:val="00DB64B1"/>
    <w:rsid w:val="00DB72BD"/>
    <w:rsid w:val="00DC0953"/>
    <w:rsid w:val="00DC12DE"/>
    <w:rsid w:val="00DC2F33"/>
    <w:rsid w:val="00DC4B7C"/>
    <w:rsid w:val="00DC4F66"/>
    <w:rsid w:val="00DC6B13"/>
    <w:rsid w:val="00DD14BB"/>
    <w:rsid w:val="00DD2243"/>
    <w:rsid w:val="00DD308B"/>
    <w:rsid w:val="00DD3218"/>
    <w:rsid w:val="00DD35A9"/>
    <w:rsid w:val="00DD3BAE"/>
    <w:rsid w:val="00DD4C1A"/>
    <w:rsid w:val="00DD51F3"/>
    <w:rsid w:val="00DD5C94"/>
    <w:rsid w:val="00DD6EE0"/>
    <w:rsid w:val="00DD736F"/>
    <w:rsid w:val="00DD797A"/>
    <w:rsid w:val="00DE0E25"/>
    <w:rsid w:val="00DE2EC9"/>
    <w:rsid w:val="00DE47F4"/>
    <w:rsid w:val="00DE6E89"/>
    <w:rsid w:val="00DE76BB"/>
    <w:rsid w:val="00DF1FC2"/>
    <w:rsid w:val="00DF4C99"/>
    <w:rsid w:val="00DF6DD8"/>
    <w:rsid w:val="00E01934"/>
    <w:rsid w:val="00E01F61"/>
    <w:rsid w:val="00E02E4C"/>
    <w:rsid w:val="00E03E3D"/>
    <w:rsid w:val="00E07F5E"/>
    <w:rsid w:val="00E10174"/>
    <w:rsid w:val="00E1055C"/>
    <w:rsid w:val="00E118A4"/>
    <w:rsid w:val="00E15C12"/>
    <w:rsid w:val="00E15D61"/>
    <w:rsid w:val="00E20C3E"/>
    <w:rsid w:val="00E24DE1"/>
    <w:rsid w:val="00E27CC3"/>
    <w:rsid w:val="00E30984"/>
    <w:rsid w:val="00E30A93"/>
    <w:rsid w:val="00E33327"/>
    <w:rsid w:val="00E34122"/>
    <w:rsid w:val="00E35E16"/>
    <w:rsid w:val="00E361C9"/>
    <w:rsid w:val="00E364B9"/>
    <w:rsid w:val="00E4210C"/>
    <w:rsid w:val="00E43310"/>
    <w:rsid w:val="00E47422"/>
    <w:rsid w:val="00E52100"/>
    <w:rsid w:val="00E527F5"/>
    <w:rsid w:val="00E5427F"/>
    <w:rsid w:val="00E54A82"/>
    <w:rsid w:val="00E54B01"/>
    <w:rsid w:val="00E55078"/>
    <w:rsid w:val="00E571C3"/>
    <w:rsid w:val="00E600D8"/>
    <w:rsid w:val="00E626BD"/>
    <w:rsid w:val="00E63DCF"/>
    <w:rsid w:val="00E643D6"/>
    <w:rsid w:val="00E64927"/>
    <w:rsid w:val="00E671B4"/>
    <w:rsid w:val="00E679FB"/>
    <w:rsid w:val="00E7048D"/>
    <w:rsid w:val="00E72340"/>
    <w:rsid w:val="00E737D1"/>
    <w:rsid w:val="00E7459C"/>
    <w:rsid w:val="00E74798"/>
    <w:rsid w:val="00E7618F"/>
    <w:rsid w:val="00E778DB"/>
    <w:rsid w:val="00E8097F"/>
    <w:rsid w:val="00E85A4F"/>
    <w:rsid w:val="00E8703E"/>
    <w:rsid w:val="00E90FC9"/>
    <w:rsid w:val="00E91D59"/>
    <w:rsid w:val="00E93034"/>
    <w:rsid w:val="00E942A9"/>
    <w:rsid w:val="00E95D77"/>
    <w:rsid w:val="00EA3B64"/>
    <w:rsid w:val="00EA4366"/>
    <w:rsid w:val="00EA7229"/>
    <w:rsid w:val="00EA795A"/>
    <w:rsid w:val="00EB1471"/>
    <w:rsid w:val="00EB1564"/>
    <w:rsid w:val="00EB1A36"/>
    <w:rsid w:val="00EB1B76"/>
    <w:rsid w:val="00EB404C"/>
    <w:rsid w:val="00EB42D7"/>
    <w:rsid w:val="00EB4A70"/>
    <w:rsid w:val="00EB559E"/>
    <w:rsid w:val="00EB56B1"/>
    <w:rsid w:val="00EB580A"/>
    <w:rsid w:val="00EB5ED0"/>
    <w:rsid w:val="00EB6245"/>
    <w:rsid w:val="00EB6359"/>
    <w:rsid w:val="00EB7245"/>
    <w:rsid w:val="00EC14F8"/>
    <w:rsid w:val="00EC285B"/>
    <w:rsid w:val="00EC2E93"/>
    <w:rsid w:val="00EC3DBA"/>
    <w:rsid w:val="00EC4AD9"/>
    <w:rsid w:val="00EC53DC"/>
    <w:rsid w:val="00EC7307"/>
    <w:rsid w:val="00ED0560"/>
    <w:rsid w:val="00ED068F"/>
    <w:rsid w:val="00ED1405"/>
    <w:rsid w:val="00ED1525"/>
    <w:rsid w:val="00ED1869"/>
    <w:rsid w:val="00ED2F62"/>
    <w:rsid w:val="00ED443C"/>
    <w:rsid w:val="00ED6054"/>
    <w:rsid w:val="00ED7D51"/>
    <w:rsid w:val="00EE031C"/>
    <w:rsid w:val="00EE0977"/>
    <w:rsid w:val="00EE1BD1"/>
    <w:rsid w:val="00EE3783"/>
    <w:rsid w:val="00EE6C4E"/>
    <w:rsid w:val="00EE70D3"/>
    <w:rsid w:val="00EE7EBE"/>
    <w:rsid w:val="00EF024F"/>
    <w:rsid w:val="00EF101E"/>
    <w:rsid w:val="00EF1371"/>
    <w:rsid w:val="00EF5825"/>
    <w:rsid w:val="00EF6E14"/>
    <w:rsid w:val="00EF7C96"/>
    <w:rsid w:val="00F000D7"/>
    <w:rsid w:val="00F01182"/>
    <w:rsid w:val="00F015DE"/>
    <w:rsid w:val="00F0199B"/>
    <w:rsid w:val="00F020E7"/>
    <w:rsid w:val="00F036C2"/>
    <w:rsid w:val="00F06AFE"/>
    <w:rsid w:val="00F06ED4"/>
    <w:rsid w:val="00F113CF"/>
    <w:rsid w:val="00F14A21"/>
    <w:rsid w:val="00F16473"/>
    <w:rsid w:val="00F17288"/>
    <w:rsid w:val="00F1764E"/>
    <w:rsid w:val="00F20169"/>
    <w:rsid w:val="00F207F5"/>
    <w:rsid w:val="00F21FF7"/>
    <w:rsid w:val="00F22881"/>
    <w:rsid w:val="00F22A76"/>
    <w:rsid w:val="00F23312"/>
    <w:rsid w:val="00F25119"/>
    <w:rsid w:val="00F26045"/>
    <w:rsid w:val="00F31221"/>
    <w:rsid w:val="00F31284"/>
    <w:rsid w:val="00F316CE"/>
    <w:rsid w:val="00F32E6F"/>
    <w:rsid w:val="00F33E1A"/>
    <w:rsid w:val="00F3600C"/>
    <w:rsid w:val="00F370D8"/>
    <w:rsid w:val="00F377B6"/>
    <w:rsid w:val="00F41298"/>
    <w:rsid w:val="00F41837"/>
    <w:rsid w:val="00F418E8"/>
    <w:rsid w:val="00F42F2B"/>
    <w:rsid w:val="00F43278"/>
    <w:rsid w:val="00F44972"/>
    <w:rsid w:val="00F46998"/>
    <w:rsid w:val="00F51A19"/>
    <w:rsid w:val="00F53605"/>
    <w:rsid w:val="00F558BF"/>
    <w:rsid w:val="00F60042"/>
    <w:rsid w:val="00F6150B"/>
    <w:rsid w:val="00F61F6D"/>
    <w:rsid w:val="00F61F8D"/>
    <w:rsid w:val="00F64ACF"/>
    <w:rsid w:val="00F65954"/>
    <w:rsid w:val="00F66338"/>
    <w:rsid w:val="00F66FD0"/>
    <w:rsid w:val="00F70AB5"/>
    <w:rsid w:val="00F719EA"/>
    <w:rsid w:val="00F745D6"/>
    <w:rsid w:val="00F751A1"/>
    <w:rsid w:val="00F755E7"/>
    <w:rsid w:val="00F7637C"/>
    <w:rsid w:val="00F77B53"/>
    <w:rsid w:val="00F80140"/>
    <w:rsid w:val="00F80443"/>
    <w:rsid w:val="00F80D48"/>
    <w:rsid w:val="00F81681"/>
    <w:rsid w:val="00F87ACD"/>
    <w:rsid w:val="00F93AF2"/>
    <w:rsid w:val="00F93F57"/>
    <w:rsid w:val="00F943A0"/>
    <w:rsid w:val="00F956CE"/>
    <w:rsid w:val="00F9610C"/>
    <w:rsid w:val="00F971C2"/>
    <w:rsid w:val="00FA2EBE"/>
    <w:rsid w:val="00FA3CAC"/>
    <w:rsid w:val="00FA48F6"/>
    <w:rsid w:val="00FA51FC"/>
    <w:rsid w:val="00FA5AFA"/>
    <w:rsid w:val="00FA6787"/>
    <w:rsid w:val="00FB0496"/>
    <w:rsid w:val="00FB1912"/>
    <w:rsid w:val="00FB7886"/>
    <w:rsid w:val="00FB7ECA"/>
    <w:rsid w:val="00FC0C4F"/>
    <w:rsid w:val="00FC29B1"/>
    <w:rsid w:val="00FC36F8"/>
    <w:rsid w:val="00FD0000"/>
    <w:rsid w:val="00FD00C3"/>
    <w:rsid w:val="00FD032B"/>
    <w:rsid w:val="00FD506B"/>
    <w:rsid w:val="00FD5475"/>
    <w:rsid w:val="00FD7C69"/>
    <w:rsid w:val="00FE028E"/>
    <w:rsid w:val="00FE0753"/>
    <w:rsid w:val="00FE106B"/>
    <w:rsid w:val="00FE3224"/>
    <w:rsid w:val="00FE3AB0"/>
    <w:rsid w:val="00FE3FB5"/>
    <w:rsid w:val="00FE7EC1"/>
    <w:rsid w:val="00FF17EB"/>
    <w:rsid w:val="00FF19CA"/>
    <w:rsid w:val="00FF5DCA"/>
    <w:rsid w:val="07749A88"/>
    <w:rsid w:val="09E7AB46"/>
    <w:rsid w:val="14CF3B82"/>
    <w:rsid w:val="18C9D96E"/>
    <w:rsid w:val="2125DF98"/>
    <w:rsid w:val="24794D9D"/>
    <w:rsid w:val="256CFEAE"/>
    <w:rsid w:val="2D801637"/>
    <w:rsid w:val="3591F6C4"/>
    <w:rsid w:val="35D9A2F4"/>
    <w:rsid w:val="37AC6631"/>
    <w:rsid w:val="38525CFC"/>
    <w:rsid w:val="3D913054"/>
    <w:rsid w:val="40703EEA"/>
    <w:rsid w:val="46079A9F"/>
    <w:rsid w:val="4DA83B40"/>
    <w:rsid w:val="5044E60F"/>
    <w:rsid w:val="54A20248"/>
    <w:rsid w:val="5575938C"/>
    <w:rsid w:val="572802C7"/>
    <w:rsid w:val="634C99C6"/>
    <w:rsid w:val="676C696C"/>
    <w:rsid w:val="6ADFA12D"/>
    <w:rsid w:val="764010E0"/>
    <w:rsid w:val="7F2F1735"/>
    <w:rsid w:val="7FB86D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EF2A4"/>
  <w15:docId w15:val="{442DDDFD-F303-4841-B2CA-1C2E1092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01"/>
    <w:rPr>
      <w:sz w:val="24"/>
      <w:szCs w:val="24"/>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012E9E"/>
    <w:pPr>
      <w:jc w:val="both"/>
      <w:outlineLvl w:val="1"/>
    </w:pPr>
    <w:rPr>
      <w:b/>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cs="Arial"/>
      <w:sz w:val="20"/>
      <w:szCs w:val="20"/>
    </w:rPr>
  </w:style>
  <w:style w:type="paragraph" w:styleId="Header">
    <w:name w:val="header"/>
    <w:basedOn w:val="Normal"/>
    <w:link w:val="HeaderChar"/>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lang w:val="x-none" w:eastAsia="x-none"/>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rsid w:val="00967129"/>
    <w:rPr>
      <w:sz w:val="20"/>
      <w:szCs w:val="20"/>
    </w:rPr>
  </w:style>
  <w:style w:type="character" w:customStyle="1" w:styleId="FootnoteTextChar">
    <w:name w:val="Footnote Tex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3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012E9E"/>
    <w:rPr>
      <w:b/>
      <w:sz w:val="24"/>
      <w:szCs w:val="24"/>
      <w:lang w:val="en-GB" w:eastAsia="x-none"/>
    </w:rPr>
  </w:style>
  <w:style w:type="paragraph" w:styleId="TOC1">
    <w:name w:val="toc 1"/>
    <w:basedOn w:val="Normal"/>
    <w:next w:val="Normal"/>
    <w:autoRedefine/>
    <w:uiPriority w:val="39"/>
    <w:rsid w:val="00836380"/>
    <w:pPr>
      <w:tabs>
        <w:tab w:val="left" w:pos="480"/>
        <w:tab w:val="right" w:leader="dot" w:pos="10618"/>
      </w:tabs>
      <w:spacing w:line="480" w:lineRule="auto"/>
    </w:pPr>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character" w:styleId="UnresolvedMention">
    <w:name w:val="Unresolved Mention"/>
    <w:uiPriority w:val="99"/>
    <w:semiHidden/>
    <w:unhideWhenUsed/>
    <w:rsid w:val="00960114"/>
    <w:rPr>
      <w:color w:val="605E5C"/>
      <w:shd w:val="clear" w:color="auto" w:fill="E1DFDD"/>
    </w:rPr>
  </w:style>
  <w:style w:type="paragraph" w:styleId="Revision">
    <w:name w:val="Revision"/>
    <w:hidden/>
    <w:uiPriority w:val="99"/>
    <w:semiHidden/>
    <w:rsid w:val="003977FE"/>
    <w:rPr>
      <w:sz w:val="24"/>
      <w:szCs w:val="24"/>
    </w:rPr>
  </w:style>
  <w:style w:type="character" w:customStyle="1" w:styleId="BodyTextChar">
    <w:name w:val="Body Text Char"/>
    <w:basedOn w:val="DefaultParagraphFont"/>
    <w:link w:val="BodyText"/>
    <w:rsid w:val="0044678E"/>
    <w:rPr>
      <w:rFonts w:ascii="Arial" w:hAnsi="Arial" w:cs="Arial"/>
    </w:rPr>
  </w:style>
  <w:style w:type="character" w:customStyle="1" w:styleId="HeaderChar">
    <w:name w:val="Header Char"/>
    <w:basedOn w:val="DefaultParagraphFont"/>
    <w:link w:val="Header"/>
    <w:rsid w:val="007A4948"/>
    <w:rPr>
      <w:sz w:val="24"/>
      <w:szCs w:val="24"/>
    </w:rPr>
  </w:style>
  <w:style w:type="character" w:customStyle="1" w:styleId="hgkelc">
    <w:name w:val="hgkelc"/>
    <w:basedOn w:val="DefaultParagraphFont"/>
    <w:rsid w:val="0052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517811608">
      <w:bodyDiv w:val="1"/>
      <w:marLeft w:val="0"/>
      <w:marRight w:val="0"/>
      <w:marTop w:val="0"/>
      <w:marBottom w:val="0"/>
      <w:divBdr>
        <w:top w:val="none" w:sz="0" w:space="0" w:color="auto"/>
        <w:left w:val="none" w:sz="0" w:space="0" w:color="auto"/>
        <w:bottom w:val="none" w:sz="0" w:space="0" w:color="auto"/>
        <w:right w:val="none" w:sz="0" w:space="0" w:color="auto"/>
      </w:divBdr>
      <w:divsChild>
        <w:div w:id="1277445232">
          <w:marLeft w:val="547"/>
          <w:marRight w:val="0"/>
          <w:marTop w:val="0"/>
          <w:marBottom w:val="160"/>
          <w:divBdr>
            <w:top w:val="none" w:sz="0" w:space="0" w:color="auto"/>
            <w:left w:val="none" w:sz="0" w:space="0" w:color="auto"/>
            <w:bottom w:val="none" w:sz="0" w:space="0" w:color="auto"/>
            <w:right w:val="none" w:sz="0" w:space="0" w:color="auto"/>
          </w:divBdr>
        </w:div>
      </w:divsChild>
    </w:div>
    <w:div w:id="676268395">
      <w:bodyDiv w:val="1"/>
      <w:marLeft w:val="0"/>
      <w:marRight w:val="0"/>
      <w:marTop w:val="0"/>
      <w:marBottom w:val="0"/>
      <w:divBdr>
        <w:top w:val="none" w:sz="0" w:space="0" w:color="auto"/>
        <w:left w:val="none" w:sz="0" w:space="0" w:color="auto"/>
        <w:bottom w:val="none" w:sz="0" w:space="0" w:color="auto"/>
        <w:right w:val="none" w:sz="0" w:space="0" w:color="auto"/>
      </w:divBdr>
    </w:div>
    <w:div w:id="1169253764">
      <w:bodyDiv w:val="1"/>
      <w:marLeft w:val="0"/>
      <w:marRight w:val="0"/>
      <w:marTop w:val="0"/>
      <w:marBottom w:val="0"/>
      <w:divBdr>
        <w:top w:val="none" w:sz="0" w:space="0" w:color="auto"/>
        <w:left w:val="none" w:sz="0" w:space="0" w:color="auto"/>
        <w:bottom w:val="none" w:sz="0" w:space="0" w:color="auto"/>
        <w:right w:val="none" w:sz="0" w:space="0" w:color="auto"/>
      </w:divBdr>
    </w:div>
    <w:div w:id="1236358969">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446074129">
      <w:bodyDiv w:val="1"/>
      <w:marLeft w:val="0"/>
      <w:marRight w:val="0"/>
      <w:marTop w:val="0"/>
      <w:marBottom w:val="0"/>
      <w:divBdr>
        <w:top w:val="none" w:sz="0" w:space="0" w:color="auto"/>
        <w:left w:val="none" w:sz="0" w:space="0" w:color="auto"/>
        <w:bottom w:val="none" w:sz="0" w:space="0" w:color="auto"/>
        <w:right w:val="none" w:sz="0" w:space="0" w:color="auto"/>
      </w:divBdr>
      <w:divsChild>
        <w:div w:id="1574388712">
          <w:marLeft w:val="0"/>
          <w:marRight w:val="0"/>
          <w:marTop w:val="0"/>
          <w:marBottom w:val="0"/>
          <w:divBdr>
            <w:top w:val="none" w:sz="0" w:space="0" w:color="auto"/>
            <w:left w:val="none" w:sz="0" w:space="0" w:color="auto"/>
            <w:bottom w:val="none" w:sz="0" w:space="0" w:color="auto"/>
            <w:right w:val="none" w:sz="0" w:space="0" w:color="auto"/>
          </w:divBdr>
        </w:div>
        <w:div w:id="886339321">
          <w:marLeft w:val="0"/>
          <w:marRight w:val="0"/>
          <w:marTop w:val="0"/>
          <w:marBottom w:val="0"/>
          <w:divBdr>
            <w:top w:val="none" w:sz="0" w:space="0" w:color="auto"/>
            <w:left w:val="none" w:sz="0" w:space="0" w:color="auto"/>
            <w:bottom w:val="none" w:sz="0" w:space="0" w:color="auto"/>
            <w:right w:val="none" w:sz="0" w:space="0" w:color="auto"/>
          </w:divBdr>
        </w:div>
      </w:divsChild>
    </w:div>
    <w:div w:id="1472135344">
      <w:bodyDiv w:val="1"/>
      <w:marLeft w:val="0"/>
      <w:marRight w:val="0"/>
      <w:marTop w:val="0"/>
      <w:marBottom w:val="0"/>
      <w:divBdr>
        <w:top w:val="none" w:sz="0" w:space="0" w:color="auto"/>
        <w:left w:val="none" w:sz="0" w:space="0" w:color="auto"/>
        <w:bottom w:val="none" w:sz="0" w:space="0" w:color="auto"/>
        <w:right w:val="none" w:sz="0" w:space="0" w:color="auto"/>
      </w:divBdr>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52848598">
      <w:bodyDiv w:val="1"/>
      <w:marLeft w:val="0"/>
      <w:marRight w:val="0"/>
      <w:marTop w:val="0"/>
      <w:marBottom w:val="0"/>
      <w:divBdr>
        <w:top w:val="none" w:sz="0" w:space="0" w:color="auto"/>
        <w:left w:val="none" w:sz="0" w:space="0" w:color="auto"/>
        <w:bottom w:val="none" w:sz="0" w:space="0" w:color="auto"/>
        <w:right w:val="none" w:sz="0" w:space="0" w:color="auto"/>
      </w:divBdr>
      <w:divsChild>
        <w:div w:id="110784156">
          <w:marLeft w:val="0"/>
          <w:marRight w:val="0"/>
          <w:marTop w:val="0"/>
          <w:marBottom w:val="0"/>
          <w:divBdr>
            <w:top w:val="single" w:sz="2" w:space="0" w:color="E3E3E3"/>
            <w:left w:val="single" w:sz="2" w:space="0" w:color="E3E3E3"/>
            <w:bottom w:val="single" w:sz="2" w:space="0" w:color="E3E3E3"/>
            <w:right w:val="single" w:sz="2" w:space="0" w:color="E3E3E3"/>
          </w:divBdr>
          <w:divsChild>
            <w:div w:id="767388026">
              <w:marLeft w:val="0"/>
              <w:marRight w:val="0"/>
              <w:marTop w:val="0"/>
              <w:marBottom w:val="0"/>
              <w:divBdr>
                <w:top w:val="single" w:sz="2" w:space="0" w:color="E3E3E3"/>
                <w:left w:val="single" w:sz="2" w:space="0" w:color="E3E3E3"/>
                <w:bottom w:val="single" w:sz="2" w:space="0" w:color="E3E3E3"/>
                <w:right w:val="single" w:sz="2" w:space="0" w:color="E3E3E3"/>
              </w:divBdr>
              <w:divsChild>
                <w:div w:id="234900426">
                  <w:marLeft w:val="0"/>
                  <w:marRight w:val="0"/>
                  <w:marTop w:val="0"/>
                  <w:marBottom w:val="0"/>
                  <w:divBdr>
                    <w:top w:val="single" w:sz="2" w:space="0" w:color="E3E3E3"/>
                    <w:left w:val="single" w:sz="2" w:space="0" w:color="E3E3E3"/>
                    <w:bottom w:val="single" w:sz="2" w:space="0" w:color="E3E3E3"/>
                    <w:right w:val="single" w:sz="2" w:space="0" w:color="E3E3E3"/>
                  </w:divBdr>
                  <w:divsChild>
                    <w:div w:id="1590114338">
                      <w:marLeft w:val="0"/>
                      <w:marRight w:val="0"/>
                      <w:marTop w:val="0"/>
                      <w:marBottom w:val="0"/>
                      <w:divBdr>
                        <w:top w:val="single" w:sz="2" w:space="0" w:color="E3E3E3"/>
                        <w:left w:val="single" w:sz="2" w:space="0" w:color="E3E3E3"/>
                        <w:bottom w:val="single" w:sz="2" w:space="0" w:color="E3E3E3"/>
                        <w:right w:val="single" w:sz="2" w:space="0" w:color="E3E3E3"/>
                      </w:divBdr>
                      <w:divsChild>
                        <w:div w:id="1920409311">
                          <w:marLeft w:val="0"/>
                          <w:marRight w:val="0"/>
                          <w:marTop w:val="0"/>
                          <w:marBottom w:val="0"/>
                          <w:divBdr>
                            <w:top w:val="single" w:sz="2" w:space="0" w:color="E3E3E3"/>
                            <w:left w:val="single" w:sz="2" w:space="0" w:color="E3E3E3"/>
                            <w:bottom w:val="single" w:sz="2" w:space="0" w:color="E3E3E3"/>
                            <w:right w:val="single" w:sz="2" w:space="0" w:color="E3E3E3"/>
                          </w:divBdr>
                          <w:divsChild>
                            <w:div w:id="301349541">
                              <w:marLeft w:val="0"/>
                              <w:marRight w:val="0"/>
                              <w:marTop w:val="0"/>
                              <w:marBottom w:val="0"/>
                              <w:divBdr>
                                <w:top w:val="single" w:sz="2" w:space="0" w:color="E3E3E3"/>
                                <w:left w:val="single" w:sz="2" w:space="0" w:color="E3E3E3"/>
                                <w:bottom w:val="single" w:sz="2" w:space="0" w:color="E3E3E3"/>
                                <w:right w:val="single" w:sz="2" w:space="0" w:color="E3E3E3"/>
                              </w:divBdr>
                              <w:divsChild>
                                <w:div w:id="1199320651">
                                  <w:marLeft w:val="0"/>
                                  <w:marRight w:val="0"/>
                                  <w:marTop w:val="100"/>
                                  <w:marBottom w:val="100"/>
                                  <w:divBdr>
                                    <w:top w:val="single" w:sz="2" w:space="0" w:color="E3E3E3"/>
                                    <w:left w:val="single" w:sz="2" w:space="0" w:color="E3E3E3"/>
                                    <w:bottom w:val="single" w:sz="2" w:space="0" w:color="E3E3E3"/>
                                    <w:right w:val="single" w:sz="2" w:space="0" w:color="E3E3E3"/>
                                  </w:divBdr>
                                  <w:divsChild>
                                    <w:div w:id="1040939929">
                                      <w:marLeft w:val="0"/>
                                      <w:marRight w:val="0"/>
                                      <w:marTop w:val="0"/>
                                      <w:marBottom w:val="0"/>
                                      <w:divBdr>
                                        <w:top w:val="single" w:sz="2" w:space="0" w:color="E3E3E3"/>
                                        <w:left w:val="single" w:sz="2" w:space="0" w:color="E3E3E3"/>
                                        <w:bottom w:val="single" w:sz="2" w:space="0" w:color="E3E3E3"/>
                                        <w:right w:val="single" w:sz="2" w:space="0" w:color="E3E3E3"/>
                                      </w:divBdr>
                                      <w:divsChild>
                                        <w:div w:id="1062212291">
                                          <w:marLeft w:val="0"/>
                                          <w:marRight w:val="0"/>
                                          <w:marTop w:val="0"/>
                                          <w:marBottom w:val="0"/>
                                          <w:divBdr>
                                            <w:top w:val="single" w:sz="2" w:space="0" w:color="E3E3E3"/>
                                            <w:left w:val="single" w:sz="2" w:space="0" w:color="E3E3E3"/>
                                            <w:bottom w:val="single" w:sz="2" w:space="0" w:color="E3E3E3"/>
                                            <w:right w:val="single" w:sz="2" w:space="0" w:color="E3E3E3"/>
                                          </w:divBdr>
                                          <w:divsChild>
                                            <w:div w:id="1315060391">
                                              <w:marLeft w:val="0"/>
                                              <w:marRight w:val="0"/>
                                              <w:marTop w:val="0"/>
                                              <w:marBottom w:val="0"/>
                                              <w:divBdr>
                                                <w:top w:val="single" w:sz="2" w:space="0" w:color="E3E3E3"/>
                                                <w:left w:val="single" w:sz="2" w:space="0" w:color="E3E3E3"/>
                                                <w:bottom w:val="single" w:sz="2" w:space="0" w:color="E3E3E3"/>
                                                <w:right w:val="single" w:sz="2" w:space="0" w:color="E3E3E3"/>
                                              </w:divBdr>
                                              <w:divsChild>
                                                <w:div w:id="1042707286">
                                                  <w:marLeft w:val="0"/>
                                                  <w:marRight w:val="0"/>
                                                  <w:marTop w:val="0"/>
                                                  <w:marBottom w:val="0"/>
                                                  <w:divBdr>
                                                    <w:top w:val="single" w:sz="2" w:space="0" w:color="E3E3E3"/>
                                                    <w:left w:val="single" w:sz="2" w:space="0" w:color="E3E3E3"/>
                                                    <w:bottom w:val="single" w:sz="2" w:space="0" w:color="E3E3E3"/>
                                                    <w:right w:val="single" w:sz="2" w:space="0" w:color="E3E3E3"/>
                                                  </w:divBdr>
                                                  <w:divsChild>
                                                    <w:div w:id="1851528622">
                                                      <w:marLeft w:val="0"/>
                                                      <w:marRight w:val="0"/>
                                                      <w:marTop w:val="0"/>
                                                      <w:marBottom w:val="0"/>
                                                      <w:divBdr>
                                                        <w:top w:val="single" w:sz="2" w:space="0" w:color="E3E3E3"/>
                                                        <w:left w:val="single" w:sz="2" w:space="0" w:color="E3E3E3"/>
                                                        <w:bottom w:val="single" w:sz="2" w:space="0" w:color="E3E3E3"/>
                                                        <w:right w:val="single" w:sz="2" w:space="0" w:color="E3E3E3"/>
                                                      </w:divBdr>
                                                      <w:divsChild>
                                                        <w:div w:id="8635945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31678485">
          <w:marLeft w:val="0"/>
          <w:marRight w:val="0"/>
          <w:marTop w:val="0"/>
          <w:marBottom w:val="0"/>
          <w:divBdr>
            <w:top w:val="none" w:sz="0" w:space="0" w:color="auto"/>
            <w:left w:val="none" w:sz="0" w:space="0" w:color="auto"/>
            <w:bottom w:val="none" w:sz="0" w:space="0" w:color="auto"/>
            <w:right w:val="none" w:sz="0" w:space="0" w:color="auto"/>
          </w:divBdr>
        </w:div>
      </w:divsChild>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10266369">
      <w:bodyDiv w:val="1"/>
      <w:marLeft w:val="0"/>
      <w:marRight w:val="0"/>
      <w:marTop w:val="0"/>
      <w:marBottom w:val="0"/>
      <w:divBdr>
        <w:top w:val="none" w:sz="0" w:space="0" w:color="auto"/>
        <w:left w:val="none" w:sz="0" w:space="0" w:color="auto"/>
        <w:bottom w:val="none" w:sz="0" w:space="0" w:color="auto"/>
        <w:right w:val="none" w:sz="0" w:space="0" w:color="auto"/>
      </w:divBdr>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f9695bc1-6109-4dcd-a27a-f8a0370b00e2">Annual Report</DocumentType>
    <UploadedBy xmlns="b1528a4b-5ccb-40f7-a09e-43427183cd95">lydia.nalukwago@undp.org</UploadedBy>
    <Classification xmlns="b1528a4b-5ccb-40f7-a09e-43427183cd95">External</Classification>
    <FormCode xmlns="b1528a4b-5ccb-40f7-a09e-43427183cd95" xsi:nil="true"/>
    <FundId xmlns="f9695bc1-6109-4dcd-a27a-f8a0370b00e2">2063</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MPTF_00305_00001</ProjectId>
    <FundCode xmlns="f9695bc1-6109-4dcd-a27a-f8a0370b00e2">MPTF_00305</FundCode>
    <Comments xmlns="f9695bc1-6109-4dcd-a27a-f8a0370b00e2" xsi:nil="true"/>
    <Active xmlns="f9695bc1-6109-4dcd-a27a-f8a0370b00e2">Yes</Active>
    <DocumentDate xmlns="b1528a4b-5ccb-40f7-a09e-43427183cd95">2024-04-17T07:00:00+00:00</DocumentDate>
    <Featured xmlns="b1528a4b-5ccb-40f7-a09e-43427183cd95">1</Featured>
    <FormTypeCode xmlns="b1528a4b-5ccb-40f7-a09e-43427183cd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cea61b834f8ee701850a84e4d098b1dc">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b7c69fab125bdb54e21c4307976656df"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7F835-DAB4-4E41-AF99-980E8D343B0A}">
  <ds:schemaRefs>
    <ds:schemaRef ds:uri="http://schemas.microsoft.com/office/2006/metadata/properties"/>
    <ds:schemaRef ds:uri="http://schemas.microsoft.com/office/infopath/2007/PartnerControls"/>
    <ds:schemaRef ds:uri="2286246c-fc21-4ee8-a407-068ba74e6317"/>
  </ds:schemaRefs>
</ds:datastoreItem>
</file>

<file path=customXml/itemProps2.xml><?xml version="1.0" encoding="utf-8"?>
<ds:datastoreItem xmlns:ds="http://schemas.openxmlformats.org/officeDocument/2006/customXml" ds:itemID="{0EFB91C5-7954-4D6E-9CEF-D19FB4676050}"/>
</file>

<file path=customXml/itemProps3.xml><?xml version="1.0" encoding="utf-8"?>
<ds:datastoreItem xmlns:ds="http://schemas.openxmlformats.org/officeDocument/2006/customXml" ds:itemID="{F0CB36B1-7FFF-4947-960D-84E97241BD11}">
  <ds:schemaRefs>
    <ds:schemaRef ds:uri="http://schemas.openxmlformats.org/officeDocument/2006/bibliography"/>
  </ds:schemaRefs>
</ds:datastoreItem>
</file>

<file path=customXml/itemProps4.xml><?xml version="1.0" encoding="utf-8"?>
<ds:datastoreItem xmlns:ds="http://schemas.openxmlformats.org/officeDocument/2006/customXml" ds:itemID="{65CA3562-54E0-47E0-B901-6122738DD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11702</Words>
  <Characters>66706</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78252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narrativel Progress report-Kigoma Joint Programme Phase II-00140239.docx</dc:title>
  <dc:subject/>
  <dc:creator>Dalia</dc:creator>
  <cp:keywords/>
  <dc:description/>
  <cp:lastModifiedBy>Lydia Nalukwago</cp:lastModifiedBy>
  <cp:revision>2</cp:revision>
  <cp:lastPrinted>2012-11-29T09:52:00Z</cp:lastPrinted>
  <dcterms:created xsi:type="dcterms:W3CDTF">2024-04-17T19:47:00Z</dcterms:created>
  <dcterms:modified xsi:type="dcterms:W3CDTF">2024-04-17T19:47:00Z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GrammarlyDocumentId">
    <vt:lpwstr>16e34cbd3efebee1105736a68de96f479bf07a233e03461752205afdfe892b77</vt:lpwstr>
  </property>
</Properties>
</file>