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9C34A" w14:textId="77777777" w:rsidR="008E7190" w:rsidRPr="004C0463" w:rsidRDefault="008E7190" w:rsidP="004C0463">
      <w:pPr>
        <w:jc w:val="center"/>
        <w:rPr>
          <w:b/>
          <w:bCs/>
        </w:rPr>
      </w:pPr>
      <w:r w:rsidRPr="008E7190">
        <w:rPr>
          <w:b/>
          <w:bCs/>
          <w:lang w:val="en-US"/>
        </w:rPr>
        <w:t>Ukraine Community Recovery Fund</w:t>
      </w:r>
    </w:p>
    <w:p w14:paraId="0B4CB49A" w14:textId="252CE625" w:rsidR="007677B8" w:rsidRPr="006475B2" w:rsidRDefault="00090A42" w:rsidP="004C0463">
      <w:pPr>
        <w:jc w:val="center"/>
        <w:rPr>
          <w:b/>
          <w:bCs/>
        </w:rPr>
      </w:pPr>
      <w:r>
        <w:rPr>
          <w:b/>
          <w:bCs/>
        </w:rPr>
        <w:t>Second</w:t>
      </w:r>
      <w:r w:rsidR="007677B8" w:rsidRPr="006475B2">
        <w:rPr>
          <w:b/>
          <w:bCs/>
        </w:rPr>
        <w:t xml:space="preserve"> Call for Proposals</w:t>
      </w:r>
      <w:r w:rsidR="00E948B4" w:rsidRPr="006475B2">
        <w:rPr>
          <w:b/>
          <w:bCs/>
        </w:rPr>
        <w:t xml:space="preserve"> </w:t>
      </w:r>
      <w:r w:rsidR="00435264">
        <w:rPr>
          <w:b/>
          <w:bCs/>
        </w:rPr>
        <w:t>–</w:t>
      </w:r>
      <w:r w:rsidR="00E948B4" w:rsidRPr="006475B2">
        <w:rPr>
          <w:b/>
          <w:bCs/>
        </w:rPr>
        <w:t xml:space="preserve"> </w:t>
      </w:r>
      <w:r w:rsidR="00435264">
        <w:rPr>
          <w:b/>
          <w:bCs/>
        </w:rPr>
        <w:t>27 May 2024</w:t>
      </w:r>
    </w:p>
    <w:p w14:paraId="6D95DEC4" w14:textId="77777777" w:rsidR="00B934DE" w:rsidRPr="00254E00" w:rsidRDefault="00B934DE" w:rsidP="00254E00"/>
    <w:p w14:paraId="3BB919B2" w14:textId="48EDD6EF" w:rsidR="00602A17" w:rsidRPr="00B01000" w:rsidRDefault="00CC46F1" w:rsidP="00B01000">
      <w:pPr>
        <w:pStyle w:val="ListParagraph"/>
        <w:numPr>
          <w:ilvl w:val="0"/>
          <w:numId w:val="5"/>
        </w:numPr>
        <w:rPr>
          <w:b/>
          <w:bCs/>
        </w:rPr>
      </w:pPr>
      <w:r w:rsidRPr="00B01000">
        <w:rPr>
          <w:b/>
          <w:bCs/>
        </w:rPr>
        <w:t>Background</w:t>
      </w:r>
    </w:p>
    <w:p w14:paraId="7B7E4C44" w14:textId="53E988D3" w:rsidR="00310D89" w:rsidRDefault="00DF18F4" w:rsidP="00453802">
      <w:pPr>
        <w:jc w:val="both"/>
      </w:pPr>
      <w:r w:rsidRPr="00254E00">
        <w:t>The United Nations (UN) in Ukraine, in coordination with the Government</w:t>
      </w:r>
      <w:r w:rsidR="00435264">
        <w:t>,</w:t>
      </w:r>
      <w:r w:rsidR="00310D89">
        <w:t xml:space="preserve"> continue the implementation of the Ukraine C</w:t>
      </w:r>
      <w:r w:rsidRPr="00254E00">
        <w:t xml:space="preserve">ommunity </w:t>
      </w:r>
      <w:r w:rsidR="00203A98">
        <w:t>R</w:t>
      </w:r>
      <w:r w:rsidRPr="00254E00">
        <w:t xml:space="preserve">ecovery </w:t>
      </w:r>
      <w:r w:rsidR="00203A98">
        <w:t>F</w:t>
      </w:r>
      <w:r w:rsidRPr="00254E00">
        <w:t>und</w:t>
      </w:r>
      <w:r w:rsidR="00310D89">
        <w:t xml:space="preserve"> to </w:t>
      </w:r>
      <w:r w:rsidRPr="00254E00">
        <w:t xml:space="preserve">support an inclusive, area-based approach that is in full synergy to the early recovery priorities as identified in the UN Transitional Framework (2022-2024) and the </w:t>
      </w:r>
      <w:r w:rsidR="0049550E">
        <w:t xml:space="preserve">priorities of the Government from the </w:t>
      </w:r>
      <w:r w:rsidRPr="00254E00">
        <w:t xml:space="preserve">second Rapid Damage and Needs Assessment. </w:t>
      </w:r>
    </w:p>
    <w:p w14:paraId="4FE5585F" w14:textId="542BA039" w:rsidR="007E3F50" w:rsidRDefault="00C71AEB" w:rsidP="00453802">
      <w:pPr>
        <w:jc w:val="both"/>
      </w:pPr>
      <w:r>
        <w:t xml:space="preserve">Thanks to </w:t>
      </w:r>
      <w:r w:rsidR="00435264">
        <w:t xml:space="preserve">a new </w:t>
      </w:r>
      <w:r>
        <w:t xml:space="preserve">generous contribution from Denmark received in May 2024 </w:t>
      </w:r>
      <w:r w:rsidR="00572D42">
        <w:t xml:space="preserve">the Steering Committee approved the Second Strategic Allocation </w:t>
      </w:r>
      <w:r>
        <w:t xml:space="preserve">earmarked for </w:t>
      </w:r>
      <w:r w:rsidR="00572D42">
        <w:t xml:space="preserve">mine </w:t>
      </w:r>
      <w:r w:rsidR="007E3F50">
        <w:t>action for community recovery.</w:t>
      </w:r>
    </w:p>
    <w:p w14:paraId="497D7340" w14:textId="575453DB" w:rsidR="00F1256C" w:rsidRPr="00254E00" w:rsidRDefault="00AC6AF4" w:rsidP="00254E00">
      <w:r w:rsidRPr="00254E00">
        <w:t xml:space="preserve">This Call for Proposals is </w:t>
      </w:r>
      <w:r w:rsidR="00042B3D" w:rsidRPr="00254E00">
        <w:t xml:space="preserve">organized to implement the </w:t>
      </w:r>
      <w:r w:rsidR="007E3F50">
        <w:t>second</w:t>
      </w:r>
      <w:r w:rsidR="00042B3D" w:rsidRPr="00254E00">
        <w:t xml:space="preserve"> strategic </w:t>
      </w:r>
      <w:r w:rsidR="00F1256C" w:rsidRPr="00254E00">
        <w:t>allocation</w:t>
      </w:r>
      <w:r w:rsidR="00F273D9">
        <w:t xml:space="preserve"> under Mine Action pillar</w:t>
      </w:r>
      <w:r w:rsidR="00F1256C" w:rsidRPr="00254E00">
        <w:t>.</w:t>
      </w:r>
    </w:p>
    <w:p w14:paraId="1234C247" w14:textId="77777777" w:rsidR="009A596E" w:rsidRPr="00254E00" w:rsidRDefault="009A596E" w:rsidP="00254E00"/>
    <w:p w14:paraId="65D1995B" w14:textId="3DADC29D" w:rsidR="009A596E" w:rsidRPr="00B01000" w:rsidRDefault="0056320F" w:rsidP="00B01000">
      <w:pPr>
        <w:pStyle w:val="ListParagraph"/>
        <w:numPr>
          <w:ilvl w:val="0"/>
          <w:numId w:val="5"/>
        </w:numPr>
        <w:rPr>
          <w:b/>
          <w:bCs/>
        </w:rPr>
      </w:pPr>
      <w:r w:rsidRPr="00B01000">
        <w:rPr>
          <w:b/>
          <w:bCs/>
        </w:rPr>
        <w:t>Priorities of the Call for Proposals</w:t>
      </w:r>
      <w:r w:rsidR="008B6AC7" w:rsidRPr="00B01000">
        <w:rPr>
          <w:b/>
          <w:bCs/>
        </w:rPr>
        <w:t xml:space="preserve"> </w:t>
      </w:r>
    </w:p>
    <w:p w14:paraId="38985473" w14:textId="2BE60B14" w:rsidR="007E1D53" w:rsidRPr="00254E00" w:rsidRDefault="00F1256C" w:rsidP="00B01000">
      <w:pPr>
        <w:jc w:val="both"/>
      </w:pPr>
      <w:r w:rsidRPr="00254E00">
        <w:t xml:space="preserve">In line with the </w:t>
      </w:r>
      <w:hyperlink r:id="rId10" w:history="1">
        <w:r w:rsidR="00090644" w:rsidRPr="00191521">
          <w:rPr>
            <w:rStyle w:val="Hyperlink"/>
          </w:rPr>
          <w:t>Terms of Reference</w:t>
        </w:r>
        <w:r w:rsidRPr="00191521">
          <w:rPr>
            <w:rStyle w:val="Hyperlink"/>
          </w:rPr>
          <w:t xml:space="preserve"> of the Ukraine </w:t>
        </w:r>
        <w:r w:rsidR="00464F5E" w:rsidRPr="00191521">
          <w:rPr>
            <w:rStyle w:val="Hyperlink"/>
          </w:rPr>
          <w:t>Community Recovery Fund</w:t>
        </w:r>
      </w:hyperlink>
      <w:r w:rsidR="006A47B9">
        <w:t xml:space="preserve"> </w:t>
      </w:r>
      <w:r w:rsidR="00DC0A17">
        <w:t>(Annex to this Call)</w:t>
      </w:r>
      <w:r w:rsidR="00464F5E" w:rsidRPr="00254E00">
        <w:t xml:space="preserve">, the present Call for Proposals </w:t>
      </w:r>
      <w:r w:rsidR="006F4373" w:rsidRPr="00254E00">
        <w:t>has the following objective:</w:t>
      </w:r>
    </w:p>
    <w:p w14:paraId="1BD0C22E" w14:textId="6D8D67E0" w:rsidR="008A3E49" w:rsidRPr="008A3E49" w:rsidRDefault="007E3F50" w:rsidP="004C0463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Mine Action for Community Recovery</w:t>
      </w:r>
    </w:p>
    <w:p w14:paraId="109B5991" w14:textId="20B5407B" w:rsidR="00F1256C" w:rsidRPr="00254E00" w:rsidRDefault="00F33FAF" w:rsidP="00B01000">
      <w:pPr>
        <w:ind w:left="720"/>
        <w:jc w:val="both"/>
      </w:pPr>
      <w:r>
        <w:rPr>
          <w:b/>
          <w:bCs/>
        </w:rPr>
        <w:t>Thematic focus</w:t>
      </w:r>
      <w:r w:rsidRPr="00AE2062">
        <w:t>:</w:t>
      </w:r>
      <w:r>
        <w:t xml:space="preserve"> </w:t>
      </w:r>
      <w:r w:rsidR="004B3DC5">
        <w:t>Mine action is a key enabler for community recovery</w:t>
      </w:r>
      <w:r w:rsidR="00435264">
        <w:t xml:space="preserve"> </w:t>
      </w:r>
      <w:r w:rsidR="00435264" w:rsidRPr="00435264">
        <w:t>– promoting economic activities and supporting voluntary and safe returns</w:t>
      </w:r>
      <w:r w:rsidR="00C932E0">
        <w:t xml:space="preserve">. Under this allocation, </w:t>
      </w:r>
      <w:r w:rsidR="00435264">
        <w:t xml:space="preserve">mine action </w:t>
      </w:r>
      <w:r w:rsidR="00C932E0">
        <w:t xml:space="preserve">support will be provided </w:t>
      </w:r>
      <w:r w:rsidR="00435264">
        <w:t xml:space="preserve">in communities where it can contribute to livelihoods and returns.  </w:t>
      </w:r>
    </w:p>
    <w:p w14:paraId="58B44472" w14:textId="77777777" w:rsidR="00F1256C" w:rsidRPr="00254E00" w:rsidRDefault="00F1256C" w:rsidP="00254E00"/>
    <w:p w14:paraId="7A3BFD31" w14:textId="2E75D432" w:rsidR="007E1D53" w:rsidRPr="00BD122F" w:rsidRDefault="00D82C5F" w:rsidP="00B01000">
      <w:pPr>
        <w:pStyle w:val="ListParagraph"/>
        <w:numPr>
          <w:ilvl w:val="0"/>
          <w:numId w:val="5"/>
        </w:numPr>
      </w:pPr>
      <w:r w:rsidRPr="00B01000">
        <w:rPr>
          <w:b/>
          <w:bCs/>
        </w:rPr>
        <w:t>Financial allocation</w:t>
      </w:r>
    </w:p>
    <w:p w14:paraId="71D8F3AD" w14:textId="227476BB" w:rsidR="00350F8E" w:rsidRPr="00254E00" w:rsidRDefault="00D65B6A" w:rsidP="00552A56">
      <w:pPr>
        <w:jc w:val="both"/>
      </w:pPr>
      <w:r w:rsidRPr="00254E00">
        <w:t xml:space="preserve">The available financial allocation under this Call for Proposals is </w:t>
      </w:r>
      <w:r w:rsidR="00BD122F" w:rsidRPr="00BD122F">
        <w:t>USD 5,820,517.64</w:t>
      </w:r>
      <w:r w:rsidR="00BD122F">
        <w:t>.</w:t>
      </w:r>
    </w:p>
    <w:p w14:paraId="0F0BE35A" w14:textId="4C1BA3B7" w:rsidR="00BD122F" w:rsidRDefault="00BD122F" w:rsidP="00552A56">
      <w:pPr>
        <w:jc w:val="both"/>
      </w:pPr>
      <w:r>
        <w:t>T</w:t>
      </w:r>
      <w:r w:rsidR="003411C7" w:rsidRPr="00254E00">
        <w:t xml:space="preserve">he </w:t>
      </w:r>
      <w:r w:rsidR="003411C7" w:rsidRPr="000672E0">
        <w:rPr>
          <w:i/>
          <w:iCs/>
        </w:rPr>
        <w:t>m</w:t>
      </w:r>
      <w:r w:rsidR="006F7DF3" w:rsidRPr="000672E0">
        <w:rPr>
          <w:i/>
          <w:iCs/>
        </w:rPr>
        <w:t xml:space="preserve">inimum </w:t>
      </w:r>
      <w:r w:rsidR="004829C6" w:rsidRPr="000672E0">
        <w:rPr>
          <w:i/>
          <w:iCs/>
        </w:rPr>
        <w:t>amount</w:t>
      </w:r>
      <w:r w:rsidR="004829C6" w:rsidRPr="00254E00">
        <w:t xml:space="preserve"> </w:t>
      </w:r>
      <w:r w:rsidR="003411C7" w:rsidRPr="00254E00">
        <w:t>of the project proposal is set to US</w:t>
      </w:r>
      <w:r w:rsidR="009D6437">
        <w:t>$</w:t>
      </w:r>
      <w:r w:rsidR="002D5131" w:rsidRPr="00254E00">
        <w:t xml:space="preserve"> </w:t>
      </w:r>
      <w:r w:rsidR="00DD07FC">
        <w:t xml:space="preserve">2 </w:t>
      </w:r>
      <w:r w:rsidR="002D5131" w:rsidRPr="00254E00">
        <w:t>Mi</w:t>
      </w:r>
      <w:r w:rsidR="003411C7" w:rsidRPr="00254E00">
        <w:t xml:space="preserve">llion. </w:t>
      </w:r>
    </w:p>
    <w:p w14:paraId="5B8DBC57" w14:textId="55C6707E" w:rsidR="006F7DF3" w:rsidRPr="00254E00" w:rsidRDefault="003411C7" w:rsidP="00552A56">
      <w:pPr>
        <w:jc w:val="both"/>
      </w:pPr>
      <w:r w:rsidRPr="00254E00">
        <w:t xml:space="preserve">The </w:t>
      </w:r>
      <w:r w:rsidRPr="000672E0">
        <w:rPr>
          <w:i/>
          <w:iCs/>
        </w:rPr>
        <w:t xml:space="preserve">maximum </w:t>
      </w:r>
      <w:r w:rsidR="008B2FA4" w:rsidRPr="000672E0">
        <w:rPr>
          <w:i/>
          <w:iCs/>
        </w:rPr>
        <w:t>amount</w:t>
      </w:r>
      <w:r w:rsidR="008B2FA4" w:rsidRPr="00254E00">
        <w:t xml:space="preserve"> is limited by the financial allocation indicated above.</w:t>
      </w:r>
      <w:r w:rsidR="009B710F">
        <w:t xml:space="preserve"> </w:t>
      </w:r>
    </w:p>
    <w:p w14:paraId="1D63F258" w14:textId="77777777" w:rsidR="009B710F" w:rsidRDefault="009B710F" w:rsidP="00254E00">
      <w:pPr>
        <w:rPr>
          <w:b/>
          <w:bCs/>
        </w:rPr>
      </w:pPr>
    </w:p>
    <w:p w14:paraId="766AFA62" w14:textId="64C1E04D" w:rsidR="0056320F" w:rsidRPr="00D302E4" w:rsidRDefault="0056320F" w:rsidP="00D302E4">
      <w:pPr>
        <w:pStyle w:val="ListParagraph"/>
        <w:numPr>
          <w:ilvl w:val="0"/>
          <w:numId w:val="5"/>
        </w:numPr>
        <w:rPr>
          <w:b/>
          <w:bCs/>
        </w:rPr>
      </w:pPr>
      <w:r w:rsidRPr="00D302E4">
        <w:rPr>
          <w:b/>
          <w:bCs/>
        </w:rPr>
        <w:t>Eli</w:t>
      </w:r>
      <w:r w:rsidR="00164CFC" w:rsidRPr="00D302E4">
        <w:rPr>
          <w:b/>
          <w:bCs/>
        </w:rPr>
        <w:t>gibility criteria</w:t>
      </w:r>
    </w:p>
    <w:p w14:paraId="4B7673CF" w14:textId="29D60487" w:rsidR="00393268" w:rsidRPr="00552A56" w:rsidRDefault="000B0A3F" w:rsidP="00552A56">
      <w:pPr>
        <w:ind w:left="360"/>
        <w:rPr>
          <w:b/>
          <w:bCs/>
          <w:i/>
          <w:iCs/>
        </w:rPr>
      </w:pPr>
      <w:r w:rsidRPr="00552A56">
        <w:rPr>
          <w:b/>
          <w:bCs/>
          <w:i/>
          <w:iCs/>
        </w:rPr>
        <w:t>Applicants</w:t>
      </w:r>
    </w:p>
    <w:p w14:paraId="44A707DA" w14:textId="3B768A1E" w:rsidR="00A14879" w:rsidRPr="00254E00" w:rsidRDefault="005D224D" w:rsidP="00552A56">
      <w:pPr>
        <w:jc w:val="both"/>
      </w:pPr>
      <w:r w:rsidRPr="00254E00">
        <w:t xml:space="preserve">Eligible applicants for the Call for Proposals are UN </w:t>
      </w:r>
      <w:r w:rsidR="009B710F">
        <w:t>entities</w:t>
      </w:r>
      <w:r w:rsidRPr="00254E00">
        <w:t xml:space="preserve"> </w:t>
      </w:r>
      <w:r w:rsidR="00F56B47" w:rsidRPr="00254E00">
        <w:rPr>
          <w:lang w:val="en-US"/>
        </w:rPr>
        <w:t>resident in Ukraine</w:t>
      </w:r>
      <w:r w:rsidRPr="00254E00">
        <w:t xml:space="preserve"> that </w:t>
      </w:r>
      <w:r w:rsidR="000672E0" w:rsidRPr="00254E00">
        <w:t>fulfil</w:t>
      </w:r>
      <w:r w:rsidRPr="00254E00">
        <w:t xml:space="preserve"> the following </w:t>
      </w:r>
      <w:r w:rsidR="00DC31D9" w:rsidRPr="00254E00">
        <w:t>criteria:</w:t>
      </w:r>
    </w:p>
    <w:p w14:paraId="1478C652" w14:textId="6738E18F" w:rsidR="009B710F" w:rsidRPr="00254E00" w:rsidRDefault="009B710F" w:rsidP="00552A56">
      <w:pPr>
        <w:pStyle w:val="ListParagraph"/>
        <w:numPr>
          <w:ilvl w:val="0"/>
          <w:numId w:val="3"/>
        </w:numPr>
        <w:jc w:val="both"/>
      </w:pPr>
      <w:r w:rsidRPr="00254E00">
        <w:t>Proven operational presence (</w:t>
      </w:r>
      <w:r w:rsidR="00EE5C9B">
        <w:t>field</w:t>
      </w:r>
      <w:r w:rsidRPr="00254E00">
        <w:t xml:space="preserve"> office</w:t>
      </w:r>
      <w:r w:rsidR="00EE5C9B">
        <w:t xml:space="preserve">, humanitarian and recovery </w:t>
      </w:r>
      <w:r w:rsidRPr="00254E00">
        <w:t xml:space="preserve">activities) in </w:t>
      </w:r>
      <w:r w:rsidR="00BD122F">
        <w:t>the area of programme support</w:t>
      </w:r>
      <w:r w:rsidRPr="00254E00">
        <w:t xml:space="preserve"> </w:t>
      </w:r>
      <w:r w:rsidR="001D56D5">
        <w:t xml:space="preserve">that can be leveraged for rapid delivery of </w:t>
      </w:r>
      <w:r w:rsidR="006029F8">
        <w:t>proposed interventions</w:t>
      </w:r>
      <w:r w:rsidR="001D56D5">
        <w:t>.</w:t>
      </w:r>
    </w:p>
    <w:p w14:paraId="1699A19A" w14:textId="39B5CBEA" w:rsidR="00DC31D9" w:rsidRPr="00254E00" w:rsidRDefault="00EE5C9B" w:rsidP="00552A56">
      <w:pPr>
        <w:pStyle w:val="ListParagraph"/>
        <w:numPr>
          <w:ilvl w:val="0"/>
          <w:numId w:val="3"/>
        </w:numPr>
        <w:jc w:val="both"/>
      </w:pPr>
      <w:r>
        <w:t xml:space="preserve">Mandate relevant to </w:t>
      </w:r>
      <w:r w:rsidR="00BD122F">
        <w:t>mine action</w:t>
      </w:r>
      <w:r w:rsidR="00435264">
        <w:t xml:space="preserve"> and community recovery</w:t>
      </w:r>
      <w:r w:rsidR="00A15033">
        <w:t>.</w:t>
      </w:r>
    </w:p>
    <w:p w14:paraId="618FB54B" w14:textId="4EA4FFD5" w:rsidR="009E2FCD" w:rsidRPr="00254E00" w:rsidRDefault="006029F8" w:rsidP="00552A56">
      <w:pPr>
        <w:pStyle w:val="ListParagraph"/>
        <w:numPr>
          <w:ilvl w:val="0"/>
          <w:numId w:val="3"/>
        </w:numPr>
        <w:jc w:val="both"/>
      </w:pPr>
      <w:r>
        <w:t xml:space="preserve">Proven experience in </w:t>
      </w:r>
      <w:r w:rsidR="00BD122F">
        <w:t>mine action on the local level</w:t>
      </w:r>
      <w:r>
        <w:t>.</w:t>
      </w:r>
    </w:p>
    <w:p w14:paraId="7B94B2EC" w14:textId="77777777" w:rsidR="001F7164" w:rsidRDefault="001F7164" w:rsidP="001F7164">
      <w:pPr>
        <w:pStyle w:val="ListParagraph"/>
      </w:pPr>
    </w:p>
    <w:p w14:paraId="356091EB" w14:textId="321FFAB1" w:rsidR="00393268" w:rsidRPr="000F525C" w:rsidRDefault="009124EF" w:rsidP="000F525C">
      <w:pPr>
        <w:ind w:firstLine="360"/>
        <w:rPr>
          <w:b/>
          <w:bCs/>
          <w:i/>
          <w:iCs/>
        </w:rPr>
      </w:pPr>
      <w:r w:rsidRPr="000F525C">
        <w:rPr>
          <w:b/>
          <w:bCs/>
          <w:i/>
          <w:iCs/>
        </w:rPr>
        <w:t>Partnerships</w:t>
      </w:r>
    </w:p>
    <w:p w14:paraId="32F3A060" w14:textId="4B1D18BB" w:rsidR="002807B9" w:rsidRDefault="00BD122F" w:rsidP="000B0A3F">
      <w:pPr>
        <w:jc w:val="both"/>
      </w:pPr>
      <w:r>
        <w:t>I</w:t>
      </w:r>
      <w:r w:rsidR="00393268" w:rsidRPr="00254E00">
        <w:t xml:space="preserve">n line with </w:t>
      </w:r>
      <w:r w:rsidR="007526B8">
        <w:t xml:space="preserve">the inclusive </w:t>
      </w:r>
      <w:r w:rsidR="00393268" w:rsidRPr="00254E00">
        <w:t xml:space="preserve">community recovery focus, the </w:t>
      </w:r>
      <w:r w:rsidR="009124EF">
        <w:t>proposals must demonstrate</w:t>
      </w:r>
      <w:r w:rsidR="00EC4DA3">
        <w:t xml:space="preserve"> </w:t>
      </w:r>
      <w:r w:rsidR="009124EF">
        <w:t>consultation</w:t>
      </w:r>
      <w:r w:rsidR="00D77123">
        <w:t xml:space="preserve"> and partnerships</w:t>
      </w:r>
      <w:r w:rsidR="009124EF">
        <w:t xml:space="preserve"> with </w:t>
      </w:r>
      <w:r w:rsidR="007526B8">
        <w:t xml:space="preserve">the </w:t>
      </w:r>
      <w:r>
        <w:t xml:space="preserve">relevant </w:t>
      </w:r>
      <w:r w:rsidR="009124EF">
        <w:t xml:space="preserve">regional administration, authorities of targeted </w:t>
      </w:r>
      <w:proofErr w:type="spellStart"/>
      <w:r w:rsidR="009124EF">
        <w:t>hromadas</w:t>
      </w:r>
      <w:proofErr w:type="spellEnd"/>
      <w:r w:rsidR="009124EF">
        <w:t xml:space="preserve">, </w:t>
      </w:r>
      <w:r w:rsidR="0018781F">
        <w:t xml:space="preserve">civil society representing vulnerable groups such as </w:t>
      </w:r>
      <w:r w:rsidR="007526B8">
        <w:t xml:space="preserve">rural households, </w:t>
      </w:r>
      <w:r w:rsidR="0018781F">
        <w:t>grassroots women, persons with disabilities</w:t>
      </w:r>
      <w:r w:rsidR="00D77123">
        <w:t>, internally displaced persons</w:t>
      </w:r>
      <w:r w:rsidR="0018781F">
        <w:t xml:space="preserve"> and veterans associations. </w:t>
      </w:r>
      <w:r w:rsidR="007526B8">
        <w:t xml:space="preserve">Proposals are not required to be </w:t>
      </w:r>
      <w:r w:rsidR="0022085F">
        <w:t>joint but</w:t>
      </w:r>
      <w:r w:rsidR="00D76483">
        <w:t xml:space="preserve"> must demonstrate joint analysis and </w:t>
      </w:r>
      <w:r w:rsidR="0022085F">
        <w:t xml:space="preserve">joint </w:t>
      </w:r>
      <w:r w:rsidR="00D76483">
        <w:t>aligned planning</w:t>
      </w:r>
      <w:r w:rsidR="0022085F">
        <w:t xml:space="preserve"> and interventions</w:t>
      </w:r>
      <w:r w:rsidR="00D76483">
        <w:t xml:space="preserve"> in targeted communities</w:t>
      </w:r>
      <w:r w:rsidR="007E4E57">
        <w:t xml:space="preserve"> among UN </w:t>
      </w:r>
      <w:r w:rsidR="007E4E57">
        <w:lastRenderedPageBreak/>
        <w:t xml:space="preserve">agencies. </w:t>
      </w:r>
      <w:r w:rsidR="002807B9">
        <w:t>Before</w:t>
      </w:r>
      <w:r w:rsidR="007E4E57">
        <w:t xml:space="preserve"> submission of the proposal </w:t>
      </w:r>
      <w:r w:rsidR="006F380F">
        <w:t xml:space="preserve">the applicant must </w:t>
      </w:r>
      <w:r w:rsidR="007C13EF">
        <w:t>ensur</w:t>
      </w:r>
      <w:r w:rsidR="006F380F">
        <w:t>e</w:t>
      </w:r>
      <w:r w:rsidR="007C13EF">
        <w:t xml:space="preserve"> UN agencies active in the </w:t>
      </w:r>
      <w:r w:rsidR="00C50123">
        <w:t>area</w:t>
      </w:r>
      <w:r w:rsidR="007E4E57">
        <w:t xml:space="preserve"> </w:t>
      </w:r>
      <w:r w:rsidR="00C50123">
        <w:t xml:space="preserve">are consulted and </w:t>
      </w:r>
      <w:r w:rsidR="007E4E57">
        <w:t xml:space="preserve">UN </w:t>
      </w:r>
      <w:r w:rsidR="00C50123">
        <w:t>activities are coherent</w:t>
      </w:r>
      <w:r w:rsidR="00D76483">
        <w:t xml:space="preserve">. </w:t>
      </w:r>
    </w:p>
    <w:p w14:paraId="41FF365A" w14:textId="5305357D" w:rsidR="00393268" w:rsidRPr="00254E00" w:rsidRDefault="00BD122F" w:rsidP="000B0A3F">
      <w:pPr>
        <w:jc w:val="both"/>
      </w:pPr>
      <w:r w:rsidRPr="00BD122F">
        <w:t xml:space="preserve">Considering the thematic focus, </w:t>
      </w:r>
      <w:r w:rsidR="00AA4433" w:rsidRPr="00BD122F">
        <w:t xml:space="preserve">the proposal must demonstrate consultation and alignment with </w:t>
      </w:r>
      <w:r w:rsidR="007E6415">
        <w:t xml:space="preserve">the </w:t>
      </w:r>
      <w:r w:rsidR="007E6415" w:rsidRPr="007E6415">
        <w:t>State Emergency Service of Ukraine</w:t>
      </w:r>
      <w:r w:rsidR="00AA4433" w:rsidRPr="00BD122F">
        <w:t>.</w:t>
      </w:r>
      <w:r w:rsidR="00AA4433">
        <w:t xml:space="preserve"> </w:t>
      </w:r>
    </w:p>
    <w:p w14:paraId="24423AF6" w14:textId="3673F9CA" w:rsidR="00F059A9" w:rsidRPr="00254E00" w:rsidRDefault="00F059A9" w:rsidP="00254E00"/>
    <w:p w14:paraId="4D42A9F6" w14:textId="5B9364D7" w:rsidR="00164CFC" w:rsidRPr="00B87504" w:rsidRDefault="00977ECD" w:rsidP="00B87504">
      <w:pPr>
        <w:pStyle w:val="ListParagraph"/>
        <w:numPr>
          <w:ilvl w:val="0"/>
          <w:numId w:val="5"/>
        </w:numPr>
        <w:rPr>
          <w:b/>
          <w:bCs/>
        </w:rPr>
      </w:pPr>
      <w:r w:rsidRPr="00B87504">
        <w:rPr>
          <w:b/>
          <w:bCs/>
        </w:rPr>
        <w:t>Application procedure</w:t>
      </w:r>
    </w:p>
    <w:p w14:paraId="498E1296" w14:textId="27C1B523" w:rsidR="00977ECD" w:rsidRPr="00254E00" w:rsidRDefault="00CB3F11" w:rsidP="00693079">
      <w:pPr>
        <w:jc w:val="both"/>
      </w:pPr>
      <w:r w:rsidRPr="00254E00">
        <w:t>Project proposals in line with the call for proposals are submi</w:t>
      </w:r>
      <w:r w:rsidR="001F7164">
        <w:t>t</w:t>
      </w:r>
      <w:r w:rsidRPr="00254E00">
        <w:t>ted for considera</w:t>
      </w:r>
      <w:r w:rsidR="001F7164">
        <w:rPr>
          <w:rFonts w:ascii="Calibri" w:eastAsia="Calibri" w:hAnsi="Calibri" w:cs="Calibri"/>
        </w:rPr>
        <w:t>ti</w:t>
      </w:r>
      <w:r w:rsidRPr="00254E00">
        <w:t>on</w:t>
      </w:r>
      <w:r w:rsidR="00B87504">
        <w:t xml:space="preserve"> </w:t>
      </w:r>
      <w:r w:rsidR="00B87504" w:rsidRPr="006F1AE6">
        <w:rPr>
          <w:b/>
          <w:bCs/>
        </w:rPr>
        <w:t>latest</w:t>
      </w:r>
      <w:r w:rsidRPr="006F1AE6">
        <w:rPr>
          <w:b/>
          <w:bCs/>
        </w:rPr>
        <w:t xml:space="preserve"> </w:t>
      </w:r>
      <w:r w:rsidR="00195100" w:rsidRPr="006F1AE6">
        <w:rPr>
          <w:b/>
          <w:bCs/>
        </w:rPr>
        <w:t xml:space="preserve">by </w:t>
      </w:r>
      <w:r w:rsidR="00435264">
        <w:rPr>
          <w:b/>
          <w:bCs/>
        </w:rPr>
        <w:t>21 June</w:t>
      </w:r>
      <w:r w:rsidR="00195100" w:rsidRPr="006F1AE6">
        <w:rPr>
          <w:b/>
          <w:bCs/>
        </w:rPr>
        <w:t xml:space="preserve"> 202</w:t>
      </w:r>
      <w:r w:rsidR="002E5D07" w:rsidRPr="006F1AE6">
        <w:rPr>
          <w:b/>
          <w:bCs/>
        </w:rPr>
        <w:t>4</w:t>
      </w:r>
      <w:r w:rsidR="00EA0960">
        <w:rPr>
          <w:b/>
          <w:bCs/>
        </w:rPr>
        <w:t xml:space="preserve">, </w:t>
      </w:r>
      <w:r w:rsidR="00EA0960" w:rsidRPr="00EA0960">
        <w:rPr>
          <w:b/>
          <w:bCs/>
        </w:rPr>
        <w:t>23:59 Kyiv time</w:t>
      </w:r>
      <w:r w:rsidR="00EA0960">
        <w:t xml:space="preserve">, </w:t>
      </w:r>
      <w:r w:rsidR="00195100">
        <w:t xml:space="preserve">to </w:t>
      </w:r>
      <w:r w:rsidR="007D2CB3">
        <w:t xml:space="preserve">the Fund Secretariat, hosted in </w:t>
      </w:r>
      <w:r w:rsidR="00195100">
        <w:t>the UN Resident Coordinator Office</w:t>
      </w:r>
      <w:r w:rsidR="007D2CB3">
        <w:t>. P</w:t>
      </w:r>
      <w:r w:rsidR="00A05821" w:rsidRPr="00254E00">
        <w:t>roject proposal</w:t>
      </w:r>
      <w:r w:rsidR="007D2CB3">
        <w:t>s should be submitted by email</w:t>
      </w:r>
      <w:r w:rsidR="009C5675">
        <w:t xml:space="preserve"> in MS Word format</w:t>
      </w:r>
      <w:r w:rsidR="007D2CB3">
        <w:t xml:space="preserve"> to </w:t>
      </w:r>
      <w:hyperlink r:id="rId11" w:history="1">
        <w:r w:rsidR="008C499A" w:rsidRPr="00254E00">
          <w:rPr>
            <w:rStyle w:val="Hyperlink"/>
          </w:rPr>
          <w:t>ana.lukatela@un.org</w:t>
        </w:r>
      </w:hyperlink>
      <w:r w:rsidR="007D2CB3">
        <w:t xml:space="preserve"> and </w:t>
      </w:r>
      <w:hyperlink r:id="rId12" w:history="1">
        <w:r w:rsidR="008C499A" w:rsidRPr="00254E00">
          <w:rPr>
            <w:rStyle w:val="Hyperlink"/>
          </w:rPr>
          <w:t>aliaksei.vavokhin@un.org</w:t>
        </w:r>
      </w:hyperlink>
      <w:r w:rsidR="007D2CB3">
        <w:rPr>
          <w:rStyle w:val="Hyperlink"/>
        </w:rPr>
        <w:t>.</w:t>
      </w:r>
    </w:p>
    <w:p w14:paraId="42FE4DD5" w14:textId="69888851" w:rsidR="006A7F5A" w:rsidRDefault="00D45C1E" w:rsidP="00693079">
      <w:pPr>
        <w:jc w:val="both"/>
      </w:pPr>
      <w:r w:rsidRPr="00254E00">
        <w:t xml:space="preserve">The applicant </w:t>
      </w:r>
      <w:r w:rsidR="006F380F">
        <w:t xml:space="preserve">must use the attached </w:t>
      </w:r>
      <w:r w:rsidR="0009656A" w:rsidRPr="00EA0960">
        <w:rPr>
          <w:b/>
          <w:bCs/>
        </w:rPr>
        <w:t>Ukraine CRF Project Document Template</w:t>
      </w:r>
      <w:r w:rsidRPr="00254E00">
        <w:t xml:space="preserve"> </w:t>
      </w:r>
      <w:r w:rsidR="00F24E58" w:rsidRPr="00254E00">
        <w:t xml:space="preserve">with the following minimum elements: </w:t>
      </w:r>
      <w:r w:rsidR="00354982" w:rsidRPr="00254E00">
        <w:t xml:space="preserve">1) </w:t>
      </w:r>
      <w:r w:rsidR="00F24E58" w:rsidRPr="00254E00">
        <w:t xml:space="preserve">project </w:t>
      </w:r>
      <w:r w:rsidR="00BC27ED">
        <w:t xml:space="preserve">narrative including justification, </w:t>
      </w:r>
      <w:r w:rsidR="00816E89">
        <w:t xml:space="preserve">alignment to regional priorities and other submitted proposals, </w:t>
      </w:r>
      <w:r w:rsidR="00BC27ED">
        <w:t>description of activities</w:t>
      </w:r>
      <w:r w:rsidR="005E2ACE">
        <w:t xml:space="preserve"> demonstrating the inclusive community recovery approach</w:t>
      </w:r>
      <w:r w:rsidR="00BC27ED">
        <w:t>, partnerships</w:t>
      </w:r>
      <w:r w:rsidR="00F24E58" w:rsidRPr="00254E00">
        <w:t>,</w:t>
      </w:r>
      <w:r w:rsidR="000743B5">
        <w:t xml:space="preserve"> gender marker description and score</w:t>
      </w:r>
      <w:r w:rsidR="00354982" w:rsidRPr="00254E00">
        <w:t xml:space="preserve"> 2) budget</w:t>
      </w:r>
      <w:r w:rsidR="009E3DD6">
        <w:t xml:space="preserve"> in format of </w:t>
      </w:r>
      <w:r w:rsidR="00185B6F">
        <w:t xml:space="preserve">UNSDG </w:t>
      </w:r>
      <w:r w:rsidR="009E3DD6">
        <w:t>budget categories</w:t>
      </w:r>
      <w:r w:rsidR="00354982" w:rsidRPr="00254E00">
        <w:t xml:space="preserve">, 3) results framework </w:t>
      </w:r>
      <w:r w:rsidR="00641685" w:rsidRPr="00254E00">
        <w:t xml:space="preserve">with clear link/contribution to the indicators </w:t>
      </w:r>
      <w:r w:rsidR="001B26F3">
        <w:t>in</w:t>
      </w:r>
      <w:r w:rsidR="00641685" w:rsidRPr="00254E00">
        <w:t xml:space="preserve"> </w:t>
      </w:r>
      <w:r w:rsidR="001B26F3">
        <w:t xml:space="preserve">the Fund’s TOR. </w:t>
      </w:r>
    </w:p>
    <w:p w14:paraId="23B710D1" w14:textId="19C3E4A8" w:rsidR="00D7151D" w:rsidRPr="00254E00" w:rsidRDefault="00D7151D" w:rsidP="00693079">
      <w:pPr>
        <w:jc w:val="both"/>
      </w:pPr>
      <w:r w:rsidRPr="00D7151D">
        <w:rPr>
          <w:b/>
          <w:bCs/>
        </w:rPr>
        <w:t>The maximum project duration is 12 months</w:t>
      </w:r>
      <w:r>
        <w:t xml:space="preserve"> from disbursement of the funds to the successful applicant.</w:t>
      </w:r>
    </w:p>
    <w:p w14:paraId="05AD6A46" w14:textId="03C0F1EE" w:rsidR="00AC525D" w:rsidRPr="00254E00" w:rsidRDefault="00AC525D" w:rsidP="00693079">
      <w:pPr>
        <w:jc w:val="both"/>
      </w:pPr>
      <w:r w:rsidRPr="001F7164">
        <w:rPr>
          <w:b/>
          <w:bCs/>
        </w:rPr>
        <w:t>Note</w:t>
      </w:r>
      <w:r w:rsidRPr="00254E00">
        <w:t>: all projects must fulfil the minimum requirements indicate</w:t>
      </w:r>
      <w:r w:rsidR="00601954">
        <w:t>d</w:t>
      </w:r>
      <w:r w:rsidRPr="00254E00">
        <w:t xml:space="preserve"> in the </w:t>
      </w:r>
      <w:hyperlink r:id="rId13" w:history="1">
        <w:r w:rsidR="00843D15" w:rsidRPr="00702281">
          <w:rPr>
            <w:rStyle w:val="Hyperlink"/>
          </w:rPr>
          <w:t>Ukraine Community Recovery Fund Terms of Reference</w:t>
        </w:r>
      </w:hyperlink>
      <w:r w:rsidRPr="00254E00">
        <w:t xml:space="preserve"> </w:t>
      </w:r>
      <w:r w:rsidR="001B2B35" w:rsidRPr="00254E00">
        <w:t>(</w:t>
      </w:r>
      <w:proofErr w:type="spellStart"/>
      <w:r w:rsidR="006B4F3B">
        <w:t>i.a.</w:t>
      </w:r>
      <w:proofErr w:type="spellEnd"/>
      <w:r w:rsidR="006B4F3B">
        <w:t xml:space="preserve"> </w:t>
      </w:r>
      <w:r w:rsidR="001B2B35" w:rsidRPr="006B4F3B">
        <w:rPr>
          <w:i/>
          <w:iCs/>
        </w:rPr>
        <w:t>Section 7 Programmatic a</w:t>
      </w:r>
      <w:r w:rsidR="00601954" w:rsidRPr="006B4F3B">
        <w:rPr>
          <w:i/>
          <w:iCs/>
        </w:rPr>
        <w:t>rr</w:t>
      </w:r>
      <w:r w:rsidR="001B2B35" w:rsidRPr="006B4F3B">
        <w:rPr>
          <w:i/>
          <w:iCs/>
        </w:rPr>
        <w:t>angements</w:t>
      </w:r>
      <w:r w:rsidR="001B2B35" w:rsidRPr="00254E00">
        <w:t>)</w:t>
      </w:r>
      <w:r w:rsidR="00601954">
        <w:t>.</w:t>
      </w:r>
    </w:p>
    <w:p w14:paraId="158955AB" w14:textId="67FC177E" w:rsidR="001172B7" w:rsidRPr="00254E00" w:rsidRDefault="004649E2" w:rsidP="00693079">
      <w:pPr>
        <w:jc w:val="both"/>
      </w:pPr>
      <w:r>
        <w:t>Targeted communities/</w:t>
      </w:r>
      <w:proofErr w:type="spellStart"/>
      <w:r w:rsidR="000E00A2" w:rsidRPr="00254E00">
        <w:t>hromada</w:t>
      </w:r>
      <w:proofErr w:type="spellEnd"/>
      <w:r>
        <w:t xml:space="preserve"> authorities </w:t>
      </w:r>
      <w:r w:rsidR="00ED2646">
        <w:t xml:space="preserve">/ applicants </w:t>
      </w:r>
      <w:r>
        <w:t>must</w:t>
      </w:r>
      <w:r w:rsidR="000E00A2" w:rsidRPr="00254E00">
        <w:t xml:space="preserve"> register the </w:t>
      </w:r>
      <w:r w:rsidR="00F04E74">
        <w:t>intervention</w:t>
      </w:r>
      <w:r w:rsidR="000E00A2" w:rsidRPr="00254E00">
        <w:t xml:space="preserve"> in the DREAM system </w:t>
      </w:r>
      <w:r w:rsidR="00185B6F">
        <w:t xml:space="preserve">and the MPTFO Fund Management Platform </w:t>
      </w:r>
      <w:r w:rsidR="00F04E74">
        <w:t>after project approval.</w:t>
      </w:r>
    </w:p>
    <w:p w14:paraId="1AA5C271" w14:textId="77777777" w:rsidR="000E00A2" w:rsidRPr="00254E00" w:rsidRDefault="000E00A2" w:rsidP="00254E00"/>
    <w:p w14:paraId="45D5E4B7" w14:textId="1E87DC16" w:rsidR="00977ECD" w:rsidRPr="00A5599F" w:rsidRDefault="00555A07" w:rsidP="00A5599F">
      <w:pPr>
        <w:pStyle w:val="ListParagraph"/>
        <w:numPr>
          <w:ilvl w:val="0"/>
          <w:numId w:val="5"/>
        </w:numPr>
        <w:rPr>
          <w:b/>
          <w:bCs/>
        </w:rPr>
      </w:pPr>
      <w:r w:rsidRPr="00A5599F">
        <w:rPr>
          <w:b/>
          <w:bCs/>
        </w:rPr>
        <w:t>Evaluation</w:t>
      </w:r>
      <w:r w:rsidR="00F316D7" w:rsidRPr="00A5599F">
        <w:rPr>
          <w:b/>
          <w:bCs/>
        </w:rPr>
        <w:t>, selection and award procedure</w:t>
      </w:r>
    </w:p>
    <w:p w14:paraId="458A9626" w14:textId="78F7FD8C" w:rsidR="00987879" w:rsidRDefault="009402F0" w:rsidP="00693079">
      <w:pPr>
        <w:jc w:val="both"/>
      </w:pPr>
      <w:r>
        <w:t>Proposals</w:t>
      </w:r>
      <w:r w:rsidR="00BB0EED" w:rsidRPr="00254E00">
        <w:t xml:space="preserve"> will be evaluated </w:t>
      </w:r>
      <w:r w:rsidR="00987879">
        <w:t xml:space="preserve">for compliance by the Fund Secretariat in the UNRCO after which a Technical Review committee will review </w:t>
      </w:r>
      <w:r w:rsidR="00A71452">
        <w:t xml:space="preserve">proposals </w:t>
      </w:r>
      <w:r w:rsidR="002F325C">
        <w:t>and</w:t>
      </w:r>
      <w:r>
        <w:t xml:space="preserve"> submit those recommended</w:t>
      </w:r>
      <w:r w:rsidR="002F325C">
        <w:t xml:space="preserve"> for approval to the Steering Committee. The Steering Committee will </w:t>
      </w:r>
      <w:r>
        <w:t>review and approve the recommendation via email on a no-objection basis.</w:t>
      </w:r>
    </w:p>
    <w:p w14:paraId="76B316BF" w14:textId="743DF8AA" w:rsidR="000C494C" w:rsidRPr="00254E00" w:rsidRDefault="009402F0" w:rsidP="00693079">
      <w:pPr>
        <w:jc w:val="both"/>
      </w:pPr>
      <w:r>
        <w:t xml:space="preserve">The </w:t>
      </w:r>
      <w:r w:rsidR="00C61443" w:rsidRPr="00254E00">
        <w:t>Technical</w:t>
      </w:r>
      <w:r w:rsidR="007F0AE7">
        <w:t xml:space="preserve"> Review</w:t>
      </w:r>
      <w:r w:rsidR="00C61443" w:rsidRPr="00254E00">
        <w:t xml:space="preserve"> Committee </w:t>
      </w:r>
      <w:r>
        <w:t xml:space="preserve">will review the proposals </w:t>
      </w:r>
      <w:r w:rsidR="000D5317" w:rsidRPr="00254E00">
        <w:t xml:space="preserve">according to the </w:t>
      </w:r>
      <w:r w:rsidR="000663DA" w:rsidRPr="00254E00">
        <w:t xml:space="preserve">procedure and </w:t>
      </w:r>
      <w:r w:rsidR="000D5317" w:rsidRPr="00254E00">
        <w:t xml:space="preserve">against quality </w:t>
      </w:r>
      <w:r w:rsidR="00BC1E65" w:rsidRPr="00254E00">
        <w:t xml:space="preserve">and relevance </w:t>
      </w:r>
      <w:r w:rsidR="000431F8" w:rsidRPr="00254E00">
        <w:t>criteria</w:t>
      </w:r>
      <w:r w:rsidR="000663DA" w:rsidRPr="00254E00">
        <w:t xml:space="preserve"> indicated in the Fund’s </w:t>
      </w:r>
      <w:proofErr w:type="spellStart"/>
      <w:r w:rsidR="000663DA" w:rsidRPr="00254E00">
        <w:t>ToR</w:t>
      </w:r>
      <w:proofErr w:type="spellEnd"/>
      <w:r w:rsidR="000663DA" w:rsidRPr="00254E00">
        <w:t xml:space="preserve"> (</w:t>
      </w:r>
      <w:r w:rsidR="000D5317" w:rsidRPr="00254E00">
        <w:t>Section 6 – Funding allocation process</w:t>
      </w:r>
      <w:r w:rsidR="000663DA" w:rsidRPr="00254E00">
        <w:t>)</w:t>
      </w:r>
      <w:r w:rsidR="00BC1E65" w:rsidRPr="00254E00">
        <w:t>.</w:t>
      </w:r>
    </w:p>
    <w:p w14:paraId="3C7D6688" w14:textId="73BEC78D" w:rsidR="001F7164" w:rsidRDefault="00D75440" w:rsidP="00693079">
      <w:pPr>
        <w:jc w:val="both"/>
      </w:pPr>
      <w:r>
        <w:t xml:space="preserve">Funds will be released to the UN entity within five days of the SC approval and UN RC signature. </w:t>
      </w:r>
    </w:p>
    <w:p w14:paraId="4BE31D0B" w14:textId="77777777" w:rsidR="001F7164" w:rsidRPr="00254E00" w:rsidRDefault="001F7164" w:rsidP="001F7164"/>
    <w:p w14:paraId="159B1588" w14:textId="499FBB98" w:rsidR="008C499A" w:rsidRPr="00A5599F" w:rsidRDefault="008C499A" w:rsidP="00A5599F">
      <w:pPr>
        <w:pStyle w:val="ListParagraph"/>
        <w:numPr>
          <w:ilvl w:val="0"/>
          <w:numId w:val="5"/>
        </w:numPr>
        <w:rPr>
          <w:b/>
          <w:bCs/>
        </w:rPr>
      </w:pPr>
      <w:r w:rsidRPr="00A5599F">
        <w:rPr>
          <w:b/>
          <w:bCs/>
        </w:rPr>
        <w:t>Indicative timeline</w:t>
      </w:r>
    </w:p>
    <w:p w14:paraId="310ACFDA" w14:textId="18F4A333" w:rsidR="00C82250" w:rsidRPr="00254E00" w:rsidRDefault="00963D9C" w:rsidP="00254E00">
      <w:r w:rsidRPr="00254E00">
        <w:t xml:space="preserve">Deadline for submission of proposals: </w:t>
      </w:r>
      <w:r w:rsidR="00A5546B" w:rsidRPr="00254E00">
        <w:tab/>
      </w:r>
      <w:r w:rsidR="00A5546B" w:rsidRPr="00254E00">
        <w:tab/>
      </w:r>
      <w:r w:rsidR="00A5546B" w:rsidRPr="00254E00">
        <w:tab/>
      </w:r>
      <w:r w:rsidR="00012D2A">
        <w:tab/>
      </w:r>
      <w:r w:rsidR="00435264">
        <w:t>21</w:t>
      </w:r>
      <w:r w:rsidRPr="00254E00">
        <w:t>/0</w:t>
      </w:r>
      <w:r w:rsidR="00435264">
        <w:t>6</w:t>
      </w:r>
      <w:r w:rsidRPr="00254E00">
        <w:t>/2024</w:t>
      </w:r>
    </w:p>
    <w:p w14:paraId="52ECBA2B" w14:textId="5D15C02F" w:rsidR="00012D2A" w:rsidRDefault="00012D2A" w:rsidP="00254E00">
      <w:r>
        <w:t>Deadline for proposal review by Technical Review Committee:</w:t>
      </w:r>
      <w:r>
        <w:tab/>
      </w:r>
      <w:r w:rsidR="00435264">
        <w:t>28</w:t>
      </w:r>
      <w:r w:rsidR="005023E4">
        <w:t>/0</w:t>
      </w:r>
      <w:r w:rsidR="00435264">
        <w:t>6</w:t>
      </w:r>
      <w:r w:rsidR="005023E4">
        <w:t>/2024</w:t>
      </w:r>
    </w:p>
    <w:p w14:paraId="225E5C5C" w14:textId="5D222E95" w:rsidR="001172B7" w:rsidRDefault="00297B1D" w:rsidP="00254E00">
      <w:r w:rsidRPr="00254E00">
        <w:t xml:space="preserve">Deadline for </w:t>
      </w:r>
      <w:r w:rsidR="001172B7" w:rsidRPr="00254E00">
        <w:t>notification</w:t>
      </w:r>
      <w:r w:rsidR="00D1229F">
        <w:t xml:space="preserve"> of results</w:t>
      </w:r>
      <w:r w:rsidR="001172B7" w:rsidRPr="00254E00">
        <w:t>:</w:t>
      </w:r>
      <w:r w:rsidR="001172B7" w:rsidRPr="00254E00">
        <w:tab/>
      </w:r>
      <w:r w:rsidR="001172B7" w:rsidRPr="00254E00">
        <w:tab/>
      </w:r>
      <w:r w:rsidR="005023E4">
        <w:t xml:space="preserve"> </w:t>
      </w:r>
      <w:r w:rsidR="001172B7" w:rsidRPr="00254E00">
        <w:tab/>
      </w:r>
      <w:r w:rsidR="001172B7" w:rsidRPr="00254E00">
        <w:tab/>
      </w:r>
      <w:r w:rsidR="00435264">
        <w:t>01</w:t>
      </w:r>
      <w:r w:rsidR="001172B7" w:rsidRPr="00254E00">
        <w:t>/0</w:t>
      </w:r>
      <w:r w:rsidR="002A4E8A">
        <w:t>7</w:t>
      </w:r>
      <w:r w:rsidR="001172B7" w:rsidRPr="00254E00">
        <w:t>/2024</w:t>
      </w:r>
    </w:p>
    <w:p w14:paraId="4F5D70E6" w14:textId="0E72F574" w:rsidR="00F04E74" w:rsidRDefault="00F04E74" w:rsidP="00254E00"/>
    <w:p w14:paraId="6ED7B71E" w14:textId="77777777" w:rsidR="008E555E" w:rsidRDefault="008E555E" w:rsidP="00254E00"/>
    <w:p w14:paraId="735B2EB2" w14:textId="57C9DD25" w:rsidR="00702281" w:rsidRDefault="0056669B" w:rsidP="00702281">
      <w:r w:rsidRPr="00702281">
        <w:rPr>
          <w:b/>
          <w:bCs/>
        </w:rPr>
        <w:t>Annex</w:t>
      </w:r>
      <w:r w:rsidR="00EA0960">
        <w:rPr>
          <w:b/>
          <w:bCs/>
        </w:rPr>
        <w:t xml:space="preserve"> 1</w:t>
      </w:r>
      <w:r>
        <w:t xml:space="preserve">: </w:t>
      </w:r>
      <w:hyperlink r:id="rId14" w:history="1">
        <w:r w:rsidR="00702281" w:rsidRPr="00702281">
          <w:rPr>
            <w:rStyle w:val="Hyperlink"/>
          </w:rPr>
          <w:t>Ukraine Community Recovery Fund Terms of Reference</w:t>
        </w:r>
      </w:hyperlink>
    </w:p>
    <w:p w14:paraId="782EB17B" w14:textId="3A9D5420" w:rsidR="008D2443" w:rsidRDefault="008D2443" w:rsidP="008D2443">
      <w:pPr>
        <w:rPr>
          <w:lang w:val="en-US"/>
        </w:rPr>
      </w:pPr>
      <w:r w:rsidRPr="00157C79">
        <w:rPr>
          <w:b/>
          <w:bCs/>
          <w:lang w:val="en-US"/>
        </w:rPr>
        <w:t xml:space="preserve">Annex </w:t>
      </w:r>
      <w:r>
        <w:rPr>
          <w:b/>
          <w:bCs/>
          <w:lang w:val="en-US"/>
        </w:rPr>
        <w:t>2</w:t>
      </w:r>
      <w:r>
        <w:rPr>
          <w:lang w:val="en-US"/>
        </w:rPr>
        <w:t>: Assessment tables</w:t>
      </w:r>
    </w:p>
    <w:p w14:paraId="37C75BF8" w14:textId="6FFFBE63" w:rsidR="00702281" w:rsidRDefault="00EA0960" w:rsidP="00702281">
      <w:pPr>
        <w:rPr>
          <w:lang w:val="en-US"/>
        </w:rPr>
      </w:pPr>
      <w:r w:rsidRPr="003A4C0B">
        <w:rPr>
          <w:b/>
          <w:bCs/>
          <w:lang w:val="en-US"/>
        </w:rPr>
        <w:t xml:space="preserve">Annex </w:t>
      </w:r>
      <w:r w:rsidR="008D2443">
        <w:rPr>
          <w:b/>
          <w:bCs/>
          <w:lang w:val="en-US"/>
        </w:rPr>
        <w:t>3</w:t>
      </w:r>
      <w:r w:rsidRPr="003A4C0B">
        <w:rPr>
          <w:lang w:val="en-US"/>
        </w:rPr>
        <w:t>: Ukraine C</w:t>
      </w:r>
      <w:r w:rsidR="003A4C0B" w:rsidRPr="003A4C0B">
        <w:rPr>
          <w:lang w:val="en-US"/>
        </w:rPr>
        <w:t xml:space="preserve">ommunity </w:t>
      </w:r>
      <w:r w:rsidRPr="003A4C0B">
        <w:rPr>
          <w:lang w:val="en-US"/>
        </w:rPr>
        <w:t>R</w:t>
      </w:r>
      <w:r w:rsidR="003A4C0B" w:rsidRPr="003A4C0B">
        <w:rPr>
          <w:lang w:val="en-US"/>
        </w:rPr>
        <w:t xml:space="preserve">ecovery </w:t>
      </w:r>
      <w:r w:rsidRPr="003A4C0B">
        <w:rPr>
          <w:lang w:val="en-US"/>
        </w:rPr>
        <w:t>F</w:t>
      </w:r>
      <w:r w:rsidR="003A4C0B">
        <w:rPr>
          <w:lang w:val="en-US"/>
        </w:rPr>
        <w:t xml:space="preserve">und </w:t>
      </w:r>
      <w:r w:rsidRPr="003A4C0B">
        <w:rPr>
          <w:lang w:val="en-US"/>
        </w:rPr>
        <w:t>Project Document Template</w:t>
      </w:r>
      <w:r w:rsidR="008D2443">
        <w:rPr>
          <w:lang w:val="en-US"/>
        </w:rPr>
        <w:t xml:space="preserve"> (attached)</w:t>
      </w:r>
      <w:r w:rsidRPr="003A4C0B">
        <w:rPr>
          <w:lang w:val="en-US"/>
        </w:rPr>
        <w:t>.</w:t>
      </w:r>
    </w:p>
    <w:p w14:paraId="7C029F91" w14:textId="77777777" w:rsidR="00157C79" w:rsidRDefault="00157C79">
      <w:pPr>
        <w:jc w:val="both"/>
        <w:rPr>
          <w:lang w:val="en-US"/>
        </w:rPr>
      </w:pPr>
      <w:r>
        <w:rPr>
          <w:lang w:val="en-US"/>
        </w:rPr>
        <w:br w:type="page"/>
      </w:r>
    </w:p>
    <w:p w14:paraId="0BB089CC" w14:textId="40B12AD0" w:rsidR="00157C79" w:rsidRDefault="00157C79" w:rsidP="00157C79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Annex </w:t>
      </w:r>
      <w:r w:rsidR="008D2443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– Assessment table</w:t>
      </w:r>
      <w:r w:rsidR="008D2443">
        <w:rPr>
          <w:b/>
          <w:bCs/>
          <w:sz w:val="22"/>
          <w:szCs w:val="22"/>
        </w:rPr>
        <w:t>s</w:t>
      </w:r>
    </w:p>
    <w:p w14:paraId="0EA2FE00" w14:textId="77777777" w:rsidR="00157C79" w:rsidRDefault="00157C79" w:rsidP="00157C79">
      <w:pPr>
        <w:rPr>
          <w:rFonts w:cs="Calibri"/>
        </w:rPr>
      </w:pPr>
    </w:p>
    <w:p w14:paraId="1DF703E5" w14:textId="77777777" w:rsidR="00157C79" w:rsidRDefault="00157C79" w:rsidP="00157C79">
      <w:pPr>
        <w:rPr>
          <w:rFonts w:cs="Calibri"/>
        </w:rPr>
      </w:pPr>
      <w:r>
        <w:rPr>
          <w:rFonts w:cs="Calibri"/>
        </w:rPr>
        <w:t xml:space="preserve">In line with the </w:t>
      </w:r>
      <w:hyperlink r:id="rId15" w:anchor=":~:text=The%20Ukraine%20Community%20Recovery%20Fund,and%20pilot%20innovative%20recovery%20initiatives." w:history="1">
        <w:r w:rsidRPr="00233E56">
          <w:rPr>
            <w:rStyle w:val="Hyperlink"/>
            <w:rFonts w:cs="Calibri"/>
          </w:rPr>
          <w:t xml:space="preserve">UCRF </w:t>
        </w:r>
        <w:proofErr w:type="spellStart"/>
        <w:r w:rsidRPr="00233E56">
          <w:rPr>
            <w:rStyle w:val="Hyperlink"/>
            <w:rFonts w:cs="Calibri"/>
          </w:rPr>
          <w:t>ToR</w:t>
        </w:r>
        <w:proofErr w:type="spellEnd"/>
      </w:hyperlink>
      <w:r>
        <w:rPr>
          <w:rFonts w:cs="Calibri"/>
        </w:rPr>
        <w:t>, t</w:t>
      </w:r>
      <w:r w:rsidRPr="000A77C4">
        <w:rPr>
          <w:rFonts w:cs="Calibri"/>
        </w:rPr>
        <w:t xml:space="preserve">he Technical Review Committee would use the following indicative criteria to assess the quality and relevance of the </w:t>
      </w:r>
      <w:r>
        <w:rPr>
          <w:rFonts w:cs="Calibri"/>
        </w:rPr>
        <w:t xml:space="preserve">proposal. </w:t>
      </w:r>
    </w:p>
    <w:p w14:paraId="285D1D05" w14:textId="77777777" w:rsidR="00157C79" w:rsidRDefault="00157C79" w:rsidP="00157C79">
      <w:pPr>
        <w:rPr>
          <w:rFonts w:cs="Calibri"/>
        </w:rPr>
      </w:pPr>
      <w:r>
        <w:rPr>
          <w:rFonts w:cs="Calibri"/>
        </w:rPr>
        <w:t>Please use a separate table for each proposal.</w:t>
      </w:r>
    </w:p>
    <w:p w14:paraId="172EFE78" w14:textId="77777777" w:rsidR="00157C79" w:rsidRDefault="00157C79" w:rsidP="00157C79">
      <w:pPr>
        <w:rPr>
          <w:rFonts w:cs="Calibri"/>
        </w:rPr>
      </w:pPr>
      <w:r>
        <w:rPr>
          <w:rFonts w:cs="Calibri"/>
        </w:rPr>
        <w:t>Please score each criteria and provide a brief justification / comment.</w:t>
      </w:r>
    </w:p>
    <w:p w14:paraId="00E4F72C" w14:textId="77777777" w:rsidR="00157C79" w:rsidRDefault="00157C79" w:rsidP="00157C79">
      <w:pPr>
        <w:rPr>
          <w:rFonts w:cs="Calibri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5240"/>
        <w:gridCol w:w="1134"/>
        <w:gridCol w:w="2835"/>
      </w:tblGrid>
      <w:tr w:rsidR="00157C79" w:rsidRPr="00057CC3" w14:paraId="54A8D6F2" w14:textId="77777777" w:rsidTr="00D6245F">
        <w:tc>
          <w:tcPr>
            <w:tcW w:w="9209" w:type="dxa"/>
            <w:gridSpan w:val="3"/>
            <w:shd w:val="clear" w:color="auto" w:fill="BFBFBF" w:themeFill="background1" w:themeFillShade="BF"/>
          </w:tcPr>
          <w:p w14:paraId="6AEB0196" w14:textId="77777777" w:rsidR="00157C79" w:rsidRPr="0013469C" w:rsidRDefault="00157C79" w:rsidP="00157C7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Calibri"/>
                <w:b/>
                <w:bCs/>
              </w:rPr>
            </w:pPr>
            <w:r w:rsidRPr="0013469C">
              <w:rPr>
                <w:rFonts w:cs="Calibri"/>
                <w:b/>
                <w:bCs/>
              </w:rPr>
              <w:t xml:space="preserve">Compliance with minimum requirements of the UCRF </w:t>
            </w:r>
            <w:proofErr w:type="spellStart"/>
            <w:r w:rsidRPr="0013469C">
              <w:rPr>
                <w:rFonts w:cs="Calibri"/>
                <w:b/>
                <w:bCs/>
              </w:rPr>
              <w:t>ToR</w:t>
            </w:r>
            <w:proofErr w:type="spellEnd"/>
          </w:p>
        </w:tc>
      </w:tr>
      <w:tr w:rsidR="00157C79" w:rsidRPr="00057CC3" w14:paraId="6926EA7F" w14:textId="77777777" w:rsidTr="00D6245F">
        <w:tc>
          <w:tcPr>
            <w:tcW w:w="5240" w:type="dxa"/>
            <w:shd w:val="clear" w:color="auto" w:fill="BFBFBF" w:themeFill="background1" w:themeFillShade="BF"/>
          </w:tcPr>
          <w:p w14:paraId="6C4AE63E" w14:textId="77777777" w:rsidR="00157C79" w:rsidRPr="00057CC3" w:rsidRDefault="00157C79" w:rsidP="00D6245F">
            <w:pPr>
              <w:rPr>
                <w:rFonts w:cs="Calibri"/>
                <w:b/>
                <w:bCs/>
              </w:rPr>
            </w:pPr>
            <w:r w:rsidRPr="00057CC3">
              <w:rPr>
                <w:rFonts w:cs="Calibri"/>
                <w:b/>
                <w:bCs/>
              </w:rPr>
              <w:t>Minimum requirements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06FBAAF" w14:textId="77777777" w:rsidR="00157C79" w:rsidRPr="00057CC3" w:rsidRDefault="00157C79" w:rsidP="00D6245F">
            <w:pPr>
              <w:rPr>
                <w:rFonts w:cs="Calibri"/>
                <w:b/>
                <w:bCs/>
              </w:rPr>
            </w:pPr>
            <w:r w:rsidRPr="00057CC3">
              <w:rPr>
                <w:rFonts w:cs="Calibri"/>
                <w:b/>
                <w:bCs/>
              </w:rPr>
              <w:t>Yes/No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9597D41" w14:textId="77777777" w:rsidR="00157C79" w:rsidRPr="00057CC3" w:rsidRDefault="00157C79" w:rsidP="00D6245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Comment</w:t>
            </w:r>
          </w:p>
        </w:tc>
      </w:tr>
      <w:tr w:rsidR="00157C79" w14:paraId="4099FCCF" w14:textId="77777777" w:rsidTr="00D6245F">
        <w:tc>
          <w:tcPr>
            <w:tcW w:w="5240" w:type="dxa"/>
          </w:tcPr>
          <w:p w14:paraId="14FEF9B5" w14:textId="77777777" w:rsidR="00157C79" w:rsidRPr="000322CD" w:rsidRDefault="00157C79" w:rsidP="00D6245F">
            <w:r>
              <w:t>P</w:t>
            </w:r>
            <w:r w:rsidRPr="000322CD">
              <w:t>roject result</w:t>
            </w:r>
            <w:r>
              <w:t>s</w:t>
            </w:r>
            <w:r w:rsidRPr="000322CD">
              <w:t xml:space="preserve"> from community level consulta</w:t>
            </w:r>
            <w:r w:rsidRPr="002C0E86">
              <w:rPr>
                <w:rFonts w:ascii="Aptos" w:eastAsia="Aptos" w:hAnsi="Aptos" w:cs="Aptos"/>
              </w:rPr>
              <w:t>ti</w:t>
            </w:r>
            <w:r w:rsidRPr="000322CD">
              <w:t>ons including the ac</w:t>
            </w:r>
            <w:r w:rsidRPr="002C0E86">
              <w:rPr>
                <w:rFonts w:ascii="Aptos" w:eastAsia="Aptos" w:hAnsi="Aptos" w:cs="Aptos"/>
              </w:rPr>
              <w:t>ti</w:t>
            </w:r>
            <w:r w:rsidRPr="000322CD">
              <w:t>ve par</w:t>
            </w:r>
            <w:r w:rsidRPr="002C0E86">
              <w:rPr>
                <w:rFonts w:ascii="Aptos" w:eastAsia="Aptos" w:hAnsi="Aptos" w:cs="Aptos"/>
              </w:rPr>
              <w:t>ti</w:t>
            </w:r>
            <w:r w:rsidRPr="000322CD">
              <w:t>cipa</w:t>
            </w:r>
            <w:r w:rsidRPr="002C0E86">
              <w:rPr>
                <w:rFonts w:ascii="Aptos" w:eastAsia="Aptos" w:hAnsi="Aptos" w:cs="Aptos"/>
              </w:rPr>
              <w:t>ti</w:t>
            </w:r>
            <w:r w:rsidRPr="000322CD">
              <w:t>on of women, displaced, veterans and civil society representa</w:t>
            </w:r>
            <w:r>
              <w:t>ti</w:t>
            </w:r>
            <w:r w:rsidRPr="000322CD">
              <w:t>ves, as applicable.</w:t>
            </w:r>
          </w:p>
          <w:p w14:paraId="14BE59FE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14:paraId="658F1274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3CC3DA49" w14:textId="77777777" w:rsidR="00157C79" w:rsidRDefault="00157C79" w:rsidP="00D6245F">
            <w:pPr>
              <w:rPr>
                <w:rFonts w:cs="Calibri"/>
              </w:rPr>
            </w:pPr>
          </w:p>
        </w:tc>
      </w:tr>
      <w:tr w:rsidR="00157C79" w14:paraId="44722182" w14:textId="77777777" w:rsidTr="00D6245F">
        <w:tc>
          <w:tcPr>
            <w:tcW w:w="5240" w:type="dxa"/>
          </w:tcPr>
          <w:p w14:paraId="6E846651" w14:textId="77777777" w:rsidR="00157C79" w:rsidRPr="000322CD" w:rsidRDefault="00157C79" w:rsidP="00D6245F">
            <w:r>
              <w:t>P</w:t>
            </w:r>
            <w:r w:rsidRPr="000322CD">
              <w:t xml:space="preserve">roject </w:t>
            </w:r>
            <w:r>
              <w:t xml:space="preserve">has </w:t>
            </w:r>
            <w:r w:rsidRPr="000322CD">
              <w:t>a gender equality marker (GEM) based on a four-level scale, to set targets for alloca</w:t>
            </w:r>
            <w:r w:rsidRPr="002C0E86">
              <w:rPr>
                <w:rFonts w:ascii="Aptos" w:eastAsia="Aptos" w:hAnsi="Aptos" w:cs="Aptos"/>
              </w:rPr>
              <w:t>ti</w:t>
            </w:r>
            <w:r w:rsidRPr="000322CD">
              <w:t>ons to programmes serving women and girls, and to allow the monitoring of the share of alloca</w:t>
            </w:r>
            <w:r w:rsidRPr="002C0E86">
              <w:rPr>
                <w:rFonts w:ascii="Aptos" w:eastAsia="Aptos" w:hAnsi="Aptos" w:cs="Aptos"/>
              </w:rPr>
              <w:t>ti</w:t>
            </w:r>
            <w:r w:rsidRPr="000322CD">
              <w:t>ons serving women and girls. GEM 0 and GEM 1 projects will not be accepted.</w:t>
            </w:r>
          </w:p>
          <w:p w14:paraId="68561873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14:paraId="49F4EAB0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53DC45E4" w14:textId="77777777" w:rsidR="00157C79" w:rsidRDefault="00157C79" w:rsidP="00D6245F">
            <w:pPr>
              <w:rPr>
                <w:rFonts w:cs="Calibri"/>
              </w:rPr>
            </w:pPr>
          </w:p>
        </w:tc>
      </w:tr>
      <w:tr w:rsidR="00157C79" w14:paraId="573AE388" w14:textId="77777777" w:rsidTr="00D6245F">
        <w:tc>
          <w:tcPr>
            <w:tcW w:w="5240" w:type="dxa"/>
          </w:tcPr>
          <w:p w14:paraId="697C3E5B" w14:textId="0361EE63" w:rsidR="00157C79" w:rsidRDefault="00157C79" w:rsidP="00D6245F">
            <w:r w:rsidRPr="000322CD">
              <w:t>A minimum of 15% of project resources should be allocated to suppor</w:t>
            </w:r>
            <w:r w:rsidRPr="002C0E86">
              <w:rPr>
                <w:rFonts w:ascii="Aptos" w:eastAsia="Aptos" w:hAnsi="Aptos" w:cs="Aptos"/>
              </w:rPr>
              <w:t>ti</w:t>
            </w:r>
            <w:r w:rsidRPr="000322CD">
              <w:t>ng gender equality/women’s empowerment as the principal objec</w:t>
            </w:r>
            <w:r w:rsidRPr="002C0E86">
              <w:rPr>
                <w:rFonts w:ascii="Aptos" w:eastAsia="Aptos" w:hAnsi="Aptos" w:cs="Aptos"/>
              </w:rPr>
              <w:t>ti</w:t>
            </w:r>
            <w:r w:rsidRPr="000322CD">
              <w:t>ve (and tracked).</w:t>
            </w:r>
          </w:p>
          <w:p w14:paraId="5E7129DC" w14:textId="77777777" w:rsidR="00157C79" w:rsidRPr="0061332F" w:rsidRDefault="00157C79" w:rsidP="00D6245F"/>
        </w:tc>
        <w:tc>
          <w:tcPr>
            <w:tcW w:w="1134" w:type="dxa"/>
          </w:tcPr>
          <w:p w14:paraId="365FBFFA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1254B89C" w14:textId="77777777" w:rsidR="00157C79" w:rsidRDefault="00157C79" w:rsidP="00D6245F">
            <w:pPr>
              <w:rPr>
                <w:rFonts w:cs="Calibri"/>
              </w:rPr>
            </w:pPr>
          </w:p>
        </w:tc>
      </w:tr>
      <w:tr w:rsidR="00157C79" w14:paraId="06386DF3" w14:textId="77777777" w:rsidTr="00D6245F">
        <w:tc>
          <w:tcPr>
            <w:tcW w:w="5240" w:type="dxa"/>
          </w:tcPr>
          <w:p w14:paraId="0937AE5A" w14:textId="77777777" w:rsidR="00157C79" w:rsidRPr="000322CD" w:rsidRDefault="00157C79" w:rsidP="00D6245F">
            <w:r w:rsidRPr="000322CD">
              <w:t>Proposals by individual agencies are accepted but must demonstrate joint planning and alignment of interven</w:t>
            </w:r>
            <w:r w:rsidRPr="002C0E86">
              <w:rPr>
                <w:rFonts w:ascii="Aptos" w:eastAsia="Aptos" w:hAnsi="Aptos" w:cs="Aptos"/>
              </w:rPr>
              <w:t>ti</w:t>
            </w:r>
            <w:r w:rsidRPr="000322CD">
              <w:t>ons to ensure a holis</w:t>
            </w:r>
            <w:r w:rsidRPr="002C0E86">
              <w:rPr>
                <w:rFonts w:ascii="Aptos" w:eastAsia="Aptos" w:hAnsi="Aptos" w:cs="Aptos"/>
              </w:rPr>
              <w:t>ti</w:t>
            </w:r>
            <w:r w:rsidRPr="000322CD">
              <w:t xml:space="preserve">c approach. Proposals must demonstrate gaps in one or more of the five pillars that can be strategically addressed through the Fund. </w:t>
            </w:r>
          </w:p>
          <w:p w14:paraId="38287349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14:paraId="02DB8107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39F1A44A" w14:textId="77777777" w:rsidR="00157C79" w:rsidRDefault="00157C79" w:rsidP="00D6245F">
            <w:pPr>
              <w:rPr>
                <w:rFonts w:cs="Calibri"/>
              </w:rPr>
            </w:pPr>
          </w:p>
        </w:tc>
      </w:tr>
      <w:tr w:rsidR="00157C79" w14:paraId="49578300" w14:textId="77777777" w:rsidTr="00D6245F">
        <w:tc>
          <w:tcPr>
            <w:tcW w:w="5240" w:type="dxa"/>
          </w:tcPr>
          <w:p w14:paraId="3DDEBD33" w14:textId="77777777" w:rsidR="00157C79" w:rsidRPr="002C0E86" w:rsidRDefault="00157C79" w:rsidP="00D6245F">
            <w:pPr>
              <w:rPr>
                <w:lang w:val="en-US"/>
              </w:rPr>
            </w:pPr>
            <w:r>
              <w:t>P</w:t>
            </w:r>
            <w:r w:rsidRPr="000322CD">
              <w:t>roject will be required to focus on using sustainable materials and prac</w:t>
            </w:r>
            <w:r w:rsidRPr="002C0E86">
              <w:rPr>
                <w:rFonts w:ascii="Aptos" w:eastAsia="Aptos" w:hAnsi="Aptos" w:cs="Aptos"/>
              </w:rPr>
              <w:t>ti</w:t>
            </w:r>
            <w:r w:rsidRPr="000322CD">
              <w:t>ces with an eye towards rebuilding a greener Ukraine.</w:t>
            </w:r>
          </w:p>
          <w:p w14:paraId="250D10AA" w14:textId="77777777" w:rsidR="00157C79" w:rsidRPr="002C0E86" w:rsidRDefault="00157C79" w:rsidP="00D6245F">
            <w:pPr>
              <w:rPr>
                <w:rFonts w:cs="Calibri"/>
                <w:lang w:val="en-US"/>
              </w:rPr>
            </w:pPr>
          </w:p>
        </w:tc>
        <w:tc>
          <w:tcPr>
            <w:tcW w:w="1134" w:type="dxa"/>
          </w:tcPr>
          <w:p w14:paraId="01451A03" w14:textId="77777777" w:rsidR="00157C79" w:rsidRPr="002C0E86" w:rsidRDefault="00157C79" w:rsidP="00D6245F">
            <w:pPr>
              <w:rPr>
                <w:rFonts w:cs="Calibri"/>
                <w:lang w:val="en-US"/>
              </w:rPr>
            </w:pPr>
          </w:p>
        </w:tc>
        <w:tc>
          <w:tcPr>
            <w:tcW w:w="2835" w:type="dxa"/>
          </w:tcPr>
          <w:p w14:paraId="530386CF" w14:textId="77777777" w:rsidR="00157C79" w:rsidRPr="002C0E86" w:rsidRDefault="00157C79" w:rsidP="00D6245F">
            <w:pPr>
              <w:rPr>
                <w:rFonts w:cs="Calibri"/>
                <w:lang w:val="en-US"/>
              </w:rPr>
            </w:pPr>
          </w:p>
        </w:tc>
      </w:tr>
    </w:tbl>
    <w:p w14:paraId="3D496719" w14:textId="77777777" w:rsidR="00157C79" w:rsidRDefault="00157C79" w:rsidP="00157C79">
      <w:pPr>
        <w:rPr>
          <w:rFonts w:cs="Calibri"/>
          <w:b/>
          <w:bCs/>
        </w:rPr>
      </w:pPr>
    </w:p>
    <w:p w14:paraId="44050A97" w14:textId="77777777" w:rsidR="00157C79" w:rsidRDefault="00157C79" w:rsidP="00157C79">
      <w:pPr>
        <w:rPr>
          <w:rFonts w:cs="Calibri"/>
        </w:rPr>
      </w:pPr>
      <w:r w:rsidRPr="004A2EE8">
        <w:rPr>
          <w:rFonts w:cs="Calibri"/>
          <w:b/>
          <w:bCs/>
        </w:rPr>
        <w:t>Note:</w:t>
      </w:r>
      <w:r>
        <w:rPr>
          <w:rFonts w:cs="Calibri"/>
        </w:rPr>
        <w:t xml:space="preserve"> if a proposal does not meet at least one of the minimum requirements, it is in principle eliminated, unless the Technical Committee recommends revision of a proposal within 24 hours to address the issue.</w:t>
      </w:r>
    </w:p>
    <w:p w14:paraId="10741AE6" w14:textId="77777777" w:rsidR="00157C79" w:rsidRDefault="00157C79" w:rsidP="00157C79">
      <w:pPr>
        <w:tabs>
          <w:tab w:val="left" w:pos="5353"/>
          <w:tab w:val="left" w:pos="6487"/>
        </w:tabs>
        <w:ind w:left="113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14:paraId="5138AD70" w14:textId="77777777" w:rsidR="00157C79" w:rsidRDefault="00157C79" w:rsidP="00157C79">
      <w:r>
        <w:br w:type="page"/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5240"/>
        <w:gridCol w:w="1134"/>
        <w:gridCol w:w="2835"/>
      </w:tblGrid>
      <w:tr w:rsidR="00157C79" w:rsidRPr="00057CC3" w14:paraId="0E6B5637" w14:textId="77777777" w:rsidTr="00D6245F">
        <w:tc>
          <w:tcPr>
            <w:tcW w:w="9209" w:type="dxa"/>
            <w:gridSpan w:val="3"/>
            <w:shd w:val="clear" w:color="auto" w:fill="BFBFBF" w:themeFill="background1" w:themeFillShade="BF"/>
          </w:tcPr>
          <w:p w14:paraId="06629142" w14:textId="77777777" w:rsidR="00157C79" w:rsidRPr="0013469C" w:rsidRDefault="00157C79" w:rsidP="00157C7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Calibri"/>
                <w:b/>
                <w:bCs/>
              </w:rPr>
            </w:pPr>
            <w:r w:rsidRPr="0013469C">
              <w:rPr>
                <w:rFonts w:cs="Calibri"/>
                <w:b/>
                <w:bCs/>
              </w:rPr>
              <w:lastRenderedPageBreak/>
              <w:t>Assessment of quality and relevance</w:t>
            </w:r>
          </w:p>
        </w:tc>
      </w:tr>
      <w:tr w:rsidR="00157C79" w:rsidRPr="00057CC3" w14:paraId="4752F80A" w14:textId="77777777" w:rsidTr="00D6245F">
        <w:tc>
          <w:tcPr>
            <w:tcW w:w="9209" w:type="dxa"/>
            <w:gridSpan w:val="3"/>
          </w:tcPr>
          <w:p w14:paraId="46D7292A" w14:textId="77777777" w:rsidR="00157C79" w:rsidRPr="0013469C" w:rsidRDefault="00157C79" w:rsidP="00D6245F">
            <w:pPr>
              <w:jc w:val="center"/>
              <w:rPr>
                <w:rFonts w:cs="Calibri"/>
                <w:b/>
                <w:bCs/>
              </w:rPr>
            </w:pPr>
            <w:r w:rsidRPr="0013469C">
              <w:rPr>
                <w:rFonts w:cs="Calibri"/>
                <w:b/>
                <w:bCs/>
              </w:rPr>
              <w:t>Please rate each sub-criterion from 1 (very bad) to 5 (very good)</w:t>
            </w:r>
          </w:p>
        </w:tc>
      </w:tr>
      <w:tr w:rsidR="00157C79" w:rsidRPr="00057CC3" w14:paraId="2E64DC2E" w14:textId="77777777" w:rsidTr="00D6245F">
        <w:tc>
          <w:tcPr>
            <w:tcW w:w="5240" w:type="dxa"/>
            <w:shd w:val="clear" w:color="auto" w:fill="BFBFBF" w:themeFill="background1" w:themeFillShade="BF"/>
          </w:tcPr>
          <w:p w14:paraId="550271EC" w14:textId="77777777" w:rsidR="00157C79" w:rsidRPr="00057CC3" w:rsidRDefault="00157C79" w:rsidP="00D6245F">
            <w:pPr>
              <w:rPr>
                <w:rFonts w:cs="Calibri"/>
                <w:b/>
                <w:bCs/>
              </w:rPr>
            </w:pPr>
            <w:r w:rsidRPr="00057CC3">
              <w:rPr>
                <w:rFonts w:cs="Calibri"/>
                <w:b/>
                <w:bCs/>
                <w:i/>
                <w:iCs/>
              </w:rPr>
              <w:t xml:space="preserve">Strategic relevance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9D93FDA" w14:textId="77777777" w:rsidR="00157C79" w:rsidRPr="00057CC3" w:rsidRDefault="00157C79" w:rsidP="00D6245F">
            <w:pPr>
              <w:rPr>
                <w:rFonts w:cs="Calibri"/>
                <w:b/>
                <w:bCs/>
              </w:rPr>
            </w:pPr>
            <w:r w:rsidRPr="00057CC3">
              <w:rPr>
                <w:rFonts w:cs="Calibri"/>
                <w:b/>
                <w:bCs/>
              </w:rPr>
              <w:t>Score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E737538" w14:textId="77777777" w:rsidR="00157C79" w:rsidRPr="00057CC3" w:rsidRDefault="00157C79" w:rsidP="00D6245F">
            <w:pPr>
              <w:rPr>
                <w:rFonts w:cs="Calibri"/>
                <w:b/>
                <w:bCs/>
              </w:rPr>
            </w:pPr>
            <w:r w:rsidRPr="00057CC3">
              <w:rPr>
                <w:rFonts w:cs="Calibri"/>
                <w:b/>
                <w:bCs/>
              </w:rPr>
              <w:t>Comment</w:t>
            </w:r>
          </w:p>
        </w:tc>
      </w:tr>
      <w:tr w:rsidR="00157C79" w14:paraId="7AA44104" w14:textId="77777777" w:rsidTr="00D6245F">
        <w:tc>
          <w:tcPr>
            <w:tcW w:w="5240" w:type="dxa"/>
          </w:tcPr>
          <w:p w14:paraId="6E5FADD8" w14:textId="77777777" w:rsidR="00157C79" w:rsidRDefault="00157C79" w:rsidP="00D6245F">
            <w:pPr>
              <w:rPr>
                <w:rFonts w:cs="Calibri"/>
              </w:rPr>
            </w:pPr>
            <w:r w:rsidRPr="00057CC3">
              <w:rPr>
                <w:rFonts w:cs="Calibri"/>
              </w:rPr>
              <w:t xml:space="preserve">Alignment with call for proposal priorities </w:t>
            </w:r>
          </w:p>
        </w:tc>
        <w:tc>
          <w:tcPr>
            <w:tcW w:w="1134" w:type="dxa"/>
          </w:tcPr>
          <w:p w14:paraId="679D2F34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1428C1EC" w14:textId="77777777" w:rsidR="00157C79" w:rsidRDefault="00157C79" w:rsidP="00D6245F">
            <w:pPr>
              <w:rPr>
                <w:rFonts w:cs="Calibri"/>
              </w:rPr>
            </w:pPr>
          </w:p>
        </w:tc>
      </w:tr>
      <w:tr w:rsidR="00157C79" w14:paraId="2EAF564B" w14:textId="77777777" w:rsidTr="00D6245F">
        <w:tc>
          <w:tcPr>
            <w:tcW w:w="5240" w:type="dxa"/>
          </w:tcPr>
          <w:p w14:paraId="0A5F1ED5" w14:textId="77777777" w:rsidR="00157C79" w:rsidRDefault="00157C79" w:rsidP="00D6245F">
            <w:pPr>
              <w:rPr>
                <w:rFonts w:cs="Calibri"/>
              </w:rPr>
            </w:pPr>
            <w:r w:rsidRPr="00057CC3">
              <w:rPr>
                <w:rFonts w:cs="Calibri"/>
              </w:rPr>
              <w:t>In line with the UN Transitional Framework, or subsequent planning frameworks</w:t>
            </w:r>
          </w:p>
        </w:tc>
        <w:tc>
          <w:tcPr>
            <w:tcW w:w="1134" w:type="dxa"/>
          </w:tcPr>
          <w:p w14:paraId="7E2E85E6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59D3D56B" w14:textId="77777777" w:rsidR="00157C79" w:rsidRDefault="00157C79" w:rsidP="00D6245F">
            <w:pPr>
              <w:rPr>
                <w:rFonts w:cs="Calibri"/>
              </w:rPr>
            </w:pPr>
          </w:p>
        </w:tc>
      </w:tr>
      <w:tr w:rsidR="00157C79" w14:paraId="0F3973CC" w14:textId="77777777" w:rsidTr="00D6245F">
        <w:tc>
          <w:tcPr>
            <w:tcW w:w="5240" w:type="dxa"/>
          </w:tcPr>
          <w:p w14:paraId="178E4EB8" w14:textId="77777777" w:rsidR="00157C79" w:rsidRDefault="00157C79" w:rsidP="00D6245F">
            <w:pPr>
              <w:rPr>
                <w:rFonts w:cs="Calibri"/>
              </w:rPr>
            </w:pPr>
            <w:r w:rsidRPr="00057CC3">
              <w:rPr>
                <w:rFonts w:cs="Calibri"/>
              </w:rPr>
              <w:t>Proposal has the possibility to be scalable at a later stage</w:t>
            </w:r>
          </w:p>
        </w:tc>
        <w:tc>
          <w:tcPr>
            <w:tcW w:w="1134" w:type="dxa"/>
          </w:tcPr>
          <w:p w14:paraId="496EA9A8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356F7071" w14:textId="77777777" w:rsidR="00157C79" w:rsidRDefault="00157C79" w:rsidP="00D6245F">
            <w:pPr>
              <w:rPr>
                <w:rFonts w:cs="Calibri"/>
              </w:rPr>
            </w:pPr>
          </w:p>
        </w:tc>
      </w:tr>
      <w:tr w:rsidR="00157C79" w14:paraId="59AA87BF" w14:textId="77777777" w:rsidTr="00D6245F">
        <w:tc>
          <w:tcPr>
            <w:tcW w:w="5240" w:type="dxa"/>
          </w:tcPr>
          <w:p w14:paraId="2A1C1D4C" w14:textId="77777777" w:rsidR="00157C79" w:rsidRDefault="00157C79" w:rsidP="00D6245F">
            <w:pPr>
              <w:rPr>
                <w:rFonts w:cs="Calibri"/>
              </w:rPr>
            </w:pPr>
            <w:r w:rsidRPr="00057CC3">
              <w:rPr>
                <w:rFonts w:cs="Calibri"/>
              </w:rPr>
              <w:t>Sustainability of proposed intervention is built in</w:t>
            </w:r>
          </w:p>
        </w:tc>
        <w:tc>
          <w:tcPr>
            <w:tcW w:w="1134" w:type="dxa"/>
          </w:tcPr>
          <w:p w14:paraId="139CAB54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7C656A43" w14:textId="77777777" w:rsidR="00157C79" w:rsidRDefault="00157C79" w:rsidP="00D6245F">
            <w:pPr>
              <w:rPr>
                <w:rFonts w:cs="Calibri"/>
              </w:rPr>
            </w:pPr>
          </w:p>
        </w:tc>
      </w:tr>
      <w:tr w:rsidR="00157C79" w:rsidRPr="00057CC3" w14:paraId="2D193182" w14:textId="77777777" w:rsidTr="00D6245F">
        <w:tc>
          <w:tcPr>
            <w:tcW w:w="5240" w:type="dxa"/>
            <w:shd w:val="clear" w:color="auto" w:fill="BFBFBF" w:themeFill="background1" w:themeFillShade="BF"/>
          </w:tcPr>
          <w:p w14:paraId="7E268A84" w14:textId="77777777" w:rsidR="00157C79" w:rsidRPr="00057CC3" w:rsidRDefault="00157C79" w:rsidP="00D6245F">
            <w:pPr>
              <w:rPr>
                <w:rFonts w:cs="Calibri"/>
                <w:b/>
                <w:bCs/>
                <w:i/>
                <w:iCs/>
              </w:rPr>
            </w:pPr>
            <w:r w:rsidRPr="00057CC3">
              <w:rPr>
                <w:rFonts w:cs="Calibri"/>
                <w:b/>
                <w:bCs/>
                <w:i/>
                <w:iCs/>
              </w:rPr>
              <w:t xml:space="preserve">Quality programming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79CEBE1" w14:textId="77777777" w:rsidR="00157C79" w:rsidRPr="00057CC3" w:rsidRDefault="00157C79" w:rsidP="00D6245F">
            <w:pPr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A11EF61" w14:textId="77777777" w:rsidR="00157C79" w:rsidRPr="00057CC3" w:rsidRDefault="00157C79" w:rsidP="00D6245F">
            <w:pPr>
              <w:rPr>
                <w:rFonts w:cs="Calibri"/>
                <w:b/>
                <w:bCs/>
              </w:rPr>
            </w:pPr>
          </w:p>
        </w:tc>
      </w:tr>
      <w:tr w:rsidR="00157C79" w14:paraId="2ED82F85" w14:textId="77777777" w:rsidTr="00D6245F">
        <w:tc>
          <w:tcPr>
            <w:tcW w:w="5240" w:type="dxa"/>
          </w:tcPr>
          <w:p w14:paraId="3A8D16D4" w14:textId="77777777" w:rsidR="00157C79" w:rsidRDefault="00157C79" w:rsidP="00D6245F">
            <w:pPr>
              <w:rPr>
                <w:rFonts w:cs="Calibri"/>
              </w:rPr>
            </w:pPr>
            <w:r w:rsidRPr="00057CC3">
              <w:rPr>
                <w:rFonts w:cs="Calibri"/>
              </w:rPr>
              <w:t xml:space="preserve">Responds to a clear need in an innovative manner aiming to bring improvement to pre-war status </w:t>
            </w:r>
          </w:p>
        </w:tc>
        <w:tc>
          <w:tcPr>
            <w:tcW w:w="1134" w:type="dxa"/>
          </w:tcPr>
          <w:p w14:paraId="51B18B3F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2337CDA0" w14:textId="77777777" w:rsidR="00157C79" w:rsidRDefault="00157C79" w:rsidP="00D6245F">
            <w:pPr>
              <w:rPr>
                <w:rFonts w:cs="Calibri"/>
              </w:rPr>
            </w:pPr>
          </w:p>
        </w:tc>
      </w:tr>
      <w:tr w:rsidR="00157C79" w14:paraId="7B57E555" w14:textId="77777777" w:rsidTr="00D6245F">
        <w:tc>
          <w:tcPr>
            <w:tcW w:w="5240" w:type="dxa"/>
          </w:tcPr>
          <w:p w14:paraId="36A3C43A" w14:textId="77777777" w:rsidR="00157C79" w:rsidRDefault="00157C79" w:rsidP="00D6245F">
            <w:pPr>
              <w:rPr>
                <w:rFonts w:cs="Calibri"/>
              </w:rPr>
            </w:pPr>
            <w:r w:rsidRPr="00057CC3">
              <w:rPr>
                <w:rFonts w:cs="Calibri"/>
              </w:rPr>
              <w:t xml:space="preserve">Evidence based including through community consultations </w:t>
            </w:r>
          </w:p>
        </w:tc>
        <w:tc>
          <w:tcPr>
            <w:tcW w:w="1134" w:type="dxa"/>
          </w:tcPr>
          <w:p w14:paraId="43ABC6C7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2FF594BD" w14:textId="77777777" w:rsidR="00157C79" w:rsidRDefault="00157C79" w:rsidP="00D6245F">
            <w:pPr>
              <w:rPr>
                <w:rFonts w:cs="Calibri"/>
              </w:rPr>
            </w:pPr>
          </w:p>
        </w:tc>
      </w:tr>
      <w:tr w:rsidR="00157C79" w14:paraId="178F16FB" w14:textId="77777777" w:rsidTr="00D6245F">
        <w:tc>
          <w:tcPr>
            <w:tcW w:w="5240" w:type="dxa"/>
          </w:tcPr>
          <w:p w14:paraId="7605E370" w14:textId="77777777" w:rsidR="00157C79" w:rsidRDefault="00157C79" w:rsidP="00D6245F">
            <w:pPr>
              <w:rPr>
                <w:rFonts w:cs="Calibri"/>
              </w:rPr>
            </w:pPr>
            <w:r w:rsidRPr="00057CC3">
              <w:rPr>
                <w:rFonts w:cs="Calibri"/>
              </w:rPr>
              <w:t xml:space="preserve">Interventions are targeted at the community level and inclusive of underserved communities </w:t>
            </w:r>
          </w:p>
        </w:tc>
        <w:tc>
          <w:tcPr>
            <w:tcW w:w="1134" w:type="dxa"/>
          </w:tcPr>
          <w:p w14:paraId="5AF33FBD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40E11FD5" w14:textId="77777777" w:rsidR="00157C79" w:rsidRDefault="00157C79" w:rsidP="00D6245F">
            <w:pPr>
              <w:rPr>
                <w:rFonts w:cs="Calibri"/>
              </w:rPr>
            </w:pPr>
          </w:p>
        </w:tc>
      </w:tr>
      <w:tr w:rsidR="00157C79" w14:paraId="652E481B" w14:textId="77777777" w:rsidTr="00D6245F">
        <w:tc>
          <w:tcPr>
            <w:tcW w:w="5240" w:type="dxa"/>
          </w:tcPr>
          <w:p w14:paraId="67716489" w14:textId="77777777" w:rsidR="00157C79" w:rsidRPr="00057CC3" w:rsidRDefault="00157C79" w:rsidP="00D6245F">
            <w:pPr>
              <w:rPr>
                <w:rFonts w:cs="Calibri"/>
              </w:rPr>
            </w:pPr>
            <w:r w:rsidRPr="00057CC3">
              <w:rPr>
                <w:rFonts w:cs="Calibri"/>
              </w:rPr>
              <w:t xml:space="preserve">Demonstrate that community members have been involved in the identification of needs, design of interventions, decision-making and implementation and monitoring, with the goal of empowering local stakeholders </w:t>
            </w:r>
          </w:p>
        </w:tc>
        <w:tc>
          <w:tcPr>
            <w:tcW w:w="1134" w:type="dxa"/>
          </w:tcPr>
          <w:p w14:paraId="042AD54F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7A45DCA3" w14:textId="77777777" w:rsidR="00157C79" w:rsidRDefault="00157C79" w:rsidP="00D6245F">
            <w:pPr>
              <w:rPr>
                <w:rFonts w:cs="Calibri"/>
              </w:rPr>
            </w:pPr>
          </w:p>
        </w:tc>
      </w:tr>
      <w:tr w:rsidR="00157C79" w14:paraId="50E305D1" w14:textId="77777777" w:rsidTr="00D6245F">
        <w:tc>
          <w:tcPr>
            <w:tcW w:w="5240" w:type="dxa"/>
          </w:tcPr>
          <w:p w14:paraId="3B912D6B" w14:textId="77777777" w:rsidR="00157C79" w:rsidRPr="00057CC3" w:rsidRDefault="00157C79" w:rsidP="00D6245F">
            <w:pPr>
              <w:rPr>
                <w:rFonts w:cs="Calibri"/>
              </w:rPr>
            </w:pPr>
            <w:r w:rsidRPr="00057CC3">
              <w:rPr>
                <w:rFonts w:cs="Calibri"/>
              </w:rPr>
              <w:t xml:space="preserve">Multi-sectorial area-based is explained including coordination of planning with other UN Organizations </w:t>
            </w:r>
          </w:p>
        </w:tc>
        <w:tc>
          <w:tcPr>
            <w:tcW w:w="1134" w:type="dxa"/>
          </w:tcPr>
          <w:p w14:paraId="4B883424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434533DA" w14:textId="77777777" w:rsidR="00157C79" w:rsidRDefault="00157C79" w:rsidP="00D6245F">
            <w:pPr>
              <w:rPr>
                <w:rFonts w:cs="Calibri"/>
              </w:rPr>
            </w:pPr>
          </w:p>
        </w:tc>
      </w:tr>
      <w:tr w:rsidR="00157C79" w14:paraId="3B02ED6B" w14:textId="77777777" w:rsidTr="00D6245F">
        <w:tc>
          <w:tcPr>
            <w:tcW w:w="5240" w:type="dxa"/>
          </w:tcPr>
          <w:p w14:paraId="3062F1AD" w14:textId="77777777" w:rsidR="00157C79" w:rsidRPr="00057CC3" w:rsidRDefault="00157C79" w:rsidP="00D6245F">
            <w:pPr>
              <w:rPr>
                <w:rFonts w:cs="Calibri"/>
              </w:rPr>
            </w:pPr>
            <w:r w:rsidRPr="00057CC3">
              <w:rPr>
                <w:rFonts w:cs="Calibri"/>
              </w:rPr>
              <w:t xml:space="preserve">Responsive to the different needs of community members with regards to age, gender and diversity, and will measure results using disaggregated data (LNOB) </w:t>
            </w:r>
          </w:p>
        </w:tc>
        <w:tc>
          <w:tcPr>
            <w:tcW w:w="1134" w:type="dxa"/>
          </w:tcPr>
          <w:p w14:paraId="5EDE5003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11B07EF3" w14:textId="77777777" w:rsidR="00157C79" w:rsidRDefault="00157C79" w:rsidP="00D6245F">
            <w:pPr>
              <w:rPr>
                <w:rFonts w:cs="Calibri"/>
              </w:rPr>
            </w:pPr>
          </w:p>
        </w:tc>
      </w:tr>
      <w:tr w:rsidR="00157C79" w14:paraId="3F052C9B" w14:textId="77777777" w:rsidTr="00D6245F">
        <w:tc>
          <w:tcPr>
            <w:tcW w:w="5240" w:type="dxa"/>
          </w:tcPr>
          <w:p w14:paraId="7A5B0419" w14:textId="77777777" w:rsidR="00157C79" w:rsidRPr="00057CC3" w:rsidRDefault="00157C79" w:rsidP="00D6245F">
            <w:pPr>
              <w:rPr>
                <w:rFonts w:cs="Calibri"/>
              </w:rPr>
            </w:pPr>
            <w:r w:rsidRPr="00057CC3">
              <w:rPr>
                <w:rFonts w:cs="Calibri"/>
              </w:rPr>
              <w:t xml:space="preserve">Coherent with policy and programming frameworks in the domain </w:t>
            </w:r>
          </w:p>
        </w:tc>
        <w:tc>
          <w:tcPr>
            <w:tcW w:w="1134" w:type="dxa"/>
          </w:tcPr>
          <w:p w14:paraId="10B9384F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2CB1E0AE" w14:textId="77777777" w:rsidR="00157C79" w:rsidRDefault="00157C79" w:rsidP="00D6245F">
            <w:pPr>
              <w:rPr>
                <w:rFonts w:cs="Calibri"/>
              </w:rPr>
            </w:pPr>
          </w:p>
        </w:tc>
      </w:tr>
      <w:tr w:rsidR="00157C79" w:rsidRPr="00057CC3" w14:paraId="5FBC2A9C" w14:textId="77777777" w:rsidTr="00D6245F">
        <w:tc>
          <w:tcPr>
            <w:tcW w:w="5240" w:type="dxa"/>
            <w:shd w:val="clear" w:color="auto" w:fill="BFBFBF" w:themeFill="background1" w:themeFillShade="BF"/>
          </w:tcPr>
          <w:p w14:paraId="448D1565" w14:textId="77777777" w:rsidR="00157C79" w:rsidRPr="00057CC3" w:rsidRDefault="00157C79" w:rsidP="00D6245F">
            <w:pPr>
              <w:rPr>
                <w:rFonts w:cs="Calibri"/>
                <w:b/>
                <w:bCs/>
              </w:rPr>
            </w:pPr>
            <w:r w:rsidRPr="00057CC3">
              <w:rPr>
                <w:rFonts w:cs="Calibri"/>
                <w:b/>
                <w:bCs/>
                <w:i/>
                <w:iCs/>
              </w:rPr>
              <w:t xml:space="preserve">Monitoring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37A8A6C" w14:textId="77777777" w:rsidR="00157C79" w:rsidRPr="00057CC3" w:rsidRDefault="00157C79" w:rsidP="00D6245F">
            <w:pPr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3F1D3D0E" w14:textId="77777777" w:rsidR="00157C79" w:rsidRPr="00057CC3" w:rsidRDefault="00157C79" w:rsidP="00D6245F">
            <w:pPr>
              <w:rPr>
                <w:rFonts w:cs="Calibri"/>
                <w:b/>
                <w:bCs/>
              </w:rPr>
            </w:pPr>
          </w:p>
        </w:tc>
      </w:tr>
      <w:tr w:rsidR="00157C79" w14:paraId="37685A83" w14:textId="77777777" w:rsidTr="00D6245F">
        <w:tc>
          <w:tcPr>
            <w:tcW w:w="5240" w:type="dxa"/>
          </w:tcPr>
          <w:p w14:paraId="50BB8B6C" w14:textId="77777777" w:rsidR="00157C79" w:rsidRPr="00057CC3" w:rsidRDefault="00157C79" w:rsidP="00D6245F">
            <w:pPr>
              <w:rPr>
                <w:rFonts w:cs="Calibri"/>
              </w:rPr>
            </w:pPr>
            <w:r w:rsidRPr="00057CC3">
              <w:rPr>
                <w:rFonts w:cs="Calibri"/>
              </w:rPr>
              <w:t xml:space="preserve">A comprehensive logical framework that clearly links objectives with outcomes, outputs and activities </w:t>
            </w:r>
          </w:p>
        </w:tc>
        <w:tc>
          <w:tcPr>
            <w:tcW w:w="1134" w:type="dxa"/>
          </w:tcPr>
          <w:p w14:paraId="45E08587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516F56F8" w14:textId="77777777" w:rsidR="00157C79" w:rsidRDefault="00157C79" w:rsidP="00D6245F">
            <w:pPr>
              <w:rPr>
                <w:rFonts w:cs="Calibri"/>
              </w:rPr>
            </w:pPr>
          </w:p>
        </w:tc>
      </w:tr>
      <w:tr w:rsidR="00157C79" w14:paraId="6A6D3CD9" w14:textId="77777777" w:rsidTr="00D6245F">
        <w:tc>
          <w:tcPr>
            <w:tcW w:w="5240" w:type="dxa"/>
          </w:tcPr>
          <w:p w14:paraId="39651514" w14:textId="77777777" w:rsidR="00157C79" w:rsidRPr="00057CC3" w:rsidRDefault="00157C79" w:rsidP="00D6245F">
            <w:pPr>
              <w:rPr>
                <w:rFonts w:cs="Calibri"/>
              </w:rPr>
            </w:pPr>
            <w:r w:rsidRPr="00057CC3">
              <w:rPr>
                <w:rFonts w:cs="Calibri"/>
              </w:rPr>
              <w:t xml:space="preserve">A detailed monitoring plan and coherent information on how progress will be monitored and reported on during implementation </w:t>
            </w:r>
          </w:p>
        </w:tc>
        <w:tc>
          <w:tcPr>
            <w:tcW w:w="1134" w:type="dxa"/>
          </w:tcPr>
          <w:p w14:paraId="75E670A9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247CFFC7" w14:textId="77777777" w:rsidR="00157C79" w:rsidRDefault="00157C79" w:rsidP="00D6245F">
            <w:pPr>
              <w:rPr>
                <w:rFonts w:cs="Calibri"/>
              </w:rPr>
            </w:pPr>
          </w:p>
        </w:tc>
      </w:tr>
      <w:tr w:rsidR="00157C79" w14:paraId="525E314A" w14:textId="77777777" w:rsidTr="00D6245F">
        <w:tc>
          <w:tcPr>
            <w:tcW w:w="5240" w:type="dxa"/>
          </w:tcPr>
          <w:p w14:paraId="7BC43C93" w14:textId="77777777" w:rsidR="00157C79" w:rsidRPr="00057CC3" w:rsidRDefault="00157C79" w:rsidP="00D6245F">
            <w:pPr>
              <w:rPr>
                <w:rFonts w:cs="Calibri"/>
              </w:rPr>
            </w:pPr>
            <w:r w:rsidRPr="00057CC3">
              <w:rPr>
                <w:rFonts w:cs="Calibri"/>
              </w:rPr>
              <w:t>A clear risk matrix with mitigation measures is defined</w:t>
            </w:r>
          </w:p>
        </w:tc>
        <w:tc>
          <w:tcPr>
            <w:tcW w:w="1134" w:type="dxa"/>
          </w:tcPr>
          <w:p w14:paraId="3254DB40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7C6BE5DC" w14:textId="77777777" w:rsidR="00157C79" w:rsidRDefault="00157C79" w:rsidP="00D6245F">
            <w:pPr>
              <w:rPr>
                <w:rFonts w:cs="Calibri"/>
              </w:rPr>
            </w:pPr>
          </w:p>
        </w:tc>
      </w:tr>
      <w:tr w:rsidR="00157C79" w14:paraId="483B8C0C" w14:textId="77777777" w:rsidTr="00D6245F">
        <w:tc>
          <w:tcPr>
            <w:tcW w:w="5240" w:type="dxa"/>
          </w:tcPr>
          <w:p w14:paraId="0295D434" w14:textId="77777777" w:rsidR="00157C79" w:rsidRPr="00057CC3" w:rsidRDefault="00157C79" w:rsidP="00D6245F">
            <w:pPr>
              <w:rPr>
                <w:rFonts w:cs="Calibri"/>
              </w:rPr>
            </w:pPr>
            <w:r w:rsidRPr="00057CC3">
              <w:rPr>
                <w:rFonts w:cs="Calibri"/>
              </w:rPr>
              <w:t xml:space="preserve">An assessment against gender equality marker criteria </w:t>
            </w:r>
          </w:p>
        </w:tc>
        <w:tc>
          <w:tcPr>
            <w:tcW w:w="1134" w:type="dxa"/>
          </w:tcPr>
          <w:p w14:paraId="48FA8D15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4F032F54" w14:textId="77777777" w:rsidR="00157C79" w:rsidRDefault="00157C79" w:rsidP="00D6245F">
            <w:pPr>
              <w:rPr>
                <w:rFonts w:cs="Calibri"/>
              </w:rPr>
            </w:pPr>
          </w:p>
        </w:tc>
      </w:tr>
      <w:tr w:rsidR="00157C79" w:rsidRPr="00057CC3" w14:paraId="2C85BFCC" w14:textId="77777777" w:rsidTr="00D6245F">
        <w:tc>
          <w:tcPr>
            <w:tcW w:w="5240" w:type="dxa"/>
            <w:shd w:val="clear" w:color="auto" w:fill="BFBFBF" w:themeFill="background1" w:themeFillShade="BF"/>
          </w:tcPr>
          <w:p w14:paraId="2F787CBB" w14:textId="77777777" w:rsidR="00157C79" w:rsidRPr="00057CC3" w:rsidRDefault="00157C79" w:rsidP="00D6245F">
            <w:pPr>
              <w:rPr>
                <w:rFonts w:cs="Calibri"/>
                <w:b/>
                <w:bCs/>
              </w:rPr>
            </w:pPr>
            <w:r w:rsidRPr="00057CC3">
              <w:rPr>
                <w:rFonts w:cs="Calibri"/>
                <w:b/>
                <w:bCs/>
                <w:i/>
                <w:iCs/>
              </w:rPr>
              <w:t xml:space="preserve">Cost-effectiveness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C55D9A4" w14:textId="77777777" w:rsidR="00157C79" w:rsidRPr="00057CC3" w:rsidRDefault="00157C79" w:rsidP="00D6245F">
            <w:pPr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48B3BE6" w14:textId="77777777" w:rsidR="00157C79" w:rsidRPr="00057CC3" w:rsidRDefault="00157C79" w:rsidP="00D6245F">
            <w:pPr>
              <w:rPr>
                <w:rFonts w:cs="Calibri"/>
                <w:b/>
                <w:bCs/>
              </w:rPr>
            </w:pPr>
          </w:p>
        </w:tc>
      </w:tr>
      <w:tr w:rsidR="00157C79" w14:paraId="4C084934" w14:textId="77777777" w:rsidTr="00D6245F">
        <w:tc>
          <w:tcPr>
            <w:tcW w:w="5240" w:type="dxa"/>
          </w:tcPr>
          <w:p w14:paraId="221BB566" w14:textId="77777777" w:rsidR="00157C79" w:rsidRPr="00057CC3" w:rsidRDefault="00157C79" w:rsidP="00D6245F">
            <w:pPr>
              <w:rPr>
                <w:rFonts w:cs="Calibri"/>
              </w:rPr>
            </w:pPr>
            <w:r w:rsidRPr="00057CC3">
              <w:rPr>
                <w:rFonts w:cs="Calibri"/>
              </w:rPr>
              <w:t xml:space="preserve">Added value of joint programmes </w:t>
            </w:r>
          </w:p>
        </w:tc>
        <w:tc>
          <w:tcPr>
            <w:tcW w:w="1134" w:type="dxa"/>
          </w:tcPr>
          <w:p w14:paraId="1C0ADE0D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67F563F3" w14:textId="77777777" w:rsidR="00157C79" w:rsidRDefault="00157C79" w:rsidP="00D6245F">
            <w:pPr>
              <w:rPr>
                <w:rFonts w:cs="Calibri"/>
              </w:rPr>
            </w:pPr>
          </w:p>
        </w:tc>
      </w:tr>
      <w:tr w:rsidR="00157C79" w14:paraId="23B6AD6F" w14:textId="77777777" w:rsidTr="00D6245F">
        <w:tc>
          <w:tcPr>
            <w:tcW w:w="5240" w:type="dxa"/>
          </w:tcPr>
          <w:p w14:paraId="74ED2741" w14:textId="77777777" w:rsidR="00157C79" w:rsidRPr="00057CC3" w:rsidRDefault="00157C79" w:rsidP="00D6245F">
            <w:pPr>
              <w:rPr>
                <w:rFonts w:cs="Calibri"/>
              </w:rPr>
            </w:pPr>
            <w:r w:rsidRPr="00057CC3">
              <w:rPr>
                <w:rFonts w:cs="Calibri"/>
              </w:rPr>
              <w:t xml:space="preserve">Coherence of the budget with the logical framework, activities and work plan, including sub-partner budget, where applicable. </w:t>
            </w:r>
          </w:p>
        </w:tc>
        <w:tc>
          <w:tcPr>
            <w:tcW w:w="1134" w:type="dxa"/>
          </w:tcPr>
          <w:p w14:paraId="4907E0DF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4E4AB961" w14:textId="77777777" w:rsidR="00157C79" w:rsidRDefault="00157C79" w:rsidP="00D6245F">
            <w:pPr>
              <w:rPr>
                <w:rFonts w:cs="Calibri"/>
              </w:rPr>
            </w:pPr>
          </w:p>
        </w:tc>
      </w:tr>
      <w:tr w:rsidR="00157C79" w14:paraId="0D264731" w14:textId="77777777" w:rsidTr="00D6245F">
        <w:tc>
          <w:tcPr>
            <w:tcW w:w="5240" w:type="dxa"/>
          </w:tcPr>
          <w:p w14:paraId="32284415" w14:textId="77777777" w:rsidR="00157C79" w:rsidRPr="00057CC3" w:rsidRDefault="00157C79" w:rsidP="00D6245F">
            <w:pPr>
              <w:rPr>
                <w:rFonts w:cs="Calibri"/>
              </w:rPr>
            </w:pPr>
            <w:r w:rsidRPr="00057CC3">
              <w:rPr>
                <w:rFonts w:cs="Calibri"/>
              </w:rPr>
              <w:t xml:space="preserve">Cost-effective and reasonable budget in comparison with commonly accepted ranges </w:t>
            </w:r>
          </w:p>
        </w:tc>
        <w:tc>
          <w:tcPr>
            <w:tcW w:w="1134" w:type="dxa"/>
          </w:tcPr>
          <w:p w14:paraId="4DC89B6A" w14:textId="77777777" w:rsidR="00157C79" w:rsidRDefault="00157C79" w:rsidP="00D6245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23FF1DC8" w14:textId="77777777" w:rsidR="00157C79" w:rsidRDefault="00157C79" w:rsidP="00D6245F">
            <w:pPr>
              <w:rPr>
                <w:rFonts w:cs="Calibri"/>
              </w:rPr>
            </w:pPr>
          </w:p>
        </w:tc>
      </w:tr>
      <w:tr w:rsidR="00157C79" w:rsidRPr="00146039" w14:paraId="56CC8BC2" w14:textId="77777777" w:rsidTr="00D6245F">
        <w:tc>
          <w:tcPr>
            <w:tcW w:w="5240" w:type="dxa"/>
            <w:shd w:val="clear" w:color="auto" w:fill="BFBFBF" w:themeFill="background1" w:themeFillShade="BF"/>
          </w:tcPr>
          <w:p w14:paraId="1085EBDC" w14:textId="77777777" w:rsidR="00157C79" w:rsidRDefault="00157C79" w:rsidP="00D6245F">
            <w:pPr>
              <w:rPr>
                <w:rFonts w:cs="Calibri"/>
                <w:b/>
                <w:bCs/>
              </w:rPr>
            </w:pPr>
            <w:r w:rsidRPr="00146039">
              <w:rPr>
                <w:rFonts w:cs="Calibri"/>
                <w:b/>
                <w:bCs/>
              </w:rPr>
              <w:t>Total (maximum 90 points)</w:t>
            </w:r>
          </w:p>
          <w:p w14:paraId="7CB60E37" w14:textId="77777777" w:rsidR="00157C79" w:rsidRPr="00146039" w:rsidRDefault="00157C79" w:rsidP="00D6245F">
            <w:pPr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F4C5621" w14:textId="77777777" w:rsidR="00157C79" w:rsidRDefault="00157C79" w:rsidP="00D6245F">
            <w:pPr>
              <w:rPr>
                <w:rFonts w:cs="Calibri"/>
                <w:b/>
                <w:bCs/>
              </w:rPr>
            </w:pPr>
          </w:p>
          <w:p w14:paraId="5E911D75" w14:textId="77777777" w:rsidR="00157C79" w:rsidRPr="00146039" w:rsidRDefault="00157C79" w:rsidP="00D6245F">
            <w:pPr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0023F9E2" w14:textId="77777777" w:rsidR="00157C79" w:rsidRDefault="00157C79" w:rsidP="00D6245F">
            <w:pPr>
              <w:rPr>
                <w:rFonts w:cs="Calibri"/>
                <w:b/>
                <w:bCs/>
              </w:rPr>
            </w:pPr>
          </w:p>
          <w:p w14:paraId="7F36078C" w14:textId="77777777" w:rsidR="00157C79" w:rsidRPr="00146039" w:rsidRDefault="00157C79" w:rsidP="00D6245F">
            <w:pPr>
              <w:rPr>
                <w:rFonts w:cs="Calibri"/>
                <w:b/>
                <w:bCs/>
              </w:rPr>
            </w:pPr>
          </w:p>
        </w:tc>
      </w:tr>
    </w:tbl>
    <w:p w14:paraId="001A6A1F" w14:textId="77777777" w:rsidR="00157C79" w:rsidRDefault="00157C79" w:rsidP="00157C79">
      <w:pPr>
        <w:rPr>
          <w:lang w:val="en-US"/>
        </w:rPr>
      </w:pPr>
    </w:p>
    <w:p w14:paraId="1065D62C" w14:textId="77777777" w:rsidR="00157C79" w:rsidRDefault="00157C79" w:rsidP="00157C79">
      <w:pPr>
        <w:rPr>
          <w:lang w:val="en-US"/>
        </w:rPr>
      </w:pPr>
      <w:r>
        <w:rPr>
          <w:b/>
          <w:bCs/>
          <w:lang w:val="en-US"/>
        </w:rPr>
        <w:t xml:space="preserve">3. </w:t>
      </w:r>
      <w:r w:rsidRPr="00D67A84">
        <w:rPr>
          <w:b/>
          <w:bCs/>
          <w:lang w:val="en-US"/>
        </w:rPr>
        <w:t>Recommendation</w:t>
      </w:r>
      <w:r>
        <w:rPr>
          <w:b/>
          <w:bCs/>
          <w:lang w:val="en-US"/>
        </w:rPr>
        <w:t xml:space="preserve"> of the Technical Committee member</w:t>
      </w:r>
      <w:r>
        <w:rPr>
          <w:lang w:val="en-US"/>
        </w:rPr>
        <w:t xml:space="preserve">: </w:t>
      </w:r>
    </w:p>
    <w:p w14:paraId="33327128" w14:textId="2EF97A38" w:rsidR="00157C79" w:rsidRPr="00157C79" w:rsidRDefault="00157C79" w:rsidP="00702281">
      <w:pPr>
        <w:rPr>
          <w:b/>
          <w:bCs/>
          <w:lang w:val="en-US"/>
        </w:rPr>
      </w:pPr>
      <w:r>
        <w:rPr>
          <w:lang w:val="en-US"/>
        </w:rPr>
        <w:t xml:space="preserve">[ex.: recommended for funding / comments to be addressed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]</w:t>
      </w:r>
    </w:p>
    <w:sectPr w:rsidR="00157C79" w:rsidRPr="00157C79">
      <w:footerReference w:type="default" r:id="rId16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6B932" w14:textId="77777777" w:rsidR="004A2181" w:rsidRDefault="004A2181" w:rsidP="00254E00">
      <w:pPr>
        <w:spacing w:after="0"/>
      </w:pPr>
      <w:r>
        <w:separator/>
      </w:r>
    </w:p>
  </w:endnote>
  <w:endnote w:type="continuationSeparator" w:id="0">
    <w:p w14:paraId="156CCB5D" w14:textId="77777777" w:rsidR="004A2181" w:rsidRDefault="004A2181" w:rsidP="00254E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96203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6D7AD" w14:textId="440A336E" w:rsidR="00254E00" w:rsidRDefault="00254E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78029B" w14:textId="77777777" w:rsidR="00254E00" w:rsidRDefault="00254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ED821" w14:textId="77777777" w:rsidR="004A2181" w:rsidRDefault="004A2181" w:rsidP="00254E00">
      <w:pPr>
        <w:spacing w:after="0"/>
      </w:pPr>
      <w:r>
        <w:separator/>
      </w:r>
    </w:p>
  </w:footnote>
  <w:footnote w:type="continuationSeparator" w:id="0">
    <w:p w14:paraId="34EAFA0C" w14:textId="77777777" w:rsidR="004A2181" w:rsidRDefault="004A2181" w:rsidP="00254E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76346"/>
    <w:multiLevelType w:val="hybridMultilevel"/>
    <w:tmpl w:val="A92A3BFC"/>
    <w:lvl w:ilvl="0" w:tplc="3FB2F062">
      <w:numFmt w:val="bullet"/>
      <w:lvlText w:val="-"/>
      <w:lvlJc w:val="left"/>
      <w:pPr>
        <w:ind w:left="720" w:hanging="360"/>
      </w:pPr>
      <w:rPr>
        <w:rFonts w:ascii="Roboto" w:eastAsiaTheme="minorHAnsi" w:hAnsi="Roboto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7AAA"/>
    <w:multiLevelType w:val="hybridMultilevel"/>
    <w:tmpl w:val="F7F65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B7920"/>
    <w:multiLevelType w:val="hybridMultilevel"/>
    <w:tmpl w:val="13D66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B29E6"/>
    <w:multiLevelType w:val="hybridMultilevel"/>
    <w:tmpl w:val="335843F0"/>
    <w:lvl w:ilvl="0" w:tplc="C7268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C1EA3"/>
    <w:multiLevelType w:val="hybridMultilevel"/>
    <w:tmpl w:val="ACB8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900B5"/>
    <w:multiLevelType w:val="hybridMultilevel"/>
    <w:tmpl w:val="8C9A8CAC"/>
    <w:lvl w:ilvl="0" w:tplc="B632206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5525542">
    <w:abstractNumId w:val="0"/>
  </w:num>
  <w:num w:numId="2" w16cid:durableId="148601607">
    <w:abstractNumId w:val="1"/>
  </w:num>
  <w:num w:numId="3" w16cid:durableId="437026796">
    <w:abstractNumId w:val="3"/>
  </w:num>
  <w:num w:numId="4" w16cid:durableId="1874146843">
    <w:abstractNumId w:val="5"/>
  </w:num>
  <w:num w:numId="5" w16cid:durableId="1004240446">
    <w:abstractNumId w:val="4"/>
  </w:num>
  <w:num w:numId="6" w16cid:durableId="859591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F5"/>
    <w:rsid w:val="00012D2A"/>
    <w:rsid w:val="00022AA3"/>
    <w:rsid w:val="000358C7"/>
    <w:rsid w:val="0004131E"/>
    <w:rsid w:val="00042B3D"/>
    <w:rsid w:val="000431F8"/>
    <w:rsid w:val="0004502B"/>
    <w:rsid w:val="00046C4E"/>
    <w:rsid w:val="000663DA"/>
    <w:rsid w:val="000672E0"/>
    <w:rsid w:val="00067305"/>
    <w:rsid w:val="000743B5"/>
    <w:rsid w:val="00090644"/>
    <w:rsid w:val="00090A42"/>
    <w:rsid w:val="0009656A"/>
    <w:rsid w:val="000B0A3F"/>
    <w:rsid w:val="000C494C"/>
    <w:rsid w:val="000D5317"/>
    <w:rsid w:val="000E00A2"/>
    <w:rsid w:val="000F525C"/>
    <w:rsid w:val="001172B7"/>
    <w:rsid w:val="0012556B"/>
    <w:rsid w:val="00157C79"/>
    <w:rsid w:val="00164CFC"/>
    <w:rsid w:val="00173E33"/>
    <w:rsid w:val="00184CC4"/>
    <w:rsid w:val="00185B6F"/>
    <w:rsid w:val="0018781F"/>
    <w:rsid w:val="00191521"/>
    <w:rsid w:val="00195100"/>
    <w:rsid w:val="001A2EAC"/>
    <w:rsid w:val="001A4AEC"/>
    <w:rsid w:val="001A5FA5"/>
    <w:rsid w:val="001B26F3"/>
    <w:rsid w:val="001B2B35"/>
    <w:rsid w:val="001D3EE9"/>
    <w:rsid w:val="001D3F18"/>
    <w:rsid w:val="001D56D5"/>
    <w:rsid w:val="001E502A"/>
    <w:rsid w:val="001E7762"/>
    <w:rsid w:val="001F7164"/>
    <w:rsid w:val="001F7DB4"/>
    <w:rsid w:val="002007E2"/>
    <w:rsid w:val="00203A98"/>
    <w:rsid w:val="0022085F"/>
    <w:rsid w:val="00243894"/>
    <w:rsid w:val="00254E00"/>
    <w:rsid w:val="00275B23"/>
    <w:rsid w:val="0027741C"/>
    <w:rsid w:val="002807B9"/>
    <w:rsid w:val="00297B1D"/>
    <w:rsid w:val="002A0700"/>
    <w:rsid w:val="002A4E8A"/>
    <w:rsid w:val="002D5131"/>
    <w:rsid w:val="002D5D90"/>
    <w:rsid w:val="002E5D07"/>
    <w:rsid w:val="002F325C"/>
    <w:rsid w:val="00300FAA"/>
    <w:rsid w:val="00307E8A"/>
    <w:rsid w:val="00310D89"/>
    <w:rsid w:val="003154C8"/>
    <w:rsid w:val="00320F1C"/>
    <w:rsid w:val="003411C7"/>
    <w:rsid w:val="003425FE"/>
    <w:rsid w:val="00350F8E"/>
    <w:rsid w:val="003547DE"/>
    <w:rsid w:val="00354982"/>
    <w:rsid w:val="00365F44"/>
    <w:rsid w:val="00382F5B"/>
    <w:rsid w:val="00393268"/>
    <w:rsid w:val="003A4C0B"/>
    <w:rsid w:val="003F1958"/>
    <w:rsid w:val="00417A29"/>
    <w:rsid w:val="0043404B"/>
    <w:rsid w:val="00435264"/>
    <w:rsid w:val="00453802"/>
    <w:rsid w:val="004649E2"/>
    <w:rsid w:val="00464F5E"/>
    <w:rsid w:val="004829C6"/>
    <w:rsid w:val="004914F1"/>
    <w:rsid w:val="0049550E"/>
    <w:rsid w:val="004A2181"/>
    <w:rsid w:val="004B3DC5"/>
    <w:rsid w:val="004C0463"/>
    <w:rsid w:val="004D1371"/>
    <w:rsid w:val="004F2EC5"/>
    <w:rsid w:val="005023E4"/>
    <w:rsid w:val="0053796B"/>
    <w:rsid w:val="00552A56"/>
    <w:rsid w:val="00555A07"/>
    <w:rsid w:val="0056320F"/>
    <w:rsid w:val="0056669B"/>
    <w:rsid w:val="00572D42"/>
    <w:rsid w:val="0059328E"/>
    <w:rsid w:val="005D224D"/>
    <w:rsid w:val="005E2ACE"/>
    <w:rsid w:val="005E7492"/>
    <w:rsid w:val="00601954"/>
    <w:rsid w:val="006029F8"/>
    <w:rsid w:val="00602A17"/>
    <w:rsid w:val="00606E46"/>
    <w:rsid w:val="00637918"/>
    <w:rsid w:val="00641685"/>
    <w:rsid w:val="006475B2"/>
    <w:rsid w:val="0065553A"/>
    <w:rsid w:val="00693079"/>
    <w:rsid w:val="006A47B9"/>
    <w:rsid w:val="006A7F5A"/>
    <w:rsid w:val="006B4F3B"/>
    <w:rsid w:val="006B73DA"/>
    <w:rsid w:val="006D7854"/>
    <w:rsid w:val="006F1AE6"/>
    <w:rsid w:val="006F380F"/>
    <w:rsid w:val="006F4373"/>
    <w:rsid w:val="006F4C27"/>
    <w:rsid w:val="006F7DF3"/>
    <w:rsid w:val="00702281"/>
    <w:rsid w:val="00712FAA"/>
    <w:rsid w:val="00720C3D"/>
    <w:rsid w:val="00731D10"/>
    <w:rsid w:val="00743E68"/>
    <w:rsid w:val="007526B8"/>
    <w:rsid w:val="007677B8"/>
    <w:rsid w:val="007C0F98"/>
    <w:rsid w:val="007C13EF"/>
    <w:rsid w:val="007D0F95"/>
    <w:rsid w:val="007D2CB3"/>
    <w:rsid w:val="007D49E6"/>
    <w:rsid w:val="007E1D53"/>
    <w:rsid w:val="007E3F50"/>
    <w:rsid w:val="007E4E57"/>
    <w:rsid w:val="007E5BF1"/>
    <w:rsid w:val="007E6415"/>
    <w:rsid w:val="007F0AE7"/>
    <w:rsid w:val="008146BB"/>
    <w:rsid w:val="00816E89"/>
    <w:rsid w:val="00841389"/>
    <w:rsid w:val="00843D15"/>
    <w:rsid w:val="00851408"/>
    <w:rsid w:val="008558F1"/>
    <w:rsid w:val="00893619"/>
    <w:rsid w:val="008A3E49"/>
    <w:rsid w:val="008B2FA4"/>
    <w:rsid w:val="008B6AC7"/>
    <w:rsid w:val="008C499A"/>
    <w:rsid w:val="008D2443"/>
    <w:rsid w:val="008D3A8F"/>
    <w:rsid w:val="008D5629"/>
    <w:rsid w:val="008E555E"/>
    <w:rsid w:val="008E6264"/>
    <w:rsid w:val="008E7190"/>
    <w:rsid w:val="00910AAF"/>
    <w:rsid w:val="009124EF"/>
    <w:rsid w:val="00924D00"/>
    <w:rsid w:val="009323D5"/>
    <w:rsid w:val="009402F0"/>
    <w:rsid w:val="00963D9C"/>
    <w:rsid w:val="00965B0C"/>
    <w:rsid w:val="00977ECD"/>
    <w:rsid w:val="00987879"/>
    <w:rsid w:val="00992F5A"/>
    <w:rsid w:val="009A443D"/>
    <w:rsid w:val="009A596E"/>
    <w:rsid w:val="009B64FB"/>
    <w:rsid w:val="009B70B0"/>
    <w:rsid w:val="009B710F"/>
    <w:rsid w:val="009B7E4B"/>
    <w:rsid w:val="009C5675"/>
    <w:rsid w:val="009D6437"/>
    <w:rsid w:val="009E2FCD"/>
    <w:rsid w:val="009E3ABD"/>
    <w:rsid w:val="009E3DD6"/>
    <w:rsid w:val="009E6879"/>
    <w:rsid w:val="00A05821"/>
    <w:rsid w:val="00A14879"/>
    <w:rsid w:val="00A15033"/>
    <w:rsid w:val="00A17869"/>
    <w:rsid w:val="00A20256"/>
    <w:rsid w:val="00A22932"/>
    <w:rsid w:val="00A31C12"/>
    <w:rsid w:val="00A34691"/>
    <w:rsid w:val="00A5546B"/>
    <w:rsid w:val="00A5599F"/>
    <w:rsid w:val="00A57F8C"/>
    <w:rsid w:val="00A71452"/>
    <w:rsid w:val="00AA4433"/>
    <w:rsid w:val="00AC525D"/>
    <w:rsid w:val="00AC6AF4"/>
    <w:rsid w:val="00AE2062"/>
    <w:rsid w:val="00AF195E"/>
    <w:rsid w:val="00B00407"/>
    <w:rsid w:val="00B01000"/>
    <w:rsid w:val="00B01FE3"/>
    <w:rsid w:val="00B40DA7"/>
    <w:rsid w:val="00B45188"/>
    <w:rsid w:val="00B7136E"/>
    <w:rsid w:val="00B76261"/>
    <w:rsid w:val="00B87504"/>
    <w:rsid w:val="00B934DE"/>
    <w:rsid w:val="00B93BFD"/>
    <w:rsid w:val="00BA415F"/>
    <w:rsid w:val="00BB0EED"/>
    <w:rsid w:val="00BC1E65"/>
    <w:rsid w:val="00BC27ED"/>
    <w:rsid w:val="00BD122F"/>
    <w:rsid w:val="00BD723F"/>
    <w:rsid w:val="00BD72A7"/>
    <w:rsid w:val="00BE692C"/>
    <w:rsid w:val="00BF7808"/>
    <w:rsid w:val="00C4196D"/>
    <w:rsid w:val="00C50123"/>
    <w:rsid w:val="00C61443"/>
    <w:rsid w:val="00C71AEB"/>
    <w:rsid w:val="00C8117E"/>
    <w:rsid w:val="00C82250"/>
    <w:rsid w:val="00C932E0"/>
    <w:rsid w:val="00CB3F11"/>
    <w:rsid w:val="00CC46F1"/>
    <w:rsid w:val="00CD555B"/>
    <w:rsid w:val="00CE6BBC"/>
    <w:rsid w:val="00D1229F"/>
    <w:rsid w:val="00D13BF5"/>
    <w:rsid w:val="00D302E4"/>
    <w:rsid w:val="00D44761"/>
    <w:rsid w:val="00D45C1E"/>
    <w:rsid w:val="00D65B6A"/>
    <w:rsid w:val="00D7151D"/>
    <w:rsid w:val="00D75440"/>
    <w:rsid w:val="00D76483"/>
    <w:rsid w:val="00D77123"/>
    <w:rsid w:val="00D82C5F"/>
    <w:rsid w:val="00D95C07"/>
    <w:rsid w:val="00DC046B"/>
    <w:rsid w:val="00DC0A17"/>
    <w:rsid w:val="00DC31D9"/>
    <w:rsid w:val="00DD07FC"/>
    <w:rsid w:val="00DD16D6"/>
    <w:rsid w:val="00DF18F4"/>
    <w:rsid w:val="00DF38BF"/>
    <w:rsid w:val="00DF4C07"/>
    <w:rsid w:val="00E01DC9"/>
    <w:rsid w:val="00E33D29"/>
    <w:rsid w:val="00E4759B"/>
    <w:rsid w:val="00E6734B"/>
    <w:rsid w:val="00E73EDF"/>
    <w:rsid w:val="00E744FA"/>
    <w:rsid w:val="00E74E24"/>
    <w:rsid w:val="00E948B4"/>
    <w:rsid w:val="00EA0960"/>
    <w:rsid w:val="00EA2779"/>
    <w:rsid w:val="00EA2DFC"/>
    <w:rsid w:val="00EB16FA"/>
    <w:rsid w:val="00EB7506"/>
    <w:rsid w:val="00EC4DA3"/>
    <w:rsid w:val="00ED2646"/>
    <w:rsid w:val="00EE5C9B"/>
    <w:rsid w:val="00EF6843"/>
    <w:rsid w:val="00EF6D49"/>
    <w:rsid w:val="00F04E74"/>
    <w:rsid w:val="00F059A9"/>
    <w:rsid w:val="00F1256C"/>
    <w:rsid w:val="00F20594"/>
    <w:rsid w:val="00F24E58"/>
    <w:rsid w:val="00F273D9"/>
    <w:rsid w:val="00F316D7"/>
    <w:rsid w:val="00F33FAF"/>
    <w:rsid w:val="00F35554"/>
    <w:rsid w:val="00F506B9"/>
    <w:rsid w:val="00F56B47"/>
    <w:rsid w:val="00F64495"/>
    <w:rsid w:val="00F677BF"/>
    <w:rsid w:val="00F70B2F"/>
    <w:rsid w:val="00F71BE2"/>
    <w:rsid w:val="00F72843"/>
    <w:rsid w:val="00F85ED9"/>
    <w:rsid w:val="00F972DA"/>
    <w:rsid w:val="00FA2785"/>
    <w:rsid w:val="00FB09FD"/>
    <w:rsid w:val="00FB0D8B"/>
    <w:rsid w:val="00FC6184"/>
    <w:rsid w:val="00FD2E47"/>
    <w:rsid w:val="00F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B7A2"/>
  <w15:chartTrackingRefBased/>
  <w15:docId w15:val="{D3F5F1CE-66CF-4C0C-9C73-D48AD5C6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BE2"/>
    <w:pPr>
      <w:jc w:val="left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8E71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190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Default">
    <w:name w:val="Default"/>
    <w:rsid w:val="00B76261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9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4E00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4E0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4E00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4E00"/>
    <w:rPr>
      <w:lang w:val="en-GB"/>
    </w:rPr>
  </w:style>
  <w:style w:type="paragraph" w:styleId="ListParagraph">
    <w:name w:val="List Paragraph"/>
    <w:basedOn w:val="Normal"/>
    <w:uiPriority w:val="34"/>
    <w:qFormat/>
    <w:rsid w:val="001F71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5B2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Revision">
    <w:name w:val="Revision"/>
    <w:hidden/>
    <w:uiPriority w:val="99"/>
    <w:semiHidden/>
    <w:rsid w:val="00F33FAF"/>
    <w:pPr>
      <w:spacing w:after="0"/>
      <w:jc w:val="left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3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3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3FA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FAF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57C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E6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kraine.un.org/en/256751-ukraine-community-recovery-fund-terms-refere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iaksei.vavokhin@u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a.lukatela@un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ukraine.un.org/en/256751-ukraine-community-recovery-fund-terms-reference" TargetMode="External"/><Relationship Id="rId10" Type="http://schemas.openxmlformats.org/officeDocument/2006/relationships/hyperlink" Target="https://ukraine.un.org/en/256751-ukraine-community-recovery-fund-terms-refere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kraine.un.org/en/256751-ukraine-community-recovery-fund-terms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E6FCC58F47F448876CF14C7902A33" ma:contentTypeVersion="16" ma:contentTypeDescription="Create a new document." ma:contentTypeScope="" ma:versionID="e66109b6bd397087f50942edb1dde1ab">
  <xsd:schema xmlns:xsd="http://www.w3.org/2001/XMLSchema" xmlns:xs="http://www.w3.org/2001/XMLSchema" xmlns:p="http://schemas.microsoft.com/office/2006/metadata/properties" xmlns:ns2="b4c4a20e-4d5d-4a00-a80f-c02daf9fd557" xmlns:ns3="b844176a-2e1e-4910-88cf-c2e4bfcd214e" xmlns:ns4="7eea83de-eeb2-4e6a-b60b-921662f49bb3" targetNamespace="http://schemas.microsoft.com/office/2006/metadata/properties" ma:root="true" ma:fieldsID="dd8dc21804d3c57f6456e6974e31f47d" ns2:_="" ns3:_="" ns4:_="">
    <xsd:import namespace="b4c4a20e-4d5d-4a00-a80f-c02daf9fd557"/>
    <xsd:import namespace="b844176a-2e1e-4910-88cf-c2e4bfcd214e"/>
    <xsd:import namespace="7eea83de-eeb2-4e6a-b60b-921662f49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4a20e-4d5d-4a00-a80f-c02daf9fd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4176a-2e1e-4910-88cf-c2e4bfcd2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a83de-eeb2-4e6a-b60b-921662f49bb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c865cd3-64b8-48a6-b13c-76804ed251cc}" ma:internalName="TaxCatchAll" ma:showField="CatchAllData" ma:web="7eea83de-eeb2-4e6a-b60b-921662f49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B03A3-571B-40B7-B6B2-82C5B7D8C5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CF4034-D7C1-4D88-B825-4411FC1B5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4a20e-4d5d-4a00-a80f-c02daf9fd557"/>
    <ds:schemaRef ds:uri="b844176a-2e1e-4910-88cf-c2e4bfcd214e"/>
    <ds:schemaRef ds:uri="7eea83de-eeb2-4e6a-b60b-921662f49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9BA96-7831-4153-80ED-08FFCE7DA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Aliaksei Vavokhin</dc:creator>
  <cp:keywords/>
  <dc:description/>
  <cp:lastModifiedBy>Aliaksei Vavokhin</cp:lastModifiedBy>
  <cp:revision>9</cp:revision>
  <dcterms:created xsi:type="dcterms:W3CDTF">2024-05-27T09:24:00Z</dcterms:created>
  <dcterms:modified xsi:type="dcterms:W3CDTF">2024-05-27T09:50:00Z</dcterms:modified>
</cp:coreProperties>
</file>