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7F183" w14:textId="77777777" w:rsidR="00FC75A8" w:rsidRDefault="00FC75A8">
      <w:pPr>
        <w:jc w:val="center"/>
        <w:rPr>
          <w:rFonts w:ascii="Avenir" w:eastAsia="Avenir" w:hAnsi="Avenir" w:cs="Avenir"/>
          <w:b/>
          <w:color w:val="0070C0"/>
          <w:sz w:val="28"/>
          <w:szCs w:val="28"/>
        </w:rPr>
      </w:pPr>
    </w:p>
    <w:p w14:paraId="5637F184" w14:textId="77777777" w:rsidR="00FC75A8" w:rsidRDefault="00FC75A8">
      <w:pPr>
        <w:jc w:val="center"/>
        <w:rPr>
          <w:rFonts w:ascii="Avenir" w:eastAsia="Avenir" w:hAnsi="Avenir" w:cs="Avenir"/>
          <w:b/>
          <w:color w:val="0070C0"/>
          <w:sz w:val="28"/>
          <w:szCs w:val="28"/>
        </w:rPr>
      </w:pPr>
    </w:p>
    <w:p w14:paraId="5637F185" w14:textId="77777777" w:rsidR="00FC75A8" w:rsidRDefault="00000000">
      <w:pPr>
        <w:jc w:val="center"/>
        <w:rPr>
          <w:rFonts w:ascii="Avenir" w:eastAsia="Avenir" w:hAnsi="Avenir" w:cs="Avenir"/>
          <w:b/>
          <w:color w:val="7D9532"/>
          <w:sz w:val="24"/>
          <w:szCs w:val="24"/>
        </w:rPr>
      </w:pPr>
      <w:r>
        <w:rPr>
          <w:rFonts w:ascii="Avenir" w:eastAsia="Avenir" w:hAnsi="Avenir" w:cs="Avenir"/>
          <w:b/>
          <w:color w:val="7D9532"/>
          <w:sz w:val="24"/>
          <w:szCs w:val="24"/>
        </w:rPr>
        <w:t>CANEVAS DE RAPPORT DES PROJETS EN PHASE DE DEMARRAGE FINANCES PAR L’INITIATIVE POUR LA FORET DE L’AFRIQUE CENTRALE (CAFI)</w:t>
      </w:r>
      <w:r>
        <w:rPr>
          <w:rFonts w:ascii="Avenir" w:eastAsia="Avenir" w:hAnsi="Avenir" w:cs="Avenir"/>
          <w:b/>
          <w:i/>
          <w:color w:val="7D9532"/>
          <w:sz w:val="24"/>
          <w:szCs w:val="24"/>
          <w:vertAlign w:val="superscript"/>
        </w:rPr>
        <w:footnoteReference w:id="1"/>
      </w:r>
      <w:r>
        <w:rPr>
          <w:rFonts w:ascii="Avenir" w:eastAsia="Avenir" w:hAnsi="Avenir" w:cs="Avenir"/>
          <w:b/>
          <w:color w:val="7D9532"/>
          <w:sz w:val="24"/>
          <w:szCs w:val="24"/>
        </w:rPr>
        <w:t xml:space="preserve"> </w:t>
      </w:r>
    </w:p>
    <w:p w14:paraId="5637F186" w14:textId="77777777" w:rsidR="00FC75A8" w:rsidRDefault="00FC75A8">
      <w:pPr>
        <w:jc w:val="center"/>
        <w:rPr>
          <w:rFonts w:ascii="Avenir" w:eastAsia="Avenir" w:hAnsi="Avenir" w:cs="Avenir"/>
          <w:b/>
          <w:color w:val="7D9532"/>
          <w:sz w:val="28"/>
          <w:szCs w:val="28"/>
        </w:rPr>
      </w:pPr>
    </w:p>
    <w:p w14:paraId="5637F187" w14:textId="77777777" w:rsidR="00FC75A8" w:rsidRDefault="00000000">
      <w:pPr>
        <w:jc w:val="center"/>
        <w:rPr>
          <w:rFonts w:ascii="Avenir" w:eastAsia="Avenir" w:hAnsi="Avenir" w:cs="Avenir"/>
          <w:b/>
          <w:color w:val="7D9532"/>
          <w:sz w:val="20"/>
          <w:szCs w:val="20"/>
        </w:rPr>
      </w:pPr>
      <w:r>
        <w:rPr>
          <w:rFonts w:ascii="Avenir" w:eastAsia="Avenir" w:hAnsi="Avenir" w:cs="Avenir"/>
          <w:b/>
          <w:color w:val="7D9532"/>
          <w:sz w:val="20"/>
          <w:szCs w:val="20"/>
        </w:rPr>
        <w:t>Ce canevas s’adresse aux projets en phase démarrage, c’est-à-dire qui ont moins d’un an d’existence entre la réception des premiers fonds du MPTFO et la date limite de rapportage semestriel (31 août) ou annuel (31 décembre).</w:t>
      </w:r>
    </w:p>
    <w:p w14:paraId="5637F188" w14:textId="77777777" w:rsidR="00FC75A8" w:rsidRDefault="00FC75A8">
      <w:pPr>
        <w:jc w:val="center"/>
        <w:rPr>
          <w:rFonts w:ascii="Avenir" w:eastAsia="Avenir" w:hAnsi="Avenir" w:cs="Avenir"/>
          <w:b/>
          <w:color w:val="7D9532"/>
          <w:sz w:val="20"/>
          <w:szCs w:val="20"/>
        </w:rPr>
      </w:pPr>
    </w:p>
    <w:p w14:paraId="5637F189" w14:textId="1B2A8524" w:rsidR="00FC75A8" w:rsidRDefault="00000000">
      <w:pPr>
        <w:jc w:val="center"/>
        <w:rPr>
          <w:rFonts w:ascii="Avenir" w:eastAsia="Avenir" w:hAnsi="Avenir" w:cs="Avenir"/>
          <w:b/>
          <w:color w:val="7D9532"/>
          <w:sz w:val="20"/>
          <w:szCs w:val="20"/>
          <w:u w:val="single"/>
        </w:rPr>
      </w:pPr>
      <w:r>
        <w:rPr>
          <w:rFonts w:ascii="Avenir" w:eastAsia="Avenir" w:hAnsi="Avenir" w:cs="Avenir"/>
          <w:b/>
          <w:color w:val="7D9532"/>
          <w:sz w:val="20"/>
          <w:szCs w:val="20"/>
        </w:rPr>
        <w:t xml:space="preserve">Les obligations de rapportage (narratif et financier) pour les projets recevant des financements CAFI sont rappelées dans une note disponible publiquement </w:t>
      </w:r>
      <w:hyperlink r:id="rId9" w:history="1">
        <w:r w:rsidR="00BF3992">
          <w:rPr>
            <w:rStyle w:val="Lienhypertexte"/>
          </w:rPr>
          <w:t>ICI</w:t>
        </w:r>
      </w:hyperlink>
      <w:r w:rsidR="00C45007" w:rsidRPr="00F26341">
        <w:rPr>
          <w:rFonts w:ascii="Avenir" w:eastAsia="Avenir" w:hAnsi="Avenir" w:cs="Avenir"/>
          <w:b/>
          <w:color w:val="0000FF"/>
          <w:sz w:val="20"/>
          <w:szCs w:val="20"/>
        </w:rPr>
        <w:t>.</w:t>
      </w:r>
    </w:p>
    <w:p w14:paraId="5637F18A" w14:textId="77777777" w:rsidR="00FC75A8" w:rsidRDefault="00FC75A8">
      <w:pPr>
        <w:jc w:val="center"/>
        <w:rPr>
          <w:rFonts w:ascii="Avenir" w:eastAsia="Avenir" w:hAnsi="Avenir" w:cs="Avenir"/>
          <w:b/>
          <w:color w:val="0070C0"/>
          <w:sz w:val="20"/>
          <w:szCs w:val="20"/>
        </w:rPr>
      </w:pPr>
    </w:p>
    <w:p w14:paraId="5637F18B" w14:textId="77777777" w:rsidR="00FC75A8" w:rsidRDefault="00000000">
      <w:pPr>
        <w:jc w:val="center"/>
        <w:rPr>
          <w:rFonts w:ascii="Avenir" w:eastAsia="Avenir" w:hAnsi="Avenir" w:cs="Avenir"/>
          <w:b/>
        </w:rPr>
      </w:pPr>
      <w:r>
        <w:rPr>
          <w:rFonts w:ascii="Avenir" w:eastAsia="Avenir" w:hAnsi="Avenir" w:cs="Avenir"/>
          <w:b/>
        </w:rPr>
        <w:t xml:space="preserve">Rapport </w:t>
      </w:r>
      <w:r>
        <w:rPr>
          <w:b/>
        </w:rPr>
        <w:t>Merci de sélectionner</w:t>
      </w:r>
    </w:p>
    <w:p w14:paraId="5637F18C" w14:textId="74261971" w:rsidR="00FC75A8" w:rsidRDefault="00000000">
      <w:pPr>
        <w:jc w:val="center"/>
        <w:rPr>
          <w:rFonts w:ascii="Avenir" w:eastAsia="Avenir" w:hAnsi="Avenir" w:cs="Avenir"/>
          <w:b/>
          <w:sz w:val="22"/>
          <w:szCs w:val="22"/>
        </w:rPr>
      </w:pPr>
      <w:bookmarkStart w:id="0" w:name="_heading=h.ihv636" w:colFirst="0" w:colLast="0"/>
      <w:bookmarkEnd w:id="0"/>
      <w:r>
        <w:rPr>
          <w:rFonts w:ascii="Avenir" w:eastAsia="Avenir" w:hAnsi="Avenir" w:cs="Avenir"/>
          <w:b/>
          <w:sz w:val="22"/>
          <w:szCs w:val="22"/>
        </w:rPr>
        <w:t>Période du</w:t>
      </w:r>
      <w:r>
        <w:rPr>
          <w:rFonts w:ascii="Avenir" w:eastAsia="Avenir" w:hAnsi="Avenir" w:cs="Avenir"/>
          <w:sz w:val="22"/>
          <w:szCs w:val="22"/>
        </w:rPr>
        <w:t xml:space="preserve"> </w:t>
      </w:r>
      <w:r w:rsidR="007754B9">
        <w:rPr>
          <w:rFonts w:ascii="Avenir" w:eastAsia="Avenir" w:hAnsi="Avenir" w:cs="Avenir"/>
          <w:color w:val="808080"/>
        </w:rPr>
        <w:t>28 Octobre</w:t>
      </w:r>
      <w:r w:rsidR="000B7ADB">
        <w:rPr>
          <w:rFonts w:ascii="Avenir" w:eastAsia="Avenir" w:hAnsi="Avenir" w:cs="Avenir"/>
          <w:color w:val="808080"/>
        </w:rPr>
        <w:t xml:space="preserve"> 2024</w:t>
      </w:r>
      <w:r>
        <w:rPr>
          <w:rFonts w:ascii="Avenir" w:eastAsia="Avenir" w:hAnsi="Avenir" w:cs="Avenir"/>
          <w:b/>
          <w:sz w:val="22"/>
          <w:szCs w:val="22"/>
        </w:rPr>
        <w:t xml:space="preserve"> au</w:t>
      </w:r>
      <w:r>
        <w:rPr>
          <w:rFonts w:ascii="Avenir" w:eastAsia="Avenir" w:hAnsi="Avenir" w:cs="Avenir"/>
          <w:sz w:val="22"/>
          <w:szCs w:val="22"/>
        </w:rPr>
        <w:t xml:space="preserve"> </w:t>
      </w:r>
      <w:r w:rsidR="007754B9">
        <w:rPr>
          <w:rFonts w:ascii="Avenir" w:eastAsia="Avenir" w:hAnsi="Avenir" w:cs="Avenir"/>
          <w:color w:val="808080"/>
        </w:rPr>
        <w:t>31 Décembre 2024</w:t>
      </w:r>
    </w:p>
    <w:p w14:paraId="5637F18D" w14:textId="77777777" w:rsidR="00FC75A8" w:rsidRDefault="00FC75A8">
      <w:pPr>
        <w:spacing w:after="0" w:line="259" w:lineRule="auto"/>
        <w:ind w:left="0" w:right="0" w:firstLine="0"/>
        <w:rPr>
          <w:rFonts w:ascii="Avenir" w:eastAsia="Avenir" w:hAnsi="Avenir" w:cs="Avenir"/>
          <w:sz w:val="22"/>
          <w:szCs w:val="22"/>
        </w:rPr>
      </w:pPr>
    </w:p>
    <w:tbl>
      <w:tblPr>
        <w:tblStyle w:val="a"/>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7"/>
        <w:gridCol w:w="4377"/>
      </w:tblGrid>
      <w:tr w:rsidR="00FC75A8" w14:paraId="5637F190" w14:textId="77777777">
        <w:tc>
          <w:tcPr>
            <w:tcW w:w="4377" w:type="dxa"/>
          </w:tcPr>
          <w:p w14:paraId="5637F18E" w14:textId="77777777" w:rsidR="00FC75A8" w:rsidRDefault="00000000">
            <w:pPr>
              <w:spacing w:after="19" w:line="259" w:lineRule="auto"/>
              <w:rPr>
                <w:b/>
              </w:rPr>
            </w:pPr>
            <w:r>
              <w:rPr>
                <w:b/>
              </w:rPr>
              <w:t xml:space="preserve">Titre du projet : </w:t>
            </w:r>
          </w:p>
        </w:tc>
        <w:tc>
          <w:tcPr>
            <w:tcW w:w="4377" w:type="dxa"/>
          </w:tcPr>
          <w:p w14:paraId="5637F18F" w14:textId="00BEB676" w:rsidR="00FC75A8" w:rsidRPr="000B7ADB" w:rsidRDefault="007754B9">
            <w:pPr>
              <w:spacing w:line="259" w:lineRule="auto"/>
            </w:pPr>
            <w:bookmarkStart w:id="1" w:name="_Hlk190791887"/>
            <w:r w:rsidRPr="000B7ADB">
              <w:rPr>
                <w:lang w:val="fr-FR"/>
              </w:rPr>
              <w:t>Programme Intégré de Réduction des Emissions dues à la Déforestation et la Dégradation des forêts (PIREDD) dans les Provinces du Kasaï Oriental et de la Lomami</w:t>
            </w:r>
            <w:bookmarkEnd w:id="1"/>
          </w:p>
        </w:tc>
      </w:tr>
      <w:tr w:rsidR="00FC75A8" w14:paraId="5637F193" w14:textId="77777777">
        <w:tc>
          <w:tcPr>
            <w:tcW w:w="4377" w:type="dxa"/>
          </w:tcPr>
          <w:p w14:paraId="5637F191" w14:textId="77777777" w:rsidR="00FC75A8" w:rsidRDefault="00000000">
            <w:pPr>
              <w:spacing w:after="13" w:line="259" w:lineRule="auto"/>
              <w:rPr>
                <w:b/>
              </w:rPr>
            </w:pPr>
            <w:r>
              <w:rPr>
                <w:b/>
              </w:rPr>
              <w:t>Numéro du projet :</w:t>
            </w:r>
            <w:r>
              <w:rPr>
                <w:b/>
                <w:vertAlign w:val="superscript"/>
              </w:rPr>
              <w:t>2</w:t>
            </w:r>
            <w:r>
              <w:rPr>
                <w:b/>
              </w:rPr>
              <w:t xml:space="preserve"> </w:t>
            </w:r>
          </w:p>
        </w:tc>
        <w:tc>
          <w:tcPr>
            <w:tcW w:w="4377" w:type="dxa"/>
          </w:tcPr>
          <w:p w14:paraId="5637F192" w14:textId="4C98821E" w:rsidR="00FC75A8" w:rsidRDefault="007754B9">
            <w:pPr>
              <w:spacing w:line="259" w:lineRule="auto"/>
            </w:pPr>
            <w:r w:rsidRPr="00DB6E6D">
              <w:t>00140884</w:t>
            </w:r>
          </w:p>
        </w:tc>
      </w:tr>
      <w:tr w:rsidR="00FC75A8" w14:paraId="5637F196" w14:textId="77777777">
        <w:tc>
          <w:tcPr>
            <w:tcW w:w="4377" w:type="dxa"/>
          </w:tcPr>
          <w:p w14:paraId="5637F194" w14:textId="77777777" w:rsidR="00FC75A8" w:rsidRDefault="00000000">
            <w:pPr>
              <w:spacing w:line="259" w:lineRule="auto"/>
              <w:rPr>
                <w:b/>
              </w:rPr>
            </w:pPr>
            <w:r>
              <w:rPr>
                <w:b/>
              </w:rPr>
              <w:t>Organisation de mise en œuvre :</w:t>
            </w:r>
          </w:p>
        </w:tc>
        <w:tc>
          <w:tcPr>
            <w:tcW w:w="4377" w:type="dxa"/>
          </w:tcPr>
          <w:p w14:paraId="5637F195" w14:textId="231CACB5" w:rsidR="00FC75A8" w:rsidRDefault="007754B9">
            <w:pPr>
              <w:spacing w:line="259" w:lineRule="auto"/>
            </w:pPr>
            <w:r w:rsidRPr="00DB6E6D">
              <w:t>Agence belge de développement (Enabel)</w:t>
            </w:r>
          </w:p>
        </w:tc>
      </w:tr>
      <w:tr w:rsidR="00FC75A8" w14:paraId="5637F19D" w14:textId="77777777">
        <w:tc>
          <w:tcPr>
            <w:tcW w:w="4377" w:type="dxa"/>
          </w:tcPr>
          <w:p w14:paraId="5637F197" w14:textId="77777777" w:rsidR="00FC75A8" w:rsidRDefault="00000000">
            <w:pPr>
              <w:spacing w:line="259" w:lineRule="auto"/>
              <w:rPr>
                <w:b/>
              </w:rPr>
            </w:pPr>
            <w:r>
              <w:rPr>
                <w:b/>
              </w:rPr>
              <w:t>Rapport soumis par :</w:t>
            </w:r>
          </w:p>
          <w:p w14:paraId="5637F198" w14:textId="77777777" w:rsidR="00FC75A8" w:rsidRDefault="00000000">
            <w:pPr>
              <w:spacing w:line="259" w:lineRule="auto"/>
            </w:pPr>
            <w:r>
              <w:t xml:space="preserve">Nom : </w:t>
            </w:r>
          </w:p>
          <w:p w14:paraId="5637F199" w14:textId="77777777" w:rsidR="00FC75A8" w:rsidRDefault="00000000">
            <w:pPr>
              <w:spacing w:line="259" w:lineRule="auto"/>
            </w:pPr>
            <w:r>
              <w:t xml:space="preserve">Titre : </w:t>
            </w:r>
          </w:p>
          <w:p w14:paraId="5637F19A" w14:textId="77777777" w:rsidR="00FC75A8" w:rsidRDefault="00000000">
            <w:pPr>
              <w:spacing w:line="259" w:lineRule="auto"/>
            </w:pPr>
            <w:r>
              <w:t xml:space="preserve">Organisation : </w:t>
            </w:r>
          </w:p>
          <w:p w14:paraId="5637F19B" w14:textId="77777777" w:rsidR="00FC75A8" w:rsidRDefault="00000000">
            <w:pPr>
              <w:spacing w:line="259" w:lineRule="auto"/>
            </w:pPr>
            <w:r>
              <w:t>Adresse email :</w:t>
            </w:r>
          </w:p>
        </w:tc>
        <w:tc>
          <w:tcPr>
            <w:tcW w:w="4377" w:type="dxa"/>
          </w:tcPr>
          <w:p w14:paraId="526254A8" w14:textId="77777777" w:rsidR="00FC75A8" w:rsidRDefault="00FC75A8">
            <w:pPr>
              <w:spacing w:line="259" w:lineRule="auto"/>
            </w:pPr>
          </w:p>
          <w:p w14:paraId="21569F67" w14:textId="77777777" w:rsidR="007754B9" w:rsidRPr="00DB6E6D" w:rsidRDefault="007754B9" w:rsidP="007754B9">
            <w:pPr>
              <w:spacing w:line="259" w:lineRule="auto"/>
              <w:rPr>
                <w:lang w:val="sv-SE"/>
              </w:rPr>
            </w:pPr>
            <w:r w:rsidRPr="00DB6E6D">
              <w:rPr>
                <w:lang w:val="sv-SE"/>
              </w:rPr>
              <w:t>Krista VERSTRAELEN</w:t>
            </w:r>
          </w:p>
          <w:p w14:paraId="132DFB40" w14:textId="77777777" w:rsidR="007754B9" w:rsidRPr="00DB6E6D" w:rsidRDefault="007754B9" w:rsidP="007754B9">
            <w:pPr>
              <w:spacing w:line="259" w:lineRule="auto"/>
              <w:rPr>
                <w:lang w:val="sv-SE"/>
              </w:rPr>
            </w:pPr>
            <w:r w:rsidRPr="00DB6E6D">
              <w:rPr>
                <w:lang w:val="sv-SE"/>
              </w:rPr>
              <w:t>Représentant Résident</w:t>
            </w:r>
          </w:p>
          <w:p w14:paraId="660C8F01" w14:textId="77777777" w:rsidR="007754B9" w:rsidRPr="00DB6E6D" w:rsidRDefault="007754B9" w:rsidP="007754B9">
            <w:pPr>
              <w:spacing w:line="259" w:lineRule="auto"/>
              <w:rPr>
                <w:lang w:val="sv-SE"/>
              </w:rPr>
            </w:pPr>
            <w:r w:rsidRPr="00DB6E6D">
              <w:rPr>
                <w:lang w:val="sv-SE"/>
              </w:rPr>
              <w:t>Enabel</w:t>
            </w:r>
          </w:p>
          <w:p w14:paraId="5637F19C" w14:textId="0AD70184" w:rsidR="007754B9" w:rsidRDefault="007754B9" w:rsidP="007754B9">
            <w:pPr>
              <w:spacing w:line="259" w:lineRule="auto"/>
            </w:pPr>
            <w:hyperlink r:id="rId10" w:history="1">
              <w:r w:rsidRPr="00A71A4A">
                <w:rPr>
                  <w:rStyle w:val="Lienhypertexte"/>
                  <w:lang w:val="sv-SE"/>
                </w:rPr>
                <w:t>krista.verstraelen@enabel.be</w:t>
              </w:r>
            </w:hyperlink>
          </w:p>
        </w:tc>
      </w:tr>
      <w:tr w:rsidR="00FC75A8" w14:paraId="5637F1A4" w14:textId="77777777">
        <w:tc>
          <w:tcPr>
            <w:tcW w:w="4377" w:type="dxa"/>
          </w:tcPr>
          <w:p w14:paraId="5637F19E" w14:textId="77777777" w:rsidR="00FC75A8" w:rsidRDefault="00000000">
            <w:pPr>
              <w:spacing w:line="259" w:lineRule="auto"/>
              <w:rPr>
                <w:b/>
              </w:rPr>
            </w:pPr>
            <w:r>
              <w:rPr>
                <w:b/>
              </w:rPr>
              <w:t>Contact en cas de besoin de clarification :</w:t>
            </w:r>
          </w:p>
          <w:p w14:paraId="5637F19F" w14:textId="77777777" w:rsidR="00FC75A8" w:rsidRDefault="00000000">
            <w:pPr>
              <w:spacing w:line="259" w:lineRule="auto"/>
            </w:pPr>
            <w:r>
              <w:t xml:space="preserve">Nom : </w:t>
            </w:r>
          </w:p>
          <w:p w14:paraId="5637F1A0" w14:textId="77777777" w:rsidR="00FC75A8" w:rsidRDefault="00000000">
            <w:pPr>
              <w:spacing w:line="259" w:lineRule="auto"/>
            </w:pPr>
            <w:r>
              <w:t xml:space="preserve">Titre : </w:t>
            </w:r>
          </w:p>
          <w:p w14:paraId="5637F1A1" w14:textId="77777777" w:rsidR="00FC75A8" w:rsidRDefault="00000000">
            <w:pPr>
              <w:spacing w:line="259" w:lineRule="auto"/>
            </w:pPr>
            <w:r>
              <w:t xml:space="preserve">Organisation : </w:t>
            </w:r>
          </w:p>
          <w:p w14:paraId="5637F1A2" w14:textId="77777777" w:rsidR="00FC75A8" w:rsidRDefault="00000000">
            <w:pPr>
              <w:spacing w:line="259" w:lineRule="auto"/>
            </w:pPr>
            <w:r>
              <w:t>Adresse email :</w:t>
            </w:r>
          </w:p>
        </w:tc>
        <w:tc>
          <w:tcPr>
            <w:tcW w:w="4377" w:type="dxa"/>
          </w:tcPr>
          <w:p w14:paraId="49530A59" w14:textId="77777777" w:rsidR="00FC75A8" w:rsidRDefault="00FC75A8">
            <w:pPr>
              <w:spacing w:line="259" w:lineRule="auto"/>
            </w:pPr>
          </w:p>
          <w:p w14:paraId="37710028" w14:textId="77777777" w:rsidR="007754B9" w:rsidRPr="00DB6E6D" w:rsidRDefault="007754B9" w:rsidP="007754B9">
            <w:pPr>
              <w:spacing w:line="259" w:lineRule="auto"/>
              <w:rPr>
                <w:lang w:val="sv-SE"/>
              </w:rPr>
            </w:pPr>
            <w:r w:rsidRPr="00DB6E6D">
              <w:rPr>
                <w:lang w:val="sv-SE"/>
              </w:rPr>
              <w:t>Djibril Sidzabda DAYAMBA</w:t>
            </w:r>
          </w:p>
          <w:p w14:paraId="051FC50B" w14:textId="77777777" w:rsidR="007754B9" w:rsidRPr="00DB6E6D" w:rsidRDefault="007754B9" w:rsidP="007754B9">
            <w:pPr>
              <w:spacing w:line="259" w:lineRule="auto"/>
              <w:rPr>
                <w:lang w:val="sv-SE"/>
              </w:rPr>
            </w:pPr>
            <w:r w:rsidRPr="00DB6E6D">
              <w:rPr>
                <w:lang w:val="sv-SE"/>
              </w:rPr>
              <w:t>Intervention Manager</w:t>
            </w:r>
          </w:p>
          <w:p w14:paraId="2ED6E78D" w14:textId="77777777" w:rsidR="007754B9" w:rsidRPr="00DB6E6D" w:rsidRDefault="007754B9" w:rsidP="007754B9">
            <w:pPr>
              <w:spacing w:line="259" w:lineRule="auto"/>
              <w:rPr>
                <w:lang w:val="sv-SE"/>
              </w:rPr>
            </w:pPr>
            <w:r w:rsidRPr="00DB6E6D">
              <w:rPr>
                <w:lang w:val="sv-SE"/>
              </w:rPr>
              <w:t>Enabel</w:t>
            </w:r>
          </w:p>
          <w:p w14:paraId="5637F1A3" w14:textId="057DDAAD" w:rsidR="007754B9" w:rsidRDefault="007754B9" w:rsidP="007754B9">
            <w:pPr>
              <w:spacing w:line="259" w:lineRule="auto"/>
            </w:pPr>
            <w:hyperlink r:id="rId11" w:history="1">
              <w:r w:rsidRPr="00DB6E6D">
                <w:rPr>
                  <w:rStyle w:val="Lienhypertexte"/>
                </w:rPr>
                <w:t>djibril.dayamba@enabel.be</w:t>
              </w:r>
            </w:hyperlink>
          </w:p>
        </w:tc>
      </w:tr>
    </w:tbl>
    <w:p w14:paraId="5637F1A5" w14:textId="77777777" w:rsidR="00FC75A8" w:rsidRDefault="00FC75A8">
      <w:pPr>
        <w:spacing w:after="0" w:line="259" w:lineRule="auto"/>
        <w:ind w:left="0" w:right="0" w:firstLine="0"/>
        <w:rPr>
          <w:rFonts w:ascii="Avenir" w:eastAsia="Avenir" w:hAnsi="Avenir" w:cs="Avenir"/>
          <w:sz w:val="22"/>
          <w:szCs w:val="22"/>
        </w:rPr>
      </w:pPr>
    </w:p>
    <w:p w14:paraId="5637F1A6" w14:textId="77777777" w:rsidR="00FC75A8" w:rsidRDefault="00000000">
      <w:pPr>
        <w:rPr>
          <w:rFonts w:ascii="Avenir" w:eastAsia="Avenir" w:hAnsi="Avenir" w:cs="Avenir"/>
        </w:rPr>
      </w:pPr>
      <w:r>
        <w:rPr>
          <w:rFonts w:ascii="Avenir" w:eastAsia="Avenir" w:hAnsi="Avenir" w:cs="Avenir"/>
        </w:rPr>
        <w:t>Veuillez indiquer si ce rapport a été approuvé par le comité de pilotage du projet :</w:t>
      </w:r>
    </w:p>
    <w:p w14:paraId="5637F1A7" w14:textId="77777777" w:rsidR="00FC75A8" w:rsidRDefault="00000000">
      <w:pPr>
        <w:rPr>
          <w:rFonts w:ascii="Avenir" w:eastAsia="Avenir" w:hAnsi="Avenir" w:cs="Avenir"/>
        </w:rPr>
      </w:pPr>
      <w:r>
        <w:rPr>
          <w:rFonts w:ascii="Avenir" w:eastAsia="Avenir" w:hAnsi="Avenir" w:cs="Avenir"/>
        </w:rPr>
        <w:t xml:space="preserve">Oui </w:t>
      </w:r>
      <w:sdt>
        <w:sdtPr>
          <w:tag w:val="goog_rdk_0"/>
          <w:id w:val="-1176266773"/>
        </w:sdtPr>
        <w:sdtContent>
          <w:r>
            <w:rPr>
              <w:rFonts w:ascii="Arial Unicode MS" w:eastAsia="Arial Unicode MS" w:hAnsi="Arial Unicode MS" w:cs="Arial Unicode MS"/>
            </w:rPr>
            <w:t>☐</w:t>
          </w:r>
        </w:sdtContent>
      </w:sdt>
    </w:p>
    <w:p w14:paraId="5637F1A8" w14:textId="507E8E06" w:rsidR="00FC75A8" w:rsidRDefault="00000000">
      <w:pPr>
        <w:rPr>
          <w:rFonts w:ascii="Avenir" w:eastAsia="Avenir" w:hAnsi="Avenir" w:cs="Avenir"/>
        </w:rPr>
      </w:pPr>
      <w:r>
        <w:rPr>
          <w:rFonts w:ascii="Avenir" w:eastAsia="Avenir" w:hAnsi="Avenir" w:cs="Avenir"/>
        </w:rPr>
        <w:t xml:space="preserve">Non </w:t>
      </w:r>
      <w:sdt>
        <w:sdtPr>
          <w:tag w:val="goog_rdk_1"/>
          <w:id w:val="-2112802772"/>
        </w:sdtPr>
        <w:sdtContent>
          <w:sdt>
            <w:sdtPr>
              <w:id w:val="1056983022"/>
              <w14:checkbox>
                <w14:checked w14:val="1"/>
                <w14:checkedState w14:val="2612" w14:font="MS Gothic"/>
                <w14:uncheckedState w14:val="2610" w14:font="MS Gothic"/>
              </w14:checkbox>
            </w:sdtPr>
            <w:sdtContent>
              <w:r w:rsidR="007754B9">
                <w:rPr>
                  <w:rFonts w:ascii="MS Gothic" w:eastAsia="MS Gothic" w:hAnsi="MS Gothic" w:hint="eastAsia"/>
                </w:rPr>
                <w:t>☒</w:t>
              </w:r>
            </w:sdtContent>
          </w:sdt>
        </w:sdtContent>
      </w:sdt>
    </w:p>
    <w:p w14:paraId="5637F1A9" w14:textId="77777777" w:rsidR="00FC75A8" w:rsidRDefault="00000000">
      <w:pPr>
        <w:rPr>
          <w:rFonts w:ascii="Avenir" w:eastAsia="Avenir" w:hAnsi="Avenir" w:cs="Avenir"/>
        </w:rPr>
      </w:pPr>
      <w:r>
        <w:rPr>
          <w:rFonts w:ascii="Avenir" w:eastAsia="Avenir" w:hAnsi="Avenir" w:cs="Avenir"/>
        </w:rPr>
        <w:t xml:space="preserve">Si oui, quand : </w:t>
      </w:r>
      <w:r>
        <w:rPr>
          <w:rFonts w:ascii="Avenir" w:eastAsia="Avenir" w:hAnsi="Avenir" w:cs="Avenir"/>
          <w:color w:val="808080"/>
        </w:rPr>
        <w:t xml:space="preserve">Click or </w:t>
      </w:r>
      <w:proofErr w:type="spellStart"/>
      <w:r>
        <w:rPr>
          <w:rFonts w:ascii="Avenir" w:eastAsia="Avenir" w:hAnsi="Avenir" w:cs="Avenir"/>
          <w:color w:val="808080"/>
        </w:rPr>
        <w:t>tap</w:t>
      </w:r>
      <w:proofErr w:type="spellEnd"/>
      <w:r>
        <w:rPr>
          <w:rFonts w:ascii="Avenir" w:eastAsia="Avenir" w:hAnsi="Avenir" w:cs="Avenir"/>
          <w:color w:val="808080"/>
        </w:rPr>
        <w:t xml:space="preserve"> to enter a date.</w:t>
      </w:r>
    </w:p>
    <w:p w14:paraId="5637F1AA" w14:textId="506105CC" w:rsidR="00FC75A8" w:rsidRDefault="00000000">
      <w:pPr>
        <w:rPr>
          <w:rFonts w:ascii="Avenir" w:eastAsia="Avenir" w:hAnsi="Avenir" w:cs="Avenir"/>
        </w:rPr>
      </w:pPr>
      <w:r>
        <w:rPr>
          <w:rFonts w:ascii="Avenir" w:eastAsia="Avenir" w:hAnsi="Avenir" w:cs="Avenir"/>
        </w:rPr>
        <w:t xml:space="preserve">Si non, date anticipée d’examen en comité de pilotage du projet : </w:t>
      </w:r>
      <w:r w:rsidR="00EB5E11" w:rsidRPr="00DB6E6D">
        <w:rPr>
          <w:rFonts w:ascii="Avenir" w:eastAsia="Avenir" w:hAnsi="Avenir" w:cs="Avenir"/>
          <w:color w:val="808080"/>
          <w:sz w:val="22"/>
          <w:szCs w:val="22"/>
        </w:rPr>
        <w:t>25 &amp; 28 février 2025</w:t>
      </w:r>
      <w:r>
        <w:rPr>
          <w:rFonts w:ascii="Avenir" w:eastAsia="Avenir" w:hAnsi="Avenir" w:cs="Avenir"/>
          <w:color w:val="808080"/>
        </w:rPr>
        <w:t>.</w:t>
      </w:r>
    </w:p>
    <w:p w14:paraId="5637F1AB" w14:textId="77777777" w:rsidR="00FC75A8" w:rsidRDefault="00FC75A8">
      <w:pPr>
        <w:rPr>
          <w:rFonts w:ascii="Avenir" w:eastAsia="Avenir" w:hAnsi="Avenir" w:cs="Avenir"/>
        </w:rPr>
      </w:pPr>
    </w:p>
    <w:p w14:paraId="5637F1AC" w14:textId="77777777" w:rsidR="00FC75A8" w:rsidRDefault="00FC75A8">
      <w:pPr>
        <w:rPr>
          <w:rFonts w:ascii="Avenir" w:eastAsia="Avenir" w:hAnsi="Avenir" w:cs="Avenir"/>
        </w:rPr>
      </w:pPr>
    </w:p>
    <w:p w14:paraId="5637F1AD" w14:textId="77777777" w:rsidR="00FC75A8" w:rsidRDefault="00FC75A8">
      <w:pPr>
        <w:rPr>
          <w:rFonts w:ascii="Avenir" w:eastAsia="Avenir" w:hAnsi="Avenir" w:cs="Avenir"/>
        </w:rPr>
      </w:pPr>
    </w:p>
    <w:p w14:paraId="5637F1AE" w14:textId="77777777" w:rsidR="00FC75A8" w:rsidRDefault="00FC75A8">
      <w:pPr>
        <w:rPr>
          <w:rFonts w:ascii="Avenir" w:eastAsia="Avenir" w:hAnsi="Avenir" w:cs="Avenir"/>
        </w:rPr>
      </w:pPr>
    </w:p>
    <w:p w14:paraId="5637F1AF" w14:textId="54586D47" w:rsidR="00FC75A8" w:rsidRDefault="00BA382D" w:rsidP="00BA382D">
      <w:pPr>
        <w:tabs>
          <w:tab w:val="left" w:pos="7897"/>
        </w:tabs>
        <w:rPr>
          <w:rFonts w:ascii="Avenir" w:eastAsia="Avenir" w:hAnsi="Avenir" w:cs="Avenir"/>
        </w:rPr>
      </w:pPr>
      <w:r>
        <w:rPr>
          <w:rFonts w:ascii="Avenir" w:eastAsia="Avenir" w:hAnsi="Avenir" w:cs="Avenir"/>
        </w:rPr>
        <w:tab/>
      </w:r>
      <w:r>
        <w:rPr>
          <w:rFonts w:ascii="Avenir" w:eastAsia="Avenir" w:hAnsi="Avenir" w:cs="Avenir"/>
        </w:rPr>
        <w:tab/>
      </w:r>
    </w:p>
    <w:p w14:paraId="5637F1B0" w14:textId="77777777" w:rsidR="00FC75A8" w:rsidRDefault="00000000">
      <w:pPr>
        <w:spacing w:after="120" w:line="240" w:lineRule="auto"/>
        <w:ind w:left="-2" w:right="0" w:hanging="2"/>
        <w:jc w:val="center"/>
        <w:rPr>
          <w:rFonts w:ascii="Avenir" w:eastAsia="Avenir" w:hAnsi="Avenir" w:cs="Avenir"/>
          <w:b/>
        </w:rPr>
      </w:pPr>
      <w:r>
        <w:rPr>
          <w:rFonts w:ascii="Avenir" w:eastAsia="Avenir" w:hAnsi="Avenir" w:cs="Avenir"/>
          <w:b/>
        </w:rPr>
        <w:t xml:space="preserve">Instructions pour le format du rapport </w:t>
      </w:r>
    </w:p>
    <w:p w14:paraId="5637F1B1" w14:textId="77777777" w:rsidR="00FC75A8" w:rsidRDefault="00FC75A8">
      <w:pPr>
        <w:spacing w:after="0" w:line="240" w:lineRule="auto"/>
        <w:ind w:left="0" w:right="0" w:firstLine="0"/>
        <w:jc w:val="left"/>
        <w:rPr>
          <w:rFonts w:ascii="Avenir" w:eastAsia="Avenir" w:hAnsi="Avenir" w:cs="Avenir"/>
          <w:sz w:val="24"/>
          <w:szCs w:val="24"/>
        </w:rPr>
      </w:pPr>
    </w:p>
    <w:p w14:paraId="5637F1B2" w14:textId="77777777" w:rsidR="00FC75A8" w:rsidRDefault="00000000">
      <w:pPr>
        <w:numPr>
          <w:ilvl w:val="0"/>
          <w:numId w:val="6"/>
        </w:numPr>
        <w:spacing w:after="120" w:line="240" w:lineRule="auto"/>
        <w:ind w:left="142" w:hanging="284"/>
        <w:rPr>
          <w:rFonts w:ascii="Avenir" w:eastAsia="Avenir" w:hAnsi="Avenir" w:cs="Avenir"/>
          <w:highlight w:val="yellow"/>
        </w:rPr>
      </w:pPr>
      <w:r>
        <w:rPr>
          <w:rFonts w:ascii="Avenir" w:eastAsia="Avenir" w:hAnsi="Avenir" w:cs="Avenir"/>
          <w:highlight w:val="yellow"/>
          <w:u w:val="single"/>
        </w:rPr>
        <w:t>Merci de ne pas modifier ce canevas : aucune section ne doit être supprimée, les tableaux doivent être remplis tels quels</w:t>
      </w:r>
    </w:p>
    <w:p w14:paraId="5637F1B3" w14:textId="77777777" w:rsidR="00FC75A8" w:rsidRDefault="00000000">
      <w:pPr>
        <w:numPr>
          <w:ilvl w:val="0"/>
          <w:numId w:val="6"/>
        </w:numPr>
        <w:spacing w:after="120" w:line="240" w:lineRule="auto"/>
        <w:ind w:left="142" w:hanging="284"/>
        <w:rPr>
          <w:rFonts w:ascii="Avenir" w:eastAsia="Avenir" w:hAnsi="Avenir" w:cs="Avenir"/>
          <w:highlight w:val="yellow"/>
        </w:rPr>
      </w:pPr>
      <w:r>
        <w:rPr>
          <w:rFonts w:ascii="Avenir" w:eastAsia="Avenir" w:hAnsi="Avenir" w:cs="Avenir"/>
          <w:highlight w:val="yellow"/>
          <w:u w:val="single"/>
        </w:rPr>
        <w:t xml:space="preserve">Le rapport doit être soumis en un seul document au format </w:t>
      </w:r>
      <w:r>
        <w:rPr>
          <w:rFonts w:ascii="Avenir" w:eastAsia="Avenir" w:hAnsi="Avenir" w:cs="Avenir"/>
          <w:b/>
          <w:highlight w:val="yellow"/>
          <w:u w:val="single"/>
        </w:rPr>
        <w:t>Word</w:t>
      </w:r>
    </w:p>
    <w:p w14:paraId="5637F1B4" w14:textId="77777777" w:rsidR="00FC75A8" w:rsidRDefault="00000000">
      <w:pPr>
        <w:numPr>
          <w:ilvl w:val="0"/>
          <w:numId w:val="6"/>
        </w:numPr>
        <w:spacing w:after="120" w:line="240" w:lineRule="auto"/>
        <w:ind w:left="142" w:hanging="284"/>
        <w:rPr>
          <w:rFonts w:ascii="Avenir" w:eastAsia="Avenir" w:hAnsi="Avenir" w:cs="Avenir"/>
          <w:highlight w:val="yellow"/>
        </w:rPr>
      </w:pPr>
      <w:r>
        <w:rPr>
          <w:rFonts w:ascii="Avenir" w:eastAsia="Avenir" w:hAnsi="Avenir" w:cs="Avenir"/>
          <w:highlight w:val="yellow"/>
          <w:u w:val="single"/>
        </w:rPr>
        <w:t xml:space="preserve">Les Annexes au format Excel doivent être placés dans </w:t>
      </w:r>
      <w:hyperlink r:id="rId12">
        <w:r w:rsidR="00FC75A8">
          <w:rPr>
            <w:rFonts w:ascii="Avenir" w:eastAsia="Avenir" w:hAnsi="Avenir" w:cs="Avenir"/>
            <w:color w:val="F49100"/>
            <w:highlight w:val="yellow"/>
            <w:u w:val="single"/>
          </w:rPr>
          <w:t>l’Espace collaboratif du projet</w:t>
        </w:r>
      </w:hyperlink>
      <w:r>
        <w:rPr>
          <w:rFonts w:ascii="Avenir" w:eastAsia="Avenir" w:hAnsi="Avenir" w:cs="Avenir"/>
          <w:highlight w:val="yellow"/>
        </w:rPr>
        <w:t xml:space="preserve">, seuls les hyperliens des Annexes doivent figurer dans le corps du rapport. </w:t>
      </w:r>
    </w:p>
    <w:p w14:paraId="5637F1B5" w14:textId="77777777" w:rsidR="00FC75A8" w:rsidRDefault="00000000">
      <w:pPr>
        <w:numPr>
          <w:ilvl w:val="0"/>
          <w:numId w:val="6"/>
        </w:numPr>
        <w:spacing w:after="120" w:line="240" w:lineRule="auto"/>
        <w:ind w:left="142" w:hanging="284"/>
        <w:rPr>
          <w:rFonts w:ascii="Avenir" w:eastAsia="Avenir" w:hAnsi="Avenir" w:cs="Avenir"/>
          <w:highlight w:val="yellow"/>
        </w:rPr>
      </w:pPr>
      <w:r>
        <w:rPr>
          <w:rFonts w:ascii="Avenir" w:eastAsia="Avenir" w:hAnsi="Avenir" w:cs="Avenir"/>
          <w:highlight w:val="yellow"/>
          <w:u w:val="single"/>
        </w:rPr>
        <w:t xml:space="preserve">En plus des Annexes, placer tous les livrables finalisés du projet (rapports, études, cartes </w:t>
      </w:r>
      <w:proofErr w:type="spellStart"/>
      <w:r>
        <w:rPr>
          <w:rFonts w:ascii="Avenir" w:eastAsia="Avenir" w:hAnsi="Avenir" w:cs="Avenir"/>
          <w:highlight w:val="yellow"/>
          <w:u w:val="single"/>
        </w:rPr>
        <w:t>etc</w:t>
      </w:r>
      <w:proofErr w:type="spellEnd"/>
      <w:r>
        <w:rPr>
          <w:rFonts w:ascii="Avenir" w:eastAsia="Avenir" w:hAnsi="Avenir" w:cs="Avenir"/>
          <w:highlight w:val="yellow"/>
          <w:u w:val="single"/>
        </w:rPr>
        <w:t xml:space="preserve">), les supports de communication (photos et vidéos) ainsi que les shapefiles/données spatiales dans </w:t>
      </w:r>
      <w:hyperlink r:id="rId13">
        <w:r w:rsidR="00FC75A8">
          <w:rPr>
            <w:rFonts w:ascii="Avenir" w:eastAsia="Avenir" w:hAnsi="Avenir" w:cs="Avenir"/>
            <w:color w:val="F49100"/>
            <w:highlight w:val="yellow"/>
            <w:u w:val="single"/>
          </w:rPr>
          <w:t>l’Espace collaboratif dédié du projet</w:t>
        </w:r>
      </w:hyperlink>
      <w:r>
        <w:rPr>
          <w:rFonts w:ascii="Avenir" w:eastAsia="Avenir" w:hAnsi="Avenir" w:cs="Avenir"/>
          <w:highlight w:val="yellow"/>
        </w:rPr>
        <w:t xml:space="preserve"> et fournir les hyperliens à ces différents documents dans le corps du rapport dans le respect de la politique d’accès à l’information de CAFI, disponible en Annexe 1 des Termes de Référence de CAFI</w:t>
      </w:r>
    </w:p>
    <w:p w14:paraId="5637F1B6" w14:textId="77777777" w:rsidR="00FC75A8" w:rsidRDefault="00000000">
      <w:pPr>
        <w:numPr>
          <w:ilvl w:val="0"/>
          <w:numId w:val="6"/>
        </w:numPr>
        <w:spacing w:after="120" w:line="240" w:lineRule="auto"/>
        <w:ind w:left="142" w:hanging="284"/>
        <w:rPr>
          <w:rFonts w:ascii="Avenir" w:eastAsia="Avenir" w:hAnsi="Avenir" w:cs="Avenir"/>
        </w:rPr>
      </w:pPr>
      <w:r>
        <w:rPr>
          <w:rFonts w:ascii="Avenir" w:eastAsia="Avenir" w:hAnsi="Avenir" w:cs="Avenir"/>
        </w:rPr>
        <w:t>Inclure une liste des abréviations et acronymes principaux</w:t>
      </w:r>
    </w:p>
    <w:p w14:paraId="5637F1B7" w14:textId="77777777" w:rsidR="00FC75A8" w:rsidRDefault="00000000">
      <w:pPr>
        <w:numPr>
          <w:ilvl w:val="0"/>
          <w:numId w:val="5"/>
        </w:numPr>
        <w:spacing w:after="120" w:line="240" w:lineRule="auto"/>
        <w:ind w:left="142" w:hanging="284"/>
        <w:rPr>
          <w:rFonts w:ascii="Avenir" w:eastAsia="Avenir" w:hAnsi="Avenir" w:cs="Avenir"/>
        </w:rPr>
      </w:pPr>
      <w:r>
        <w:rPr>
          <w:rFonts w:ascii="Avenir" w:eastAsia="Avenir" w:hAnsi="Avenir" w:cs="Avenir"/>
        </w:rPr>
        <w:t>Numéroter toutes les pages, sections et paragraphes</w:t>
      </w:r>
    </w:p>
    <w:p w14:paraId="5637F1B8" w14:textId="77777777" w:rsidR="00FC75A8" w:rsidRDefault="00000000">
      <w:pPr>
        <w:numPr>
          <w:ilvl w:val="0"/>
          <w:numId w:val="5"/>
        </w:numPr>
        <w:spacing w:after="120" w:line="240" w:lineRule="auto"/>
        <w:ind w:left="142" w:hanging="284"/>
        <w:rPr>
          <w:rFonts w:ascii="Avenir" w:eastAsia="Avenir" w:hAnsi="Avenir" w:cs="Avenir"/>
        </w:rPr>
      </w:pPr>
      <w:r>
        <w:rPr>
          <w:rFonts w:ascii="Avenir" w:eastAsia="Avenir" w:hAnsi="Avenir" w:cs="Avenir"/>
        </w:rPr>
        <w:t>Pour rappel, les rapports annuels et leurs annexes sont rendus publics par CAFI sous format .</w:t>
      </w:r>
      <w:proofErr w:type="spellStart"/>
      <w:r>
        <w:rPr>
          <w:rFonts w:ascii="Avenir" w:eastAsia="Avenir" w:hAnsi="Avenir" w:cs="Avenir"/>
        </w:rPr>
        <w:t>pdf</w:t>
      </w:r>
      <w:proofErr w:type="spellEnd"/>
    </w:p>
    <w:p w14:paraId="5637F1B9" w14:textId="77777777" w:rsidR="00FC75A8" w:rsidRDefault="00FC75A8">
      <w:pPr>
        <w:rPr>
          <w:rFonts w:ascii="Avenir" w:eastAsia="Avenir" w:hAnsi="Avenir" w:cs="Avenir"/>
          <w:sz w:val="22"/>
          <w:szCs w:val="22"/>
        </w:rPr>
      </w:pPr>
    </w:p>
    <w:p w14:paraId="5637F1BA" w14:textId="77777777" w:rsidR="00FC75A8" w:rsidRDefault="00FC75A8">
      <w:pPr>
        <w:rPr>
          <w:rFonts w:ascii="Avenir" w:eastAsia="Avenir" w:hAnsi="Avenir" w:cs="Avenir"/>
        </w:rPr>
      </w:pPr>
    </w:p>
    <w:p w14:paraId="5637F1BB" w14:textId="77777777" w:rsidR="00FC75A8" w:rsidRDefault="00FC75A8">
      <w:pPr>
        <w:rPr>
          <w:rFonts w:ascii="Avenir" w:eastAsia="Avenir" w:hAnsi="Avenir" w:cs="Avenir"/>
        </w:rPr>
      </w:pPr>
    </w:p>
    <w:p w14:paraId="5637F1BC" w14:textId="77777777" w:rsidR="00FC75A8" w:rsidRDefault="00FC75A8">
      <w:pPr>
        <w:rPr>
          <w:rFonts w:ascii="Avenir" w:eastAsia="Avenir" w:hAnsi="Avenir" w:cs="Avenir"/>
        </w:rPr>
      </w:pPr>
    </w:p>
    <w:p w14:paraId="5637F1BD" w14:textId="77777777" w:rsidR="00FC75A8" w:rsidRDefault="00FC75A8">
      <w:pPr>
        <w:rPr>
          <w:rFonts w:ascii="Avenir" w:eastAsia="Avenir" w:hAnsi="Avenir" w:cs="Avenir"/>
        </w:rPr>
      </w:pPr>
    </w:p>
    <w:p w14:paraId="5637F1BE" w14:textId="77777777" w:rsidR="00FC75A8" w:rsidRDefault="00FC75A8">
      <w:pPr>
        <w:rPr>
          <w:rFonts w:ascii="Avenir" w:eastAsia="Avenir" w:hAnsi="Avenir" w:cs="Avenir"/>
        </w:rPr>
      </w:pPr>
    </w:p>
    <w:p w14:paraId="5637F1BF" w14:textId="77777777" w:rsidR="00FC75A8" w:rsidRDefault="00FC75A8">
      <w:pPr>
        <w:rPr>
          <w:rFonts w:ascii="Avenir" w:eastAsia="Avenir" w:hAnsi="Avenir" w:cs="Avenir"/>
        </w:rPr>
      </w:pPr>
    </w:p>
    <w:p w14:paraId="5637F1C0" w14:textId="77777777" w:rsidR="00FC75A8" w:rsidRDefault="00FC75A8">
      <w:pPr>
        <w:rPr>
          <w:rFonts w:ascii="Avenir" w:eastAsia="Avenir" w:hAnsi="Avenir" w:cs="Avenir"/>
        </w:rPr>
      </w:pPr>
    </w:p>
    <w:p w14:paraId="5637F1C1" w14:textId="77777777" w:rsidR="00FC75A8" w:rsidRDefault="00FC75A8">
      <w:pPr>
        <w:rPr>
          <w:rFonts w:ascii="Avenir" w:eastAsia="Avenir" w:hAnsi="Avenir" w:cs="Avenir"/>
        </w:rPr>
      </w:pPr>
    </w:p>
    <w:p w14:paraId="5637F1C2" w14:textId="77777777" w:rsidR="00FC75A8" w:rsidRDefault="00FC75A8">
      <w:pPr>
        <w:rPr>
          <w:rFonts w:ascii="Avenir" w:eastAsia="Avenir" w:hAnsi="Avenir" w:cs="Avenir"/>
        </w:rPr>
      </w:pPr>
    </w:p>
    <w:p w14:paraId="5637F1C3" w14:textId="77777777" w:rsidR="00FC75A8" w:rsidRDefault="00FC75A8">
      <w:pPr>
        <w:rPr>
          <w:rFonts w:ascii="Avenir" w:eastAsia="Avenir" w:hAnsi="Avenir" w:cs="Avenir"/>
        </w:rPr>
      </w:pPr>
    </w:p>
    <w:p w14:paraId="5637F1C4" w14:textId="77777777" w:rsidR="00FC75A8" w:rsidRDefault="00FC75A8">
      <w:pPr>
        <w:rPr>
          <w:rFonts w:ascii="Avenir" w:eastAsia="Avenir" w:hAnsi="Avenir" w:cs="Avenir"/>
        </w:rPr>
      </w:pPr>
    </w:p>
    <w:p w14:paraId="5637F1C5" w14:textId="77777777" w:rsidR="00FC75A8" w:rsidRDefault="00FC75A8">
      <w:pPr>
        <w:rPr>
          <w:rFonts w:ascii="Avenir" w:eastAsia="Avenir" w:hAnsi="Avenir" w:cs="Avenir"/>
        </w:rPr>
      </w:pPr>
    </w:p>
    <w:p w14:paraId="5637F1C6" w14:textId="77777777" w:rsidR="00FC75A8" w:rsidRDefault="00FC75A8">
      <w:pPr>
        <w:rPr>
          <w:rFonts w:ascii="Avenir" w:eastAsia="Avenir" w:hAnsi="Avenir" w:cs="Avenir"/>
        </w:rPr>
      </w:pPr>
    </w:p>
    <w:p w14:paraId="5637F1C7" w14:textId="77777777" w:rsidR="00FC75A8" w:rsidRDefault="00FC75A8">
      <w:pPr>
        <w:rPr>
          <w:rFonts w:ascii="Avenir" w:eastAsia="Avenir" w:hAnsi="Avenir" w:cs="Avenir"/>
        </w:rPr>
      </w:pPr>
    </w:p>
    <w:p w14:paraId="5637F1C8" w14:textId="77777777" w:rsidR="00FC75A8" w:rsidRDefault="00000000">
      <w:pPr>
        <w:spacing w:after="160" w:line="259" w:lineRule="auto"/>
        <w:ind w:left="0" w:right="0" w:firstLine="0"/>
        <w:jc w:val="left"/>
        <w:rPr>
          <w:rFonts w:ascii="Avenir" w:eastAsia="Avenir" w:hAnsi="Avenir" w:cs="Avenir"/>
        </w:rPr>
      </w:pPr>
      <w:r>
        <w:br w:type="page"/>
      </w:r>
    </w:p>
    <w:p w14:paraId="5637F1C9" w14:textId="77777777" w:rsidR="00FC75A8" w:rsidRDefault="00000000">
      <w:pPr>
        <w:keepNext/>
        <w:keepLines/>
        <w:pBdr>
          <w:top w:val="nil"/>
          <w:left w:val="nil"/>
          <w:bottom w:val="nil"/>
          <w:right w:val="nil"/>
          <w:between w:val="nil"/>
        </w:pBdr>
        <w:spacing w:before="240" w:after="0" w:line="259" w:lineRule="auto"/>
        <w:ind w:left="0" w:right="0" w:firstLine="0"/>
        <w:jc w:val="left"/>
        <w:rPr>
          <w:rFonts w:ascii="Avenir" w:eastAsia="Avenir" w:hAnsi="Avenir" w:cs="Avenir"/>
          <w:color w:val="2F5496"/>
          <w:sz w:val="32"/>
          <w:szCs w:val="32"/>
        </w:rPr>
      </w:pPr>
      <w:r>
        <w:rPr>
          <w:rFonts w:ascii="Avenir" w:eastAsia="Avenir" w:hAnsi="Avenir" w:cs="Avenir"/>
          <w:color w:val="2F5496"/>
          <w:sz w:val="32"/>
          <w:szCs w:val="32"/>
        </w:rPr>
        <w:lastRenderedPageBreak/>
        <w:t>Table des matières</w:t>
      </w:r>
    </w:p>
    <w:p w14:paraId="35A6BA49" w14:textId="68B5E43C" w:rsidR="001B7E8E" w:rsidRDefault="002D76FD">
      <w:pPr>
        <w:pStyle w:val="TM1"/>
        <w:rPr>
          <w:rFonts w:cstheme="minorBidi"/>
          <w:noProof/>
          <w:kern w:val="2"/>
          <w:sz w:val="24"/>
          <w:szCs w:val="24"/>
          <w:lang w:val="fr-CD" w:eastAsia="fr-CD"/>
          <w14:ligatures w14:val="standardContextual"/>
        </w:rPr>
      </w:pPr>
      <w:r>
        <w:fldChar w:fldCharType="begin"/>
      </w:r>
      <w:r>
        <w:instrText xml:space="preserve"> TOC \h \z \t "PIREDD1;1;PIREDD2;2" </w:instrText>
      </w:r>
      <w:r>
        <w:fldChar w:fldCharType="separate"/>
      </w:r>
      <w:hyperlink w:anchor="_Toc191317675" w:history="1">
        <w:r w:rsidR="001B7E8E" w:rsidRPr="00E5763C">
          <w:rPr>
            <w:rStyle w:val="Lienhypertexte"/>
            <w:noProof/>
          </w:rPr>
          <w:t>0. Abréviations et acronymes</w:t>
        </w:r>
        <w:r w:rsidR="001B7E8E">
          <w:rPr>
            <w:noProof/>
            <w:webHidden/>
          </w:rPr>
          <w:tab/>
        </w:r>
        <w:r w:rsidR="001B7E8E">
          <w:rPr>
            <w:noProof/>
            <w:webHidden/>
          </w:rPr>
          <w:fldChar w:fldCharType="begin"/>
        </w:r>
        <w:r w:rsidR="001B7E8E">
          <w:rPr>
            <w:noProof/>
            <w:webHidden/>
          </w:rPr>
          <w:instrText xml:space="preserve"> PAGEREF _Toc191317675 \h </w:instrText>
        </w:r>
        <w:r w:rsidR="001B7E8E">
          <w:rPr>
            <w:noProof/>
            <w:webHidden/>
          </w:rPr>
        </w:r>
        <w:r w:rsidR="001B7E8E">
          <w:rPr>
            <w:noProof/>
            <w:webHidden/>
          </w:rPr>
          <w:fldChar w:fldCharType="separate"/>
        </w:r>
        <w:r w:rsidR="007E6684">
          <w:rPr>
            <w:noProof/>
            <w:webHidden/>
          </w:rPr>
          <w:t>4</w:t>
        </w:r>
        <w:r w:rsidR="001B7E8E">
          <w:rPr>
            <w:noProof/>
            <w:webHidden/>
          </w:rPr>
          <w:fldChar w:fldCharType="end"/>
        </w:r>
      </w:hyperlink>
    </w:p>
    <w:p w14:paraId="58455949" w14:textId="5C111A2E" w:rsidR="001B7E8E" w:rsidRDefault="001B7E8E">
      <w:pPr>
        <w:pStyle w:val="TM1"/>
        <w:rPr>
          <w:rFonts w:cstheme="minorBidi"/>
          <w:noProof/>
          <w:kern w:val="2"/>
          <w:sz w:val="24"/>
          <w:szCs w:val="24"/>
          <w:lang w:val="fr-CD" w:eastAsia="fr-CD"/>
          <w14:ligatures w14:val="standardContextual"/>
        </w:rPr>
      </w:pPr>
      <w:hyperlink w:anchor="_Toc191317676" w:history="1">
        <w:r w:rsidRPr="00E5763C">
          <w:rPr>
            <w:rStyle w:val="Lienhypertexte"/>
            <w:noProof/>
          </w:rPr>
          <w:t>1.</w:t>
        </w:r>
        <w:r>
          <w:rPr>
            <w:rFonts w:cstheme="minorBidi"/>
            <w:noProof/>
            <w:kern w:val="2"/>
            <w:sz w:val="24"/>
            <w:szCs w:val="24"/>
            <w:lang w:val="fr-CD" w:eastAsia="fr-CD"/>
            <w14:ligatures w14:val="standardContextual"/>
          </w:rPr>
          <w:tab/>
        </w:r>
        <w:r w:rsidRPr="00E5763C">
          <w:rPr>
            <w:rStyle w:val="Lienhypertexte"/>
            <w:noProof/>
          </w:rPr>
          <w:t>Données clés du projet</w:t>
        </w:r>
        <w:r>
          <w:rPr>
            <w:noProof/>
            <w:webHidden/>
          </w:rPr>
          <w:tab/>
        </w:r>
        <w:r>
          <w:rPr>
            <w:noProof/>
            <w:webHidden/>
          </w:rPr>
          <w:fldChar w:fldCharType="begin"/>
        </w:r>
        <w:r>
          <w:rPr>
            <w:noProof/>
            <w:webHidden/>
          </w:rPr>
          <w:instrText xml:space="preserve"> PAGEREF _Toc191317676 \h </w:instrText>
        </w:r>
        <w:r>
          <w:rPr>
            <w:noProof/>
            <w:webHidden/>
          </w:rPr>
        </w:r>
        <w:r>
          <w:rPr>
            <w:noProof/>
            <w:webHidden/>
          </w:rPr>
          <w:fldChar w:fldCharType="separate"/>
        </w:r>
        <w:r w:rsidR="007E6684">
          <w:rPr>
            <w:noProof/>
            <w:webHidden/>
          </w:rPr>
          <w:t>5</w:t>
        </w:r>
        <w:r>
          <w:rPr>
            <w:noProof/>
            <w:webHidden/>
          </w:rPr>
          <w:fldChar w:fldCharType="end"/>
        </w:r>
      </w:hyperlink>
    </w:p>
    <w:p w14:paraId="777F2C65" w14:textId="33DE6C52" w:rsidR="001B7E8E" w:rsidRDefault="001B7E8E">
      <w:pPr>
        <w:pStyle w:val="TM1"/>
        <w:rPr>
          <w:rFonts w:cstheme="minorBidi"/>
          <w:noProof/>
          <w:kern w:val="2"/>
          <w:sz w:val="24"/>
          <w:szCs w:val="24"/>
          <w:lang w:val="fr-CD" w:eastAsia="fr-CD"/>
          <w14:ligatures w14:val="standardContextual"/>
        </w:rPr>
      </w:pPr>
      <w:hyperlink w:anchor="_Toc191317677" w:history="1">
        <w:r w:rsidRPr="00E5763C">
          <w:rPr>
            <w:rStyle w:val="Lienhypertexte"/>
            <w:noProof/>
          </w:rPr>
          <w:t>2.</w:t>
        </w:r>
        <w:r>
          <w:rPr>
            <w:rFonts w:cstheme="minorBidi"/>
            <w:noProof/>
            <w:kern w:val="2"/>
            <w:sz w:val="24"/>
            <w:szCs w:val="24"/>
            <w:lang w:val="fr-CD" w:eastAsia="fr-CD"/>
            <w14:ligatures w14:val="standardContextual"/>
          </w:rPr>
          <w:tab/>
        </w:r>
        <w:r w:rsidRPr="00E5763C">
          <w:rPr>
            <w:rStyle w:val="Lienhypertexte"/>
            <w:noProof/>
          </w:rPr>
          <w:t>Résumé Exécutif</w:t>
        </w:r>
        <w:r>
          <w:rPr>
            <w:noProof/>
            <w:webHidden/>
          </w:rPr>
          <w:tab/>
        </w:r>
        <w:r>
          <w:rPr>
            <w:noProof/>
            <w:webHidden/>
          </w:rPr>
          <w:fldChar w:fldCharType="begin"/>
        </w:r>
        <w:r>
          <w:rPr>
            <w:noProof/>
            <w:webHidden/>
          </w:rPr>
          <w:instrText xml:space="preserve"> PAGEREF _Toc191317677 \h </w:instrText>
        </w:r>
        <w:r>
          <w:rPr>
            <w:noProof/>
            <w:webHidden/>
          </w:rPr>
        </w:r>
        <w:r>
          <w:rPr>
            <w:noProof/>
            <w:webHidden/>
          </w:rPr>
          <w:fldChar w:fldCharType="separate"/>
        </w:r>
        <w:r w:rsidR="007E6684">
          <w:rPr>
            <w:noProof/>
            <w:webHidden/>
          </w:rPr>
          <w:t>6</w:t>
        </w:r>
        <w:r>
          <w:rPr>
            <w:noProof/>
            <w:webHidden/>
          </w:rPr>
          <w:fldChar w:fldCharType="end"/>
        </w:r>
      </w:hyperlink>
    </w:p>
    <w:p w14:paraId="64D70797" w14:textId="2FDD8BEC" w:rsidR="001B7E8E" w:rsidRDefault="001B7E8E">
      <w:pPr>
        <w:pStyle w:val="TM1"/>
        <w:rPr>
          <w:rFonts w:cstheme="minorBidi"/>
          <w:noProof/>
          <w:kern w:val="2"/>
          <w:sz w:val="24"/>
          <w:szCs w:val="24"/>
          <w:lang w:val="fr-CD" w:eastAsia="fr-CD"/>
          <w14:ligatures w14:val="standardContextual"/>
        </w:rPr>
      </w:pPr>
      <w:hyperlink w:anchor="_Toc191317678" w:history="1">
        <w:r w:rsidRPr="00E5763C">
          <w:rPr>
            <w:rStyle w:val="Lienhypertexte"/>
            <w:noProof/>
          </w:rPr>
          <w:t>3. Défis de mise en œuvre</w:t>
        </w:r>
        <w:r>
          <w:rPr>
            <w:noProof/>
            <w:webHidden/>
          </w:rPr>
          <w:tab/>
        </w:r>
        <w:r>
          <w:rPr>
            <w:noProof/>
            <w:webHidden/>
          </w:rPr>
          <w:fldChar w:fldCharType="begin"/>
        </w:r>
        <w:r>
          <w:rPr>
            <w:noProof/>
            <w:webHidden/>
          </w:rPr>
          <w:instrText xml:space="preserve"> PAGEREF _Toc191317678 \h </w:instrText>
        </w:r>
        <w:r>
          <w:rPr>
            <w:noProof/>
            <w:webHidden/>
          </w:rPr>
        </w:r>
        <w:r>
          <w:rPr>
            <w:noProof/>
            <w:webHidden/>
          </w:rPr>
          <w:fldChar w:fldCharType="separate"/>
        </w:r>
        <w:r w:rsidR="007E6684">
          <w:rPr>
            <w:noProof/>
            <w:webHidden/>
          </w:rPr>
          <w:t>8</w:t>
        </w:r>
        <w:r>
          <w:rPr>
            <w:noProof/>
            <w:webHidden/>
          </w:rPr>
          <w:fldChar w:fldCharType="end"/>
        </w:r>
      </w:hyperlink>
    </w:p>
    <w:p w14:paraId="284B1116" w14:textId="7CCC7DCC"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79" w:history="1">
        <w:r w:rsidRPr="00E5763C">
          <w:rPr>
            <w:rStyle w:val="Lienhypertexte"/>
            <w:noProof/>
          </w:rPr>
          <w:t>3.1 Défis liés au contexte du pays</w:t>
        </w:r>
        <w:r>
          <w:rPr>
            <w:noProof/>
            <w:webHidden/>
          </w:rPr>
          <w:tab/>
        </w:r>
        <w:r>
          <w:rPr>
            <w:noProof/>
            <w:webHidden/>
          </w:rPr>
          <w:fldChar w:fldCharType="begin"/>
        </w:r>
        <w:r>
          <w:rPr>
            <w:noProof/>
            <w:webHidden/>
          </w:rPr>
          <w:instrText xml:space="preserve"> PAGEREF _Toc191317679 \h </w:instrText>
        </w:r>
        <w:r>
          <w:rPr>
            <w:noProof/>
            <w:webHidden/>
          </w:rPr>
        </w:r>
        <w:r>
          <w:rPr>
            <w:noProof/>
            <w:webHidden/>
          </w:rPr>
          <w:fldChar w:fldCharType="separate"/>
        </w:r>
        <w:r w:rsidR="007E6684">
          <w:rPr>
            <w:noProof/>
            <w:webHidden/>
          </w:rPr>
          <w:t>8</w:t>
        </w:r>
        <w:r>
          <w:rPr>
            <w:noProof/>
            <w:webHidden/>
          </w:rPr>
          <w:fldChar w:fldCharType="end"/>
        </w:r>
      </w:hyperlink>
    </w:p>
    <w:p w14:paraId="62DB3BAD" w14:textId="26FD5A01"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80" w:history="1">
        <w:r w:rsidRPr="00E5763C">
          <w:rPr>
            <w:rStyle w:val="Lienhypertexte"/>
            <w:noProof/>
          </w:rPr>
          <w:t>3.2 Défis inhérents au projet</w:t>
        </w:r>
        <w:r>
          <w:rPr>
            <w:noProof/>
            <w:webHidden/>
          </w:rPr>
          <w:tab/>
        </w:r>
        <w:r>
          <w:rPr>
            <w:noProof/>
            <w:webHidden/>
          </w:rPr>
          <w:fldChar w:fldCharType="begin"/>
        </w:r>
        <w:r>
          <w:rPr>
            <w:noProof/>
            <w:webHidden/>
          </w:rPr>
          <w:instrText xml:space="preserve"> PAGEREF _Toc191317680 \h </w:instrText>
        </w:r>
        <w:r>
          <w:rPr>
            <w:noProof/>
            <w:webHidden/>
          </w:rPr>
        </w:r>
        <w:r>
          <w:rPr>
            <w:noProof/>
            <w:webHidden/>
          </w:rPr>
          <w:fldChar w:fldCharType="separate"/>
        </w:r>
        <w:r w:rsidR="007E6684">
          <w:rPr>
            <w:noProof/>
            <w:webHidden/>
          </w:rPr>
          <w:t>8</w:t>
        </w:r>
        <w:r>
          <w:rPr>
            <w:noProof/>
            <w:webHidden/>
          </w:rPr>
          <w:fldChar w:fldCharType="end"/>
        </w:r>
      </w:hyperlink>
    </w:p>
    <w:p w14:paraId="0F8D4F04" w14:textId="28CCC1DA"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81" w:history="1">
        <w:r w:rsidRPr="00E5763C">
          <w:rPr>
            <w:rStyle w:val="Lienhypertexte"/>
            <w:noProof/>
          </w:rPr>
          <w:t>3.3 Commentaires</w:t>
        </w:r>
        <w:r>
          <w:rPr>
            <w:noProof/>
            <w:webHidden/>
          </w:rPr>
          <w:tab/>
        </w:r>
        <w:r>
          <w:rPr>
            <w:noProof/>
            <w:webHidden/>
          </w:rPr>
          <w:fldChar w:fldCharType="begin"/>
        </w:r>
        <w:r>
          <w:rPr>
            <w:noProof/>
            <w:webHidden/>
          </w:rPr>
          <w:instrText xml:space="preserve"> PAGEREF _Toc191317681 \h </w:instrText>
        </w:r>
        <w:r>
          <w:rPr>
            <w:noProof/>
            <w:webHidden/>
          </w:rPr>
        </w:r>
        <w:r>
          <w:rPr>
            <w:noProof/>
            <w:webHidden/>
          </w:rPr>
          <w:fldChar w:fldCharType="separate"/>
        </w:r>
        <w:r w:rsidR="007E6684">
          <w:rPr>
            <w:noProof/>
            <w:webHidden/>
          </w:rPr>
          <w:t>8</w:t>
        </w:r>
        <w:r>
          <w:rPr>
            <w:noProof/>
            <w:webHidden/>
          </w:rPr>
          <w:fldChar w:fldCharType="end"/>
        </w:r>
      </w:hyperlink>
    </w:p>
    <w:p w14:paraId="3B1D06E6" w14:textId="6C993BD4" w:rsidR="001B7E8E" w:rsidRDefault="001B7E8E">
      <w:pPr>
        <w:pStyle w:val="TM1"/>
        <w:rPr>
          <w:rFonts w:cstheme="minorBidi"/>
          <w:noProof/>
          <w:kern w:val="2"/>
          <w:sz w:val="24"/>
          <w:szCs w:val="24"/>
          <w:lang w:val="fr-CD" w:eastAsia="fr-CD"/>
          <w14:ligatures w14:val="standardContextual"/>
        </w:rPr>
      </w:pPr>
      <w:hyperlink w:anchor="_Toc191317682" w:history="1">
        <w:r w:rsidRPr="00E5763C">
          <w:rPr>
            <w:rStyle w:val="Lienhypertexte"/>
            <w:noProof/>
          </w:rPr>
          <w:t>4. Etat d’avancement du projet sur base des indicateurs du cadre logique</w:t>
        </w:r>
        <w:r>
          <w:rPr>
            <w:noProof/>
            <w:webHidden/>
          </w:rPr>
          <w:tab/>
        </w:r>
        <w:r>
          <w:rPr>
            <w:noProof/>
            <w:webHidden/>
          </w:rPr>
          <w:fldChar w:fldCharType="begin"/>
        </w:r>
        <w:r>
          <w:rPr>
            <w:noProof/>
            <w:webHidden/>
          </w:rPr>
          <w:instrText xml:space="preserve"> PAGEREF _Toc191317682 \h </w:instrText>
        </w:r>
        <w:r>
          <w:rPr>
            <w:noProof/>
            <w:webHidden/>
          </w:rPr>
        </w:r>
        <w:r>
          <w:rPr>
            <w:noProof/>
            <w:webHidden/>
          </w:rPr>
          <w:fldChar w:fldCharType="separate"/>
        </w:r>
        <w:r w:rsidR="007E6684">
          <w:rPr>
            <w:noProof/>
            <w:webHidden/>
          </w:rPr>
          <w:t>9</w:t>
        </w:r>
        <w:r>
          <w:rPr>
            <w:noProof/>
            <w:webHidden/>
          </w:rPr>
          <w:fldChar w:fldCharType="end"/>
        </w:r>
      </w:hyperlink>
    </w:p>
    <w:p w14:paraId="639E731B" w14:textId="0977F9E4" w:rsidR="001B7E8E" w:rsidRDefault="001B7E8E">
      <w:pPr>
        <w:pStyle w:val="TM1"/>
        <w:rPr>
          <w:rFonts w:cstheme="minorBidi"/>
          <w:noProof/>
          <w:kern w:val="2"/>
          <w:sz w:val="24"/>
          <w:szCs w:val="24"/>
          <w:lang w:val="fr-CD" w:eastAsia="fr-CD"/>
          <w14:ligatures w14:val="standardContextual"/>
        </w:rPr>
      </w:pPr>
      <w:hyperlink w:anchor="_Toc191317683" w:history="1">
        <w:r w:rsidRPr="00E5763C">
          <w:rPr>
            <w:rStyle w:val="Lienhypertexte"/>
            <w:noProof/>
          </w:rPr>
          <w:t>5. Tableau de suivi de la mise en œuvre du projet</w:t>
        </w:r>
        <w:r>
          <w:rPr>
            <w:noProof/>
            <w:webHidden/>
          </w:rPr>
          <w:tab/>
        </w:r>
        <w:r>
          <w:rPr>
            <w:noProof/>
            <w:webHidden/>
          </w:rPr>
          <w:fldChar w:fldCharType="begin"/>
        </w:r>
        <w:r>
          <w:rPr>
            <w:noProof/>
            <w:webHidden/>
          </w:rPr>
          <w:instrText xml:space="preserve"> PAGEREF _Toc191317683 \h </w:instrText>
        </w:r>
        <w:r>
          <w:rPr>
            <w:noProof/>
            <w:webHidden/>
          </w:rPr>
        </w:r>
        <w:r>
          <w:rPr>
            <w:noProof/>
            <w:webHidden/>
          </w:rPr>
          <w:fldChar w:fldCharType="separate"/>
        </w:r>
        <w:r w:rsidR="007E6684">
          <w:rPr>
            <w:noProof/>
            <w:webHidden/>
          </w:rPr>
          <w:t>12</w:t>
        </w:r>
        <w:r>
          <w:rPr>
            <w:noProof/>
            <w:webHidden/>
          </w:rPr>
          <w:fldChar w:fldCharType="end"/>
        </w:r>
      </w:hyperlink>
    </w:p>
    <w:p w14:paraId="50B2AC92" w14:textId="386B50E6" w:rsidR="001B7E8E" w:rsidRDefault="001B7E8E">
      <w:pPr>
        <w:pStyle w:val="TM1"/>
        <w:rPr>
          <w:rFonts w:cstheme="minorBidi"/>
          <w:noProof/>
          <w:kern w:val="2"/>
          <w:sz w:val="24"/>
          <w:szCs w:val="24"/>
          <w:lang w:val="fr-CD" w:eastAsia="fr-CD"/>
          <w14:ligatures w14:val="standardContextual"/>
        </w:rPr>
      </w:pPr>
      <w:hyperlink w:anchor="_Toc191317684" w:history="1">
        <w:r w:rsidRPr="00E5763C">
          <w:rPr>
            <w:rStyle w:val="Lienhypertexte"/>
            <w:noProof/>
          </w:rPr>
          <w:t>6. Exécution financière</w:t>
        </w:r>
        <w:r>
          <w:rPr>
            <w:noProof/>
            <w:webHidden/>
          </w:rPr>
          <w:tab/>
        </w:r>
        <w:r>
          <w:rPr>
            <w:noProof/>
            <w:webHidden/>
          </w:rPr>
          <w:fldChar w:fldCharType="begin"/>
        </w:r>
        <w:r>
          <w:rPr>
            <w:noProof/>
            <w:webHidden/>
          </w:rPr>
          <w:instrText xml:space="preserve"> PAGEREF _Toc191317684 \h </w:instrText>
        </w:r>
        <w:r>
          <w:rPr>
            <w:noProof/>
            <w:webHidden/>
          </w:rPr>
        </w:r>
        <w:r>
          <w:rPr>
            <w:noProof/>
            <w:webHidden/>
          </w:rPr>
          <w:fldChar w:fldCharType="separate"/>
        </w:r>
        <w:r w:rsidR="007E6684">
          <w:rPr>
            <w:noProof/>
            <w:webHidden/>
          </w:rPr>
          <w:t>34</w:t>
        </w:r>
        <w:r>
          <w:rPr>
            <w:noProof/>
            <w:webHidden/>
          </w:rPr>
          <w:fldChar w:fldCharType="end"/>
        </w:r>
      </w:hyperlink>
    </w:p>
    <w:p w14:paraId="71934E1A" w14:textId="3500AFC1"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85" w:history="1">
        <w:r w:rsidRPr="00E5763C">
          <w:rPr>
            <w:rStyle w:val="Lienhypertexte"/>
            <w:noProof/>
          </w:rPr>
          <w:t>6.1 Décaissements</w:t>
        </w:r>
        <w:r>
          <w:rPr>
            <w:noProof/>
            <w:webHidden/>
          </w:rPr>
          <w:tab/>
        </w:r>
        <w:r>
          <w:rPr>
            <w:noProof/>
            <w:webHidden/>
          </w:rPr>
          <w:fldChar w:fldCharType="begin"/>
        </w:r>
        <w:r>
          <w:rPr>
            <w:noProof/>
            <w:webHidden/>
          </w:rPr>
          <w:instrText xml:space="preserve"> PAGEREF _Toc191317685 \h </w:instrText>
        </w:r>
        <w:r>
          <w:rPr>
            <w:noProof/>
            <w:webHidden/>
          </w:rPr>
        </w:r>
        <w:r>
          <w:rPr>
            <w:noProof/>
            <w:webHidden/>
          </w:rPr>
          <w:fldChar w:fldCharType="separate"/>
        </w:r>
        <w:r w:rsidR="007E6684">
          <w:rPr>
            <w:noProof/>
            <w:webHidden/>
          </w:rPr>
          <w:t>34</w:t>
        </w:r>
        <w:r>
          <w:rPr>
            <w:noProof/>
            <w:webHidden/>
          </w:rPr>
          <w:fldChar w:fldCharType="end"/>
        </w:r>
      </w:hyperlink>
    </w:p>
    <w:p w14:paraId="3B283F52" w14:textId="5DAE6AEC"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86" w:history="1">
        <w:r w:rsidRPr="00E5763C">
          <w:rPr>
            <w:rStyle w:val="Lienhypertexte"/>
            <w:noProof/>
          </w:rPr>
          <w:t>6.2 Contrats</w:t>
        </w:r>
        <w:r>
          <w:rPr>
            <w:noProof/>
            <w:webHidden/>
          </w:rPr>
          <w:tab/>
        </w:r>
        <w:r>
          <w:rPr>
            <w:noProof/>
            <w:webHidden/>
          </w:rPr>
          <w:fldChar w:fldCharType="begin"/>
        </w:r>
        <w:r>
          <w:rPr>
            <w:noProof/>
            <w:webHidden/>
          </w:rPr>
          <w:instrText xml:space="preserve"> PAGEREF _Toc191317686 \h </w:instrText>
        </w:r>
        <w:r>
          <w:rPr>
            <w:noProof/>
            <w:webHidden/>
          </w:rPr>
        </w:r>
        <w:r>
          <w:rPr>
            <w:noProof/>
            <w:webHidden/>
          </w:rPr>
          <w:fldChar w:fldCharType="separate"/>
        </w:r>
        <w:r w:rsidR="007E6684">
          <w:rPr>
            <w:noProof/>
            <w:webHidden/>
          </w:rPr>
          <w:t>37</w:t>
        </w:r>
        <w:r>
          <w:rPr>
            <w:noProof/>
            <w:webHidden/>
          </w:rPr>
          <w:fldChar w:fldCharType="end"/>
        </w:r>
      </w:hyperlink>
    </w:p>
    <w:p w14:paraId="1211FAA5" w14:textId="0D34C05E"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87" w:history="1">
        <w:r w:rsidRPr="00E5763C">
          <w:rPr>
            <w:rStyle w:val="Lienhypertexte"/>
            <w:noProof/>
          </w:rPr>
          <w:t>6.3 Gestion financière, approvisionnement et ressources humaines</w:t>
        </w:r>
        <w:r>
          <w:rPr>
            <w:noProof/>
            <w:webHidden/>
          </w:rPr>
          <w:tab/>
        </w:r>
        <w:r>
          <w:rPr>
            <w:noProof/>
            <w:webHidden/>
          </w:rPr>
          <w:fldChar w:fldCharType="begin"/>
        </w:r>
        <w:r>
          <w:rPr>
            <w:noProof/>
            <w:webHidden/>
          </w:rPr>
          <w:instrText xml:space="preserve"> PAGEREF _Toc191317687 \h </w:instrText>
        </w:r>
        <w:r>
          <w:rPr>
            <w:noProof/>
            <w:webHidden/>
          </w:rPr>
        </w:r>
        <w:r>
          <w:rPr>
            <w:noProof/>
            <w:webHidden/>
          </w:rPr>
          <w:fldChar w:fldCharType="separate"/>
        </w:r>
        <w:r w:rsidR="007E6684">
          <w:rPr>
            <w:noProof/>
            <w:webHidden/>
          </w:rPr>
          <w:t>38</w:t>
        </w:r>
        <w:r>
          <w:rPr>
            <w:noProof/>
            <w:webHidden/>
          </w:rPr>
          <w:fldChar w:fldCharType="end"/>
        </w:r>
      </w:hyperlink>
    </w:p>
    <w:p w14:paraId="56C934DA" w14:textId="0155E8F8"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88" w:history="1">
        <w:r w:rsidRPr="00E5763C">
          <w:rPr>
            <w:rStyle w:val="Lienhypertexte"/>
            <w:noProof/>
          </w:rPr>
          <w:t>6.4 Mobilisation de ressources</w:t>
        </w:r>
        <w:r>
          <w:rPr>
            <w:noProof/>
            <w:webHidden/>
          </w:rPr>
          <w:tab/>
        </w:r>
        <w:r>
          <w:rPr>
            <w:noProof/>
            <w:webHidden/>
          </w:rPr>
          <w:fldChar w:fldCharType="begin"/>
        </w:r>
        <w:r>
          <w:rPr>
            <w:noProof/>
            <w:webHidden/>
          </w:rPr>
          <w:instrText xml:space="preserve"> PAGEREF _Toc191317688 \h </w:instrText>
        </w:r>
        <w:r>
          <w:rPr>
            <w:noProof/>
            <w:webHidden/>
          </w:rPr>
        </w:r>
        <w:r>
          <w:rPr>
            <w:noProof/>
            <w:webHidden/>
          </w:rPr>
          <w:fldChar w:fldCharType="separate"/>
        </w:r>
        <w:r w:rsidR="007E6684">
          <w:rPr>
            <w:noProof/>
            <w:webHidden/>
          </w:rPr>
          <w:t>38</w:t>
        </w:r>
        <w:r>
          <w:rPr>
            <w:noProof/>
            <w:webHidden/>
          </w:rPr>
          <w:fldChar w:fldCharType="end"/>
        </w:r>
      </w:hyperlink>
    </w:p>
    <w:p w14:paraId="7FFD6FC6" w14:textId="73396A2D"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89" w:history="1">
        <w:r w:rsidRPr="00E5763C">
          <w:rPr>
            <w:rStyle w:val="Lienhypertexte"/>
            <w:noProof/>
          </w:rPr>
          <w:t>6.5 Révisions budgétaires</w:t>
        </w:r>
        <w:r>
          <w:rPr>
            <w:noProof/>
            <w:webHidden/>
          </w:rPr>
          <w:tab/>
        </w:r>
        <w:r>
          <w:rPr>
            <w:noProof/>
            <w:webHidden/>
          </w:rPr>
          <w:fldChar w:fldCharType="begin"/>
        </w:r>
        <w:r>
          <w:rPr>
            <w:noProof/>
            <w:webHidden/>
          </w:rPr>
          <w:instrText xml:space="preserve"> PAGEREF _Toc191317689 \h </w:instrText>
        </w:r>
        <w:r>
          <w:rPr>
            <w:noProof/>
            <w:webHidden/>
          </w:rPr>
        </w:r>
        <w:r>
          <w:rPr>
            <w:noProof/>
            <w:webHidden/>
          </w:rPr>
          <w:fldChar w:fldCharType="separate"/>
        </w:r>
        <w:r w:rsidR="007E6684">
          <w:rPr>
            <w:noProof/>
            <w:webHidden/>
          </w:rPr>
          <w:t>38</w:t>
        </w:r>
        <w:r>
          <w:rPr>
            <w:noProof/>
            <w:webHidden/>
          </w:rPr>
          <w:fldChar w:fldCharType="end"/>
        </w:r>
      </w:hyperlink>
    </w:p>
    <w:p w14:paraId="38B6044E" w14:textId="4EE12987" w:rsidR="001B7E8E" w:rsidRDefault="001B7E8E">
      <w:pPr>
        <w:pStyle w:val="TM1"/>
        <w:rPr>
          <w:rFonts w:cstheme="minorBidi"/>
          <w:noProof/>
          <w:kern w:val="2"/>
          <w:sz w:val="24"/>
          <w:szCs w:val="24"/>
          <w:lang w:val="fr-CD" w:eastAsia="fr-CD"/>
          <w14:ligatures w14:val="standardContextual"/>
        </w:rPr>
      </w:pPr>
      <w:hyperlink w:anchor="_Toc191317690" w:history="1">
        <w:r w:rsidRPr="00E5763C">
          <w:rPr>
            <w:rStyle w:val="Lienhypertexte"/>
            <w:noProof/>
          </w:rPr>
          <w:t>7. Suivi du projet</w:t>
        </w:r>
        <w:r>
          <w:rPr>
            <w:noProof/>
            <w:webHidden/>
          </w:rPr>
          <w:tab/>
        </w:r>
        <w:r>
          <w:rPr>
            <w:noProof/>
            <w:webHidden/>
          </w:rPr>
          <w:fldChar w:fldCharType="begin"/>
        </w:r>
        <w:r>
          <w:rPr>
            <w:noProof/>
            <w:webHidden/>
          </w:rPr>
          <w:instrText xml:space="preserve"> PAGEREF _Toc191317690 \h </w:instrText>
        </w:r>
        <w:r>
          <w:rPr>
            <w:noProof/>
            <w:webHidden/>
          </w:rPr>
        </w:r>
        <w:r>
          <w:rPr>
            <w:noProof/>
            <w:webHidden/>
          </w:rPr>
          <w:fldChar w:fldCharType="separate"/>
        </w:r>
        <w:r w:rsidR="007E6684">
          <w:rPr>
            <w:noProof/>
            <w:webHidden/>
          </w:rPr>
          <w:t>39</w:t>
        </w:r>
        <w:r>
          <w:rPr>
            <w:noProof/>
            <w:webHidden/>
          </w:rPr>
          <w:fldChar w:fldCharType="end"/>
        </w:r>
      </w:hyperlink>
    </w:p>
    <w:p w14:paraId="39CFE41A" w14:textId="1F02B2BE"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91" w:history="1">
        <w:r w:rsidRPr="00E5763C">
          <w:rPr>
            <w:rStyle w:val="Lienhypertexte"/>
            <w:noProof/>
          </w:rPr>
          <w:t>7.1. Révisions programmatiques (le cas échéant)</w:t>
        </w:r>
        <w:r>
          <w:rPr>
            <w:noProof/>
            <w:webHidden/>
          </w:rPr>
          <w:tab/>
        </w:r>
        <w:r>
          <w:rPr>
            <w:noProof/>
            <w:webHidden/>
          </w:rPr>
          <w:fldChar w:fldCharType="begin"/>
        </w:r>
        <w:r>
          <w:rPr>
            <w:noProof/>
            <w:webHidden/>
          </w:rPr>
          <w:instrText xml:space="preserve"> PAGEREF _Toc191317691 \h </w:instrText>
        </w:r>
        <w:r>
          <w:rPr>
            <w:noProof/>
            <w:webHidden/>
          </w:rPr>
        </w:r>
        <w:r>
          <w:rPr>
            <w:noProof/>
            <w:webHidden/>
          </w:rPr>
          <w:fldChar w:fldCharType="separate"/>
        </w:r>
        <w:r w:rsidR="007E6684">
          <w:rPr>
            <w:noProof/>
            <w:webHidden/>
          </w:rPr>
          <w:t>39</w:t>
        </w:r>
        <w:r>
          <w:rPr>
            <w:noProof/>
            <w:webHidden/>
          </w:rPr>
          <w:fldChar w:fldCharType="end"/>
        </w:r>
      </w:hyperlink>
    </w:p>
    <w:p w14:paraId="776E8306" w14:textId="3D88D71E" w:rsidR="001B7E8E" w:rsidRDefault="001B7E8E">
      <w:pPr>
        <w:pStyle w:val="TM1"/>
        <w:rPr>
          <w:rFonts w:cstheme="minorBidi"/>
          <w:noProof/>
          <w:kern w:val="2"/>
          <w:sz w:val="24"/>
          <w:szCs w:val="24"/>
          <w:lang w:val="fr-CD" w:eastAsia="fr-CD"/>
          <w14:ligatures w14:val="standardContextual"/>
        </w:rPr>
      </w:pPr>
      <w:hyperlink w:anchor="_Toc191317692" w:history="1">
        <w:r w:rsidRPr="00E5763C">
          <w:rPr>
            <w:rStyle w:val="Lienhypertexte"/>
            <w:noProof/>
          </w:rPr>
          <w:t>8. Thèmes transversaux</w:t>
        </w:r>
        <w:r>
          <w:rPr>
            <w:noProof/>
            <w:webHidden/>
          </w:rPr>
          <w:tab/>
        </w:r>
        <w:r>
          <w:rPr>
            <w:noProof/>
            <w:webHidden/>
          </w:rPr>
          <w:fldChar w:fldCharType="begin"/>
        </w:r>
        <w:r>
          <w:rPr>
            <w:noProof/>
            <w:webHidden/>
          </w:rPr>
          <w:instrText xml:space="preserve"> PAGEREF _Toc191317692 \h </w:instrText>
        </w:r>
        <w:r>
          <w:rPr>
            <w:noProof/>
            <w:webHidden/>
          </w:rPr>
        </w:r>
        <w:r>
          <w:rPr>
            <w:noProof/>
            <w:webHidden/>
          </w:rPr>
          <w:fldChar w:fldCharType="separate"/>
        </w:r>
        <w:r w:rsidR="007E6684">
          <w:rPr>
            <w:noProof/>
            <w:webHidden/>
          </w:rPr>
          <w:t>39</w:t>
        </w:r>
        <w:r>
          <w:rPr>
            <w:noProof/>
            <w:webHidden/>
          </w:rPr>
          <w:fldChar w:fldCharType="end"/>
        </w:r>
      </w:hyperlink>
    </w:p>
    <w:p w14:paraId="65A56541" w14:textId="41170956"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93" w:history="1">
        <w:r w:rsidRPr="00E5763C">
          <w:rPr>
            <w:rStyle w:val="Lienhypertexte"/>
            <w:noProof/>
          </w:rPr>
          <w:t>8.1. Genre</w:t>
        </w:r>
        <w:r>
          <w:rPr>
            <w:noProof/>
            <w:webHidden/>
          </w:rPr>
          <w:tab/>
        </w:r>
        <w:r>
          <w:rPr>
            <w:noProof/>
            <w:webHidden/>
          </w:rPr>
          <w:fldChar w:fldCharType="begin"/>
        </w:r>
        <w:r>
          <w:rPr>
            <w:noProof/>
            <w:webHidden/>
          </w:rPr>
          <w:instrText xml:space="preserve"> PAGEREF _Toc191317693 \h </w:instrText>
        </w:r>
        <w:r>
          <w:rPr>
            <w:noProof/>
            <w:webHidden/>
          </w:rPr>
        </w:r>
        <w:r>
          <w:rPr>
            <w:noProof/>
            <w:webHidden/>
          </w:rPr>
          <w:fldChar w:fldCharType="separate"/>
        </w:r>
        <w:r w:rsidR="007E6684">
          <w:rPr>
            <w:noProof/>
            <w:webHidden/>
          </w:rPr>
          <w:t>39</w:t>
        </w:r>
        <w:r>
          <w:rPr>
            <w:noProof/>
            <w:webHidden/>
          </w:rPr>
          <w:fldChar w:fldCharType="end"/>
        </w:r>
      </w:hyperlink>
    </w:p>
    <w:p w14:paraId="152A53FF" w14:textId="18AE7741" w:rsidR="001B7E8E" w:rsidRDefault="001B7E8E">
      <w:pPr>
        <w:pStyle w:val="TM1"/>
        <w:rPr>
          <w:rFonts w:cstheme="minorBidi"/>
          <w:noProof/>
          <w:kern w:val="2"/>
          <w:sz w:val="24"/>
          <w:szCs w:val="24"/>
          <w:lang w:val="fr-CD" w:eastAsia="fr-CD"/>
          <w14:ligatures w14:val="standardContextual"/>
        </w:rPr>
      </w:pPr>
      <w:hyperlink w:anchor="_Toc191317694" w:history="1">
        <w:r w:rsidRPr="00E5763C">
          <w:rPr>
            <w:rStyle w:val="Lienhypertexte"/>
            <w:noProof/>
          </w:rPr>
          <w:t>9. Gestion des risques</w:t>
        </w:r>
        <w:r>
          <w:rPr>
            <w:noProof/>
            <w:webHidden/>
          </w:rPr>
          <w:tab/>
        </w:r>
        <w:r>
          <w:rPr>
            <w:noProof/>
            <w:webHidden/>
          </w:rPr>
          <w:fldChar w:fldCharType="begin"/>
        </w:r>
        <w:r>
          <w:rPr>
            <w:noProof/>
            <w:webHidden/>
          </w:rPr>
          <w:instrText xml:space="preserve"> PAGEREF _Toc191317694 \h </w:instrText>
        </w:r>
        <w:r>
          <w:rPr>
            <w:noProof/>
            <w:webHidden/>
          </w:rPr>
        </w:r>
        <w:r>
          <w:rPr>
            <w:noProof/>
            <w:webHidden/>
          </w:rPr>
          <w:fldChar w:fldCharType="separate"/>
        </w:r>
        <w:r w:rsidR="007E6684">
          <w:rPr>
            <w:noProof/>
            <w:webHidden/>
          </w:rPr>
          <w:t>40</w:t>
        </w:r>
        <w:r>
          <w:rPr>
            <w:noProof/>
            <w:webHidden/>
          </w:rPr>
          <w:fldChar w:fldCharType="end"/>
        </w:r>
      </w:hyperlink>
    </w:p>
    <w:p w14:paraId="13E507E6" w14:textId="3E6C44AF"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95" w:history="1">
        <w:r w:rsidRPr="00E5763C">
          <w:rPr>
            <w:rStyle w:val="Lienhypertexte"/>
            <w:noProof/>
          </w:rPr>
          <w:t>9.1 Mettre à jour votre matrice de gestion des risques sur la base de l'analyse effectuée.</w:t>
        </w:r>
        <w:r>
          <w:rPr>
            <w:noProof/>
            <w:webHidden/>
          </w:rPr>
          <w:tab/>
        </w:r>
        <w:r>
          <w:rPr>
            <w:noProof/>
            <w:webHidden/>
          </w:rPr>
          <w:fldChar w:fldCharType="begin"/>
        </w:r>
        <w:r>
          <w:rPr>
            <w:noProof/>
            <w:webHidden/>
          </w:rPr>
          <w:instrText xml:space="preserve"> PAGEREF _Toc191317695 \h </w:instrText>
        </w:r>
        <w:r>
          <w:rPr>
            <w:noProof/>
            <w:webHidden/>
          </w:rPr>
        </w:r>
        <w:r>
          <w:rPr>
            <w:noProof/>
            <w:webHidden/>
          </w:rPr>
          <w:fldChar w:fldCharType="separate"/>
        </w:r>
        <w:r w:rsidR="007E6684">
          <w:rPr>
            <w:noProof/>
            <w:webHidden/>
          </w:rPr>
          <w:t>40</w:t>
        </w:r>
        <w:r>
          <w:rPr>
            <w:noProof/>
            <w:webHidden/>
          </w:rPr>
          <w:fldChar w:fldCharType="end"/>
        </w:r>
      </w:hyperlink>
    </w:p>
    <w:p w14:paraId="546CC71D" w14:textId="7187087D" w:rsidR="001B7E8E" w:rsidRDefault="001B7E8E">
      <w:pPr>
        <w:pStyle w:val="TM2"/>
        <w:tabs>
          <w:tab w:val="right" w:leader="dot" w:pos="8754"/>
        </w:tabs>
        <w:rPr>
          <w:rFonts w:cstheme="minorBidi"/>
          <w:noProof/>
          <w:kern w:val="2"/>
          <w:sz w:val="24"/>
          <w:szCs w:val="24"/>
          <w:lang w:val="fr-CD" w:eastAsia="fr-CD"/>
          <w14:ligatures w14:val="standardContextual"/>
        </w:rPr>
      </w:pPr>
      <w:hyperlink w:anchor="_Toc191317696" w:history="1">
        <w:r w:rsidRPr="00E5763C">
          <w:rPr>
            <w:rStyle w:val="Lienhypertexte"/>
            <w:noProof/>
          </w:rPr>
          <w:t>9.2 Évaluation de la transparence et de l'intégrité</w:t>
        </w:r>
        <w:r>
          <w:rPr>
            <w:noProof/>
            <w:webHidden/>
          </w:rPr>
          <w:tab/>
        </w:r>
        <w:r>
          <w:rPr>
            <w:noProof/>
            <w:webHidden/>
          </w:rPr>
          <w:fldChar w:fldCharType="begin"/>
        </w:r>
        <w:r>
          <w:rPr>
            <w:noProof/>
            <w:webHidden/>
          </w:rPr>
          <w:instrText xml:space="preserve"> PAGEREF _Toc191317696 \h </w:instrText>
        </w:r>
        <w:r>
          <w:rPr>
            <w:noProof/>
            <w:webHidden/>
          </w:rPr>
        </w:r>
        <w:r>
          <w:rPr>
            <w:noProof/>
            <w:webHidden/>
          </w:rPr>
          <w:fldChar w:fldCharType="separate"/>
        </w:r>
        <w:r w:rsidR="007E6684">
          <w:rPr>
            <w:noProof/>
            <w:webHidden/>
          </w:rPr>
          <w:t>43</w:t>
        </w:r>
        <w:r>
          <w:rPr>
            <w:noProof/>
            <w:webHidden/>
          </w:rPr>
          <w:fldChar w:fldCharType="end"/>
        </w:r>
      </w:hyperlink>
    </w:p>
    <w:p w14:paraId="6C1F8517" w14:textId="75C26225" w:rsidR="001B7E8E" w:rsidRDefault="001B7E8E">
      <w:pPr>
        <w:pStyle w:val="TM1"/>
        <w:rPr>
          <w:rFonts w:cstheme="minorBidi"/>
          <w:noProof/>
          <w:kern w:val="2"/>
          <w:sz w:val="24"/>
          <w:szCs w:val="24"/>
          <w:lang w:val="fr-CD" w:eastAsia="fr-CD"/>
          <w14:ligatures w14:val="standardContextual"/>
        </w:rPr>
      </w:pPr>
      <w:hyperlink w:anchor="_Toc191317697" w:history="1">
        <w:r w:rsidRPr="00E5763C">
          <w:rPr>
            <w:rStyle w:val="Lienhypertexte"/>
            <w:noProof/>
          </w:rPr>
          <w:t>10. Récapitulatif des livrables</w:t>
        </w:r>
        <w:r>
          <w:rPr>
            <w:noProof/>
            <w:webHidden/>
          </w:rPr>
          <w:tab/>
        </w:r>
        <w:r>
          <w:rPr>
            <w:noProof/>
            <w:webHidden/>
          </w:rPr>
          <w:fldChar w:fldCharType="begin"/>
        </w:r>
        <w:r>
          <w:rPr>
            <w:noProof/>
            <w:webHidden/>
          </w:rPr>
          <w:instrText xml:space="preserve"> PAGEREF _Toc191317697 \h </w:instrText>
        </w:r>
        <w:r>
          <w:rPr>
            <w:noProof/>
            <w:webHidden/>
          </w:rPr>
        </w:r>
        <w:r>
          <w:rPr>
            <w:noProof/>
            <w:webHidden/>
          </w:rPr>
          <w:fldChar w:fldCharType="separate"/>
        </w:r>
        <w:r w:rsidR="007E6684">
          <w:rPr>
            <w:noProof/>
            <w:webHidden/>
          </w:rPr>
          <w:t>43</w:t>
        </w:r>
        <w:r>
          <w:rPr>
            <w:noProof/>
            <w:webHidden/>
          </w:rPr>
          <w:fldChar w:fldCharType="end"/>
        </w:r>
      </w:hyperlink>
    </w:p>
    <w:p w14:paraId="626080AC" w14:textId="1041B03B" w:rsidR="00EB5E11" w:rsidRDefault="002D76FD">
      <w:pPr>
        <w:spacing w:after="160" w:line="259" w:lineRule="auto"/>
        <w:ind w:left="0" w:right="0" w:firstLine="0"/>
        <w:jc w:val="left"/>
      </w:pPr>
      <w:r>
        <w:fldChar w:fldCharType="end"/>
      </w:r>
    </w:p>
    <w:p w14:paraId="3181B22D" w14:textId="649AE31B" w:rsidR="00EB5E11" w:rsidRDefault="00EB5E11">
      <w:r>
        <w:br w:type="page"/>
      </w:r>
    </w:p>
    <w:p w14:paraId="59B862B3" w14:textId="2F90332C" w:rsidR="00EB5E11" w:rsidRPr="004703AE" w:rsidRDefault="00E82D35" w:rsidP="00FE70AA">
      <w:pPr>
        <w:pStyle w:val="PIREDD1"/>
      </w:pPr>
      <w:bookmarkStart w:id="2" w:name="_Toc189757647"/>
      <w:bookmarkStart w:id="3" w:name="_Toc191317675"/>
      <w:r>
        <w:lastRenderedPageBreak/>
        <w:t xml:space="preserve">0. </w:t>
      </w:r>
      <w:r w:rsidR="00EB5E11" w:rsidRPr="004703AE">
        <w:t>Abréviations et acronymes</w:t>
      </w:r>
      <w:bookmarkEnd w:id="2"/>
      <w:bookmarkEnd w:id="3"/>
    </w:p>
    <w:p w14:paraId="11AF4EF6" w14:textId="77777777" w:rsidR="00EB5E11" w:rsidRPr="00DB6E6D" w:rsidRDefault="00EB5E11" w:rsidP="00EB5E11">
      <w:pPr>
        <w:spacing w:after="0" w:line="240" w:lineRule="auto"/>
        <w:ind w:left="0" w:right="0" w:firstLine="0"/>
        <w:jc w:val="left"/>
        <w:rPr>
          <w:rFonts w:ascii="Avenir" w:eastAsia="Avenir" w:hAnsi="Avenir" w:cs="Avenir"/>
        </w:rPr>
      </w:pPr>
    </w:p>
    <w:p w14:paraId="616F49CA"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CAFI : Initiative pour la Forêt d’Afrique Centrale</w:t>
      </w:r>
    </w:p>
    <w:p w14:paraId="056EA5F3"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 xml:space="preserve">CCPA : </w:t>
      </w:r>
      <w:r w:rsidRPr="00DB6E6D">
        <w:rPr>
          <w:rFonts w:ascii="Avenir" w:eastAsia="Avenir" w:hAnsi="Avenir" w:cs="Avenir"/>
          <w:lang w:val="fr-FR"/>
        </w:rPr>
        <w:t>Conseil Consultatif Provincial de l’Agriculture</w:t>
      </w:r>
      <w:r w:rsidRPr="00DB6E6D">
        <w:rPr>
          <w:rFonts w:ascii="Avenir" w:eastAsia="Avenir" w:hAnsi="Avenir" w:cs="Avenir"/>
        </w:rPr>
        <w:t xml:space="preserve"> </w:t>
      </w:r>
    </w:p>
    <w:p w14:paraId="00E10D69"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C</w:t>
      </w:r>
      <w:r>
        <w:rPr>
          <w:rFonts w:ascii="Avenir" w:eastAsia="Avenir" w:hAnsi="Avenir" w:cs="Avenir"/>
        </w:rPr>
        <w:t>C</w:t>
      </w:r>
      <w:r w:rsidRPr="00DB6E6D">
        <w:rPr>
          <w:rFonts w:ascii="Avenir" w:eastAsia="Avenir" w:hAnsi="Avenir" w:cs="Avenir"/>
        </w:rPr>
        <w:t xml:space="preserve">PAT : </w:t>
      </w:r>
      <w:r w:rsidRPr="00594779">
        <w:rPr>
          <w:rFonts w:ascii="Avenir" w:eastAsia="Avenir" w:hAnsi="Avenir" w:cs="Avenir"/>
          <w:lang w:val="fr-FR"/>
        </w:rPr>
        <w:t xml:space="preserve">Conseil Consultatif Provincial </w:t>
      </w:r>
      <w:r>
        <w:rPr>
          <w:rFonts w:ascii="Avenir" w:eastAsia="Avenir" w:hAnsi="Avenir" w:cs="Avenir"/>
          <w:lang w:val="fr-FR"/>
        </w:rPr>
        <w:t>de</w:t>
      </w:r>
      <w:r w:rsidRPr="00594779">
        <w:rPr>
          <w:rFonts w:ascii="Avenir" w:eastAsia="Avenir" w:hAnsi="Avenir" w:cs="Avenir"/>
          <w:lang w:val="fr-FR"/>
        </w:rPr>
        <w:t xml:space="preserve"> </w:t>
      </w:r>
      <w:r>
        <w:rPr>
          <w:rFonts w:ascii="Avenir" w:eastAsia="Avenir" w:hAnsi="Avenir" w:cs="Avenir"/>
          <w:lang w:val="fr-FR"/>
        </w:rPr>
        <w:t>l’</w:t>
      </w:r>
      <w:r w:rsidRPr="00594779">
        <w:rPr>
          <w:rFonts w:ascii="Avenir" w:eastAsia="Avenir" w:hAnsi="Avenir" w:cs="Avenir"/>
          <w:lang w:val="fr-FR"/>
        </w:rPr>
        <w:t>Aménagement du Territoire</w:t>
      </w:r>
    </w:p>
    <w:p w14:paraId="54CC161D"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 xml:space="preserve">CCPF : </w:t>
      </w:r>
      <w:r w:rsidRPr="00DB6E6D">
        <w:rPr>
          <w:rFonts w:ascii="Avenir" w:eastAsia="Avenir" w:hAnsi="Avenir" w:cs="Avenir"/>
          <w:lang w:val="fr-FR"/>
        </w:rPr>
        <w:t>Conseil Consultatif Provincial de</w:t>
      </w:r>
      <w:r>
        <w:rPr>
          <w:rFonts w:ascii="Avenir" w:eastAsia="Avenir" w:hAnsi="Avenir" w:cs="Avenir"/>
          <w:lang w:val="fr-FR"/>
        </w:rPr>
        <w:t>s</w:t>
      </w:r>
      <w:r w:rsidRPr="00DB6E6D">
        <w:rPr>
          <w:rFonts w:ascii="Avenir" w:eastAsia="Avenir" w:hAnsi="Avenir" w:cs="Avenir"/>
          <w:lang w:val="fr-FR"/>
        </w:rPr>
        <w:t xml:space="preserve"> Forêt</w:t>
      </w:r>
      <w:r>
        <w:rPr>
          <w:rFonts w:ascii="Avenir" w:eastAsia="Avenir" w:hAnsi="Avenir" w:cs="Avenir"/>
          <w:lang w:val="fr-FR"/>
        </w:rPr>
        <w:t>s</w:t>
      </w:r>
    </w:p>
    <w:p w14:paraId="34792D61"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CLD : Comité Local de Développement</w:t>
      </w:r>
    </w:p>
    <w:p w14:paraId="27CEB530"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COPIL : Comité de Pilotage</w:t>
      </w:r>
    </w:p>
    <w:p w14:paraId="4009A8D6"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iCs/>
        </w:rPr>
        <w:t>CORS : Comité d’Orientation Stratégique</w:t>
      </w:r>
    </w:p>
    <w:p w14:paraId="4D9EEEA3"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CPEDD : Coordination Provinciale de l’Environnement et du Développement Durable</w:t>
      </w:r>
    </w:p>
    <w:p w14:paraId="6535B556" w14:textId="77777777" w:rsidR="00594779" w:rsidRPr="00DB6E6D" w:rsidRDefault="00594779" w:rsidP="00EB5E11">
      <w:pPr>
        <w:spacing w:after="0" w:line="240" w:lineRule="auto"/>
        <w:ind w:left="0" w:right="0" w:firstLine="0"/>
        <w:jc w:val="left"/>
        <w:rPr>
          <w:rFonts w:ascii="Avenir" w:eastAsia="Avenir" w:hAnsi="Avenir" w:cs="Avenir"/>
          <w:iCs/>
        </w:rPr>
      </w:pPr>
      <w:r w:rsidRPr="00DB6E6D">
        <w:rPr>
          <w:rFonts w:ascii="Avenir" w:eastAsia="Avenir" w:hAnsi="Avenir" w:cs="Avenir"/>
          <w:iCs/>
        </w:rPr>
        <w:t>CRP : Comité de revue des programmes</w:t>
      </w:r>
    </w:p>
    <w:p w14:paraId="587A8114"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DP : Division Provinciale</w:t>
      </w:r>
    </w:p>
    <w:p w14:paraId="6EB6B820"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FONAREDD : Fonds National REDD+</w:t>
      </w:r>
    </w:p>
    <w:p w14:paraId="72C297FC"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GTCRR : Groupe de Travail Climat REDD+ Rénové</w:t>
      </w:r>
    </w:p>
    <w:p w14:paraId="2E4DA233"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IPA : Inspection Provinciale de l’Agriculture</w:t>
      </w:r>
    </w:p>
    <w:p w14:paraId="7354378C"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IPDR : Inspection Provinciale du Développement Rural</w:t>
      </w:r>
    </w:p>
    <w:p w14:paraId="00E3D878"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 xml:space="preserve">MPTF : Multi-Partner Trust </w:t>
      </w:r>
      <w:proofErr w:type="spellStart"/>
      <w:r w:rsidRPr="00DB6E6D">
        <w:rPr>
          <w:rFonts w:ascii="Avenir" w:eastAsia="Avenir" w:hAnsi="Avenir" w:cs="Avenir"/>
        </w:rPr>
        <w:t>Fund</w:t>
      </w:r>
      <w:proofErr w:type="spellEnd"/>
    </w:p>
    <w:p w14:paraId="3FF42892"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ONG : organisation Non Gouvernementale</w:t>
      </w:r>
    </w:p>
    <w:p w14:paraId="14C52CA1"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PFNL : Produits Forestier Non Ligneux</w:t>
      </w:r>
    </w:p>
    <w:p w14:paraId="6B4DD548" w14:textId="77777777" w:rsidR="00594779" w:rsidRPr="00DB6E6D" w:rsidRDefault="00594779" w:rsidP="00EB5E11">
      <w:pPr>
        <w:spacing w:after="0" w:line="240" w:lineRule="auto"/>
        <w:ind w:left="0" w:right="0" w:firstLine="0"/>
        <w:jc w:val="left"/>
        <w:rPr>
          <w:rFonts w:ascii="Avenir" w:eastAsia="Avenir" w:hAnsi="Avenir" w:cs="Avenir"/>
          <w:lang w:val="fr-FR"/>
        </w:rPr>
      </w:pPr>
      <w:r w:rsidRPr="00DB6E6D">
        <w:rPr>
          <w:rFonts w:ascii="Avenir" w:eastAsia="Avenir" w:hAnsi="Avenir" w:cs="Avenir"/>
          <w:lang w:val="fr-FR"/>
        </w:rPr>
        <w:t>PIREDD KORLOM : Programme Intégré de Réduction des Emissions dues à la Déforestation et la Dégradation des forêts dans les Provinces du Kasaï Oriental et de la Lomami</w:t>
      </w:r>
    </w:p>
    <w:p w14:paraId="23FC1F39"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PPAT : Plan Provincial d’Aménagement du Territoire</w:t>
      </w:r>
    </w:p>
    <w:p w14:paraId="1A468F1F"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PSAT : Plan Simple d’Aménagement du Territoire</w:t>
      </w:r>
    </w:p>
    <w:p w14:paraId="1FED61B2"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PSE : Paiement pour Services Environnementaux</w:t>
      </w:r>
    </w:p>
    <w:p w14:paraId="70C99D70"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iCs/>
        </w:rPr>
        <w:t>PTBA : Plan de travail et budget annuel</w:t>
      </w:r>
    </w:p>
    <w:p w14:paraId="01A9BF3D"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RDC : République démocratique du Congo</w:t>
      </w:r>
    </w:p>
    <w:p w14:paraId="681A29DA"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RNA : Régénération Naturelle Assistée</w:t>
      </w:r>
    </w:p>
    <w:p w14:paraId="4EC46DDB"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 xml:space="preserve">SDA : Schéma Directeur d’Approvisionnement </w:t>
      </w:r>
    </w:p>
    <w:p w14:paraId="60B751CF"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SIG : Système d’Information Géographique</w:t>
      </w:r>
    </w:p>
    <w:p w14:paraId="73CA5793" w14:textId="77777777" w:rsidR="00594779" w:rsidRPr="00DB6E6D" w:rsidRDefault="00594779" w:rsidP="00EB5E11">
      <w:pPr>
        <w:spacing w:after="0" w:line="240" w:lineRule="auto"/>
        <w:ind w:left="0" w:right="0" w:firstLine="0"/>
        <w:jc w:val="left"/>
        <w:rPr>
          <w:rFonts w:ascii="Avenir" w:eastAsia="Avenir" w:hAnsi="Avenir" w:cs="Avenir"/>
        </w:rPr>
      </w:pPr>
      <w:r w:rsidRPr="00DB6E6D">
        <w:rPr>
          <w:rFonts w:ascii="Avenir" w:eastAsia="Avenir" w:hAnsi="Avenir" w:cs="Avenir"/>
        </w:rPr>
        <w:t>STD : Service Technique Déconcentré</w:t>
      </w:r>
    </w:p>
    <w:p w14:paraId="03470060" w14:textId="77777777" w:rsidR="00EB5E11" w:rsidRPr="00DB6E6D" w:rsidRDefault="00EB5E11" w:rsidP="00EB5E11">
      <w:pPr>
        <w:spacing w:after="160" w:line="259" w:lineRule="auto"/>
        <w:ind w:left="0" w:right="0" w:firstLine="0"/>
        <w:jc w:val="left"/>
        <w:rPr>
          <w:rFonts w:ascii="Avenir" w:eastAsia="Avenir" w:hAnsi="Avenir" w:cs="Avenir"/>
        </w:rPr>
      </w:pPr>
    </w:p>
    <w:p w14:paraId="25077587" w14:textId="77777777" w:rsidR="00EB5E11" w:rsidRDefault="00EB5E11">
      <w:pPr>
        <w:spacing w:after="160" w:line="259" w:lineRule="auto"/>
        <w:ind w:left="0" w:right="0" w:firstLine="0"/>
        <w:jc w:val="left"/>
      </w:pPr>
    </w:p>
    <w:p w14:paraId="392E2CE9" w14:textId="77777777" w:rsidR="00EB5E11" w:rsidRDefault="00EB5E11">
      <w:pPr>
        <w:spacing w:after="160" w:line="259" w:lineRule="auto"/>
        <w:ind w:left="0" w:right="0" w:firstLine="0"/>
        <w:jc w:val="left"/>
      </w:pPr>
    </w:p>
    <w:p w14:paraId="61F50ABA" w14:textId="77777777" w:rsidR="00EB5E11" w:rsidRDefault="00EB5E11">
      <w:pPr>
        <w:spacing w:after="160" w:line="259" w:lineRule="auto"/>
        <w:ind w:left="0" w:right="0" w:firstLine="0"/>
        <w:jc w:val="left"/>
      </w:pPr>
    </w:p>
    <w:p w14:paraId="4DF927BC" w14:textId="77777777" w:rsidR="00EB5E11" w:rsidRDefault="00EB5E11">
      <w:pPr>
        <w:spacing w:after="160" w:line="259" w:lineRule="auto"/>
        <w:ind w:left="0" w:right="0" w:firstLine="0"/>
        <w:jc w:val="left"/>
      </w:pPr>
    </w:p>
    <w:p w14:paraId="56081DB3" w14:textId="77777777" w:rsidR="00EB5E11" w:rsidRDefault="00EB5E11">
      <w:pPr>
        <w:spacing w:after="160" w:line="259" w:lineRule="auto"/>
        <w:ind w:left="0" w:right="0" w:firstLine="0"/>
        <w:jc w:val="left"/>
      </w:pPr>
    </w:p>
    <w:p w14:paraId="0CC14AF7" w14:textId="77777777" w:rsidR="00EB5E11" w:rsidRDefault="00EB5E11">
      <w:pPr>
        <w:spacing w:after="160" w:line="259" w:lineRule="auto"/>
        <w:ind w:left="0" w:right="0" w:firstLine="0"/>
        <w:jc w:val="left"/>
      </w:pPr>
    </w:p>
    <w:p w14:paraId="46F29DC2" w14:textId="77777777" w:rsidR="00EB5E11" w:rsidRDefault="00EB5E11">
      <w:pPr>
        <w:spacing w:after="160" w:line="259" w:lineRule="auto"/>
        <w:ind w:left="0" w:right="0" w:firstLine="0"/>
        <w:jc w:val="left"/>
      </w:pPr>
    </w:p>
    <w:p w14:paraId="5637F1E1" w14:textId="579D41D0" w:rsidR="00FC75A8" w:rsidRDefault="00000000">
      <w:pPr>
        <w:spacing w:after="160" w:line="259" w:lineRule="auto"/>
        <w:ind w:left="0" w:right="0" w:firstLine="0"/>
        <w:jc w:val="left"/>
        <w:rPr>
          <w:rFonts w:ascii="Avenir" w:eastAsia="Avenir" w:hAnsi="Avenir" w:cs="Avenir"/>
          <w:sz w:val="22"/>
          <w:szCs w:val="22"/>
        </w:rPr>
      </w:pPr>
      <w:r>
        <w:br w:type="page"/>
      </w:r>
    </w:p>
    <w:p w14:paraId="5637F1E2" w14:textId="478B6F0E" w:rsidR="00FC75A8" w:rsidRDefault="00000000" w:rsidP="00FE70AA">
      <w:pPr>
        <w:pStyle w:val="PIREDD1"/>
        <w:numPr>
          <w:ilvl w:val="0"/>
          <w:numId w:val="44"/>
        </w:numPr>
      </w:pPr>
      <w:bookmarkStart w:id="4" w:name="_Toc191317676"/>
      <w:r>
        <w:lastRenderedPageBreak/>
        <w:t>Données clés du projet</w:t>
      </w:r>
      <w:bookmarkEnd w:id="4"/>
      <w:r>
        <w:t xml:space="preserve"> </w:t>
      </w:r>
    </w:p>
    <w:tbl>
      <w:tblPr>
        <w:tblStyle w:val="a0"/>
        <w:tblW w:w="10065" w:type="dxa"/>
        <w:tblInd w:w="-714"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6096"/>
        <w:gridCol w:w="3969"/>
      </w:tblGrid>
      <w:tr w:rsidR="00FC75A8" w14:paraId="5637F1E5" w14:textId="77777777">
        <w:tc>
          <w:tcPr>
            <w:tcW w:w="6096" w:type="dxa"/>
          </w:tcPr>
          <w:p w14:paraId="5637F1E3"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 xml:space="preserve">Titre du projet </w:t>
            </w:r>
          </w:p>
        </w:tc>
        <w:tc>
          <w:tcPr>
            <w:tcW w:w="3969" w:type="dxa"/>
          </w:tcPr>
          <w:p w14:paraId="5637F1E4" w14:textId="08706750" w:rsidR="00FC75A8" w:rsidRPr="00FC7B69" w:rsidRDefault="00FC7B69">
            <w:pPr>
              <w:ind w:left="0" w:firstLine="0"/>
              <w:rPr>
                <w:rFonts w:ascii="Avenir" w:eastAsia="Avenir" w:hAnsi="Avenir" w:cs="Avenir"/>
                <w:sz w:val="22"/>
                <w:szCs w:val="22"/>
              </w:rPr>
            </w:pPr>
            <w:bookmarkStart w:id="5" w:name="_Hlk188998890"/>
            <w:r w:rsidRPr="00FC7B69">
              <w:rPr>
                <w:rFonts w:ascii="Avenir" w:eastAsia="Avenir" w:hAnsi="Avenir" w:cs="Avenir"/>
                <w:sz w:val="22"/>
                <w:szCs w:val="22"/>
                <w:lang w:val="fr-FR"/>
              </w:rPr>
              <w:t>PIREDD Kasaï Oriental et Lomami (KORLOM)</w:t>
            </w:r>
            <w:bookmarkEnd w:id="5"/>
          </w:p>
        </w:tc>
      </w:tr>
      <w:tr w:rsidR="00FC75A8" w14:paraId="5637F1E8" w14:textId="77777777">
        <w:tc>
          <w:tcPr>
            <w:tcW w:w="6096" w:type="dxa"/>
          </w:tcPr>
          <w:p w14:paraId="5637F1E6"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Numéro MPTF du projet</w:t>
            </w:r>
          </w:p>
        </w:tc>
        <w:tc>
          <w:tcPr>
            <w:tcW w:w="3969" w:type="dxa"/>
          </w:tcPr>
          <w:p w14:paraId="5637F1E7" w14:textId="050D14C1" w:rsidR="00FC75A8" w:rsidRDefault="00FC7B69">
            <w:pPr>
              <w:ind w:left="0" w:firstLine="0"/>
              <w:rPr>
                <w:rFonts w:ascii="Avenir" w:eastAsia="Avenir" w:hAnsi="Avenir" w:cs="Avenir"/>
                <w:sz w:val="22"/>
                <w:szCs w:val="22"/>
              </w:rPr>
            </w:pPr>
            <w:r w:rsidRPr="00DB6E6D">
              <w:rPr>
                <w:rFonts w:ascii="Avenir" w:eastAsia="Avenir" w:hAnsi="Avenir" w:cs="Avenir"/>
                <w:sz w:val="22"/>
                <w:szCs w:val="22"/>
              </w:rPr>
              <w:t>00140884</w:t>
            </w:r>
          </w:p>
        </w:tc>
      </w:tr>
      <w:tr w:rsidR="00FC75A8" w14:paraId="5637F1EB" w14:textId="77777777">
        <w:tc>
          <w:tcPr>
            <w:tcW w:w="6096" w:type="dxa"/>
          </w:tcPr>
          <w:p w14:paraId="5637F1E9"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Hyperlien du document de projet</w:t>
            </w:r>
            <w:r>
              <w:rPr>
                <w:rFonts w:ascii="Avenir" w:eastAsia="Avenir" w:hAnsi="Avenir" w:cs="Avenir"/>
                <w:i/>
                <w:sz w:val="22"/>
                <w:szCs w:val="22"/>
                <w:vertAlign w:val="superscript"/>
              </w:rPr>
              <w:footnoteReference w:id="2"/>
            </w:r>
            <w:r>
              <w:rPr>
                <w:rFonts w:ascii="Avenir" w:eastAsia="Avenir" w:hAnsi="Avenir" w:cs="Avenir"/>
                <w:sz w:val="22"/>
                <w:szCs w:val="22"/>
              </w:rPr>
              <w:t> </w:t>
            </w:r>
          </w:p>
        </w:tc>
        <w:tc>
          <w:tcPr>
            <w:tcW w:w="3969" w:type="dxa"/>
          </w:tcPr>
          <w:p w14:paraId="5637F1EA" w14:textId="785D0DBF" w:rsidR="00FC75A8" w:rsidRDefault="0025605B">
            <w:pPr>
              <w:ind w:left="0" w:firstLine="0"/>
              <w:rPr>
                <w:rFonts w:ascii="Avenir" w:eastAsia="Avenir" w:hAnsi="Avenir" w:cs="Avenir"/>
                <w:sz w:val="22"/>
                <w:szCs w:val="22"/>
              </w:rPr>
            </w:pPr>
            <w:hyperlink r:id="rId14" w:history="1">
              <w:r w:rsidRPr="0025605B">
                <w:rPr>
                  <w:rStyle w:val="Lienhypertexte"/>
                  <w:rFonts w:ascii="Avenir" w:eastAsia="Avenir" w:hAnsi="Avenir" w:cs="Avenir"/>
                  <w:sz w:val="22"/>
                  <w:szCs w:val="22"/>
                </w:rPr>
                <w:t>Document du projet</w:t>
              </w:r>
            </w:hyperlink>
          </w:p>
        </w:tc>
      </w:tr>
      <w:tr w:rsidR="00FC75A8" w14:paraId="5637F1EE" w14:textId="77777777">
        <w:tc>
          <w:tcPr>
            <w:tcW w:w="6096" w:type="dxa"/>
          </w:tcPr>
          <w:p w14:paraId="5637F1EC"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Zone(s) d’intervention(s) du projet</w:t>
            </w:r>
          </w:p>
        </w:tc>
        <w:tc>
          <w:tcPr>
            <w:tcW w:w="3969" w:type="dxa"/>
          </w:tcPr>
          <w:p w14:paraId="5637F1ED" w14:textId="795552BA" w:rsidR="00FC75A8" w:rsidRDefault="00FC7B69">
            <w:pPr>
              <w:ind w:left="0" w:firstLine="0"/>
              <w:rPr>
                <w:rFonts w:ascii="Avenir" w:eastAsia="Avenir" w:hAnsi="Avenir" w:cs="Avenir"/>
                <w:sz w:val="22"/>
                <w:szCs w:val="22"/>
              </w:rPr>
            </w:pPr>
            <w:r w:rsidRPr="00DB6E6D">
              <w:rPr>
                <w:rFonts w:ascii="Avenir" w:eastAsia="Avenir" w:hAnsi="Avenir" w:cs="Avenir"/>
                <w:sz w:val="22"/>
                <w:szCs w:val="22"/>
              </w:rPr>
              <w:t>Provinces du Kasai Oriental et de la Lomami</w:t>
            </w:r>
          </w:p>
        </w:tc>
      </w:tr>
      <w:tr w:rsidR="00FC75A8" w14:paraId="5637F1F1" w14:textId="77777777">
        <w:tc>
          <w:tcPr>
            <w:tcW w:w="6096" w:type="dxa"/>
          </w:tcPr>
          <w:p w14:paraId="5637F1EF"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 xml:space="preserve">Organisations </w:t>
            </w:r>
            <w:r w:rsidRPr="00FC7B69">
              <w:rPr>
                <w:rFonts w:ascii="Avenir" w:eastAsia="Avenir" w:hAnsi="Avenir" w:cs="Avenir"/>
                <w:sz w:val="22"/>
                <w:szCs w:val="22"/>
              </w:rPr>
              <w:t>partenaires participantes</w:t>
            </w:r>
            <w:r>
              <w:rPr>
                <w:rFonts w:ascii="Avenir" w:eastAsia="Avenir" w:hAnsi="Avenir" w:cs="Avenir"/>
                <w:sz w:val="22"/>
                <w:szCs w:val="22"/>
              </w:rPr>
              <w:t xml:space="preserve"> majeures</w:t>
            </w:r>
            <w:r>
              <w:rPr>
                <w:rFonts w:ascii="Avenir" w:eastAsia="Avenir" w:hAnsi="Avenir" w:cs="Avenir"/>
                <w:i/>
                <w:sz w:val="22"/>
                <w:szCs w:val="22"/>
                <w:vertAlign w:val="superscript"/>
              </w:rPr>
              <w:footnoteReference w:id="3"/>
            </w:r>
          </w:p>
        </w:tc>
        <w:tc>
          <w:tcPr>
            <w:tcW w:w="3969" w:type="dxa"/>
          </w:tcPr>
          <w:p w14:paraId="5637F1F0" w14:textId="64C3EB7B" w:rsidR="00FC75A8" w:rsidRDefault="00FC7B69">
            <w:pPr>
              <w:ind w:left="0" w:firstLine="0"/>
              <w:rPr>
                <w:rFonts w:ascii="Avenir" w:eastAsia="Avenir" w:hAnsi="Avenir" w:cs="Avenir"/>
                <w:sz w:val="22"/>
                <w:szCs w:val="22"/>
              </w:rPr>
            </w:pPr>
            <w:r>
              <w:rPr>
                <w:rFonts w:ascii="Avenir" w:eastAsia="Avenir" w:hAnsi="Avenir" w:cs="Avenir"/>
                <w:sz w:val="22"/>
                <w:szCs w:val="22"/>
              </w:rPr>
              <w:t>Enabel</w:t>
            </w:r>
          </w:p>
        </w:tc>
      </w:tr>
      <w:tr w:rsidR="00FC75A8" w14:paraId="5637F1F4" w14:textId="77777777">
        <w:tc>
          <w:tcPr>
            <w:tcW w:w="6096" w:type="dxa"/>
          </w:tcPr>
          <w:p w14:paraId="5637F1F2"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Budget total du Projet (USD)</w:t>
            </w:r>
          </w:p>
        </w:tc>
        <w:tc>
          <w:tcPr>
            <w:tcW w:w="3969" w:type="dxa"/>
          </w:tcPr>
          <w:p w14:paraId="5637F1F3" w14:textId="6E26E259" w:rsidR="00FC75A8" w:rsidRDefault="00A90C2E">
            <w:pPr>
              <w:ind w:left="0" w:firstLine="0"/>
              <w:rPr>
                <w:rFonts w:ascii="Avenir" w:eastAsia="Avenir" w:hAnsi="Avenir" w:cs="Avenir"/>
                <w:sz w:val="22"/>
                <w:szCs w:val="22"/>
              </w:rPr>
            </w:pPr>
            <w:r w:rsidRPr="00DB6E6D">
              <w:rPr>
                <w:rFonts w:ascii="Avenir" w:eastAsia="Avenir" w:hAnsi="Avenir" w:cs="Avenir"/>
                <w:sz w:val="22"/>
                <w:szCs w:val="22"/>
              </w:rPr>
              <w:t>35.000.000</w:t>
            </w:r>
          </w:p>
        </w:tc>
      </w:tr>
      <w:tr w:rsidR="00FC75A8" w14:paraId="5637F1F7" w14:textId="77777777">
        <w:trPr>
          <w:trHeight w:val="253"/>
        </w:trPr>
        <w:tc>
          <w:tcPr>
            <w:tcW w:w="6096" w:type="dxa"/>
          </w:tcPr>
          <w:p w14:paraId="5637F1F5"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Durée totale projet (mois)</w:t>
            </w:r>
          </w:p>
        </w:tc>
        <w:tc>
          <w:tcPr>
            <w:tcW w:w="3969" w:type="dxa"/>
          </w:tcPr>
          <w:p w14:paraId="5637F1F6" w14:textId="61CA1C71" w:rsidR="00FC75A8" w:rsidRDefault="00A90C2E">
            <w:pPr>
              <w:ind w:left="0" w:firstLine="0"/>
              <w:rPr>
                <w:rFonts w:ascii="Avenir" w:eastAsia="Avenir" w:hAnsi="Avenir" w:cs="Avenir"/>
                <w:sz w:val="22"/>
                <w:szCs w:val="22"/>
              </w:rPr>
            </w:pPr>
            <w:r w:rsidRPr="00DB6E6D">
              <w:rPr>
                <w:rFonts w:ascii="Avenir" w:eastAsia="Avenir" w:hAnsi="Avenir" w:cs="Avenir"/>
                <w:sz w:val="22"/>
                <w:szCs w:val="22"/>
              </w:rPr>
              <w:t>60 (54 + 6) mois</w:t>
            </w:r>
            <w:r>
              <w:rPr>
                <w:rFonts w:ascii="Avenir" w:eastAsia="Avenir" w:hAnsi="Avenir" w:cs="Avenir"/>
                <w:sz w:val="22"/>
                <w:szCs w:val="22"/>
              </w:rPr>
              <w:t>.</w:t>
            </w:r>
          </w:p>
        </w:tc>
      </w:tr>
      <w:tr w:rsidR="00FC75A8" w:rsidRPr="007754B9" w14:paraId="5637F1FA" w14:textId="77777777">
        <w:trPr>
          <w:trHeight w:val="253"/>
        </w:trPr>
        <w:tc>
          <w:tcPr>
            <w:tcW w:w="6096" w:type="dxa"/>
          </w:tcPr>
          <w:p w14:paraId="5637F1F8"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Date d’approbation du projet par le Conseil d’administration de CAFI</w:t>
            </w:r>
          </w:p>
        </w:tc>
        <w:tc>
          <w:tcPr>
            <w:tcW w:w="3969" w:type="dxa"/>
          </w:tcPr>
          <w:p w14:paraId="5637F1F9" w14:textId="7E8224C9" w:rsidR="00FC75A8" w:rsidRPr="00431793" w:rsidRDefault="00A90C2E">
            <w:pPr>
              <w:ind w:left="0" w:firstLine="0"/>
              <w:rPr>
                <w:rFonts w:ascii="Avenir" w:eastAsia="Avenir" w:hAnsi="Avenir" w:cs="Avenir"/>
                <w:sz w:val="22"/>
                <w:szCs w:val="22"/>
                <w:lang w:val="en-US"/>
              </w:rPr>
            </w:pPr>
            <w:r w:rsidRPr="00DB6E6D">
              <w:rPr>
                <w:rFonts w:ascii="Avenir" w:eastAsia="Avenir" w:hAnsi="Avenir" w:cs="Avenir"/>
                <w:sz w:val="22"/>
                <w:szCs w:val="22"/>
              </w:rPr>
              <w:t>12 avril 2024</w:t>
            </w:r>
            <w:r>
              <w:rPr>
                <w:rFonts w:ascii="Avenir" w:eastAsia="Avenir" w:hAnsi="Avenir" w:cs="Avenir"/>
                <w:sz w:val="22"/>
                <w:szCs w:val="22"/>
              </w:rPr>
              <w:t>.</w:t>
            </w:r>
          </w:p>
        </w:tc>
      </w:tr>
      <w:tr w:rsidR="00FC75A8" w:rsidRPr="007754B9" w14:paraId="5637F1FD" w14:textId="77777777">
        <w:trPr>
          <w:trHeight w:val="253"/>
        </w:trPr>
        <w:tc>
          <w:tcPr>
            <w:tcW w:w="6096" w:type="dxa"/>
          </w:tcPr>
          <w:p w14:paraId="5637F1FB"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Date de réception des premiers fonds du MPTF</w:t>
            </w:r>
          </w:p>
        </w:tc>
        <w:tc>
          <w:tcPr>
            <w:tcW w:w="3969" w:type="dxa"/>
          </w:tcPr>
          <w:p w14:paraId="5637F1FC" w14:textId="7A062358" w:rsidR="00FC75A8" w:rsidRPr="00431793" w:rsidRDefault="00A90C2E">
            <w:pPr>
              <w:ind w:left="0" w:firstLine="0"/>
              <w:rPr>
                <w:rFonts w:ascii="Avenir" w:eastAsia="Avenir" w:hAnsi="Avenir" w:cs="Avenir"/>
                <w:sz w:val="22"/>
                <w:szCs w:val="22"/>
                <w:lang w:val="en-US"/>
              </w:rPr>
            </w:pPr>
            <w:r w:rsidRPr="00DB6E6D">
              <w:rPr>
                <w:rFonts w:ascii="Avenir" w:eastAsia="Avenir" w:hAnsi="Avenir" w:cs="Avenir"/>
                <w:sz w:val="22"/>
                <w:szCs w:val="22"/>
              </w:rPr>
              <w:t>28/10/2024</w:t>
            </w:r>
            <w:r w:rsidRPr="00431793">
              <w:rPr>
                <w:rFonts w:ascii="Avenir" w:eastAsia="Avenir" w:hAnsi="Avenir" w:cs="Avenir"/>
                <w:color w:val="808080"/>
                <w:sz w:val="22"/>
                <w:szCs w:val="22"/>
                <w:lang w:val="en-US"/>
              </w:rPr>
              <w:t>.</w:t>
            </w:r>
          </w:p>
        </w:tc>
      </w:tr>
      <w:tr w:rsidR="00FC75A8" w:rsidRPr="007754B9" w14:paraId="5637F200" w14:textId="77777777">
        <w:tc>
          <w:tcPr>
            <w:tcW w:w="6096" w:type="dxa"/>
          </w:tcPr>
          <w:p w14:paraId="5637F1FE"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Date d’approbation du 1</w:t>
            </w:r>
            <w:r>
              <w:rPr>
                <w:rFonts w:ascii="Avenir" w:eastAsia="Avenir" w:hAnsi="Avenir" w:cs="Avenir"/>
                <w:sz w:val="22"/>
                <w:szCs w:val="22"/>
                <w:vertAlign w:val="superscript"/>
              </w:rPr>
              <w:t>er</w:t>
            </w:r>
            <w:r>
              <w:rPr>
                <w:rFonts w:ascii="Avenir" w:eastAsia="Avenir" w:hAnsi="Avenir" w:cs="Avenir"/>
                <w:sz w:val="22"/>
                <w:szCs w:val="22"/>
              </w:rPr>
              <w:t xml:space="preserve"> Plan de Travail Budgétisé Annuel par le COPIL de projet</w:t>
            </w:r>
          </w:p>
        </w:tc>
        <w:tc>
          <w:tcPr>
            <w:tcW w:w="3969" w:type="dxa"/>
          </w:tcPr>
          <w:p w14:paraId="5637F1FF" w14:textId="50F09F43" w:rsidR="00FC75A8" w:rsidRPr="00431793" w:rsidRDefault="00A90C2E">
            <w:pPr>
              <w:ind w:left="0" w:firstLine="0"/>
              <w:rPr>
                <w:rFonts w:ascii="Avenir" w:eastAsia="Avenir" w:hAnsi="Avenir" w:cs="Avenir"/>
                <w:sz w:val="22"/>
                <w:szCs w:val="22"/>
                <w:lang w:val="en-US"/>
              </w:rPr>
            </w:pPr>
            <w:r w:rsidRPr="00DB6E6D">
              <w:rPr>
                <w:rFonts w:ascii="Avenir" w:eastAsia="Avenir" w:hAnsi="Avenir" w:cs="Avenir"/>
                <w:color w:val="auto"/>
                <w:sz w:val="22"/>
                <w:szCs w:val="22"/>
                <w:lang w:val="en-US"/>
              </w:rPr>
              <w:t>10 décembre 2024</w:t>
            </w:r>
            <w:r w:rsidRPr="00431793">
              <w:rPr>
                <w:rFonts w:ascii="Avenir" w:eastAsia="Avenir" w:hAnsi="Avenir" w:cs="Avenir"/>
                <w:color w:val="808080"/>
                <w:sz w:val="22"/>
                <w:szCs w:val="22"/>
                <w:lang w:val="en-US"/>
              </w:rPr>
              <w:t>.</w:t>
            </w:r>
          </w:p>
        </w:tc>
      </w:tr>
      <w:tr w:rsidR="00FC75A8" w:rsidRPr="007754B9" w14:paraId="5637F203" w14:textId="77777777">
        <w:trPr>
          <w:trHeight w:val="281"/>
        </w:trPr>
        <w:tc>
          <w:tcPr>
            <w:tcW w:w="6096" w:type="dxa"/>
          </w:tcPr>
          <w:p w14:paraId="5637F201"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 xml:space="preserve">Date de clôture initiale  </w:t>
            </w:r>
          </w:p>
        </w:tc>
        <w:tc>
          <w:tcPr>
            <w:tcW w:w="3969" w:type="dxa"/>
          </w:tcPr>
          <w:p w14:paraId="5637F202" w14:textId="398902E4" w:rsidR="00FC75A8" w:rsidRPr="00431793" w:rsidRDefault="00A90C2E">
            <w:pPr>
              <w:ind w:left="0" w:firstLine="0"/>
              <w:rPr>
                <w:rFonts w:ascii="Avenir" w:eastAsia="Avenir" w:hAnsi="Avenir" w:cs="Avenir"/>
                <w:sz w:val="22"/>
                <w:szCs w:val="22"/>
                <w:lang w:val="en-US"/>
              </w:rPr>
            </w:pPr>
            <w:r w:rsidRPr="00DB6E6D">
              <w:rPr>
                <w:rFonts w:ascii="Avenir" w:eastAsia="Avenir" w:hAnsi="Avenir" w:cs="Avenir"/>
                <w:color w:val="auto"/>
                <w:sz w:val="22"/>
                <w:szCs w:val="22"/>
                <w:lang w:val="en-US"/>
              </w:rPr>
              <w:t>28/10/2029</w:t>
            </w:r>
            <w:r w:rsidRPr="00431793">
              <w:rPr>
                <w:rFonts w:ascii="Avenir" w:eastAsia="Avenir" w:hAnsi="Avenir" w:cs="Avenir"/>
                <w:color w:val="808080"/>
                <w:sz w:val="22"/>
                <w:szCs w:val="22"/>
                <w:lang w:val="en-US"/>
              </w:rPr>
              <w:t>.</w:t>
            </w:r>
          </w:p>
        </w:tc>
      </w:tr>
      <w:tr w:rsidR="00FC75A8" w:rsidRPr="007754B9" w14:paraId="5637F206" w14:textId="77777777">
        <w:tc>
          <w:tcPr>
            <w:tcW w:w="6096" w:type="dxa"/>
          </w:tcPr>
          <w:p w14:paraId="5637F204"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 xml:space="preserve">Date de clôture révisée le cas échéant </w:t>
            </w:r>
          </w:p>
        </w:tc>
        <w:tc>
          <w:tcPr>
            <w:tcW w:w="3969" w:type="dxa"/>
          </w:tcPr>
          <w:p w14:paraId="5637F205" w14:textId="668AD4E8" w:rsidR="00FC75A8" w:rsidRPr="00431793" w:rsidRDefault="00A90C2E">
            <w:pPr>
              <w:ind w:left="0" w:firstLine="0"/>
              <w:rPr>
                <w:rFonts w:ascii="Avenir" w:eastAsia="Avenir" w:hAnsi="Avenir" w:cs="Avenir"/>
                <w:sz w:val="22"/>
                <w:szCs w:val="22"/>
                <w:lang w:val="en-US"/>
              </w:rPr>
            </w:pPr>
            <w:r w:rsidRPr="00DB6E6D">
              <w:rPr>
                <w:rFonts w:ascii="Avenir" w:eastAsia="Avenir" w:hAnsi="Avenir" w:cs="Avenir"/>
                <w:color w:val="auto"/>
                <w:sz w:val="22"/>
                <w:szCs w:val="22"/>
                <w:lang w:val="en-US"/>
              </w:rPr>
              <w:t>NA</w:t>
            </w:r>
            <w:r w:rsidRPr="00431793">
              <w:rPr>
                <w:rFonts w:ascii="Avenir" w:eastAsia="Avenir" w:hAnsi="Avenir" w:cs="Avenir"/>
                <w:color w:val="808080"/>
                <w:sz w:val="22"/>
                <w:szCs w:val="22"/>
                <w:lang w:val="en-US"/>
              </w:rPr>
              <w:t>.</w:t>
            </w:r>
          </w:p>
        </w:tc>
      </w:tr>
      <w:tr w:rsidR="00FC75A8" w14:paraId="5637F209" w14:textId="77777777">
        <w:tc>
          <w:tcPr>
            <w:tcW w:w="6096" w:type="dxa"/>
          </w:tcPr>
          <w:p w14:paraId="5637F207"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Dépenses du 01/01 au 31/12 de l’année de rapportage</w:t>
            </w:r>
          </w:p>
        </w:tc>
        <w:tc>
          <w:tcPr>
            <w:tcW w:w="3969" w:type="dxa"/>
          </w:tcPr>
          <w:p w14:paraId="5637F208" w14:textId="04A44A90" w:rsidR="00FC75A8" w:rsidRDefault="00A90C2E">
            <w:pPr>
              <w:ind w:left="0" w:firstLine="0"/>
              <w:rPr>
                <w:rFonts w:ascii="Avenir" w:eastAsia="Avenir" w:hAnsi="Avenir" w:cs="Avenir"/>
                <w:sz w:val="22"/>
                <w:szCs w:val="22"/>
              </w:rPr>
            </w:pPr>
            <w:r w:rsidRPr="00DB6E6D">
              <w:rPr>
                <w:rFonts w:ascii="Avenir" w:eastAsia="Avenir" w:hAnsi="Avenir" w:cs="Avenir"/>
                <w:sz w:val="22"/>
                <w:szCs w:val="22"/>
              </w:rPr>
              <w:t>1</w:t>
            </w:r>
            <w:r>
              <w:rPr>
                <w:rFonts w:ascii="Avenir" w:eastAsia="Avenir" w:hAnsi="Avenir" w:cs="Avenir"/>
                <w:sz w:val="22"/>
                <w:szCs w:val="22"/>
              </w:rPr>
              <w:t>70</w:t>
            </w:r>
            <w:r w:rsidRPr="00DB6E6D">
              <w:rPr>
                <w:rFonts w:ascii="Avenir" w:eastAsia="Avenir" w:hAnsi="Avenir" w:cs="Avenir"/>
                <w:sz w:val="22"/>
                <w:szCs w:val="22"/>
              </w:rPr>
              <w:t xml:space="preserve"> </w:t>
            </w:r>
            <w:r>
              <w:rPr>
                <w:rFonts w:ascii="Avenir" w:eastAsia="Avenir" w:hAnsi="Avenir" w:cs="Avenir"/>
                <w:sz w:val="22"/>
                <w:szCs w:val="22"/>
              </w:rPr>
              <w:t>586</w:t>
            </w:r>
            <w:r w:rsidRPr="00DB6E6D">
              <w:rPr>
                <w:rFonts w:ascii="Avenir" w:eastAsia="Avenir" w:hAnsi="Avenir" w:cs="Avenir"/>
                <w:sz w:val="22"/>
                <w:szCs w:val="22"/>
              </w:rPr>
              <w:t>,</w:t>
            </w:r>
            <w:r>
              <w:rPr>
                <w:rFonts w:ascii="Avenir" w:eastAsia="Avenir" w:hAnsi="Avenir" w:cs="Avenir"/>
                <w:sz w:val="22"/>
                <w:szCs w:val="22"/>
              </w:rPr>
              <w:t>39</w:t>
            </w:r>
          </w:p>
        </w:tc>
      </w:tr>
      <w:tr w:rsidR="00FC75A8" w14:paraId="5637F20C" w14:textId="77777777">
        <w:tc>
          <w:tcPr>
            <w:tcW w:w="6096" w:type="dxa"/>
          </w:tcPr>
          <w:p w14:paraId="5637F20A"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Dépenses globales cumulatives (USD) au 31/12 de l’année de rapportage</w:t>
            </w:r>
          </w:p>
        </w:tc>
        <w:tc>
          <w:tcPr>
            <w:tcW w:w="3969" w:type="dxa"/>
          </w:tcPr>
          <w:p w14:paraId="5637F20B" w14:textId="5671E69E" w:rsidR="00FC75A8" w:rsidRDefault="00A90C2E">
            <w:pPr>
              <w:ind w:left="0" w:firstLine="0"/>
              <w:rPr>
                <w:rFonts w:ascii="Avenir" w:eastAsia="Avenir" w:hAnsi="Avenir" w:cs="Avenir"/>
                <w:sz w:val="22"/>
                <w:szCs w:val="22"/>
              </w:rPr>
            </w:pPr>
            <w:r w:rsidRPr="00DB6E6D">
              <w:rPr>
                <w:rFonts w:ascii="Avenir" w:eastAsia="Avenir" w:hAnsi="Avenir" w:cs="Avenir"/>
                <w:sz w:val="22"/>
                <w:szCs w:val="22"/>
              </w:rPr>
              <w:t>1</w:t>
            </w:r>
            <w:r>
              <w:rPr>
                <w:rFonts w:ascii="Avenir" w:eastAsia="Avenir" w:hAnsi="Avenir" w:cs="Avenir"/>
                <w:sz w:val="22"/>
                <w:szCs w:val="22"/>
              </w:rPr>
              <w:t>70</w:t>
            </w:r>
            <w:r w:rsidRPr="00DB6E6D">
              <w:rPr>
                <w:rFonts w:ascii="Avenir" w:eastAsia="Avenir" w:hAnsi="Avenir" w:cs="Avenir"/>
                <w:sz w:val="22"/>
                <w:szCs w:val="22"/>
              </w:rPr>
              <w:t xml:space="preserve"> </w:t>
            </w:r>
            <w:r>
              <w:rPr>
                <w:rFonts w:ascii="Avenir" w:eastAsia="Avenir" w:hAnsi="Avenir" w:cs="Avenir"/>
                <w:sz w:val="22"/>
                <w:szCs w:val="22"/>
              </w:rPr>
              <w:t>586</w:t>
            </w:r>
            <w:r w:rsidRPr="00DB6E6D">
              <w:rPr>
                <w:rFonts w:ascii="Avenir" w:eastAsia="Avenir" w:hAnsi="Avenir" w:cs="Avenir"/>
                <w:sz w:val="22"/>
                <w:szCs w:val="22"/>
              </w:rPr>
              <w:t>,</w:t>
            </w:r>
            <w:r>
              <w:rPr>
                <w:rFonts w:ascii="Avenir" w:eastAsia="Avenir" w:hAnsi="Avenir" w:cs="Avenir"/>
                <w:sz w:val="22"/>
                <w:szCs w:val="22"/>
              </w:rPr>
              <w:t>39</w:t>
            </w:r>
          </w:p>
        </w:tc>
      </w:tr>
      <w:tr w:rsidR="00FC75A8" w14:paraId="5637F20F" w14:textId="77777777">
        <w:tc>
          <w:tcPr>
            <w:tcW w:w="6096" w:type="dxa"/>
          </w:tcPr>
          <w:p w14:paraId="5637F20D"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Taux de consommation de la 1ère tranche reçue</w:t>
            </w:r>
          </w:p>
        </w:tc>
        <w:tc>
          <w:tcPr>
            <w:tcW w:w="3969" w:type="dxa"/>
          </w:tcPr>
          <w:p w14:paraId="5637F20E" w14:textId="61DDB8F3" w:rsidR="00FC75A8" w:rsidRDefault="00A90C2E">
            <w:pPr>
              <w:ind w:left="0" w:firstLine="0"/>
              <w:rPr>
                <w:rFonts w:ascii="Avenir" w:eastAsia="Avenir" w:hAnsi="Avenir" w:cs="Avenir"/>
                <w:sz w:val="22"/>
                <w:szCs w:val="22"/>
              </w:rPr>
            </w:pPr>
            <w:r w:rsidRPr="00A90C2E">
              <w:rPr>
                <w:rFonts w:ascii="Avenir" w:eastAsia="Avenir" w:hAnsi="Avenir" w:cs="Avenir"/>
                <w:sz w:val="22"/>
                <w:szCs w:val="22"/>
              </w:rPr>
              <w:t>1,71%</w:t>
            </w:r>
          </w:p>
        </w:tc>
      </w:tr>
    </w:tbl>
    <w:p w14:paraId="5637F210" w14:textId="77777777" w:rsidR="00FC75A8" w:rsidRDefault="00FC75A8">
      <w:pPr>
        <w:spacing w:line="240" w:lineRule="auto"/>
        <w:rPr>
          <w:rFonts w:ascii="Avenir" w:eastAsia="Avenir" w:hAnsi="Avenir" w:cs="Avenir"/>
          <w:sz w:val="22"/>
          <w:szCs w:val="22"/>
        </w:rPr>
      </w:pPr>
    </w:p>
    <w:p w14:paraId="5637F211" w14:textId="77777777" w:rsidR="00FC75A8" w:rsidRDefault="00000000">
      <w:pPr>
        <w:spacing w:after="160" w:line="259" w:lineRule="auto"/>
        <w:ind w:left="0" w:right="0" w:firstLine="0"/>
        <w:jc w:val="left"/>
        <w:rPr>
          <w:rFonts w:ascii="Avenir" w:eastAsia="Avenir" w:hAnsi="Avenir" w:cs="Avenir"/>
          <w:sz w:val="22"/>
          <w:szCs w:val="22"/>
        </w:rPr>
      </w:pPr>
      <w:r>
        <w:br w:type="page"/>
      </w:r>
    </w:p>
    <w:p w14:paraId="5637F212" w14:textId="66E06AA5" w:rsidR="00FC75A8" w:rsidRDefault="00000000" w:rsidP="00FE70AA">
      <w:pPr>
        <w:pStyle w:val="PIREDD1"/>
        <w:numPr>
          <w:ilvl w:val="0"/>
          <w:numId w:val="44"/>
        </w:numPr>
      </w:pPr>
      <w:bookmarkStart w:id="6" w:name="_Toc191317677"/>
      <w:r>
        <w:lastRenderedPageBreak/>
        <w:t>Résumé Exécutif</w:t>
      </w:r>
      <w:bookmarkEnd w:id="6"/>
      <w:r>
        <w:t xml:space="preserve"> </w:t>
      </w:r>
    </w:p>
    <w:tbl>
      <w:tblPr>
        <w:tblStyle w:val="a1"/>
        <w:tblW w:w="874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44"/>
      </w:tblGrid>
      <w:tr w:rsidR="00FC75A8" w14:paraId="5637F240" w14:textId="77777777">
        <w:tc>
          <w:tcPr>
            <w:tcW w:w="8744" w:type="dxa"/>
          </w:tcPr>
          <w:p w14:paraId="547366EF" w14:textId="77777777" w:rsidR="00D47142" w:rsidRPr="00DB6E6D" w:rsidRDefault="00D47142" w:rsidP="00D47142">
            <w:pPr>
              <w:pStyle w:val="Paragraphedeliste"/>
              <w:numPr>
                <w:ilvl w:val="0"/>
                <w:numId w:val="8"/>
              </w:numPr>
              <w:ind w:left="360"/>
              <w:jc w:val="both"/>
              <w:rPr>
                <w:sz w:val="20"/>
                <w:szCs w:val="20"/>
              </w:rPr>
            </w:pPr>
            <w:r w:rsidRPr="00DB6E6D">
              <w:rPr>
                <w:sz w:val="20"/>
                <w:szCs w:val="20"/>
              </w:rPr>
              <w:t xml:space="preserve">Le projet </w:t>
            </w:r>
            <w:r w:rsidRPr="00DB6E6D">
              <w:rPr>
                <w:b/>
                <w:bCs/>
                <w:sz w:val="20"/>
                <w:szCs w:val="20"/>
              </w:rPr>
              <w:t>PIREDD KORLOM</w:t>
            </w:r>
            <w:r w:rsidRPr="00DB6E6D">
              <w:rPr>
                <w:sz w:val="20"/>
                <w:szCs w:val="20"/>
              </w:rPr>
              <w:t xml:space="preserve"> (Programme Intégré REDD+ Kasaï Oriental et Lomami) est une initiative qui s'inscrit dans la Stratégie Nationale REDD+ de la RDC. Il émane des engagements renouvelés entre le Gouvernement de la RDC et </w:t>
            </w:r>
            <w:bookmarkStart w:id="7" w:name="_Hlk188999264"/>
            <w:r w:rsidRPr="00DB6E6D">
              <w:rPr>
                <w:sz w:val="20"/>
                <w:szCs w:val="20"/>
              </w:rPr>
              <w:t>l’Initiative pour la Forêt d’Afrique Centrale</w:t>
            </w:r>
            <w:bookmarkEnd w:id="7"/>
            <w:r w:rsidRPr="00DB6E6D">
              <w:rPr>
                <w:sz w:val="20"/>
                <w:szCs w:val="20"/>
              </w:rPr>
              <w:t xml:space="preserve"> (CAFI) avec Enabel comme organisation de mise en œuvre. Financé par le CAFI-FONAREDD, les résultats attendus de ce projet incluent l'amélioration de la gouvernance à travers la mise en place de cadres inclusifs à l'échelle provinciale et locale, l’élaboration et la mise en œuvre de plans d'aménagement du territoire, le développement de systèmes d'exploitation durable des forêts et des savanes et le développement de systèmes d’agriculture familiale et entrepreneuriale durables pour réduire la pression sur les forêts et les savanes.</w:t>
            </w:r>
          </w:p>
          <w:p w14:paraId="6A40BB95" w14:textId="77777777" w:rsidR="00D47142" w:rsidRPr="00DB6E6D" w:rsidRDefault="00D47142" w:rsidP="00D47142">
            <w:pPr>
              <w:jc w:val="both"/>
              <w:rPr>
                <w:iCs/>
                <w:sz w:val="16"/>
                <w:szCs w:val="16"/>
              </w:rPr>
            </w:pPr>
          </w:p>
          <w:p w14:paraId="50693E63" w14:textId="1D63F305" w:rsidR="00D47142" w:rsidRPr="00DB6E6D" w:rsidRDefault="00D47142" w:rsidP="00D47142">
            <w:pPr>
              <w:pStyle w:val="Paragraphedeliste"/>
              <w:numPr>
                <w:ilvl w:val="0"/>
                <w:numId w:val="8"/>
              </w:numPr>
              <w:ind w:left="360"/>
              <w:jc w:val="both"/>
              <w:rPr>
                <w:sz w:val="20"/>
                <w:szCs w:val="20"/>
              </w:rPr>
            </w:pPr>
            <w:r w:rsidRPr="00DB6E6D">
              <w:rPr>
                <w:sz w:val="20"/>
                <w:szCs w:val="20"/>
              </w:rPr>
              <w:t>Les deux provinces d’intervention du PIREDD KORLOM, issues du démembrement de l’ancienne province du Kasaï Oriental ont une superficie de 9 500 km</w:t>
            </w:r>
            <w:r w:rsidRPr="00DB6E6D">
              <w:rPr>
                <w:sz w:val="20"/>
                <w:szCs w:val="20"/>
                <w:vertAlign w:val="superscript"/>
              </w:rPr>
              <w:t>2</w:t>
            </w:r>
            <w:r w:rsidRPr="00DB6E6D">
              <w:rPr>
                <w:sz w:val="20"/>
                <w:szCs w:val="20"/>
              </w:rPr>
              <w:t xml:space="preserve"> pour le Kasaï Oriental et 56 500 km</w:t>
            </w:r>
            <w:r w:rsidRPr="00DB6E6D">
              <w:rPr>
                <w:sz w:val="20"/>
                <w:szCs w:val="20"/>
                <w:vertAlign w:val="superscript"/>
              </w:rPr>
              <w:t xml:space="preserve">2 </w:t>
            </w:r>
            <w:r w:rsidRPr="00DB6E6D">
              <w:rPr>
                <w:sz w:val="20"/>
                <w:szCs w:val="20"/>
              </w:rPr>
              <w:t>pour la Lomami. Le Kasaï Oriental compte 3</w:t>
            </w:r>
            <w:r w:rsidR="00C965A8">
              <w:rPr>
                <w:sz w:val="20"/>
                <w:szCs w:val="20"/>
              </w:rPr>
              <w:t>,</w:t>
            </w:r>
            <w:r w:rsidRPr="00DB6E6D">
              <w:rPr>
                <w:sz w:val="20"/>
                <w:szCs w:val="20"/>
              </w:rPr>
              <w:t>4 millions d’habitants, contre 2</w:t>
            </w:r>
            <w:r w:rsidR="00C965A8">
              <w:rPr>
                <w:sz w:val="20"/>
                <w:szCs w:val="20"/>
              </w:rPr>
              <w:t>,</w:t>
            </w:r>
            <w:r w:rsidRPr="00DB6E6D">
              <w:rPr>
                <w:sz w:val="20"/>
                <w:szCs w:val="20"/>
              </w:rPr>
              <w:t>8 millions d’habitants pour la Lomami.</w:t>
            </w:r>
            <w:r w:rsidRPr="00DB6E6D">
              <w:rPr>
                <w:rFonts w:eastAsia="Times New Roman"/>
                <w:sz w:val="20"/>
                <w:szCs w:val="20"/>
              </w:rPr>
              <w:t xml:space="preserve"> La proportion de la population vivant </w:t>
            </w:r>
            <w:r w:rsidRPr="00DB6E6D">
              <w:rPr>
                <w:sz w:val="20"/>
                <w:szCs w:val="20"/>
              </w:rPr>
              <w:t>avec moins de 1</w:t>
            </w:r>
            <w:r w:rsidR="00C965A8">
              <w:rPr>
                <w:sz w:val="20"/>
                <w:szCs w:val="20"/>
              </w:rPr>
              <w:t>,</w:t>
            </w:r>
            <w:r w:rsidRPr="00DB6E6D">
              <w:rPr>
                <w:sz w:val="20"/>
                <w:szCs w:val="20"/>
              </w:rPr>
              <w:t>9 $/jour, soit 505 $/an</w:t>
            </w:r>
            <w:r w:rsidR="00C965A8">
              <w:rPr>
                <w:sz w:val="20"/>
                <w:szCs w:val="20"/>
              </w:rPr>
              <w:t>,</w:t>
            </w:r>
            <w:r w:rsidRPr="00DB6E6D">
              <w:rPr>
                <w:sz w:val="20"/>
                <w:szCs w:val="20"/>
              </w:rPr>
              <w:t xml:space="preserve"> est de 92</w:t>
            </w:r>
            <w:r w:rsidR="00C965A8">
              <w:rPr>
                <w:sz w:val="20"/>
                <w:szCs w:val="20"/>
              </w:rPr>
              <w:t>,</w:t>
            </w:r>
            <w:r w:rsidRPr="00DB6E6D">
              <w:rPr>
                <w:sz w:val="20"/>
                <w:szCs w:val="20"/>
              </w:rPr>
              <w:t>1% au Kasaï Oriental et 91</w:t>
            </w:r>
            <w:r w:rsidR="00C965A8">
              <w:rPr>
                <w:sz w:val="20"/>
                <w:szCs w:val="20"/>
              </w:rPr>
              <w:t>,</w:t>
            </w:r>
            <w:r w:rsidRPr="00DB6E6D">
              <w:rPr>
                <w:sz w:val="20"/>
                <w:szCs w:val="20"/>
              </w:rPr>
              <w:t>3% dans la Lomami. L’agriculture constitue l’activité principale de ces deux provinces et est considérée comme un secteur prioritaire pour le développement provincial, même si elle reste pour le moment, principalement vivrière et destinée à l’autoconsommation. Les deux provinces présentent aussi des potentialités pastorales. On y rencontre aussi des activités d’exploitation artisanale de l’or. Dans les 20 dernières années, les deux provinces ont connu des pertes importantes de couvert végétale</w:t>
            </w:r>
            <w:r w:rsidR="003A574F">
              <w:rPr>
                <w:sz w:val="20"/>
                <w:szCs w:val="20"/>
              </w:rPr>
              <w:t xml:space="preserve"> </w:t>
            </w:r>
            <w:r w:rsidRPr="00DB6E6D">
              <w:rPr>
                <w:sz w:val="20"/>
                <w:szCs w:val="20"/>
              </w:rPr>
              <w:t>touchant aussi les forêts primaires humides. Le projet PIREDD KORLOM entend contribuer à réduire la déforestation et la dégradation des forêts en appuyant la planification de l’aménagement du territoire, la protection des ressources forestières, et en promouvant un développement agricole durable au bénéfice des populations et de l’environnement.</w:t>
            </w:r>
          </w:p>
          <w:p w14:paraId="708B2E15" w14:textId="77777777" w:rsidR="00D47142" w:rsidRPr="00DB6E6D" w:rsidRDefault="00D47142" w:rsidP="00D47142">
            <w:pPr>
              <w:jc w:val="both"/>
              <w:rPr>
                <w:iCs/>
                <w:sz w:val="16"/>
                <w:szCs w:val="16"/>
              </w:rPr>
            </w:pPr>
          </w:p>
          <w:p w14:paraId="2673DED5" w14:textId="2274992E" w:rsidR="00D47142" w:rsidRPr="00651BAF" w:rsidRDefault="00D47142" w:rsidP="00D47142">
            <w:pPr>
              <w:pStyle w:val="Paragraphedeliste"/>
              <w:numPr>
                <w:ilvl w:val="0"/>
                <w:numId w:val="8"/>
              </w:numPr>
              <w:ind w:left="360"/>
              <w:jc w:val="both"/>
              <w:rPr>
                <w:iCs/>
                <w:sz w:val="20"/>
                <w:szCs w:val="20"/>
              </w:rPr>
            </w:pPr>
            <w:r w:rsidRPr="00DB6E6D">
              <w:rPr>
                <w:iCs/>
                <w:sz w:val="20"/>
                <w:szCs w:val="20"/>
              </w:rPr>
              <w:t xml:space="preserve">Le démarrage de cette intervention est intervenu officiellement le 28 octobre 2024, date de réception par l’agence sur ses comptes de la première tranche de financement d’un montant de 10 000 000 USD. A la date du 31 décembre 2024, période couverte par ce rapport, outre le Chef de projet, l’Expert international forestier, deux Points focaux territoriaux et le personnel d’administration et des finances avaient aussi pris service au compte du projet. </w:t>
            </w:r>
            <w:r w:rsidR="00697AA8">
              <w:rPr>
                <w:iCs/>
                <w:sz w:val="20"/>
                <w:szCs w:val="20"/>
              </w:rPr>
              <w:t xml:space="preserve">A ce stade, les </w:t>
            </w:r>
            <w:r w:rsidRPr="00DB6E6D">
              <w:rPr>
                <w:iCs/>
                <w:sz w:val="20"/>
                <w:szCs w:val="20"/>
              </w:rPr>
              <w:t xml:space="preserve">bureaux de l’intervention à Mbuji-Mayi étaient contractualisés et </w:t>
            </w:r>
            <w:r w:rsidR="00697AA8">
              <w:rPr>
                <w:iCs/>
                <w:sz w:val="20"/>
                <w:szCs w:val="20"/>
              </w:rPr>
              <w:t xml:space="preserve">le processus d’identification </w:t>
            </w:r>
            <w:r w:rsidRPr="00DB6E6D">
              <w:rPr>
                <w:iCs/>
                <w:sz w:val="20"/>
                <w:szCs w:val="20"/>
              </w:rPr>
              <w:t xml:space="preserve">des antennes de </w:t>
            </w:r>
            <w:proofErr w:type="spellStart"/>
            <w:r w:rsidRPr="00DB6E6D">
              <w:rPr>
                <w:iCs/>
                <w:sz w:val="20"/>
                <w:szCs w:val="20"/>
              </w:rPr>
              <w:t>Mweneditu</w:t>
            </w:r>
            <w:proofErr w:type="spellEnd"/>
            <w:r>
              <w:rPr>
                <w:iCs/>
                <w:sz w:val="20"/>
                <w:szCs w:val="20"/>
              </w:rPr>
              <w:t xml:space="preserve"> et</w:t>
            </w:r>
            <w:r w:rsidRPr="00DB6E6D">
              <w:rPr>
                <w:iCs/>
                <w:sz w:val="20"/>
                <w:szCs w:val="20"/>
              </w:rPr>
              <w:t xml:space="preserve"> Kabinda avait démarré</w:t>
            </w:r>
            <w:r>
              <w:rPr>
                <w:iCs/>
                <w:sz w:val="20"/>
                <w:szCs w:val="20"/>
              </w:rPr>
              <w:t xml:space="preserve"> </w:t>
            </w:r>
            <w:r w:rsidRPr="00651BAF">
              <w:rPr>
                <w:iCs/>
                <w:sz w:val="20"/>
                <w:szCs w:val="20"/>
              </w:rPr>
              <w:t>(</w:t>
            </w:r>
            <w:r w:rsidR="00697AA8" w:rsidRPr="00697AA8">
              <w:rPr>
                <w:iCs/>
                <w:sz w:val="20"/>
                <w:szCs w:val="20"/>
              </w:rPr>
              <w:t xml:space="preserve">Le projet comporte un bureau dédié à </w:t>
            </w:r>
            <w:proofErr w:type="spellStart"/>
            <w:r w:rsidR="00697AA8" w:rsidRPr="00697AA8">
              <w:rPr>
                <w:iCs/>
                <w:sz w:val="20"/>
                <w:szCs w:val="20"/>
              </w:rPr>
              <w:t>Mbuji</w:t>
            </w:r>
            <w:proofErr w:type="spellEnd"/>
            <w:r w:rsidR="00697AA8" w:rsidRPr="00697AA8">
              <w:rPr>
                <w:iCs/>
                <w:sz w:val="20"/>
                <w:szCs w:val="20"/>
              </w:rPr>
              <w:t xml:space="preserve"> Mayi auquel s’ajoute 3 antennes, dont deux antennes dédiées PIREDD respectivement à </w:t>
            </w:r>
            <w:proofErr w:type="spellStart"/>
            <w:r w:rsidR="00697AA8" w:rsidRPr="00697AA8">
              <w:rPr>
                <w:iCs/>
                <w:sz w:val="20"/>
                <w:szCs w:val="20"/>
              </w:rPr>
              <w:t>Mweneditu</w:t>
            </w:r>
            <w:proofErr w:type="spellEnd"/>
            <w:r w:rsidR="00697AA8" w:rsidRPr="00697AA8">
              <w:rPr>
                <w:iCs/>
                <w:sz w:val="20"/>
                <w:szCs w:val="20"/>
              </w:rPr>
              <w:t xml:space="preserve"> et Kabinda et une antenne à </w:t>
            </w:r>
            <w:proofErr w:type="spellStart"/>
            <w:r w:rsidR="00697AA8" w:rsidRPr="00697AA8">
              <w:rPr>
                <w:iCs/>
                <w:sz w:val="20"/>
                <w:szCs w:val="20"/>
              </w:rPr>
              <w:t>Ngandajika</w:t>
            </w:r>
            <w:proofErr w:type="spellEnd"/>
            <w:r w:rsidR="00697AA8">
              <w:rPr>
                <w:iCs/>
                <w:sz w:val="20"/>
                <w:szCs w:val="20"/>
              </w:rPr>
              <w:t>,</w:t>
            </w:r>
            <w:r w:rsidR="00697AA8" w:rsidRPr="00697AA8">
              <w:rPr>
                <w:iCs/>
                <w:sz w:val="20"/>
                <w:szCs w:val="20"/>
              </w:rPr>
              <w:t xml:space="preserve"> mutualisée avec </w:t>
            </w:r>
            <w:proofErr w:type="spellStart"/>
            <w:r w:rsidR="00697AA8" w:rsidRPr="00697AA8">
              <w:rPr>
                <w:iCs/>
                <w:sz w:val="20"/>
                <w:szCs w:val="20"/>
              </w:rPr>
              <w:t>Enabel</w:t>
            </w:r>
            <w:proofErr w:type="spellEnd"/>
            <w:r w:rsidRPr="00651BAF">
              <w:rPr>
                <w:iCs/>
                <w:sz w:val="20"/>
                <w:szCs w:val="20"/>
              </w:rPr>
              <w:t>).</w:t>
            </w:r>
          </w:p>
          <w:p w14:paraId="463846F4" w14:textId="77777777" w:rsidR="00D47142" w:rsidRPr="00DB6E6D" w:rsidRDefault="00D47142" w:rsidP="00D47142">
            <w:pPr>
              <w:jc w:val="both"/>
              <w:rPr>
                <w:iCs/>
                <w:sz w:val="16"/>
                <w:szCs w:val="16"/>
              </w:rPr>
            </w:pPr>
          </w:p>
          <w:p w14:paraId="7806D39B" w14:textId="77777777" w:rsidR="00D47142" w:rsidRPr="00DB6E6D" w:rsidRDefault="00D47142" w:rsidP="00D47142">
            <w:pPr>
              <w:pStyle w:val="Paragraphedeliste"/>
              <w:numPr>
                <w:ilvl w:val="0"/>
                <w:numId w:val="8"/>
              </w:numPr>
              <w:ind w:left="360"/>
              <w:jc w:val="both"/>
              <w:rPr>
                <w:iCs/>
                <w:sz w:val="20"/>
                <w:szCs w:val="20"/>
              </w:rPr>
            </w:pPr>
            <w:r w:rsidRPr="00DB6E6D">
              <w:rPr>
                <w:iCs/>
                <w:sz w:val="20"/>
                <w:szCs w:val="20"/>
              </w:rPr>
              <w:t xml:space="preserve">Le recrutement des membres restant de l’équipe projet se poursuit en ce début d’année 2025. </w:t>
            </w:r>
          </w:p>
          <w:p w14:paraId="38F0E0C3" w14:textId="77777777" w:rsidR="00D47142" w:rsidRPr="00DB6E6D" w:rsidRDefault="00D47142" w:rsidP="00D47142">
            <w:pPr>
              <w:jc w:val="both"/>
              <w:rPr>
                <w:iCs/>
                <w:sz w:val="16"/>
                <w:szCs w:val="16"/>
              </w:rPr>
            </w:pPr>
          </w:p>
          <w:p w14:paraId="0BEB71A2" w14:textId="77777777" w:rsidR="00D47142" w:rsidRPr="00DB6E6D" w:rsidRDefault="00D47142" w:rsidP="00D47142">
            <w:pPr>
              <w:pStyle w:val="Paragraphedeliste"/>
              <w:numPr>
                <w:ilvl w:val="0"/>
                <w:numId w:val="8"/>
              </w:numPr>
              <w:ind w:left="360"/>
              <w:jc w:val="both"/>
              <w:rPr>
                <w:iCs/>
                <w:sz w:val="20"/>
                <w:szCs w:val="20"/>
              </w:rPr>
            </w:pPr>
            <w:r w:rsidRPr="00DB6E6D">
              <w:rPr>
                <w:iCs/>
                <w:sz w:val="20"/>
                <w:szCs w:val="20"/>
              </w:rPr>
              <w:t>Au cours du mois de décembre, l’équipe projet a effectué une mission dans les territoires cibles de la province de la Lomami pour approfondir sa connaissance du contexte des zones d’intervention, identifier des locaux pour les antennes du projet et prendre contact avec les autorités et acteurs dans ces zones afin de leur présenter le projet.</w:t>
            </w:r>
          </w:p>
          <w:p w14:paraId="627310B1" w14:textId="77777777" w:rsidR="00D47142" w:rsidRPr="00DB6E6D" w:rsidRDefault="00D47142" w:rsidP="00D47142">
            <w:pPr>
              <w:jc w:val="both"/>
              <w:rPr>
                <w:iCs/>
                <w:sz w:val="16"/>
                <w:szCs w:val="16"/>
              </w:rPr>
            </w:pPr>
          </w:p>
          <w:p w14:paraId="73544305" w14:textId="77777777" w:rsidR="00D47142" w:rsidRPr="00DB6E6D" w:rsidRDefault="00D47142" w:rsidP="00D47142">
            <w:pPr>
              <w:pStyle w:val="Paragraphedeliste"/>
              <w:numPr>
                <w:ilvl w:val="0"/>
                <w:numId w:val="8"/>
              </w:numPr>
              <w:ind w:left="360"/>
              <w:jc w:val="both"/>
              <w:rPr>
                <w:iCs/>
                <w:sz w:val="20"/>
                <w:szCs w:val="20"/>
              </w:rPr>
            </w:pPr>
            <w:r w:rsidRPr="00DB6E6D">
              <w:rPr>
                <w:iCs/>
                <w:sz w:val="20"/>
                <w:szCs w:val="20"/>
              </w:rPr>
              <w:t>En prévision de l’opérationnalisation des partenariats de mise en œuvre des activités du projet, l’évaluation organisationnelle des partenaires pré-identifiés dans le document du projet a démarré.</w:t>
            </w:r>
          </w:p>
          <w:p w14:paraId="029C062A" w14:textId="77777777" w:rsidR="00D47142" w:rsidRPr="00DB6E6D" w:rsidRDefault="00D47142" w:rsidP="00D47142">
            <w:pPr>
              <w:jc w:val="both"/>
              <w:rPr>
                <w:iCs/>
                <w:sz w:val="16"/>
                <w:szCs w:val="16"/>
              </w:rPr>
            </w:pPr>
          </w:p>
          <w:p w14:paraId="36A529BD" w14:textId="77777777" w:rsidR="00D47142" w:rsidRPr="00DB6E6D" w:rsidRDefault="00D47142" w:rsidP="00D47142">
            <w:pPr>
              <w:pStyle w:val="Paragraphedeliste"/>
              <w:numPr>
                <w:ilvl w:val="0"/>
                <w:numId w:val="8"/>
              </w:numPr>
              <w:ind w:left="360"/>
              <w:jc w:val="both"/>
              <w:rPr>
                <w:iCs/>
                <w:sz w:val="20"/>
                <w:szCs w:val="20"/>
              </w:rPr>
            </w:pPr>
            <w:r w:rsidRPr="00DB6E6D">
              <w:rPr>
                <w:iCs/>
                <w:sz w:val="20"/>
                <w:szCs w:val="20"/>
              </w:rPr>
              <w:t xml:space="preserve">L’une des activités clé que le projet a pu mener durant la période couverte par ce rapport est l’organisation de son Comité d’Orientation Stratégique (CORS). </w:t>
            </w:r>
            <w:bookmarkStart w:id="8" w:name="_Hlk190790263"/>
            <w:r w:rsidRPr="00DB6E6D">
              <w:rPr>
                <w:iCs/>
                <w:sz w:val="20"/>
                <w:szCs w:val="20"/>
              </w:rPr>
              <w:t>En effet, le projet étant mis en œuvre dans deux provinces, au-delà des comités de pilotage provinciaux qui font partie des organes de gouvernance du projet, il a aussi été institué le CORS comme une instance nationale de supervision et de décision de portée conjointe aux deux provinces. La première réunion du CORS de lancement du projet s’est tenue à Kinshasa le 10 décembre 2024.</w:t>
            </w:r>
          </w:p>
          <w:bookmarkEnd w:id="8"/>
          <w:p w14:paraId="793EFF24" w14:textId="77777777" w:rsidR="00D47142" w:rsidRPr="00DB6E6D" w:rsidRDefault="00D47142" w:rsidP="00D47142">
            <w:pPr>
              <w:jc w:val="both"/>
              <w:rPr>
                <w:iCs/>
                <w:sz w:val="16"/>
                <w:szCs w:val="16"/>
              </w:rPr>
            </w:pPr>
          </w:p>
          <w:p w14:paraId="00CF03DD" w14:textId="77777777" w:rsidR="00D47142" w:rsidRPr="00DB6E6D" w:rsidRDefault="00D47142" w:rsidP="00D47142">
            <w:pPr>
              <w:pStyle w:val="Paragraphedeliste"/>
              <w:numPr>
                <w:ilvl w:val="0"/>
                <w:numId w:val="8"/>
              </w:numPr>
              <w:ind w:left="360"/>
              <w:jc w:val="both"/>
              <w:rPr>
                <w:iCs/>
                <w:sz w:val="20"/>
                <w:szCs w:val="20"/>
              </w:rPr>
            </w:pPr>
            <w:r w:rsidRPr="00DB6E6D">
              <w:rPr>
                <w:iCs/>
                <w:sz w:val="20"/>
                <w:szCs w:val="20"/>
              </w:rPr>
              <w:t xml:space="preserve">Le CORS a, entre autres, (i) formellement adopté le plan de travail et budget annuel (PTBA) du PIREDD KORLOM, (ii) approuvé le budget et ses éléments de révision avec recommandation au FONAREDD de les porter au comité de revue des programmes (CRP) et au niveau des instances du CAFI pour approbation, (iii) élaboré des recommandations pour l’organisation des COPIL provinciaux et pour la </w:t>
            </w:r>
            <w:r w:rsidRPr="00DB6E6D">
              <w:rPr>
                <w:iCs/>
                <w:sz w:val="20"/>
                <w:szCs w:val="20"/>
              </w:rPr>
              <w:lastRenderedPageBreak/>
              <w:t>réussite du projet, incluant  une implication active de l’ensemble des acteurs dans la mise en œuvre de ce projet, dans une logique de dialogue permanent et inclusif, afin d’atteindre les résultats visés.</w:t>
            </w:r>
          </w:p>
          <w:p w14:paraId="20D3EB76" w14:textId="77777777" w:rsidR="00D47142" w:rsidRPr="00DB6E6D" w:rsidRDefault="00D47142" w:rsidP="00D47142">
            <w:pPr>
              <w:jc w:val="both"/>
              <w:rPr>
                <w:iCs/>
                <w:sz w:val="16"/>
                <w:szCs w:val="16"/>
              </w:rPr>
            </w:pPr>
          </w:p>
          <w:p w14:paraId="5637F23F" w14:textId="7CFCCDDB" w:rsidR="00FC75A8" w:rsidRDefault="00D47142" w:rsidP="006C7E56">
            <w:pPr>
              <w:pStyle w:val="Paragraphedeliste"/>
              <w:numPr>
                <w:ilvl w:val="0"/>
                <w:numId w:val="8"/>
              </w:numPr>
              <w:ind w:left="360"/>
              <w:rPr>
                <w:i/>
                <w:sz w:val="20"/>
                <w:szCs w:val="20"/>
              </w:rPr>
            </w:pPr>
            <w:r w:rsidRPr="00DB6E6D">
              <w:rPr>
                <w:iCs/>
                <w:sz w:val="20"/>
                <w:szCs w:val="20"/>
              </w:rPr>
              <w:t>Les comités de pilotage provinciaux du projet ont été programmés les 25 et 28 février 2025 respectivement pour les provinces du Kasai Oriental et de la Lomami.</w:t>
            </w:r>
          </w:p>
        </w:tc>
      </w:tr>
    </w:tbl>
    <w:p w14:paraId="5637F241" w14:textId="77777777" w:rsidR="00FC75A8" w:rsidRDefault="00FC75A8">
      <w:pPr>
        <w:pStyle w:val="Titre1"/>
        <w:ind w:left="360" w:hanging="360"/>
        <w:rPr>
          <w:rFonts w:ascii="Avenir" w:eastAsia="Avenir" w:hAnsi="Avenir" w:cs="Avenir"/>
        </w:rPr>
        <w:sectPr w:rsidR="00FC75A8">
          <w:headerReference w:type="default" r:id="rId15"/>
          <w:footerReference w:type="default" r:id="rId16"/>
          <w:headerReference w:type="first" r:id="rId17"/>
          <w:footerReference w:type="first" r:id="rId18"/>
          <w:pgSz w:w="11900" w:h="16840"/>
          <w:pgMar w:top="1560" w:right="1557" w:bottom="1493" w:left="1579" w:header="1020" w:footer="1115" w:gutter="0"/>
          <w:pgNumType w:start="1"/>
          <w:cols w:space="720"/>
          <w:titlePg/>
        </w:sectPr>
      </w:pPr>
    </w:p>
    <w:p w14:paraId="5637F242" w14:textId="0462A4CD" w:rsidR="00FC75A8" w:rsidRDefault="00FE70AA" w:rsidP="00FE70AA">
      <w:pPr>
        <w:pStyle w:val="PIREDD1"/>
      </w:pPr>
      <w:bookmarkStart w:id="9" w:name="_Toc191317678"/>
      <w:r>
        <w:lastRenderedPageBreak/>
        <w:t>3. Défis de mise en œuvre</w:t>
      </w:r>
      <w:bookmarkEnd w:id="9"/>
      <w:r>
        <w:t xml:space="preserve"> </w:t>
      </w:r>
    </w:p>
    <w:p w14:paraId="7DECD312" w14:textId="77777777" w:rsidR="006C7E56" w:rsidRPr="00DB6E6D" w:rsidRDefault="006C7E56" w:rsidP="00F516D7">
      <w:pPr>
        <w:pStyle w:val="Paragraphedeliste"/>
        <w:numPr>
          <w:ilvl w:val="0"/>
          <w:numId w:val="10"/>
        </w:numPr>
        <w:rPr>
          <w:rFonts w:ascii="Avenir" w:eastAsia="Avenir" w:hAnsi="Avenir" w:cs="Avenir"/>
          <w:iCs/>
          <w:sz w:val="20"/>
          <w:szCs w:val="20"/>
        </w:rPr>
      </w:pPr>
      <w:r w:rsidRPr="00DB6E6D">
        <w:rPr>
          <w:rFonts w:ascii="Avenir" w:eastAsia="Avenir" w:hAnsi="Avenir" w:cs="Avenir"/>
          <w:iCs/>
          <w:sz w:val="20"/>
          <w:szCs w:val="20"/>
        </w:rPr>
        <w:t>Le présent rapport couvre la période du 28 octobre 2024 au 31 Décembre 2024. Au cours de cette période restreinte, les activités mises en œuvre incluent principalement (i) des missions exploratoires dans les territoires visés dans chacune des 2 provinces ; (ii) l’identification des lieux d’implantation des antennes du projet (iii) le lancement  des processus d’acquisition des équipements logistiques (véhicules, motos, ordinateurs, mobiliers de bureaux) indispensables à la mise en œuvre du projet et (iv) la poursuite des recrutements de l’équipe projet (dont un certain nombre avaient été anticipés avant le démarrage effectif du projet).</w:t>
      </w:r>
    </w:p>
    <w:p w14:paraId="5637F243" w14:textId="016A4969" w:rsidR="00FC75A8" w:rsidRDefault="006C7E56" w:rsidP="00F516D7">
      <w:pPr>
        <w:pStyle w:val="Paragraphedeliste"/>
        <w:numPr>
          <w:ilvl w:val="0"/>
          <w:numId w:val="10"/>
        </w:numPr>
        <w:rPr>
          <w:rFonts w:ascii="Avenir" w:eastAsia="Avenir" w:hAnsi="Avenir" w:cs="Avenir"/>
          <w:i/>
          <w:sz w:val="20"/>
          <w:szCs w:val="20"/>
        </w:rPr>
      </w:pPr>
      <w:r w:rsidRPr="00DB6E6D">
        <w:rPr>
          <w:rFonts w:ascii="Avenir" w:eastAsia="Avenir" w:hAnsi="Avenir" w:cs="Avenir"/>
          <w:iCs/>
          <w:sz w:val="20"/>
          <w:szCs w:val="20"/>
        </w:rPr>
        <w:t>A ce stade, les principaux défis de mise en œuvre identifiés incluent le niveau avancé de dégradation des voies d’accès à certaines zones d’intervention, en particulier dans la province de la Lomami.</w:t>
      </w:r>
    </w:p>
    <w:p w14:paraId="5637F244" w14:textId="77777777" w:rsidR="00FC75A8" w:rsidRDefault="00FC75A8">
      <w:pPr>
        <w:rPr>
          <w:rFonts w:ascii="Avenir" w:eastAsia="Avenir" w:hAnsi="Avenir" w:cs="Avenir"/>
          <w:i/>
          <w:sz w:val="20"/>
          <w:szCs w:val="20"/>
        </w:rPr>
      </w:pPr>
    </w:p>
    <w:p w14:paraId="5637F245" w14:textId="77777777" w:rsidR="00FC75A8" w:rsidRDefault="00000000" w:rsidP="00FE70AA">
      <w:pPr>
        <w:pStyle w:val="PIREDD2"/>
      </w:pPr>
      <w:bookmarkStart w:id="10" w:name="_Toc191317679"/>
      <w:r>
        <w:t>3.1 Défis liés au contexte du pays</w:t>
      </w:r>
      <w:bookmarkEnd w:id="10"/>
    </w:p>
    <w:p w14:paraId="00C2EC40" w14:textId="4484C540" w:rsidR="006C7E56" w:rsidRPr="00DB6E6D" w:rsidRDefault="006C7E56" w:rsidP="00F516D7">
      <w:pPr>
        <w:pStyle w:val="Paragraphedeliste"/>
        <w:numPr>
          <w:ilvl w:val="0"/>
          <w:numId w:val="10"/>
        </w:numPr>
        <w:rPr>
          <w:rFonts w:ascii="Avenir" w:eastAsia="Avenir" w:hAnsi="Avenir" w:cs="Avenir"/>
          <w:sz w:val="20"/>
          <w:szCs w:val="20"/>
        </w:rPr>
      </w:pPr>
      <w:r w:rsidRPr="006C7E56">
        <w:rPr>
          <w:rFonts w:ascii="Avenir" w:eastAsia="Avenir" w:hAnsi="Avenir" w:cs="Avenir"/>
          <w:sz w:val="20"/>
          <w:szCs w:val="20"/>
        </w:rPr>
        <w:t xml:space="preserve">Même si le pays connait des troubles socio-politiques dans certaines provinces, les zones d’intervention du PIREDD KORLOM sont dans l’ensemble relativement calmes et stables actuellement. </w:t>
      </w:r>
      <w:r w:rsidRPr="006C7E56">
        <w:rPr>
          <w:rFonts w:ascii="Avenir" w:hAnsi="Avenir"/>
          <w:color w:val="auto"/>
          <w:sz w:val="20"/>
          <w:szCs w:val="20"/>
        </w:rPr>
        <w:t xml:space="preserve">Sur le plan politique, les provinces du Kasaï oriental et Lomami ont connu plusieurs changements avec un remaniement du pouvoir exécutif provincial (Gouverneur et ministres provinciaux) au cours de la période 2023-2024. Les deux nouveaux </w:t>
      </w:r>
      <w:r w:rsidRPr="006C7E56">
        <w:rPr>
          <w:rFonts w:ascii="Avenir" w:hAnsi="Avenir"/>
          <w:color w:val="auto"/>
          <w:sz w:val="20"/>
          <w:szCs w:val="20"/>
          <w:lang w:val="fr-FR"/>
        </w:rPr>
        <w:t xml:space="preserve">gouvernements provinciaux ont été investis dans les deux provinces en juin-juillet 2024, avec de nouvelles </w:t>
      </w:r>
      <w:r w:rsidRPr="006C7E56">
        <w:rPr>
          <w:rFonts w:ascii="Avenir" w:hAnsi="Avenir"/>
        </w:rPr>
        <w:t>équipes de l’exécutif provincial</w:t>
      </w:r>
      <w:r w:rsidRPr="006C7E56">
        <w:rPr>
          <w:rFonts w:ascii="Avenir" w:hAnsi="Avenir"/>
          <w:color w:val="auto"/>
          <w:sz w:val="20"/>
          <w:szCs w:val="20"/>
          <w:lang w:val="fr-FR"/>
        </w:rPr>
        <w:t xml:space="preserve"> au Kasaï oriental et la Lomami. Sur le plan social, </w:t>
      </w:r>
      <w:r w:rsidRPr="006C7E56">
        <w:rPr>
          <w:rFonts w:ascii="Avenir" w:eastAsia="Avenir" w:hAnsi="Avenir" w:cs="Avenir"/>
          <w:sz w:val="20"/>
          <w:szCs w:val="20"/>
        </w:rPr>
        <w:t xml:space="preserve">des conflits récurrents opposent les populations des groupements de </w:t>
      </w:r>
      <w:proofErr w:type="spellStart"/>
      <w:r w:rsidRPr="006C7E56">
        <w:rPr>
          <w:rFonts w:ascii="Avenir" w:eastAsia="Avenir" w:hAnsi="Avenir" w:cs="Avenir"/>
          <w:sz w:val="20"/>
          <w:szCs w:val="20"/>
        </w:rPr>
        <w:t>Nshimba</w:t>
      </w:r>
      <w:proofErr w:type="spellEnd"/>
      <w:r w:rsidRPr="006C7E56">
        <w:rPr>
          <w:rFonts w:ascii="Avenir" w:eastAsia="Avenir" w:hAnsi="Avenir" w:cs="Avenir"/>
          <w:sz w:val="20"/>
          <w:szCs w:val="20"/>
        </w:rPr>
        <w:t xml:space="preserve">, </w:t>
      </w:r>
      <w:proofErr w:type="spellStart"/>
      <w:r w:rsidRPr="006C7E56">
        <w:rPr>
          <w:rFonts w:ascii="Avenir" w:eastAsia="Avenir" w:hAnsi="Avenir" w:cs="Avenir"/>
          <w:sz w:val="20"/>
          <w:szCs w:val="20"/>
        </w:rPr>
        <w:t>Kahuya</w:t>
      </w:r>
      <w:proofErr w:type="spellEnd"/>
      <w:r w:rsidRPr="006C7E56">
        <w:rPr>
          <w:rFonts w:ascii="Avenir" w:eastAsia="Avenir" w:hAnsi="Avenir" w:cs="Avenir"/>
          <w:sz w:val="20"/>
          <w:szCs w:val="20"/>
        </w:rPr>
        <w:t xml:space="preserve"> et </w:t>
      </w:r>
      <w:proofErr w:type="spellStart"/>
      <w:r w:rsidRPr="006C7E56">
        <w:rPr>
          <w:rFonts w:ascii="Avenir" w:eastAsia="Avenir" w:hAnsi="Avenir" w:cs="Avenir"/>
          <w:sz w:val="20"/>
          <w:szCs w:val="20"/>
        </w:rPr>
        <w:t>Muembia</w:t>
      </w:r>
      <w:proofErr w:type="spellEnd"/>
      <w:r w:rsidRPr="006C7E56">
        <w:rPr>
          <w:rFonts w:ascii="Avenir" w:eastAsia="Avenir" w:hAnsi="Avenir" w:cs="Avenir"/>
          <w:sz w:val="20"/>
          <w:szCs w:val="20"/>
        </w:rPr>
        <w:t xml:space="preserve"> dans un des territoires ciblés par le projet dans la province du Kasai Oriental (Katanda). Ces conflits, à l’origine liés à l’exploitation des ressources naturelles et à l’accès au foncier, perdurent depuis plusieurs décennies avec comme conséquences plusieurs centaines de morts malgré la volonté et les actions entreprises par les gouvernements provinciaux. Sur le plan des infrastructures, la province de la Lomami</w:t>
      </w:r>
      <w:r w:rsidRPr="00DB6E6D">
        <w:rPr>
          <w:rFonts w:ascii="Avenir" w:eastAsia="Avenir" w:hAnsi="Avenir" w:cs="Avenir"/>
          <w:sz w:val="20"/>
          <w:szCs w:val="20"/>
        </w:rPr>
        <w:t xml:space="preserve"> connait un véritable enclavement lié à une forte dégradation des routes et qui sont difficilement praticables surtout pendant la saison de la pluie. </w:t>
      </w:r>
    </w:p>
    <w:p w14:paraId="5637F246" w14:textId="77777777" w:rsidR="00FC75A8" w:rsidRDefault="00FC75A8">
      <w:pPr>
        <w:rPr>
          <w:rFonts w:ascii="Avenir" w:eastAsia="Avenir" w:hAnsi="Avenir" w:cs="Avenir"/>
          <w:sz w:val="22"/>
          <w:szCs w:val="22"/>
        </w:rPr>
      </w:pPr>
    </w:p>
    <w:p w14:paraId="5637F247" w14:textId="77777777" w:rsidR="00FC75A8" w:rsidRDefault="00000000" w:rsidP="00FE70AA">
      <w:pPr>
        <w:pStyle w:val="PIREDD2"/>
      </w:pPr>
      <w:bookmarkStart w:id="11" w:name="_Toc191317680"/>
      <w:r>
        <w:t>3.2 Défis inhérents au projet</w:t>
      </w:r>
      <w:bookmarkEnd w:id="11"/>
    </w:p>
    <w:p w14:paraId="5637F248" w14:textId="5D2E9D5A" w:rsidR="00FC75A8" w:rsidRDefault="006C7E56" w:rsidP="00F516D7">
      <w:pPr>
        <w:pStyle w:val="Paragraphedeliste"/>
        <w:numPr>
          <w:ilvl w:val="0"/>
          <w:numId w:val="10"/>
        </w:numPr>
        <w:rPr>
          <w:rFonts w:ascii="Avenir" w:eastAsia="Avenir" w:hAnsi="Avenir" w:cs="Avenir"/>
          <w:sz w:val="22"/>
          <w:szCs w:val="22"/>
        </w:rPr>
      </w:pPr>
      <w:r w:rsidRPr="006C7E56">
        <w:rPr>
          <w:rFonts w:ascii="Avenir" w:eastAsia="Avenir" w:hAnsi="Avenir" w:cs="Avenir"/>
          <w:sz w:val="20"/>
          <w:szCs w:val="20"/>
        </w:rPr>
        <w:t xml:space="preserve">Les activités et approches du projet (création des </w:t>
      </w:r>
      <w:proofErr w:type="spellStart"/>
      <w:r w:rsidRPr="006C7E56">
        <w:rPr>
          <w:rFonts w:ascii="Avenir" w:eastAsia="Avenir" w:hAnsi="Avenir" w:cs="Avenir"/>
          <w:sz w:val="20"/>
          <w:szCs w:val="20"/>
        </w:rPr>
        <w:t>CLDs</w:t>
      </w:r>
      <w:proofErr w:type="spellEnd"/>
      <w:r w:rsidRPr="006C7E56">
        <w:rPr>
          <w:rFonts w:ascii="Avenir" w:eastAsia="Avenir" w:hAnsi="Avenir" w:cs="Avenir"/>
          <w:sz w:val="20"/>
          <w:szCs w:val="20"/>
        </w:rPr>
        <w:t xml:space="preserve">, élaboration des PSAT, les mécanismes PSE, etc.) nécessitent la participation et l’engagement de tous les acteurs à tous les niveaux, ce qui nécessitera des actions de renforcement pour la plupart d’entre eux qui ne sont pas familiers avec ces mécanismes. Tel que prévu dans le projet, l’équipe, en collaboration avec les partenaires, devra s’investir dans un travail profond d’information et de sensibilisation (animation régulière) pour s’assurer de l’engagement et de la participation actives des parties prenantes du projet, tenant compte des groupes de genre et des peuples autochtones. De plus, </w:t>
      </w:r>
      <w:r w:rsidRPr="006C7E56">
        <w:rPr>
          <w:rFonts w:ascii="Avenir" w:hAnsi="Avenir"/>
          <w:color w:val="auto"/>
          <w:sz w:val="20"/>
          <w:szCs w:val="20"/>
          <w:lang w:val="fr-FR"/>
        </w:rPr>
        <w:t xml:space="preserve">de nouvelles </w:t>
      </w:r>
      <w:r w:rsidRPr="006C7E56">
        <w:rPr>
          <w:rFonts w:ascii="Avenir" w:hAnsi="Avenir"/>
        </w:rPr>
        <w:t>équipes de l’exécutif provincial dans les deux provinces ont été investis</w:t>
      </w:r>
      <w:r w:rsidRPr="00DB6E6D">
        <w:rPr>
          <w:rFonts w:ascii="Avenir" w:hAnsi="Avenir"/>
        </w:rPr>
        <w:t xml:space="preserve"> et devront porter les actions du gouvernement provincial.</w:t>
      </w:r>
    </w:p>
    <w:p w14:paraId="5637F249" w14:textId="77777777" w:rsidR="00FC75A8" w:rsidRDefault="00000000" w:rsidP="00FE70AA">
      <w:pPr>
        <w:pStyle w:val="PIREDD2"/>
      </w:pPr>
      <w:bookmarkStart w:id="12" w:name="_Toc191317681"/>
      <w:r>
        <w:t>3.3 Commentaires</w:t>
      </w:r>
      <w:bookmarkEnd w:id="12"/>
    </w:p>
    <w:p w14:paraId="5637F24A" w14:textId="3097DF71" w:rsidR="00FC75A8" w:rsidRPr="006C7E56" w:rsidRDefault="006C7E56" w:rsidP="00F516D7">
      <w:pPr>
        <w:pStyle w:val="Paragraphedeliste"/>
        <w:numPr>
          <w:ilvl w:val="0"/>
          <w:numId w:val="10"/>
        </w:numPr>
        <w:rPr>
          <w:rFonts w:ascii="Avenir" w:eastAsia="Avenir" w:hAnsi="Avenir" w:cs="Avenir"/>
          <w:bCs/>
          <w:sz w:val="20"/>
          <w:szCs w:val="20"/>
        </w:rPr>
      </w:pPr>
      <w:r w:rsidRPr="006C7E56">
        <w:rPr>
          <w:rFonts w:ascii="Avenir" w:eastAsia="Avenir" w:hAnsi="Avenir" w:cs="Avenir"/>
          <w:bCs/>
          <w:sz w:val="20"/>
          <w:szCs w:val="20"/>
        </w:rPr>
        <w:t xml:space="preserve">Une gestion adéquate des défis mentionnés ci-dessus permettra de s’assurer du bon déroulement de l’intervention dans les délais prévus. S’agissant d’un projet mis en œuvre sur deux provinces, et pour faciliter les flux d’information entre le niveau provincial et le niveau national, une instance de gouvernance et </w:t>
      </w:r>
      <w:r w:rsidRPr="006C7E56">
        <w:rPr>
          <w:rFonts w:ascii="Avenir" w:eastAsia="Avenir" w:hAnsi="Avenir" w:cs="Avenir"/>
          <w:bCs/>
          <w:sz w:val="20"/>
          <w:szCs w:val="20"/>
        </w:rPr>
        <w:lastRenderedPageBreak/>
        <w:t>décisionnelle additionnelle aux COPILs provinciaux dénommée « comité d’orientation stratégique » CORS a été mise en place, comme prévu dans le PRODOC. Cette instance décisionnelle de niveau central comprend, outre le CAFI, le FONAREDD, Enabel : (i) des représentants du gouvernement de la RDC mandatés par le Ministre des Finances et le Ministre de l’Environnement, (ii) les gouverneurs des provinces concernées ou leurs représentants mandatés et (iii) le GTCRR national au titre des bénéficiaires. La première réunion de ce comité a été organisée à Kinshasa le 10 décembre 2024, marquant le lancement officiel du projet.</w:t>
      </w:r>
    </w:p>
    <w:p w14:paraId="5637F24B" w14:textId="41E89E9A" w:rsidR="00FC75A8" w:rsidRPr="00F516D7" w:rsidRDefault="00FE70AA" w:rsidP="00FE70AA">
      <w:pPr>
        <w:pStyle w:val="PIREDD1"/>
      </w:pPr>
      <w:bookmarkStart w:id="13" w:name="_Toc191317682"/>
      <w:r>
        <w:t xml:space="preserve">4. </w:t>
      </w:r>
      <w:r w:rsidRPr="00F516D7">
        <w:t>Etat d’avancement du projet sur base des indicateurs du cadre logique</w:t>
      </w:r>
      <w:bookmarkEnd w:id="13"/>
    </w:p>
    <w:p w14:paraId="5637F24F" w14:textId="31290C01" w:rsidR="00FC75A8" w:rsidRDefault="00FC75A8">
      <w:pPr>
        <w:spacing w:line="240" w:lineRule="auto"/>
        <w:rPr>
          <w:rFonts w:ascii="Avenir" w:eastAsia="Avenir" w:hAnsi="Avenir" w:cs="Avenir"/>
          <w:i/>
          <w:sz w:val="20"/>
          <w:szCs w:val="20"/>
        </w:rPr>
      </w:pPr>
    </w:p>
    <w:tbl>
      <w:tblPr>
        <w:tblStyle w:val="a2"/>
        <w:tblpPr w:leftFromText="141" w:rightFromText="141" w:vertAnchor="text" w:tblpY="1"/>
        <w:tblOverlap w:val="never"/>
        <w:tblW w:w="13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3"/>
        <w:gridCol w:w="3117"/>
        <w:gridCol w:w="1134"/>
        <w:gridCol w:w="1419"/>
        <w:gridCol w:w="1274"/>
        <w:gridCol w:w="2329"/>
      </w:tblGrid>
      <w:tr w:rsidR="006C7E56" w:rsidRPr="00DB6E6D" w14:paraId="47834BA3" w14:textId="77777777" w:rsidTr="00F30E80">
        <w:trPr>
          <w:trHeight w:val="20"/>
          <w:tblHeader/>
        </w:trPr>
        <w:tc>
          <w:tcPr>
            <w:tcW w:w="4113" w:type="dxa"/>
            <w:tcBorders>
              <w:top w:val="nil"/>
              <w:left w:val="nil"/>
              <w:bottom w:val="single" w:sz="4" w:space="0" w:color="000000"/>
              <w:right w:val="nil"/>
            </w:tcBorders>
            <w:shd w:val="clear" w:color="auto" w:fill="FFFFFF"/>
          </w:tcPr>
          <w:p w14:paraId="4598450E" w14:textId="77777777" w:rsidR="006C7E56" w:rsidRPr="00DB6E6D" w:rsidRDefault="006C7E56" w:rsidP="00F30E80">
            <w:pPr>
              <w:rPr>
                <w:rFonts w:ascii="Avenir" w:eastAsia="Avenir" w:hAnsi="Avenir" w:cs="Avenir"/>
                <w:b/>
                <w:sz w:val="16"/>
                <w:szCs w:val="16"/>
              </w:rPr>
            </w:pPr>
          </w:p>
        </w:tc>
        <w:tc>
          <w:tcPr>
            <w:tcW w:w="3117" w:type="dxa"/>
            <w:tcBorders>
              <w:top w:val="nil"/>
              <w:left w:val="nil"/>
              <w:bottom w:val="single" w:sz="4" w:space="0" w:color="000000"/>
              <w:right w:val="nil"/>
            </w:tcBorders>
            <w:shd w:val="clear" w:color="auto" w:fill="FFFFFF"/>
          </w:tcPr>
          <w:p w14:paraId="7D9E1228" w14:textId="77777777" w:rsidR="006C7E56" w:rsidRPr="00DB6E6D" w:rsidRDefault="006C7E56" w:rsidP="00F30E80">
            <w:pPr>
              <w:rPr>
                <w:rFonts w:ascii="Avenir" w:eastAsia="Avenir" w:hAnsi="Avenir" w:cs="Avenir"/>
                <w:sz w:val="16"/>
                <w:szCs w:val="16"/>
              </w:rPr>
            </w:pPr>
          </w:p>
        </w:tc>
        <w:tc>
          <w:tcPr>
            <w:tcW w:w="1134" w:type="dxa"/>
            <w:tcBorders>
              <w:top w:val="nil"/>
              <w:left w:val="nil"/>
              <w:bottom w:val="single" w:sz="4" w:space="0" w:color="000000"/>
              <w:right w:val="single" w:sz="4" w:space="0" w:color="000000"/>
            </w:tcBorders>
            <w:shd w:val="clear" w:color="auto" w:fill="auto"/>
          </w:tcPr>
          <w:p w14:paraId="342B9433" w14:textId="77777777" w:rsidR="006C7E56" w:rsidRPr="00DB6E6D" w:rsidRDefault="006C7E56" w:rsidP="00F30E80">
            <w:pPr>
              <w:jc w:val="center"/>
              <w:rPr>
                <w:rFonts w:ascii="Avenir" w:eastAsia="Avenir" w:hAnsi="Avenir" w:cs="Avenir"/>
                <w:sz w:val="16"/>
                <w:szCs w:val="16"/>
              </w:rPr>
            </w:pPr>
          </w:p>
        </w:tc>
        <w:tc>
          <w:tcPr>
            <w:tcW w:w="1419" w:type="dxa"/>
            <w:tcBorders>
              <w:left w:val="single" w:sz="4" w:space="0" w:color="000000"/>
              <w:right w:val="single" w:sz="4" w:space="0" w:color="000000"/>
            </w:tcBorders>
            <w:shd w:val="clear" w:color="auto" w:fill="EDF2DA"/>
          </w:tcPr>
          <w:p w14:paraId="06E13230" w14:textId="77777777" w:rsidR="006C7E56" w:rsidRPr="00DB6E6D" w:rsidRDefault="006C7E56" w:rsidP="00F30E80">
            <w:pPr>
              <w:jc w:val="center"/>
              <w:rPr>
                <w:rFonts w:ascii="Avenir" w:eastAsia="Avenir" w:hAnsi="Avenir" w:cs="Avenir"/>
                <w:sz w:val="16"/>
                <w:szCs w:val="16"/>
              </w:rPr>
            </w:pPr>
            <w:r w:rsidRPr="00DB6E6D">
              <w:rPr>
                <w:rFonts w:ascii="Avenir" w:eastAsia="Avenir" w:hAnsi="Avenir" w:cs="Avenir"/>
                <w:sz w:val="16"/>
                <w:szCs w:val="16"/>
              </w:rPr>
              <w:t>Résultats</w:t>
            </w:r>
          </w:p>
        </w:tc>
        <w:tc>
          <w:tcPr>
            <w:tcW w:w="1274" w:type="dxa"/>
            <w:tcBorders>
              <w:top w:val="nil"/>
              <w:left w:val="single" w:sz="4" w:space="0" w:color="000000"/>
              <w:bottom w:val="single" w:sz="4" w:space="0" w:color="000000"/>
              <w:right w:val="nil"/>
            </w:tcBorders>
            <w:shd w:val="clear" w:color="auto" w:fill="FFFFFF"/>
          </w:tcPr>
          <w:p w14:paraId="084EFDC2" w14:textId="77777777" w:rsidR="006C7E56" w:rsidRPr="00DB6E6D" w:rsidRDefault="006C7E56" w:rsidP="00F30E80">
            <w:pPr>
              <w:jc w:val="center"/>
              <w:rPr>
                <w:rFonts w:ascii="Avenir" w:eastAsia="Avenir" w:hAnsi="Avenir" w:cs="Avenir"/>
                <w:sz w:val="16"/>
                <w:szCs w:val="16"/>
              </w:rPr>
            </w:pPr>
          </w:p>
        </w:tc>
        <w:tc>
          <w:tcPr>
            <w:tcW w:w="2329" w:type="dxa"/>
            <w:tcBorders>
              <w:top w:val="nil"/>
              <w:left w:val="nil"/>
              <w:bottom w:val="single" w:sz="4" w:space="0" w:color="000000"/>
              <w:right w:val="nil"/>
            </w:tcBorders>
            <w:shd w:val="clear" w:color="auto" w:fill="FFFFFF"/>
          </w:tcPr>
          <w:p w14:paraId="5969B64B" w14:textId="77777777" w:rsidR="006C7E56" w:rsidRPr="00DB6E6D" w:rsidRDefault="006C7E56" w:rsidP="00F30E80">
            <w:pPr>
              <w:jc w:val="center"/>
              <w:rPr>
                <w:rFonts w:ascii="Avenir" w:eastAsia="Avenir" w:hAnsi="Avenir" w:cs="Avenir"/>
                <w:sz w:val="16"/>
                <w:szCs w:val="16"/>
              </w:rPr>
            </w:pPr>
          </w:p>
        </w:tc>
      </w:tr>
      <w:tr w:rsidR="006C7E56" w:rsidRPr="00DB6E6D" w14:paraId="0783A412" w14:textId="77777777" w:rsidTr="00F30E80">
        <w:trPr>
          <w:trHeight w:val="20"/>
          <w:tblHeader/>
        </w:trPr>
        <w:tc>
          <w:tcPr>
            <w:tcW w:w="4113" w:type="dxa"/>
            <w:tcBorders>
              <w:top w:val="single" w:sz="4" w:space="0" w:color="000000"/>
            </w:tcBorders>
            <w:shd w:val="clear" w:color="auto" w:fill="DDEBF7"/>
          </w:tcPr>
          <w:p w14:paraId="12F997BD" w14:textId="77777777" w:rsidR="006C7E56" w:rsidRPr="00DB6E6D" w:rsidRDefault="006C7E56" w:rsidP="00F30E80">
            <w:pPr>
              <w:rPr>
                <w:rFonts w:ascii="Avenir" w:eastAsia="Avenir" w:hAnsi="Avenir" w:cs="Avenir"/>
                <w:b/>
                <w:sz w:val="16"/>
                <w:szCs w:val="16"/>
              </w:rPr>
            </w:pPr>
            <w:r w:rsidRPr="00DB6E6D">
              <w:rPr>
                <w:rFonts w:ascii="Avenir" w:eastAsia="Avenir" w:hAnsi="Avenir" w:cs="Avenir"/>
                <w:b/>
                <w:sz w:val="16"/>
                <w:szCs w:val="16"/>
              </w:rPr>
              <w:t>Produits</w:t>
            </w:r>
          </w:p>
        </w:tc>
        <w:tc>
          <w:tcPr>
            <w:tcW w:w="3117" w:type="dxa"/>
            <w:tcBorders>
              <w:top w:val="single" w:sz="4" w:space="0" w:color="000000"/>
            </w:tcBorders>
            <w:shd w:val="clear" w:color="auto" w:fill="DDEBF7"/>
          </w:tcPr>
          <w:p w14:paraId="0C3EFA3E"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Indicateurs</w:t>
            </w:r>
          </w:p>
        </w:tc>
        <w:tc>
          <w:tcPr>
            <w:tcW w:w="1134" w:type="dxa"/>
            <w:tcBorders>
              <w:top w:val="single" w:sz="4" w:space="0" w:color="000000"/>
            </w:tcBorders>
            <w:shd w:val="clear" w:color="auto" w:fill="E3F1ED"/>
          </w:tcPr>
          <w:p w14:paraId="6712C20F" w14:textId="77777777" w:rsidR="006C7E56" w:rsidRPr="00DB6E6D" w:rsidRDefault="006C7E56" w:rsidP="00F30E80">
            <w:pPr>
              <w:jc w:val="center"/>
              <w:rPr>
                <w:rFonts w:ascii="Avenir" w:eastAsia="Avenir" w:hAnsi="Avenir" w:cs="Avenir"/>
                <w:sz w:val="16"/>
                <w:szCs w:val="16"/>
              </w:rPr>
            </w:pPr>
            <w:r w:rsidRPr="00DB6E6D">
              <w:rPr>
                <w:rFonts w:ascii="Avenir" w:eastAsia="Avenir" w:hAnsi="Avenir" w:cs="Avenir"/>
                <w:sz w:val="16"/>
                <w:szCs w:val="16"/>
              </w:rPr>
              <w:t>Cibles Année 1</w:t>
            </w:r>
          </w:p>
        </w:tc>
        <w:tc>
          <w:tcPr>
            <w:tcW w:w="1419" w:type="dxa"/>
            <w:shd w:val="clear" w:color="auto" w:fill="EDF2DA"/>
          </w:tcPr>
          <w:p w14:paraId="55ABB9BA" w14:textId="77777777" w:rsidR="006C7E56" w:rsidRPr="00DB6E6D" w:rsidRDefault="006C7E56" w:rsidP="00F30E80">
            <w:pPr>
              <w:jc w:val="center"/>
              <w:rPr>
                <w:rFonts w:ascii="Avenir" w:eastAsia="Avenir" w:hAnsi="Avenir" w:cs="Avenir"/>
                <w:sz w:val="16"/>
                <w:szCs w:val="16"/>
              </w:rPr>
            </w:pPr>
            <w:r w:rsidRPr="00DB6E6D">
              <w:rPr>
                <w:rFonts w:ascii="Avenir" w:eastAsia="Avenir" w:hAnsi="Avenir" w:cs="Avenir"/>
                <w:sz w:val="16"/>
                <w:szCs w:val="16"/>
              </w:rPr>
              <w:t>Valeur au 31/12 (en cumulatif)</w:t>
            </w:r>
          </w:p>
        </w:tc>
        <w:tc>
          <w:tcPr>
            <w:tcW w:w="1274" w:type="dxa"/>
            <w:tcBorders>
              <w:top w:val="single" w:sz="4" w:space="0" w:color="000000"/>
            </w:tcBorders>
            <w:shd w:val="clear" w:color="auto" w:fill="E4F4DF"/>
          </w:tcPr>
          <w:p w14:paraId="3800ED36" w14:textId="77777777" w:rsidR="006C7E56" w:rsidRPr="00DB6E6D" w:rsidRDefault="006C7E56" w:rsidP="00F30E80">
            <w:pPr>
              <w:jc w:val="center"/>
              <w:rPr>
                <w:rFonts w:ascii="Avenir" w:eastAsia="Avenir" w:hAnsi="Avenir" w:cs="Avenir"/>
                <w:sz w:val="16"/>
                <w:szCs w:val="16"/>
              </w:rPr>
            </w:pPr>
            <w:r w:rsidRPr="00DB6E6D">
              <w:rPr>
                <w:rFonts w:ascii="Avenir" w:eastAsia="Avenir" w:hAnsi="Avenir" w:cs="Avenir"/>
                <w:sz w:val="16"/>
                <w:szCs w:val="16"/>
              </w:rPr>
              <w:t>Pourcentage d’achèvement de l’indicateur</w:t>
            </w:r>
          </w:p>
        </w:tc>
        <w:tc>
          <w:tcPr>
            <w:tcW w:w="2329" w:type="dxa"/>
            <w:tcBorders>
              <w:top w:val="single" w:sz="4" w:space="0" w:color="000000"/>
            </w:tcBorders>
            <w:shd w:val="clear" w:color="auto" w:fill="E7E6E6"/>
          </w:tcPr>
          <w:p w14:paraId="169905E3" w14:textId="77777777" w:rsidR="006C7E56" w:rsidRPr="00DB6E6D" w:rsidRDefault="006C7E56" w:rsidP="00F30E80">
            <w:pPr>
              <w:jc w:val="center"/>
              <w:rPr>
                <w:rFonts w:ascii="Avenir" w:eastAsia="Avenir" w:hAnsi="Avenir" w:cs="Avenir"/>
                <w:sz w:val="16"/>
                <w:szCs w:val="16"/>
              </w:rPr>
            </w:pPr>
            <w:r w:rsidRPr="00DB6E6D">
              <w:rPr>
                <w:rFonts w:ascii="Avenir" w:eastAsia="Avenir" w:hAnsi="Avenir" w:cs="Avenir"/>
                <w:sz w:val="16"/>
                <w:szCs w:val="16"/>
              </w:rPr>
              <w:t>Commentaires</w:t>
            </w:r>
          </w:p>
        </w:tc>
      </w:tr>
      <w:tr w:rsidR="006C7E56" w:rsidRPr="00DB6E6D" w14:paraId="44A74E57" w14:textId="77777777" w:rsidTr="00F30E80">
        <w:trPr>
          <w:trHeight w:val="20"/>
        </w:trPr>
        <w:tc>
          <w:tcPr>
            <w:tcW w:w="4113" w:type="dxa"/>
            <w:vMerge w:val="restart"/>
            <w:shd w:val="clear" w:color="auto" w:fill="auto"/>
            <w:vAlign w:val="center"/>
          </w:tcPr>
          <w:p w14:paraId="6039E868"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1.1 : Appuyer la mise en place et le renforcement des capacités des services publics provinciaux et locaux, décentralisés et déconcentrés en vue d’améliorer et de consolider leurs actions relatives à la REDD+</w:t>
            </w:r>
          </w:p>
        </w:tc>
        <w:tc>
          <w:tcPr>
            <w:tcW w:w="3117" w:type="dxa"/>
            <w:shd w:val="clear" w:color="auto" w:fill="auto"/>
          </w:tcPr>
          <w:p w14:paraId="2895BB85"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contrats de performance signés et évalués annuellement avec l'IPA</w:t>
            </w:r>
          </w:p>
        </w:tc>
        <w:tc>
          <w:tcPr>
            <w:tcW w:w="1134" w:type="dxa"/>
          </w:tcPr>
          <w:p w14:paraId="134799B6"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 xml:space="preserve">02 </w:t>
            </w:r>
            <w:r w:rsidRPr="00DB6E6D">
              <w:rPr>
                <w:rFonts w:ascii="Avenir" w:eastAsia="Avenir" w:hAnsi="Avenir" w:cs="Avenir"/>
                <w:sz w:val="12"/>
                <w:szCs w:val="12"/>
              </w:rPr>
              <w:t>(KOR + LOM)</w:t>
            </w:r>
          </w:p>
        </w:tc>
        <w:tc>
          <w:tcPr>
            <w:tcW w:w="1419" w:type="dxa"/>
          </w:tcPr>
          <w:p w14:paraId="3CE09E07"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101B5441" w14:textId="77777777" w:rsidR="006C7E56" w:rsidRPr="00DB6E6D" w:rsidRDefault="006C7E56" w:rsidP="00F30E80">
            <w:pPr>
              <w:jc w:val="center"/>
              <w:rPr>
                <w:rFonts w:ascii="Avenir" w:eastAsia="Avenir" w:hAnsi="Avenir" w:cs="Avenir"/>
                <w:sz w:val="16"/>
                <w:szCs w:val="16"/>
              </w:rPr>
            </w:pPr>
          </w:p>
        </w:tc>
        <w:tc>
          <w:tcPr>
            <w:tcW w:w="2329" w:type="dxa"/>
          </w:tcPr>
          <w:p w14:paraId="037BEFB3"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59A9AE72" w14:textId="77777777" w:rsidTr="00F30E80">
        <w:trPr>
          <w:trHeight w:val="20"/>
        </w:trPr>
        <w:tc>
          <w:tcPr>
            <w:tcW w:w="4113" w:type="dxa"/>
            <w:vMerge/>
            <w:shd w:val="clear" w:color="auto" w:fill="auto"/>
            <w:vAlign w:val="center"/>
          </w:tcPr>
          <w:p w14:paraId="61752ECE"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67916E73"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 xml:space="preserve">Nb de contrats de performance signés et évalués annuellement avec la DP AT </w:t>
            </w:r>
          </w:p>
        </w:tc>
        <w:tc>
          <w:tcPr>
            <w:tcW w:w="1134" w:type="dxa"/>
          </w:tcPr>
          <w:p w14:paraId="514714E8"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tcPr>
          <w:p w14:paraId="2EF9EE0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452D9C5F" w14:textId="77777777" w:rsidR="006C7E56" w:rsidRPr="00DB6E6D" w:rsidRDefault="006C7E56" w:rsidP="00F30E80">
            <w:pPr>
              <w:jc w:val="center"/>
              <w:rPr>
                <w:rFonts w:ascii="Avenir" w:eastAsia="Avenir" w:hAnsi="Avenir" w:cs="Avenir"/>
                <w:sz w:val="16"/>
                <w:szCs w:val="16"/>
              </w:rPr>
            </w:pPr>
          </w:p>
        </w:tc>
        <w:tc>
          <w:tcPr>
            <w:tcW w:w="2329" w:type="dxa"/>
          </w:tcPr>
          <w:p w14:paraId="01D4BED5"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463FCE96" w14:textId="77777777" w:rsidTr="00F30E80">
        <w:trPr>
          <w:trHeight w:val="20"/>
        </w:trPr>
        <w:tc>
          <w:tcPr>
            <w:tcW w:w="4113" w:type="dxa"/>
            <w:vMerge/>
            <w:shd w:val="clear" w:color="auto" w:fill="auto"/>
            <w:vAlign w:val="center"/>
          </w:tcPr>
          <w:p w14:paraId="5D9626AD"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6456B4D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contrats de performance signés et évalués annuellement avec la CPEDD</w:t>
            </w:r>
          </w:p>
        </w:tc>
        <w:tc>
          <w:tcPr>
            <w:tcW w:w="1134" w:type="dxa"/>
          </w:tcPr>
          <w:p w14:paraId="6D641E20"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tcPr>
          <w:p w14:paraId="34E4AE28"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43FA0A2D" w14:textId="77777777" w:rsidR="006C7E56" w:rsidRPr="00DB6E6D" w:rsidRDefault="006C7E56" w:rsidP="00F30E80">
            <w:pPr>
              <w:jc w:val="center"/>
              <w:rPr>
                <w:rFonts w:ascii="Avenir" w:eastAsia="Avenir" w:hAnsi="Avenir" w:cs="Avenir"/>
                <w:sz w:val="16"/>
                <w:szCs w:val="16"/>
              </w:rPr>
            </w:pPr>
          </w:p>
        </w:tc>
        <w:tc>
          <w:tcPr>
            <w:tcW w:w="2329" w:type="dxa"/>
          </w:tcPr>
          <w:p w14:paraId="6A652B6C"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7A467054" w14:textId="77777777" w:rsidTr="00F30E80">
        <w:trPr>
          <w:trHeight w:val="20"/>
        </w:trPr>
        <w:tc>
          <w:tcPr>
            <w:tcW w:w="4113" w:type="dxa"/>
            <w:vMerge/>
            <w:shd w:val="clear" w:color="auto" w:fill="auto"/>
            <w:vAlign w:val="center"/>
          </w:tcPr>
          <w:p w14:paraId="18E5301A"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2B732698"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contrats de performance signés et évalués annuellement avec la DP affaires foncières</w:t>
            </w:r>
          </w:p>
        </w:tc>
        <w:tc>
          <w:tcPr>
            <w:tcW w:w="1134" w:type="dxa"/>
          </w:tcPr>
          <w:p w14:paraId="7B9C643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tcPr>
          <w:p w14:paraId="39BC96E0"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12F4D895" w14:textId="77777777" w:rsidR="006C7E56" w:rsidRPr="00DB6E6D" w:rsidRDefault="006C7E56" w:rsidP="00F30E80">
            <w:pPr>
              <w:jc w:val="center"/>
              <w:rPr>
                <w:rFonts w:ascii="Avenir" w:eastAsia="Avenir" w:hAnsi="Avenir" w:cs="Avenir"/>
                <w:sz w:val="16"/>
                <w:szCs w:val="16"/>
              </w:rPr>
            </w:pPr>
          </w:p>
        </w:tc>
        <w:tc>
          <w:tcPr>
            <w:tcW w:w="2329" w:type="dxa"/>
          </w:tcPr>
          <w:p w14:paraId="5625915D"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6328BBF4" w14:textId="77777777" w:rsidTr="00F30E80">
        <w:trPr>
          <w:trHeight w:val="20"/>
        </w:trPr>
        <w:tc>
          <w:tcPr>
            <w:tcW w:w="4113" w:type="dxa"/>
            <w:vMerge/>
            <w:shd w:val="clear" w:color="auto" w:fill="auto"/>
            <w:vAlign w:val="center"/>
          </w:tcPr>
          <w:p w14:paraId="7B5034A8"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4F0111D5"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contrats de performance signés et évalués annuellement avec l'IPDR</w:t>
            </w:r>
          </w:p>
        </w:tc>
        <w:tc>
          <w:tcPr>
            <w:tcW w:w="1134" w:type="dxa"/>
          </w:tcPr>
          <w:p w14:paraId="7715FB82"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tcPr>
          <w:p w14:paraId="215E8FF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43C65D6F" w14:textId="77777777" w:rsidR="006C7E56" w:rsidRPr="00DB6E6D" w:rsidRDefault="006C7E56" w:rsidP="00F30E80">
            <w:pPr>
              <w:jc w:val="center"/>
              <w:rPr>
                <w:rFonts w:ascii="Avenir" w:eastAsia="Avenir" w:hAnsi="Avenir" w:cs="Avenir"/>
                <w:sz w:val="16"/>
                <w:szCs w:val="16"/>
              </w:rPr>
            </w:pPr>
          </w:p>
        </w:tc>
        <w:tc>
          <w:tcPr>
            <w:tcW w:w="2329" w:type="dxa"/>
          </w:tcPr>
          <w:p w14:paraId="2BFB4F9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757779BC" w14:textId="77777777" w:rsidTr="00F30E80">
        <w:trPr>
          <w:trHeight w:val="20"/>
        </w:trPr>
        <w:tc>
          <w:tcPr>
            <w:tcW w:w="4113" w:type="dxa"/>
            <w:vMerge/>
            <w:shd w:val="clear" w:color="auto" w:fill="auto"/>
            <w:vAlign w:val="center"/>
          </w:tcPr>
          <w:p w14:paraId="2CBF5BA7"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442BF19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contrats de performance signés et évalués annuellement avec la DP Plan</w:t>
            </w:r>
          </w:p>
        </w:tc>
        <w:tc>
          <w:tcPr>
            <w:tcW w:w="1134" w:type="dxa"/>
          </w:tcPr>
          <w:p w14:paraId="64E09C46"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tcPr>
          <w:p w14:paraId="17D828E3"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5AA53ED1" w14:textId="77777777" w:rsidR="006C7E56" w:rsidRPr="00DB6E6D" w:rsidRDefault="006C7E56" w:rsidP="00F30E80">
            <w:pPr>
              <w:jc w:val="center"/>
              <w:rPr>
                <w:rFonts w:ascii="Avenir" w:eastAsia="Avenir" w:hAnsi="Avenir" w:cs="Avenir"/>
                <w:sz w:val="16"/>
                <w:szCs w:val="16"/>
              </w:rPr>
            </w:pPr>
          </w:p>
        </w:tc>
        <w:tc>
          <w:tcPr>
            <w:tcW w:w="2329" w:type="dxa"/>
          </w:tcPr>
          <w:p w14:paraId="1067B42A"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1A65ED34" w14:textId="77777777" w:rsidTr="00F30E80">
        <w:trPr>
          <w:trHeight w:val="20"/>
        </w:trPr>
        <w:tc>
          <w:tcPr>
            <w:tcW w:w="4113" w:type="dxa"/>
            <w:vMerge/>
            <w:shd w:val="clear" w:color="auto" w:fill="auto"/>
            <w:vAlign w:val="center"/>
          </w:tcPr>
          <w:p w14:paraId="03861045"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492ADAFE" w14:textId="77777777" w:rsidR="006C7E56" w:rsidRPr="00DB6E6D" w:rsidRDefault="006C7E56" w:rsidP="00F30E80">
            <w:pPr>
              <w:rPr>
                <w:rFonts w:ascii="Avenir" w:eastAsia="Avenir" w:hAnsi="Avenir" w:cs="Avenir"/>
                <w:sz w:val="16"/>
                <w:szCs w:val="16"/>
                <w:lang w:val="fr-FR"/>
              </w:rPr>
            </w:pPr>
            <w:r w:rsidRPr="00DB6E6D">
              <w:rPr>
                <w:rFonts w:ascii="Avenir" w:eastAsia="Avenir" w:hAnsi="Avenir" w:cs="Avenir"/>
                <w:sz w:val="16"/>
                <w:szCs w:val="16"/>
              </w:rPr>
              <w:t xml:space="preserve">Nb de services d'AT provinciaux et de territoire équipés et formés (SIG, </w:t>
            </w:r>
            <w:proofErr w:type="spellStart"/>
            <w:r w:rsidRPr="00DB6E6D">
              <w:rPr>
                <w:rFonts w:ascii="Avenir" w:eastAsia="Avenir" w:hAnsi="Avenir" w:cs="Avenir"/>
                <w:sz w:val="16"/>
                <w:szCs w:val="16"/>
              </w:rPr>
              <w:t>etc</w:t>
            </w:r>
            <w:proofErr w:type="spellEnd"/>
            <w:r w:rsidRPr="00DB6E6D">
              <w:rPr>
                <w:rFonts w:ascii="Avenir" w:eastAsia="Avenir" w:hAnsi="Avenir" w:cs="Avenir"/>
                <w:sz w:val="16"/>
                <w:szCs w:val="16"/>
              </w:rPr>
              <w:t>)</w:t>
            </w:r>
          </w:p>
        </w:tc>
        <w:tc>
          <w:tcPr>
            <w:tcW w:w="1134" w:type="dxa"/>
          </w:tcPr>
          <w:p w14:paraId="0C201765"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01/2</w:t>
            </w:r>
          </w:p>
        </w:tc>
        <w:tc>
          <w:tcPr>
            <w:tcW w:w="1419" w:type="dxa"/>
          </w:tcPr>
          <w:p w14:paraId="462E3E5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771AF987" w14:textId="77777777" w:rsidR="006C7E56" w:rsidRPr="00DB6E6D" w:rsidRDefault="006C7E56" w:rsidP="00F30E80">
            <w:pPr>
              <w:jc w:val="center"/>
              <w:rPr>
                <w:rFonts w:ascii="Avenir" w:eastAsia="Avenir" w:hAnsi="Avenir" w:cs="Avenir"/>
                <w:sz w:val="16"/>
                <w:szCs w:val="16"/>
              </w:rPr>
            </w:pPr>
          </w:p>
        </w:tc>
        <w:tc>
          <w:tcPr>
            <w:tcW w:w="2329" w:type="dxa"/>
          </w:tcPr>
          <w:p w14:paraId="60E3B36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196F6E3E" w14:textId="77777777" w:rsidTr="00F30E80">
        <w:trPr>
          <w:trHeight w:val="20"/>
        </w:trPr>
        <w:tc>
          <w:tcPr>
            <w:tcW w:w="4113" w:type="dxa"/>
            <w:vMerge/>
            <w:shd w:val="clear" w:color="auto" w:fill="auto"/>
            <w:vAlign w:val="center"/>
          </w:tcPr>
          <w:p w14:paraId="5349B09E"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4D09773D"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 xml:space="preserve">Nb. </w:t>
            </w:r>
            <w:proofErr w:type="gramStart"/>
            <w:r w:rsidRPr="00DB6E6D">
              <w:rPr>
                <w:rFonts w:ascii="Avenir" w:eastAsia="Avenir" w:hAnsi="Avenir" w:cs="Avenir"/>
                <w:sz w:val="16"/>
                <w:szCs w:val="16"/>
              </w:rPr>
              <w:t>de</w:t>
            </w:r>
            <w:proofErr w:type="gramEnd"/>
            <w:r w:rsidRPr="00DB6E6D">
              <w:rPr>
                <w:rFonts w:ascii="Avenir" w:eastAsia="Avenir" w:hAnsi="Avenir" w:cs="Avenir"/>
                <w:sz w:val="16"/>
                <w:szCs w:val="16"/>
              </w:rPr>
              <w:t xml:space="preserve"> services Agriculture provinciaux, de Territoire et de Secteur équipés et formés</w:t>
            </w:r>
          </w:p>
        </w:tc>
        <w:tc>
          <w:tcPr>
            <w:tcW w:w="1134" w:type="dxa"/>
          </w:tcPr>
          <w:p w14:paraId="7F3030D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01/2</w:t>
            </w:r>
          </w:p>
        </w:tc>
        <w:tc>
          <w:tcPr>
            <w:tcW w:w="1419" w:type="dxa"/>
          </w:tcPr>
          <w:p w14:paraId="76CE34C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5FCB37DD" w14:textId="77777777" w:rsidR="006C7E56" w:rsidRPr="00DB6E6D" w:rsidRDefault="006C7E56" w:rsidP="00F30E80">
            <w:pPr>
              <w:jc w:val="center"/>
              <w:rPr>
                <w:rFonts w:ascii="Avenir" w:eastAsia="Avenir" w:hAnsi="Avenir" w:cs="Avenir"/>
                <w:sz w:val="16"/>
                <w:szCs w:val="16"/>
              </w:rPr>
            </w:pPr>
          </w:p>
        </w:tc>
        <w:tc>
          <w:tcPr>
            <w:tcW w:w="2329" w:type="dxa"/>
          </w:tcPr>
          <w:p w14:paraId="122B1273"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45FFE30B" w14:textId="77777777" w:rsidTr="00F30E80">
        <w:trPr>
          <w:trHeight w:val="20"/>
        </w:trPr>
        <w:tc>
          <w:tcPr>
            <w:tcW w:w="4113" w:type="dxa"/>
            <w:vMerge/>
            <w:shd w:val="clear" w:color="auto" w:fill="auto"/>
            <w:vAlign w:val="center"/>
          </w:tcPr>
          <w:p w14:paraId="62E4F74B"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04EFEFFC"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 xml:space="preserve">Nb. </w:t>
            </w:r>
            <w:proofErr w:type="gramStart"/>
            <w:r w:rsidRPr="00DB6E6D">
              <w:rPr>
                <w:rFonts w:ascii="Avenir" w:eastAsia="Avenir" w:hAnsi="Avenir" w:cs="Avenir"/>
                <w:sz w:val="16"/>
                <w:szCs w:val="16"/>
              </w:rPr>
              <w:t>de</w:t>
            </w:r>
            <w:proofErr w:type="gramEnd"/>
            <w:r w:rsidRPr="00DB6E6D">
              <w:rPr>
                <w:rFonts w:ascii="Avenir" w:eastAsia="Avenir" w:hAnsi="Avenir" w:cs="Avenir"/>
                <w:sz w:val="16"/>
                <w:szCs w:val="16"/>
              </w:rPr>
              <w:t xml:space="preserve"> services de l’Environnement équipés et formés</w:t>
            </w:r>
          </w:p>
        </w:tc>
        <w:tc>
          <w:tcPr>
            <w:tcW w:w="1134" w:type="dxa"/>
          </w:tcPr>
          <w:p w14:paraId="03D6541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01/2</w:t>
            </w:r>
          </w:p>
        </w:tc>
        <w:tc>
          <w:tcPr>
            <w:tcW w:w="1419" w:type="dxa"/>
          </w:tcPr>
          <w:p w14:paraId="5063C885"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1F1086F0" w14:textId="77777777" w:rsidR="006C7E56" w:rsidRPr="00DB6E6D" w:rsidRDefault="006C7E56" w:rsidP="00F30E80">
            <w:pPr>
              <w:jc w:val="center"/>
              <w:rPr>
                <w:rFonts w:ascii="Avenir" w:eastAsia="Avenir" w:hAnsi="Avenir" w:cs="Avenir"/>
                <w:sz w:val="16"/>
                <w:szCs w:val="16"/>
              </w:rPr>
            </w:pPr>
          </w:p>
        </w:tc>
        <w:tc>
          <w:tcPr>
            <w:tcW w:w="2329" w:type="dxa"/>
          </w:tcPr>
          <w:p w14:paraId="581558E3"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0877A8BC" w14:textId="77777777" w:rsidTr="00F30E80">
        <w:trPr>
          <w:trHeight w:val="20"/>
        </w:trPr>
        <w:tc>
          <w:tcPr>
            <w:tcW w:w="4113" w:type="dxa"/>
            <w:vMerge/>
            <w:shd w:val="clear" w:color="auto" w:fill="auto"/>
            <w:vAlign w:val="center"/>
          </w:tcPr>
          <w:p w14:paraId="04B5EA07"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51DFB787"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 xml:space="preserve">Nb. </w:t>
            </w:r>
            <w:proofErr w:type="gramStart"/>
            <w:r w:rsidRPr="00DB6E6D">
              <w:rPr>
                <w:rFonts w:ascii="Avenir" w:eastAsia="Avenir" w:hAnsi="Avenir" w:cs="Avenir"/>
                <w:sz w:val="16"/>
                <w:szCs w:val="16"/>
              </w:rPr>
              <w:t>de</w:t>
            </w:r>
            <w:proofErr w:type="gramEnd"/>
            <w:r w:rsidRPr="00DB6E6D">
              <w:rPr>
                <w:rFonts w:ascii="Avenir" w:eastAsia="Avenir" w:hAnsi="Avenir" w:cs="Avenir"/>
                <w:sz w:val="16"/>
                <w:szCs w:val="16"/>
              </w:rPr>
              <w:t xml:space="preserve"> services du développement rural équipés et formés</w:t>
            </w:r>
          </w:p>
        </w:tc>
        <w:tc>
          <w:tcPr>
            <w:tcW w:w="1134" w:type="dxa"/>
          </w:tcPr>
          <w:p w14:paraId="0E909D9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01/2</w:t>
            </w:r>
          </w:p>
        </w:tc>
        <w:tc>
          <w:tcPr>
            <w:tcW w:w="1419" w:type="dxa"/>
          </w:tcPr>
          <w:p w14:paraId="5CFAAB1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17831150" w14:textId="77777777" w:rsidR="006C7E56" w:rsidRPr="00DB6E6D" w:rsidRDefault="006C7E56" w:rsidP="00F30E80">
            <w:pPr>
              <w:jc w:val="center"/>
              <w:rPr>
                <w:rFonts w:ascii="Avenir" w:eastAsia="Avenir" w:hAnsi="Avenir" w:cs="Avenir"/>
                <w:sz w:val="16"/>
                <w:szCs w:val="16"/>
              </w:rPr>
            </w:pPr>
          </w:p>
        </w:tc>
        <w:tc>
          <w:tcPr>
            <w:tcW w:w="2329" w:type="dxa"/>
          </w:tcPr>
          <w:p w14:paraId="1A3BF020"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2222F9DC" w14:textId="77777777" w:rsidTr="00F30E80">
        <w:trPr>
          <w:trHeight w:val="20"/>
        </w:trPr>
        <w:tc>
          <w:tcPr>
            <w:tcW w:w="4113" w:type="dxa"/>
            <w:shd w:val="clear" w:color="auto" w:fill="auto"/>
            <w:vAlign w:val="center"/>
          </w:tcPr>
          <w:p w14:paraId="7190F51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1.2 : Mettre en place et dynamiser des Comités Locaux de Développement (CLD) grâce à un processus d’animation communautaire</w:t>
            </w:r>
          </w:p>
        </w:tc>
        <w:tc>
          <w:tcPr>
            <w:tcW w:w="3117" w:type="dxa"/>
            <w:shd w:val="clear" w:color="auto" w:fill="auto"/>
          </w:tcPr>
          <w:p w14:paraId="6118119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CLD / CARG créés ou renforcés au niveau local et fonctionnels</w:t>
            </w:r>
          </w:p>
        </w:tc>
        <w:tc>
          <w:tcPr>
            <w:tcW w:w="1134" w:type="dxa"/>
          </w:tcPr>
          <w:p w14:paraId="736755DF"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102 (au moins identifié)</w:t>
            </w:r>
          </w:p>
        </w:tc>
        <w:tc>
          <w:tcPr>
            <w:tcW w:w="1419" w:type="dxa"/>
          </w:tcPr>
          <w:p w14:paraId="5E56368F"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2C77F12E" w14:textId="77777777" w:rsidR="006C7E56" w:rsidRPr="00DB6E6D" w:rsidRDefault="006C7E56" w:rsidP="00F30E80">
            <w:pPr>
              <w:jc w:val="center"/>
              <w:rPr>
                <w:rFonts w:ascii="Avenir" w:eastAsia="Avenir" w:hAnsi="Avenir" w:cs="Avenir"/>
                <w:sz w:val="16"/>
                <w:szCs w:val="16"/>
              </w:rPr>
            </w:pPr>
          </w:p>
        </w:tc>
        <w:tc>
          <w:tcPr>
            <w:tcW w:w="2329" w:type="dxa"/>
          </w:tcPr>
          <w:p w14:paraId="106C3466"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10C8E093" w14:textId="77777777" w:rsidTr="00F30E80">
        <w:trPr>
          <w:trHeight w:val="20"/>
        </w:trPr>
        <w:tc>
          <w:tcPr>
            <w:tcW w:w="4113" w:type="dxa"/>
            <w:vMerge w:val="restart"/>
            <w:shd w:val="clear" w:color="auto" w:fill="auto"/>
            <w:vAlign w:val="center"/>
          </w:tcPr>
          <w:p w14:paraId="32D8275E"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1.3 : Mettre en place et opérationnaliser des cadres de concertation, de discussions et de partage d’informations sur les investissements REDD+</w:t>
            </w:r>
          </w:p>
        </w:tc>
        <w:tc>
          <w:tcPr>
            <w:tcW w:w="3117" w:type="dxa"/>
            <w:shd w:val="clear" w:color="auto" w:fill="auto"/>
          </w:tcPr>
          <w:p w14:paraId="296B0EB3" w14:textId="77777777" w:rsidR="006C7E56" w:rsidRPr="00DB6E6D" w:rsidRDefault="006C7E56" w:rsidP="00F30E80">
            <w:pPr>
              <w:ind w:left="10" w:firstLine="0"/>
              <w:rPr>
                <w:rFonts w:ascii="Avenir" w:eastAsia="Avenir" w:hAnsi="Avenir" w:cs="Avenir"/>
                <w:sz w:val="16"/>
                <w:szCs w:val="16"/>
              </w:rPr>
            </w:pPr>
            <w:r w:rsidRPr="00DB6E6D">
              <w:rPr>
                <w:rFonts w:ascii="Avenir" w:eastAsia="Avenir" w:hAnsi="Avenir" w:cs="Avenir"/>
                <w:sz w:val="16"/>
                <w:szCs w:val="16"/>
              </w:rPr>
              <w:t>Nb de mécanisme de gestion des plaintes et recours défini et adopté.</w:t>
            </w:r>
          </w:p>
        </w:tc>
        <w:tc>
          <w:tcPr>
            <w:tcW w:w="1134" w:type="dxa"/>
          </w:tcPr>
          <w:p w14:paraId="0B1FC2CC"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01</w:t>
            </w:r>
          </w:p>
        </w:tc>
        <w:tc>
          <w:tcPr>
            <w:tcW w:w="1419" w:type="dxa"/>
          </w:tcPr>
          <w:p w14:paraId="5C80B073"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4FFE094A" w14:textId="77777777" w:rsidR="006C7E56" w:rsidRPr="00DB6E6D" w:rsidRDefault="006C7E56" w:rsidP="00F30E80">
            <w:pPr>
              <w:jc w:val="center"/>
              <w:rPr>
                <w:rFonts w:ascii="Avenir" w:eastAsia="Avenir" w:hAnsi="Avenir" w:cs="Avenir"/>
                <w:sz w:val="16"/>
                <w:szCs w:val="16"/>
              </w:rPr>
            </w:pPr>
          </w:p>
        </w:tc>
        <w:tc>
          <w:tcPr>
            <w:tcW w:w="2329" w:type="dxa"/>
          </w:tcPr>
          <w:p w14:paraId="5FB729B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0FD9061F" w14:textId="77777777" w:rsidTr="00F30E80">
        <w:trPr>
          <w:trHeight w:val="20"/>
        </w:trPr>
        <w:tc>
          <w:tcPr>
            <w:tcW w:w="4113" w:type="dxa"/>
            <w:vMerge/>
            <w:shd w:val="clear" w:color="auto" w:fill="auto"/>
          </w:tcPr>
          <w:p w14:paraId="055C21A0"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3A82AFC5" w14:textId="77777777" w:rsidR="006C7E56" w:rsidRPr="00DB6E6D" w:rsidRDefault="006C7E56" w:rsidP="00F30E80">
            <w:pPr>
              <w:ind w:left="10" w:firstLine="0"/>
              <w:rPr>
                <w:rFonts w:ascii="Avenir" w:eastAsia="Avenir" w:hAnsi="Avenir" w:cs="Avenir"/>
                <w:sz w:val="16"/>
                <w:szCs w:val="16"/>
              </w:rPr>
            </w:pPr>
            <w:r w:rsidRPr="00DB6E6D">
              <w:rPr>
                <w:rFonts w:ascii="Avenir" w:eastAsia="Avenir" w:hAnsi="Avenir" w:cs="Avenir"/>
                <w:sz w:val="16"/>
                <w:szCs w:val="16"/>
              </w:rPr>
              <w:t>Nb de plan de mobilisation des parties prenantes disponible</w:t>
            </w:r>
          </w:p>
        </w:tc>
        <w:tc>
          <w:tcPr>
            <w:tcW w:w="1134" w:type="dxa"/>
          </w:tcPr>
          <w:p w14:paraId="429DFEB2"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01</w:t>
            </w:r>
          </w:p>
        </w:tc>
        <w:tc>
          <w:tcPr>
            <w:tcW w:w="1419" w:type="dxa"/>
          </w:tcPr>
          <w:p w14:paraId="4240BC3E"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48827E99" w14:textId="77777777" w:rsidR="006C7E56" w:rsidRPr="00DB6E6D" w:rsidRDefault="006C7E56" w:rsidP="00F30E80">
            <w:pPr>
              <w:jc w:val="center"/>
              <w:rPr>
                <w:rFonts w:ascii="Avenir" w:eastAsia="Avenir" w:hAnsi="Avenir" w:cs="Avenir"/>
                <w:sz w:val="16"/>
                <w:szCs w:val="16"/>
              </w:rPr>
            </w:pPr>
          </w:p>
        </w:tc>
        <w:tc>
          <w:tcPr>
            <w:tcW w:w="2329" w:type="dxa"/>
          </w:tcPr>
          <w:p w14:paraId="513F98E2"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76206899" w14:textId="77777777" w:rsidTr="00F30E80">
        <w:trPr>
          <w:trHeight w:val="20"/>
        </w:trPr>
        <w:tc>
          <w:tcPr>
            <w:tcW w:w="4113" w:type="dxa"/>
            <w:vMerge/>
            <w:shd w:val="clear" w:color="auto" w:fill="auto"/>
          </w:tcPr>
          <w:p w14:paraId="13CC9BF2"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2B874DBC"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Nombre de réunions du COPIL de projet organisés et préparés de manière adéquate</w:t>
            </w:r>
          </w:p>
        </w:tc>
        <w:tc>
          <w:tcPr>
            <w:tcW w:w="1134" w:type="dxa"/>
          </w:tcPr>
          <w:p w14:paraId="00BDEF55"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04</w:t>
            </w:r>
          </w:p>
        </w:tc>
        <w:tc>
          <w:tcPr>
            <w:tcW w:w="1419" w:type="dxa"/>
          </w:tcPr>
          <w:p w14:paraId="11932EAD"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tcPr>
          <w:p w14:paraId="56726F6D" w14:textId="77777777" w:rsidR="006C7E56" w:rsidRPr="00DB6E6D" w:rsidRDefault="006C7E56" w:rsidP="00F30E80">
            <w:pPr>
              <w:jc w:val="center"/>
              <w:rPr>
                <w:rFonts w:ascii="Avenir" w:eastAsia="Avenir" w:hAnsi="Avenir" w:cs="Avenir"/>
                <w:sz w:val="16"/>
                <w:szCs w:val="16"/>
              </w:rPr>
            </w:pPr>
          </w:p>
        </w:tc>
        <w:tc>
          <w:tcPr>
            <w:tcW w:w="2329" w:type="dxa"/>
          </w:tcPr>
          <w:p w14:paraId="7F297FFF"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6C4739CC" w14:textId="77777777" w:rsidTr="00F30E80">
        <w:trPr>
          <w:trHeight w:val="20"/>
        </w:trPr>
        <w:tc>
          <w:tcPr>
            <w:tcW w:w="4113" w:type="dxa"/>
            <w:vMerge/>
            <w:shd w:val="clear" w:color="auto" w:fill="auto"/>
          </w:tcPr>
          <w:p w14:paraId="5459A54D" w14:textId="77777777" w:rsidR="006C7E56" w:rsidRPr="00DB6E6D" w:rsidRDefault="006C7E56" w:rsidP="00F30E80">
            <w:pPr>
              <w:rPr>
                <w:rFonts w:ascii="Avenir" w:eastAsia="Avenir" w:hAnsi="Avenir" w:cs="Avenir"/>
                <w:sz w:val="16"/>
                <w:szCs w:val="16"/>
              </w:rPr>
            </w:pPr>
          </w:p>
        </w:tc>
        <w:tc>
          <w:tcPr>
            <w:tcW w:w="3117" w:type="dxa"/>
            <w:shd w:val="clear" w:color="auto" w:fill="auto"/>
          </w:tcPr>
          <w:p w14:paraId="0E274E3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Nombre de réunions du Comité de gestion de projet (FONAREDD, CAFI, Agence) organisés et préparés de manière adéquate</w:t>
            </w:r>
          </w:p>
        </w:tc>
        <w:tc>
          <w:tcPr>
            <w:tcW w:w="1134" w:type="dxa"/>
          </w:tcPr>
          <w:p w14:paraId="14F08C9E"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01</w:t>
            </w:r>
          </w:p>
        </w:tc>
        <w:tc>
          <w:tcPr>
            <w:tcW w:w="1419" w:type="dxa"/>
          </w:tcPr>
          <w:p w14:paraId="6B4F4DCE"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01</w:t>
            </w:r>
          </w:p>
        </w:tc>
        <w:tc>
          <w:tcPr>
            <w:tcW w:w="1274" w:type="dxa"/>
          </w:tcPr>
          <w:p w14:paraId="5C68D1D1" w14:textId="77777777" w:rsidR="006C7E56" w:rsidRPr="00DB6E6D" w:rsidRDefault="006C7E56" w:rsidP="00F30E80">
            <w:pPr>
              <w:jc w:val="center"/>
              <w:rPr>
                <w:rFonts w:ascii="Avenir" w:eastAsia="Avenir" w:hAnsi="Avenir" w:cs="Avenir"/>
                <w:sz w:val="16"/>
                <w:szCs w:val="16"/>
              </w:rPr>
            </w:pPr>
            <w:r w:rsidRPr="00DB6E6D">
              <w:rPr>
                <w:rFonts w:ascii="Avenir" w:eastAsia="Avenir" w:hAnsi="Avenir" w:cs="Avenir"/>
                <w:sz w:val="16"/>
                <w:szCs w:val="16"/>
              </w:rPr>
              <w:t>100%</w:t>
            </w:r>
          </w:p>
        </w:tc>
        <w:tc>
          <w:tcPr>
            <w:tcW w:w="2329" w:type="dxa"/>
          </w:tcPr>
          <w:p w14:paraId="3C46340A" w14:textId="77777777" w:rsidR="006C7E56" w:rsidRPr="00DB6E6D" w:rsidRDefault="006C7E56" w:rsidP="00F30E80">
            <w:pPr>
              <w:rPr>
                <w:rFonts w:ascii="Avenir" w:eastAsia="Avenir" w:hAnsi="Avenir" w:cs="Avenir"/>
                <w:sz w:val="16"/>
                <w:szCs w:val="16"/>
              </w:rPr>
            </w:pPr>
          </w:p>
        </w:tc>
      </w:tr>
      <w:tr w:rsidR="006C7E56" w:rsidRPr="00DB6E6D" w14:paraId="3FA6B902" w14:textId="77777777" w:rsidTr="00F30E80">
        <w:trPr>
          <w:trHeight w:val="20"/>
        </w:trPr>
        <w:tc>
          <w:tcPr>
            <w:tcW w:w="4113" w:type="dxa"/>
            <w:vMerge w:val="restart"/>
            <w:shd w:val="clear" w:color="auto" w:fill="C6E0B4"/>
            <w:vAlign w:val="center"/>
          </w:tcPr>
          <w:p w14:paraId="038142F8" w14:textId="77777777" w:rsidR="006C7E56" w:rsidRPr="00DB6E6D" w:rsidRDefault="006C7E56" w:rsidP="00F30E80">
            <w:pPr>
              <w:rPr>
                <w:rFonts w:ascii="Avenir" w:eastAsia="Avenir" w:hAnsi="Avenir" w:cs="Avenir"/>
                <w:sz w:val="16"/>
                <w:szCs w:val="16"/>
                <w:u w:val="single"/>
              </w:rPr>
            </w:pPr>
            <w:bookmarkStart w:id="14" w:name="_Hlk188712206"/>
            <w:r w:rsidRPr="00DB6E6D">
              <w:rPr>
                <w:rFonts w:ascii="Avenir" w:eastAsia="Avenir" w:hAnsi="Avenir" w:cs="Avenir"/>
                <w:sz w:val="16"/>
                <w:szCs w:val="16"/>
              </w:rPr>
              <w:t>Produit 2.1 : Accompagner l’élaboration du plan provincial d’aménagement du territoire (PPAT)</w:t>
            </w:r>
          </w:p>
        </w:tc>
        <w:tc>
          <w:tcPr>
            <w:tcW w:w="3117" w:type="dxa"/>
            <w:shd w:val="clear" w:color="auto" w:fill="C6E0B4"/>
          </w:tcPr>
          <w:p w14:paraId="10F2E150"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d’études de base réalisées et partagées</w:t>
            </w:r>
          </w:p>
        </w:tc>
        <w:tc>
          <w:tcPr>
            <w:tcW w:w="1134" w:type="dxa"/>
            <w:shd w:val="clear" w:color="auto" w:fill="C6E0B4"/>
          </w:tcPr>
          <w:p w14:paraId="50BA7CE6"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06</w:t>
            </w:r>
          </w:p>
        </w:tc>
        <w:tc>
          <w:tcPr>
            <w:tcW w:w="1419" w:type="dxa"/>
            <w:shd w:val="clear" w:color="auto" w:fill="C6E0B4"/>
          </w:tcPr>
          <w:p w14:paraId="1D565E4C"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C6E0B4"/>
          </w:tcPr>
          <w:p w14:paraId="156C3BD0" w14:textId="77777777" w:rsidR="006C7E56" w:rsidRPr="00DB6E6D" w:rsidRDefault="006C7E56" w:rsidP="00F30E80">
            <w:pPr>
              <w:jc w:val="center"/>
              <w:rPr>
                <w:rFonts w:ascii="Avenir" w:eastAsia="Avenir" w:hAnsi="Avenir" w:cs="Avenir"/>
              </w:rPr>
            </w:pPr>
          </w:p>
        </w:tc>
        <w:tc>
          <w:tcPr>
            <w:tcW w:w="2329" w:type="dxa"/>
            <w:shd w:val="clear" w:color="auto" w:fill="C6E0B4"/>
          </w:tcPr>
          <w:p w14:paraId="743F68DC"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5BEB0D51" w14:textId="77777777" w:rsidTr="00F30E80">
        <w:trPr>
          <w:trHeight w:val="20"/>
        </w:trPr>
        <w:tc>
          <w:tcPr>
            <w:tcW w:w="4113" w:type="dxa"/>
            <w:vMerge/>
            <w:shd w:val="clear" w:color="auto" w:fill="C6E0B4"/>
            <w:vAlign w:val="center"/>
          </w:tcPr>
          <w:p w14:paraId="7A144994" w14:textId="77777777" w:rsidR="006C7E56" w:rsidRPr="00DB6E6D" w:rsidRDefault="006C7E56" w:rsidP="00F30E80">
            <w:pPr>
              <w:rPr>
                <w:rFonts w:ascii="Avenir" w:eastAsia="Avenir" w:hAnsi="Avenir" w:cs="Avenir"/>
                <w:sz w:val="16"/>
                <w:szCs w:val="16"/>
              </w:rPr>
            </w:pPr>
          </w:p>
        </w:tc>
        <w:tc>
          <w:tcPr>
            <w:tcW w:w="3117" w:type="dxa"/>
            <w:shd w:val="clear" w:color="auto" w:fill="C6E0B4"/>
          </w:tcPr>
          <w:p w14:paraId="7757BA62" w14:textId="77777777" w:rsidR="006C7E56" w:rsidRPr="00DB6E6D" w:rsidRDefault="006C7E56" w:rsidP="00F30E80">
            <w:pPr>
              <w:ind w:left="10" w:firstLine="0"/>
              <w:rPr>
                <w:rFonts w:ascii="Avenir" w:eastAsia="Avenir" w:hAnsi="Avenir" w:cs="Avenir"/>
                <w:sz w:val="16"/>
                <w:szCs w:val="16"/>
              </w:rPr>
            </w:pPr>
            <w:r w:rsidRPr="00DB6E6D">
              <w:rPr>
                <w:rFonts w:ascii="Avenir" w:eastAsia="Avenir" w:hAnsi="Avenir" w:cs="Avenir"/>
                <w:sz w:val="16"/>
                <w:szCs w:val="16"/>
              </w:rPr>
              <w:t>Nb d’ateliers provinciaux de mobilisation des parties prenantes organisés</w:t>
            </w:r>
          </w:p>
        </w:tc>
        <w:tc>
          <w:tcPr>
            <w:tcW w:w="1134" w:type="dxa"/>
            <w:shd w:val="clear" w:color="auto" w:fill="C6E0B4"/>
          </w:tcPr>
          <w:p w14:paraId="7B96391C"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04</w:t>
            </w:r>
          </w:p>
        </w:tc>
        <w:tc>
          <w:tcPr>
            <w:tcW w:w="1419" w:type="dxa"/>
            <w:shd w:val="clear" w:color="auto" w:fill="C6E0B4"/>
          </w:tcPr>
          <w:p w14:paraId="4D19DC96"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C6E0B4"/>
          </w:tcPr>
          <w:p w14:paraId="7430323E"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780466DC"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3C1126CE" w14:textId="77777777" w:rsidTr="00F30E80">
        <w:trPr>
          <w:trHeight w:val="20"/>
        </w:trPr>
        <w:tc>
          <w:tcPr>
            <w:tcW w:w="4113" w:type="dxa"/>
            <w:vMerge/>
            <w:shd w:val="clear" w:color="auto" w:fill="C6E0B4"/>
            <w:vAlign w:val="center"/>
          </w:tcPr>
          <w:p w14:paraId="636ABEF4" w14:textId="77777777" w:rsidR="006C7E56" w:rsidRPr="00DB6E6D" w:rsidRDefault="006C7E56" w:rsidP="00F30E80">
            <w:pPr>
              <w:rPr>
                <w:rFonts w:ascii="Avenir" w:eastAsia="Avenir" w:hAnsi="Avenir" w:cs="Avenir"/>
                <w:sz w:val="16"/>
                <w:szCs w:val="16"/>
              </w:rPr>
            </w:pPr>
          </w:p>
        </w:tc>
        <w:tc>
          <w:tcPr>
            <w:tcW w:w="3117" w:type="dxa"/>
            <w:shd w:val="clear" w:color="auto" w:fill="C6E0B4"/>
          </w:tcPr>
          <w:p w14:paraId="112C9160" w14:textId="77777777" w:rsidR="006C7E56" w:rsidRPr="00DB6E6D" w:rsidRDefault="006C7E56" w:rsidP="00F30E80">
            <w:pPr>
              <w:ind w:left="10" w:firstLine="0"/>
              <w:rPr>
                <w:rFonts w:ascii="Avenir" w:eastAsia="Avenir" w:hAnsi="Avenir" w:cs="Avenir"/>
                <w:sz w:val="16"/>
                <w:szCs w:val="16"/>
              </w:rPr>
            </w:pPr>
            <w:r w:rsidRPr="00DB6E6D">
              <w:rPr>
                <w:rFonts w:ascii="Avenir" w:eastAsia="Avenir" w:hAnsi="Avenir" w:cs="Avenir"/>
                <w:sz w:val="16"/>
                <w:szCs w:val="16"/>
              </w:rPr>
              <w:t>Nb de collecte de données complémentaires initiée</w:t>
            </w:r>
          </w:p>
        </w:tc>
        <w:tc>
          <w:tcPr>
            <w:tcW w:w="1134" w:type="dxa"/>
            <w:shd w:val="clear" w:color="auto" w:fill="C6E0B4"/>
          </w:tcPr>
          <w:p w14:paraId="75D1D79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C6E0B4"/>
          </w:tcPr>
          <w:p w14:paraId="0E48427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C6E0B4"/>
          </w:tcPr>
          <w:p w14:paraId="052A0F05"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398EF31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bookmarkEnd w:id="14"/>
      <w:tr w:rsidR="006C7E56" w:rsidRPr="00DB6E6D" w14:paraId="26B34692" w14:textId="77777777" w:rsidTr="00F30E80">
        <w:trPr>
          <w:trHeight w:val="20"/>
        </w:trPr>
        <w:tc>
          <w:tcPr>
            <w:tcW w:w="4113" w:type="dxa"/>
            <w:vMerge w:val="restart"/>
            <w:shd w:val="clear" w:color="auto" w:fill="C6E0B4"/>
            <w:vAlign w:val="center"/>
          </w:tcPr>
          <w:p w14:paraId="790A7810"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2.2 : Accompagner l’élaboration de plans simples d’aménagement du territoire à l’échelle des terroirs (PSAT)</w:t>
            </w:r>
          </w:p>
        </w:tc>
        <w:tc>
          <w:tcPr>
            <w:tcW w:w="3117" w:type="dxa"/>
            <w:shd w:val="clear" w:color="auto" w:fill="C6E0B4"/>
          </w:tcPr>
          <w:p w14:paraId="21ACE5BD"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Note méthodologique et canevas des PSAT élaborés et validé</w:t>
            </w:r>
          </w:p>
        </w:tc>
        <w:tc>
          <w:tcPr>
            <w:tcW w:w="1134" w:type="dxa"/>
            <w:shd w:val="clear" w:color="auto" w:fill="C6E0B4"/>
          </w:tcPr>
          <w:p w14:paraId="00F65B1B"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01</w:t>
            </w:r>
          </w:p>
        </w:tc>
        <w:tc>
          <w:tcPr>
            <w:tcW w:w="1419" w:type="dxa"/>
            <w:shd w:val="clear" w:color="auto" w:fill="C6E0B4"/>
          </w:tcPr>
          <w:p w14:paraId="0611CD50"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C6E0B4"/>
          </w:tcPr>
          <w:p w14:paraId="73FE39DF" w14:textId="77777777" w:rsidR="006C7E56" w:rsidRPr="00DB6E6D" w:rsidRDefault="006C7E56" w:rsidP="00F30E80">
            <w:pPr>
              <w:jc w:val="center"/>
              <w:rPr>
                <w:rFonts w:ascii="Avenir" w:eastAsia="Avenir" w:hAnsi="Avenir" w:cs="Avenir"/>
              </w:rPr>
            </w:pPr>
          </w:p>
        </w:tc>
        <w:tc>
          <w:tcPr>
            <w:tcW w:w="2329" w:type="dxa"/>
            <w:shd w:val="clear" w:color="auto" w:fill="C6E0B4"/>
          </w:tcPr>
          <w:p w14:paraId="7AFF141B"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0BB430B6" w14:textId="77777777" w:rsidTr="00F30E80">
        <w:trPr>
          <w:trHeight w:val="20"/>
        </w:trPr>
        <w:tc>
          <w:tcPr>
            <w:tcW w:w="4113" w:type="dxa"/>
            <w:vMerge/>
            <w:shd w:val="clear" w:color="auto" w:fill="C6E0B4"/>
            <w:vAlign w:val="center"/>
          </w:tcPr>
          <w:p w14:paraId="46A72522" w14:textId="77777777" w:rsidR="006C7E56" w:rsidRPr="00DB6E6D" w:rsidRDefault="006C7E56" w:rsidP="00F30E80">
            <w:pPr>
              <w:rPr>
                <w:rFonts w:ascii="Avenir" w:eastAsia="Avenir" w:hAnsi="Avenir" w:cs="Avenir"/>
                <w:sz w:val="16"/>
                <w:szCs w:val="16"/>
              </w:rPr>
            </w:pPr>
          </w:p>
        </w:tc>
        <w:tc>
          <w:tcPr>
            <w:tcW w:w="3117" w:type="dxa"/>
            <w:shd w:val="clear" w:color="auto" w:fill="C6E0B4"/>
          </w:tcPr>
          <w:p w14:paraId="154857E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nouveaux PSAT en état avancé d’élaboration,</w:t>
            </w:r>
          </w:p>
        </w:tc>
        <w:tc>
          <w:tcPr>
            <w:tcW w:w="1134" w:type="dxa"/>
            <w:shd w:val="clear" w:color="auto" w:fill="C6E0B4"/>
          </w:tcPr>
          <w:p w14:paraId="1360140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21 (KOR)</w:t>
            </w:r>
          </w:p>
          <w:p w14:paraId="67EC25DB"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30 (LOM)</w:t>
            </w:r>
          </w:p>
        </w:tc>
        <w:tc>
          <w:tcPr>
            <w:tcW w:w="1419" w:type="dxa"/>
            <w:shd w:val="clear" w:color="auto" w:fill="C6E0B4"/>
          </w:tcPr>
          <w:p w14:paraId="697524F0"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C6E0B4"/>
          </w:tcPr>
          <w:p w14:paraId="4E16F7FC"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62344E7E"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74A11F77" w14:textId="77777777" w:rsidTr="00F30E80">
        <w:trPr>
          <w:trHeight w:val="20"/>
        </w:trPr>
        <w:tc>
          <w:tcPr>
            <w:tcW w:w="4113" w:type="dxa"/>
            <w:vMerge w:val="restart"/>
            <w:shd w:val="clear" w:color="auto" w:fill="C6E0B4"/>
            <w:vAlign w:val="center"/>
          </w:tcPr>
          <w:p w14:paraId="1ABD700A"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2.3 : Accompagner la mise en œuvre des plans d’aménagement du territoire à travers un système de PSE</w:t>
            </w:r>
          </w:p>
        </w:tc>
        <w:tc>
          <w:tcPr>
            <w:tcW w:w="3117" w:type="dxa"/>
            <w:shd w:val="clear" w:color="auto" w:fill="C6E0B4"/>
          </w:tcPr>
          <w:p w14:paraId="707FF2C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 xml:space="preserve">Nb de mécanismes défini pour le co-financement d'infrastructures communautaires en mobilisant les fonds issus des PSE </w:t>
            </w:r>
          </w:p>
        </w:tc>
        <w:tc>
          <w:tcPr>
            <w:tcW w:w="1134" w:type="dxa"/>
            <w:shd w:val="clear" w:color="auto" w:fill="C6E0B4"/>
          </w:tcPr>
          <w:p w14:paraId="77913FD0"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01</w:t>
            </w:r>
          </w:p>
        </w:tc>
        <w:tc>
          <w:tcPr>
            <w:tcW w:w="1419" w:type="dxa"/>
            <w:shd w:val="clear" w:color="auto" w:fill="C6E0B4"/>
          </w:tcPr>
          <w:p w14:paraId="1A49FD16"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C6E0B4"/>
          </w:tcPr>
          <w:p w14:paraId="237EE579"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56361A70"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51ED2441" w14:textId="77777777" w:rsidTr="00F30E80">
        <w:trPr>
          <w:trHeight w:val="20"/>
        </w:trPr>
        <w:tc>
          <w:tcPr>
            <w:tcW w:w="4113" w:type="dxa"/>
            <w:vMerge/>
            <w:shd w:val="clear" w:color="auto" w:fill="C6E0B4"/>
            <w:vAlign w:val="center"/>
          </w:tcPr>
          <w:p w14:paraId="6440FDD5" w14:textId="77777777" w:rsidR="006C7E56" w:rsidRPr="00DB6E6D" w:rsidRDefault="006C7E56" w:rsidP="00F30E80">
            <w:pPr>
              <w:rPr>
                <w:rFonts w:ascii="Avenir" w:eastAsia="Avenir" w:hAnsi="Avenir" w:cs="Avenir"/>
                <w:sz w:val="16"/>
                <w:szCs w:val="16"/>
              </w:rPr>
            </w:pPr>
          </w:p>
        </w:tc>
        <w:tc>
          <w:tcPr>
            <w:tcW w:w="3117" w:type="dxa"/>
            <w:shd w:val="clear" w:color="auto" w:fill="C6E0B4"/>
          </w:tcPr>
          <w:p w14:paraId="2C56B9E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formations sur les PSE organisées</w:t>
            </w:r>
          </w:p>
        </w:tc>
        <w:tc>
          <w:tcPr>
            <w:tcW w:w="1134" w:type="dxa"/>
            <w:shd w:val="clear" w:color="auto" w:fill="C6E0B4"/>
          </w:tcPr>
          <w:p w14:paraId="1626D7D8"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04</w:t>
            </w:r>
          </w:p>
        </w:tc>
        <w:tc>
          <w:tcPr>
            <w:tcW w:w="1419" w:type="dxa"/>
            <w:shd w:val="clear" w:color="auto" w:fill="C6E0B4"/>
          </w:tcPr>
          <w:p w14:paraId="6B3335C9"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C6E0B4"/>
          </w:tcPr>
          <w:p w14:paraId="26A34254"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60344FFA"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27A576D2" w14:textId="77777777" w:rsidTr="00F30E80">
        <w:trPr>
          <w:trHeight w:val="20"/>
        </w:trPr>
        <w:tc>
          <w:tcPr>
            <w:tcW w:w="4113" w:type="dxa"/>
            <w:vMerge w:val="restart"/>
            <w:shd w:val="clear" w:color="auto" w:fill="C6E0B4"/>
            <w:vAlign w:val="center"/>
          </w:tcPr>
          <w:p w14:paraId="1194A3D0"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2.4 : Assurer la sécurisation foncière des projets forestiers, agroforestiers et de mise en défens dans les sites dédiés (</w:t>
            </w:r>
            <w:proofErr w:type="spellStart"/>
            <w:r w:rsidRPr="00DB6E6D">
              <w:rPr>
                <w:rFonts w:ascii="Avenir" w:eastAsia="Avenir" w:hAnsi="Avenir" w:cs="Avenir"/>
                <w:sz w:val="16"/>
                <w:szCs w:val="16"/>
              </w:rPr>
              <w:t>cf</w:t>
            </w:r>
            <w:proofErr w:type="spellEnd"/>
            <w:r w:rsidRPr="00DB6E6D">
              <w:rPr>
                <w:rFonts w:ascii="Avenir" w:eastAsia="Avenir" w:hAnsi="Avenir" w:cs="Avenir"/>
                <w:sz w:val="16"/>
                <w:szCs w:val="16"/>
              </w:rPr>
              <w:t xml:space="preserve"> effet 3 et effet 4) et accompagner les provinces à réaliser la revue légale des concessions foncières de plus de 5 ha</w:t>
            </w:r>
          </w:p>
        </w:tc>
        <w:tc>
          <w:tcPr>
            <w:tcW w:w="3117" w:type="dxa"/>
            <w:shd w:val="clear" w:color="auto" w:fill="C6E0B4"/>
          </w:tcPr>
          <w:p w14:paraId="0E5D2002" w14:textId="77777777" w:rsidR="006C7E56" w:rsidRPr="00DB6E6D" w:rsidRDefault="006C7E56" w:rsidP="00F30E80">
            <w:pPr>
              <w:ind w:left="10" w:firstLine="0"/>
              <w:rPr>
                <w:rFonts w:ascii="Avenir" w:eastAsia="Avenir" w:hAnsi="Avenir" w:cs="Avenir"/>
                <w:sz w:val="16"/>
                <w:szCs w:val="16"/>
              </w:rPr>
            </w:pPr>
            <w:r w:rsidRPr="00DB6E6D">
              <w:rPr>
                <w:rFonts w:ascii="Avenir" w:eastAsia="Avenir" w:hAnsi="Avenir" w:cs="Avenir"/>
                <w:sz w:val="16"/>
                <w:szCs w:val="16"/>
              </w:rPr>
              <w:t xml:space="preserve">Nb de guides élaborés pour la sécurisation foncière des projets agroforestiers et des plantations </w:t>
            </w:r>
          </w:p>
        </w:tc>
        <w:tc>
          <w:tcPr>
            <w:tcW w:w="1134" w:type="dxa"/>
            <w:shd w:val="clear" w:color="auto" w:fill="C6E0B4"/>
          </w:tcPr>
          <w:p w14:paraId="25A19E1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01</w:t>
            </w:r>
          </w:p>
        </w:tc>
        <w:tc>
          <w:tcPr>
            <w:tcW w:w="1419" w:type="dxa"/>
            <w:shd w:val="clear" w:color="auto" w:fill="C6E0B4"/>
          </w:tcPr>
          <w:p w14:paraId="443B402F"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C6E0B4"/>
          </w:tcPr>
          <w:p w14:paraId="301A24C4"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760136EF"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43B87223" w14:textId="77777777" w:rsidTr="00F30E80">
        <w:trPr>
          <w:trHeight w:val="20"/>
        </w:trPr>
        <w:tc>
          <w:tcPr>
            <w:tcW w:w="4113" w:type="dxa"/>
            <w:vMerge/>
            <w:shd w:val="clear" w:color="auto" w:fill="C6E0B4"/>
            <w:vAlign w:val="center"/>
          </w:tcPr>
          <w:p w14:paraId="11CC23D8" w14:textId="77777777" w:rsidR="006C7E56" w:rsidRPr="00DB6E6D" w:rsidRDefault="006C7E56" w:rsidP="00F30E80">
            <w:pPr>
              <w:rPr>
                <w:rFonts w:ascii="Avenir" w:eastAsia="Avenir" w:hAnsi="Avenir" w:cs="Avenir"/>
                <w:sz w:val="16"/>
                <w:szCs w:val="16"/>
              </w:rPr>
            </w:pPr>
          </w:p>
        </w:tc>
        <w:tc>
          <w:tcPr>
            <w:tcW w:w="3117" w:type="dxa"/>
            <w:shd w:val="clear" w:color="auto" w:fill="C6E0B4"/>
          </w:tcPr>
          <w:p w14:paraId="5F87C8DE" w14:textId="77777777" w:rsidR="006C7E56" w:rsidRPr="00DB6E6D" w:rsidRDefault="006C7E56" w:rsidP="00F30E80">
            <w:pPr>
              <w:ind w:left="10" w:firstLine="0"/>
              <w:rPr>
                <w:rFonts w:ascii="Avenir" w:eastAsia="Avenir" w:hAnsi="Avenir" w:cs="Avenir"/>
                <w:sz w:val="16"/>
                <w:szCs w:val="16"/>
              </w:rPr>
            </w:pPr>
            <w:r w:rsidRPr="00DB6E6D">
              <w:rPr>
                <w:rFonts w:ascii="Avenir" w:eastAsia="Avenir" w:hAnsi="Avenir" w:cs="Avenir"/>
                <w:sz w:val="16"/>
                <w:szCs w:val="16"/>
              </w:rPr>
              <w:t>Nb de bases de données actualisées des concessions &gt;5 ha en voie d'achèvement</w:t>
            </w:r>
          </w:p>
        </w:tc>
        <w:tc>
          <w:tcPr>
            <w:tcW w:w="1134" w:type="dxa"/>
            <w:shd w:val="clear" w:color="auto" w:fill="C6E0B4"/>
          </w:tcPr>
          <w:p w14:paraId="7731DDB6"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C6E0B4"/>
          </w:tcPr>
          <w:p w14:paraId="4F1392FE"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C6E0B4"/>
          </w:tcPr>
          <w:p w14:paraId="3CFAE820"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00A7E2E7"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5958CF53" w14:textId="77777777" w:rsidTr="00F30E80">
        <w:trPr>
          <w:trHeight w:val="20"/>
        </w:trPr>
        <w:tc>
          <w:tcPr>
            <w:tcW w:w="4113" w:type="dxa"/>
            <w:vMerge/>
            <w:shd w:val="clear" w:color="auto" w:fill="C6E0B4"/>
          </w:tcPr>
          <w:p w14:paraId="15FF87BA" w14:textId="77777777" w:rsidR="006C7E56" w:rsidRPr="00DB6E6D" w:rsidRDefault="006C7E56" w:rsidP="00F30E80">
            <w:pPr>
              <w:rPr>
                <w:rFonts w:ascii="Avenir" w:eastAsia="Avenir" w:hAnsi="Avenir" w:cs="Avenir"/>
                <w:sz w:val="16"/>
                <w:szCs w:val="16"/>
              </w:rPr>
            </w:pPr>
          </w:p>
        </w:tc>
        <w:tc>
          <w:tcPr>
            <w:tcW w:w="3117" w:type="dxa"/>
            <w:shd w:val="clear" w:color="auto" w:fill="C6E0B4"/>
          </w:tcPr>
          <w:p w14:paraId="0706B5CD"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revues légales des concessions &gt;5 ha initiées</w:t>
            </w:r>
          </w:p>
        </w:tc>
        <w:tc>
          <w:tcPr>
            <w:tcW w:w="1134" w:type="dxa"/>
            <w:shd w:val="clear" w:color="auto" w:fill="C6E0B4"/>
          </w:tcPr>
          <w:p w14:paraId="27793B0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C6E0B4"/>
          </w:tcPr>
          <w:p w14:paraId="70DA9FA2"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C6E0B4"/>
          </w:tcPr>
          <w:p w14:paraId="0E2B021D"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22FCDA8B"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7D8EC910" w14:textId="77777777" w:rsidTr="00F30E80">
        <w:trPr>
          <w:trHeight w:val="20"/>
        </w:trPr>
        <w:tc>
          <w:tcPr>
            <w:tcW w:w="4113" w:type="dxa"/>
            <w:vMerge w:val="restart"/>
            <w:shd w:val="clear" w:color="auto" w:fill="FFFFFF"/>
          </w:tcPr>
          <w:p w14:paraId="3F169245"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3.1 : Développer un schéma directeur d’approvisionnement Provincial en bois énergie et bois d’œuvre développé au niveau provincial</w:t>
            </w:r>
          </w:p>
        </w:tc>
        <w:tc>
          <w:tcPr>
            <w:tcW w:w="3117" w:type="dxa"/>
            <w:shd w:val="clear" w:color="auto" w:fill="FFFFFF"/>
          </w:tcPr>
          <w:p w14:paraId="5FF64937"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Nombre de rapports provisoires d’études de base préalables au schéma directeur d’approvisionnement (SDA) en bois énergie et bois d’œuvre disponible</w:t>
            </w:r>
          </w:p>
        </w:tc>
        <w:tc>
          <w:tcPr>
            <w:tcW w:w="1134" w:type="dxa"/>
            <w:shd w:val="clear" w:color="auto" w:fill="FFFFFF"/>
          </w:tcPr>
          <w:p w14:paraId="0663AF41"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02</w:t>
            </w:r>
          </w:p>
        </w:tc>
        <w:tc>
          <w:tcPr>
            <w:tcW w:w="1419" w:type="dxa"/>
            <w:shd w:val="clear" w:color="auto" w:fill="FFFFFF"/>
          </w:tcPr>
          <w:p w14:paraId="39471626"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FFFFFF"/>
          </w:tcPr>
          <w:p w14:paraId="772978DB" w14:textId="77777777" w:rsidR="006C7E56" w:rsidRPr="00DB6E6D" w:rsidRDefault="006C7E56" w:rsidP="00F30E80">
            <w:pPr>
              <w:jc w:val="center"/>
              <w:rPr>
                <w:rFonts w:ascii="Avenir" w:eastAsia="Avenir" w:hAnsi="Avenir" w:cs="Avenir"/>
              </w:rPr>
            </w:pPr>
          </w:p>
        </w:tc>
        <w:tc>
          <w:tcPr>
            <w:tcW w:w="2329" w:type="dxa"/>
            <w:shd w:val="clear" w:color="auto" w:fill="FFFFFF"/>
          </w:tcPr>
          <w:p w14:paraId="0D0E6D96"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30907769" w14:textId="77777777" w:rsidTr="00F30E80">
        <w:trPr>
          <w:trHeight w:val="20"/>
        </w:trPr>
        <w:tc>
          <w:tcPr>
            <w:tcW w:w="4113" w:type="dxa"/>
            <w:vMerge/>
            <w:shd w:val="clear" w:color="auto" w:fill="FFFFFF"/>
          </w:tcPr>
          <w:p w14:paraId="69C46624" w14:textId="77777777" w:rsidR="006C7E56" w:rsidRPr="00DB6E6D" w:rsidRDefault="006C7E56" w:rsidP="00F30E80">
            <w:pPr>
              <w:rPr>
                <w:rFonts w:ascii="Avenir" w:eastAsia="Avenir" w:hAnsi="Avenir" w:cs="Avenir"/>
                <w:sz w:val="16"/>
                <w:szCs w:val="16"/>
              </w:rPr>
            </w:pPr>
          </w:p>
        </w:tc>
        <w:tc>
          <w:tcPr>
            <w:tcW w:w="3117" w:type="dxa"/>
            <w:shd w:val="clear" w:color="auto" w:fill="FFFFFF"/>
          </w:tcPr>
          <w:p w14:paraId="2E8F72AF"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Nombre de concertations organisées pour l'élaboration du schéma directeur</w:t>
            </w:r>
          </w:p>
        </w:tc>
        <w:tc>
          <w:tcPr>
            <w:tcW w:w="1134" w:type="dxa"/>
            <w:shd w:val="clear" w:color="auto" w:fill="FFFFFF"/>
          </w:tcPr>
          <w:p w14:paraId="502F63DD"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FFFFFF"/>
          </w:tcPr>
          <w:p w14:paraId="4516E948"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FFFFFF"/>
          </w:tcPr>
          <w:p w14:paraId="1B003A63" w14:textId="77777777" w:rsidR="006C7E56" w:rsidRPr="00DB6E6D" w:rsidRDefault="006C7E56" w:rsidP="00F30E80">
            <w:pPr>
              <w:jc w:val="center"/>
              <w:rPr>
                <w:rFonts w:ascii="Avenir" w:eastAsia="Avenir" w:hAnsi="Avenir" w:cs="Avenir"/>
                <w:sz w:val="16"/>
                <w:szCs w:val="16"/>
              </w:rPr>
            </w:pPr>
          </w:p>
        </w:tc>
        <w:tc>
          <w:tcPr>
            <w:tcW w:w="2329" w:type="dxa"/>
            <w:shd w:val="clear" w:color="auto" w:fill="FFFFFF"/>
          </w:tcPr>
          <w:p w14:paraId="72CCA986"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578E00A9" w14:textId="77777777" w:rsidTr="00F30E80">
        <w:trPr>
          <w:trHeight w:val="20"/>
        </w:trPr>
        <w:tc>
          <w:tcPr>
            <w:tcW w:w="4113" w:type="dxa"/>
            <w:shd w:val="clear" w:color="auto" w:fill="FFFFFF"/>
          </w:tcPr>
          <w:p w14:paraId="3141C93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3.2: Mettre en place un système d’information et de suivi du bois-énergie et du bois d’œuvre</w:t>
            </w:r>
          </w:p>
        </w:tc>
        <w:tc>
          <w:tcPr>
            <w:tcW w:w="3117" w:type="dxa"/>
            <w:shd w:val="clear" w:color="auto" w:fill="FFFFFF"/>
          </w:tcPr>
          <w:p w14:paraId="43D032AB"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Nombre de rapports provisoires d’études préalables à la conception du système de suivi</w:t>
            </w:r>
          </w:p>
        </w:tc>
        <w:tc>
          <w:tcPr>
            <w:tcW w:w="1134" w:type="dxa"/>
            <w:shd w:val="clear" w:color="auto" w:fill="FFFFFF"/>
          </w:tcPr>
          <w:p w14:paraId="2534AA1B"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02</w:t>
            </w:r>
          </w:p>
        </w:tc>
        <w:tc>
          <w:tcPr>
            <w:tcW w:w="1419" w:type="dxa"/>
            <w:shd w:val="clear" w:color="auto" w:fill="FFFFFF"/>
          </w:tcPr>
          <w:p w14:paraId="706E9B6F"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FFFFFF"/>
          </w:tcPr>
          <w:p w14:paraId="5E4DD20E" w14:textId="77777777" w:rsidR="006C7E56" w:rsidRPr="00DB6E6D" w:rsidRDefault="006C7E56" w:rsidP="00F30E80">
            <w:pPr>
              <w:jc w:val="center"/>
              <w:rPr>
                <w:rFonts w:ascii="Avenir" w:eastAsia="Avenir" w:hAnsi="Avenir" w:cs="Avenir"/>
              </w:rPr>
            </w:pPr>
          </w:p>
        </w:tc>
        <w:tc>
          <w:tcPr>
            <w:tcW w:w="2329" w:type="dxa"/>
            <w:shd w:val="clear" w:color="auto" w:fill="FFFFFF"/>
          </w:tcPr>
          <w:p w14:paraId="6A80501B"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5A63D9B8" w14:textId="77777777" w:rsidTr="00F30E80">
        <w:trPr>
          <w:trHeight w:val="20"/>
        </w:trPr>
        <w:tc>
          <w:tcPr>
            <w:tcW w:w="4113" w:type="dxa"/>
            <w:shd w:val="clear" w:color="auto" w:fill="FFFFFF"/>
          </w:tcPr>
          <w:p w14:paraId="7DBC3FF6" w14:textId="77777777" w:rsidR="006C7E56" w:rsidRPr="00DB6E6D" w:rsidRDefault="006C7E56" w:rsidP="00F30E80">
            <w:pPr>
              <w:rPr>
                <w:rFonts w:ascii="Avenir" w:eastAsia="Avenir" w:hAnsi="Avenir" w:cs="Avenir"/>
                <w:sz w:val="16"/>
                <w:szCs w:val="16"/>
              </w:rPr>
            </w:pPr>
          </w:p>
        </w:tc>
        <w:tc>
          <w:tcPr>
            <w:tcW w:w="3117" w:type="dxa"/>
            <w:shd w:val="clear" w:color="auto" w:fill="FFFFFF"/>
          </w:tcPr>
          <w:p w14:paraId="39EEC823"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 xml:space="preserve">Nbre de version test du système d’information et de suivi du bois-énergie et du bois d’œuvre </w:t>
            </w:r>
          </w:p>
        </w:tc>
        <w:tc>
          <w:tcPr>
            <w:tcW w:w="1134" w:type="dxa"/>
            <w:shd w:val="clear" w:color="auto" w:fill="FFFFFF"/>
          </w:tcPr>
          <w:p w14:paraId="1880C5A7"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FFFFFF"/>
          </w:tcPr>
          <w:p w14:paraId="1F2B5077"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FFFFFF"/>
          </w:tcPr>
          <w:p w14:paraId="5BBAB2EE" w14:textId="77777777" w:rsidR="006C7E56" w:rsidRPr="00DB6E6D" w:rsidRDefault="006C7E56" w:rsidP="00F30E80">
            <w:pPr>
              <w:jc w:val="center"/>
              <w:rPr>
                <w:rFonts w:ascii="Avenir" w:eastAsia="Avenir" w:hAnsi="Avenir" w:cs="Avenir"/>
              </w:rPr>
            </w:pPr>
          </w:p>
        </w:tc>
        <w:tc>
          <w:tcPr>
            <w:tcW w:w="2329" w:type="dxa"/>
            <w:shd w:val="clear" w:color="auto" w:fill="FFFFFF"/>
          </w:tcPr>
          <w:p w14:paraId="246F3C2A"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2DEEEB86" w14:textId="77777777" w:rsidTr="00F30E80">
        <w:trPr>
          <w:trHeight w:val="20"/>
        </w:trPr>
        <w:tc>
          <w:tcPr>
            <w:tcW w:w="4113" w:type="dxa"/>
            <w:vMerge w:val="restart"/>
            <w:shd w:val="clear" w:color="auto" w:fill="FFFFFF"/>
          </w:tcPr>
          <w:p w14:paraId="43A4461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3.3 : Améliorer les systèmes de gestion des forêts et d’exploitation des ressources naturelles (en lien avec les Plans d'aménagement)</w:t>
            </w:r>
          </w:p>
        </w:tc>
        <w:tc>
          <w:tcPr>
            <w:tcW w:w="3117" w:type="dxa"/>
            <w:shd w:val="clear" w:color="auto" w:fill="FFFFFF"/>
          </w:tcPr>
          <w:p w14:paraId="1022409E" w14:textId="77777777" w:rsidR="006C7E56" w:rsidRPr="00DB6E6D" w:rsidRDefault="006C7E56" w:rsidP="00F30E80">
            <w:pPr>
              <w:ind w:left="0" w:firstLine="0"/>
              <w:rPr>
                <w:rFonts w:ascii="Avenir" w:eastAsia="Avenir" w:hAnsi="Avenir" w:cs="Avenir"/>
                <w:sz w:val="16"/>
                <w:szCs w:val="16"/>
              </w:rPr>
            </w:pPr>
            <w:r w:rsidRPr="00DB6E6D">
              <w:rPr>
                <w:rFonts w:ascii="Avenir" w:eastAsia="Avenir" w:hAnsi="Avenir" w:cs="Avenir"/>
                <w:sz w:val="16"/>
                <w:szCs w:val="16"/>
              </w:rPr>
              <w:t xml:space="preserve">Superficie (ha) identifiée / cartographiée pour la mise en défens dans les deux provinces </w:t>
            </w:r>
          </w:p>
        </w:tc>
        <w:tc>
          <w:tcPr>
            <w:tcW w:w="1134" w:type="dxa"/>
            <w:shd w:val="clear" w:color="auto" w:fill="FFFFFF"/>
          </w:tcPr>
          <w:p w14:paraId="0D15B9D4"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14000</w:t>
            </w:r>
          </w:p>
        </w:tc>
        <w:tc>
          <w:tcPr>
            <w:tcW w:w="1419" w:type="dxa"/>
            <w:shd w:val="clear" w:color="auto" w:fill="FFFFFF"/>
          </w:tcPr>
          <w:p w14:paraId="1586B7FC"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FFFFFF"/>
          </w:tcPr>
          <w:p w14:paraId="6C4CFA56" w14:textId="77777777" w:rsidR="006C7E56" w:rsidRPr="00DB6E6D" w:rsidRDefault="006C7E56" w:rsidP="00F30E80">
            <w:pPr>
              <w:jc w:val="center"/>
              <w:rPr>
                <w:rFonts w:ascii="Avenir" w:eastAsia="Avenir" w:hAnsi="Avenir" w:cs="Avenir"/>
                <w:sz w:val="16"/>
                <w:szCs w:val="16"/>
              </w:rPr>
            </w:pPr>
          </w:p>
        </w:tc>
        <w:tc>
          <w:tcPr>
            <w:tcW w:w="2329" w:type="dxa"/>
            <w:shd w:val="clear" w:color="auto" w:fill="FFFFFF"/>
          </w:tcPr>
          <w:p w14:paraId="602CB37F"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5783674C" w14:textId="77777777" w:rsidTr="00F30E80">
        <w:trPr>
          <w:trHeight w:val="20"/>
        </w:trPr>
        <w:tc>
          <w:tcPr>
            <w:tcW w:w="4113" w:type="dxa"/>
            <w:vMerge/>
            <w:shd w:val="clear" w:color="auto" w:fill="FFFFFF"/>
          </w:tcPr>
          <w:p w14:paraId="41CE4C18" w14:textId="77777777" w:rsidR="006C7E56" w:rsidRPr="00DB6E6D" w:rsidRDefault="006C7E56" w:rsidP="00F30E80">
            <w:pPr>
              <w:rPr>
                <w:rFonts w:ascii="Avenir" w:eastAsia="Avenir" w:hAnsi="Avenir" w:cs="Avenir"/>
                <w:sz w:val="16"/>
                <w:szCs w:val="16"/>
              </w:rPr>
            </w:pPr>
          </w:p>
        </w:tc>
        <w:tc>
          <w:tcPr>
            <w:tcW w:w="3117" w:type="dxa"/>
            <w:shd w:val="clear" w:color="auto" w:fill="FFFFFF"/>
          </w:tcPr>
          <w:p w14:paraId="224A1B73" w14:textId="77777777" w:rsidR="006C7E56" w:rsidRPr="00DB6E6D" w:rsidRDefault="006C7E56" w:rsidP="00F30E80">
            <w:pPr>
              <w:rPr>
                <w:rFonts w:ascii="Avenir" w:eastAsia="Avenir" w:hAnsi="Avenir" w:cs="Avenir"/>
                <w:sz w:val="16"/>
                <w:szCs w:val="16"/>
                <w:highlight w:val="green"/>
              </w:rPr>
            </w:pPr>
            <w:r w:rsidRPr="00DB6E6D">
              <w:rPr>
                <w:rFonts w:ascii="Avenir" w:eastAsia="Avenir" w:hAnsi="Avenir" w:cs="Avenir"/>
                <w:sz w:val="16"/>
                <w:szCs w:val="16"/>
              </w:rPr>
              <w:t>Superficie (ha) identifiée / cartographiée pour le reboisement communautaire dans les deux provinces</w:t>
            </w:r>
          </w:p>
        </w:tc>
        <w:tc>
          <w:tcPr>
            <w:tcW w:w="1134" w:type="dxa"/>
            <w:shd w:val="clear" w:color="auto" w:fill="FFFFFF"/>
          </w:tcPr>
          <w:p w14:paraId="100BBF6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200</w:t>
            </w:r>
          </w:p>
        </w:tc>
        <w:tc>
          <w:tcPr>
            <w:tcW w:w="1419" w:type="dxa"/>
            <w:shd w:val="clear" w:color="auto" w:fill="FFFFFF"/>
          </w:tcPr>
          <w:p w14:paraId="2DB9B35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FFFFFF"/>
          </w:tcPr>
          <w:p w14:paraId="48221F45" w14:textId="77777777" w:rsidR="006C7E56" w:rsidRPr="00DB6E6D" w:rsidRDefault="006C7E56" w:rsidP="00F30E80">
            <w:pPr>
              <w:jc w:val="center"/>
              <w:rPr>
                <w:rFonts w:ascii="Avenir" w:eastAsia="Avenir" w:hAnsi="Avenir" w:cs="Avenir"/>
                <w:sz w:val="16"/>
                <w:szCs w:val="16"/>
              </w:rPr>
            </w:pPr>
          </w:p>
        </w:tc>
        <w:tc>
          <w:tcPr>
            <w:tcW w:w="2329" w:type="dxa"/>
            <w:shd w:val="clear" w:color="auto" w:fill="FFFFFF"/>
          </w:tcPr>
          <w:p w14:paraId="60166DE9"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14959982" w14:textId="77777777" w:rsidTr="00F30E80">
        <w:trPr>
          <w:trHeight w:val="20"/>
        </w:trPr>
        <w:tc>
          <w:tcPr>
            <w:tcW w:w="4113" w:type="dxa"/>
            <w:vMerge w:val="restart"/>
            <w:shd w:val="clear" w:color="auto" w:fill="FFFFFF"/>
          </w:tcPr>
          <w:p w14:paraId="671EBEC6"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3.4 : Susciter et accompagner des actions de reboisement à large échelle</w:t>
            </w:r>
          </w:p>
        </w:tc>
        <w:tc>
          <w:tcPr>
            <w:tcW w:w="3117" w:type="dxa"/>
            <w:tcBorders>
              <w:top w:val="single" w:sz="4" w:space="0" w:color="auto"/>
              <w:left w:val="single" w:sz="4" w:space="0" w:color="auto"/>
              <w:bottom w:val="single" w:sz="4" w:space="0" w:color="auto"/>
              <w:right w:val="single" w:sz="4" w:space="0" w:color="auto"/>
            </w:tcBorders>
            <w:shd w:val="clear" w:color="000000" w:fill="FFFFFF"/>
          </w:tcPr>
          <w:p w14:paraId="2189AEEA"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 xml:space="preserve">Nbre de rapport d’inventaire des plantations existantes </w:t>
            </w:r>
          </w:p>
        </w:tc>
        <w:tc>
          <w:tcPr>
            <w:tcW w:w="1134" w:type="dxa"/>
            <w:shd w:val="clear" w:color="auto" w:fill="FFFFFF"/>
          </w:tcPr>
          <w:p w14:paraId="3A07F996"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FFFFFF"/>
          </w:tcPr>
          <w:p w14:paraId="5EFEBA45"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FFFFFF"/>
          </w:tcPr>
          <w:p w14:paraId="6D3CCD8B" w14:textId="77777777" w:rsidR="006C7E56" w:rsidRPr="00DB6E6D" w:rsidRDefault="006C7E56" w:rsidP="00F30E80">
            <w:pPr>
              <w:jc w:val="center"/>
              <w:rPr>
                <w:rFonts w:ascii="Avenir" w:eastAsia="Avenir" w:hAnsi="Avenir" w:cs="Avenir"/>
                <w:sz w:val="16"/>
                <w:szCs w:val="16"/>
              </w:rPr>
            </w:pPr>
          </w:p>
        </w:tc>
        <w:tc>
          <w:tcPr>
            <w:tcW w:w="2329" w:type="dxa"/>
            <w:shd w:val="clear" w:color="auto" w:fill="FFFFFF"/>
          </w:tcPr>
          <w:p w14:paraId="50A63D97"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3266AB77" w14:textId="77777777" w:rsidTr="00F30E80">
        <w:trPr>
          <w:trHeight w:val="20"/>
        </w:trPr>
        <w:tc>
          <w:tcPr>
            <w:tcW w:w="4113" w:type="dxa"/>
            <w:vMerge/>
            <w:shd w:val="clear" w:color="auto" w:fill="FFFFFF"/>
          </w:tcPr>
          <w:p w14:paraId="4A2EC6ED" w14:textId="77777777" w:rsidR="006C7E56" w:rsidRPr="00DB6E6D" w:rsidRDefault="006C7E56" w:rsidP="00F30E80">
            <w:pPr>
              <w:rPr>
                <w:rFonts w:ascii="Avenir" w:eastAsia="Avenir" w:hAnsi="Avenir" w:cs="Avenir"/>
                <w:sz w:val="16"/>
                <w:szCs w:val="16"/>
              </w:rPr>
            </w:pPr>
          </w:p>
        </w:tc>
        <w:tc>
          <w:tcPr>
            <w:tcW w:w="3117" w:type="dxa"/>
            <w:tcBorders>
              <w:top w:val="nil"/>
              <w:left w:val="single" w:sz="4" w:space="0" w:color="auto"/>
              <w:bottom w:val="single" w:sz="4" w:space="0" w:color="auto"/>
              <w:right w:val="single" w:sz="4" w:space="0" w:color="auto"/>
            </w:tcBorders>
            <w:shd w:val="clear" w:color="000000" w:fill="FFFFFF"/>
          </w:tcPr>
          <w:p w14:paraId="7F923C7F"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Superficie (ha) de plantations potentielles identifiées et cartographiées</w:t>
            </w:r>
          </w:p>
        </w:tc>
        <w:tc>
          <w:tcPr>
            <w:tcW w:w="1134" w:type="dxa"/>
            <w:shd w:val="clear" w:color="auto" w:fill="FFFFFF"/>
          </w:tcPr>
          <w:p w14:paraId="2827E28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3200</w:t>
            </w:r>
          </w:p>
        </w:tc>
        <w:tc>
          <w:tcPr>
            <w:tcW w:w="1419" w:type="dxa"/>
            <w:shd w:val="clear" w:color="auto" w:fill="FFFFFF"/>
          </w:tcPr>
          <w:p w14:paraId="1D2926D6"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FFFFFF"/>
          </w:tcPr>
          <w:p w14:paraId="4EC3AD84" w14:textId="77777777" w:rsidR="006C7E56" w:rsidRPr="00DB6E6D" w:rsidRDefault="006C7E56" w:rsidP="00F30E80">
            <w:pPr>
              <w:jc w:val="center"/>
              <w:rPr>
                <w:rFonts w:ascii="Avenir" w:eastAsia="Avenir" w:hAnsi="Avenir" w:cs="Avenir"/>
                <w:sz w:val="16"/>
                <w:szCs w:val="16"/>
              </w:rPr>
            </w:pPr>
          </w:p>
        </w:tc>
        <w:tc>
          <w:tcPr>
            <w:tcW w:w="2329" w:type="dxa"/>
            <w:shd w:val="clear" w:color="auto" w:fill="FFFFFF"/>
          </w:tcPr>
          <w:p w14:paraId="43E48F9F"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145E8BFC" w14:textId="77777777" w:rsidTr="00F30E80">
        <w:trPr>
          <w:trHeight w:val="20"/>
        </w:trPr>
        <w:tc>
          <w:tcPr>
            <w:tcW w:w="4113" w:type="dxa"/>
            <w:vMerge/>
            <w:shd w:val="clear" w:color="auto" w:fill="FFFFFF"/>
          </w:tcPr>
          <w:p w14:paraId="27CCD2DE" w14:textId="77777777" w:rsidR="006C7E56" w:rsidRPr="00DB6E6D" w:rsidRDefault="006C7E56" w:rsidP="00F30E80">
            <w:pPr>
              <w:rPr>
                <w:rFonts w:ascii="Avenir" w:eastAsia="Avenir" w:hAnsi="Avenir" w:cs="Avenir"/>
                <w:sz w:val="16"/>
                <w:szCs w:val="16"/>
              </w:rPr>
            </w:pPr>
          </w:p>
        </w:tc>
        <w:tc>
          <w:tcPr>
            <w:tcW w:w="3117" w:type="dxa"/>
            <w:tcBorders>
              <w:top w:val="nil"/>
              <w:left w:val="single" w:sz="4" w:space="0" w:color="auto"/>
              <w:bottom w:val="single" w:sz="4" w:space="0" w:color="auto"/>
              <w:right w:val="single" w:sz="4" w:space="0" w:color="auto"/>
            </w:tcBorders>
            <w:shd w:val="clear" w:color="000000" w:fill="FFFFFF"/>
          </w:tcPr>
          <w:p w14:paraId="77C251EE"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 xml:space="preserve">Nbre de modèles économiques viables en plantations privées disponibles </w:t>
            </w:r>
          </w:p>
        </w:tc>
        <w:tc>
          <w:tcPr>
            <w:tcW w:w="1134" w:type="dxa"/>
            <w:shd w:val="clear" w:color="auto" w:fill="FFFFFF"/>
          </w:tcPr>
          <w:p w14:paraId="74CE1C02"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FFFFFF"/>
          </w:tcPr>
          <w:p w14:paraId="22155F0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FFFFFF"/>
          </w:tcPr>
          <w:p w14:paraId="28EA80F5" w14:textId="77777777" w:rsidR="006C7E56" w:rsidRPr="00DB6E6D" w:rsidRDefault="006C7E56" w:rsidP="00F30E80">
            <w:pPr>
              <w:jc w:val="center"/>
              <w:rPr>
                <w:rFonts w:ascii="Avenir" w:eastAsia="Avenir" w:hAnsi="Avenir" w:cs="Avenir"/>
                <w:sz w:val="16"/>
                <w:szCs w:val="16"/>
              </w:rPr>
            </w:pPr>
          </w:p>
        </w:tc>
        <w:tc>
          <w:tcPr>
            <w:tcW w:w="2329" w:type="dxa"/>
            <w:shd w:val="clear" w:color="auto" w:fill="FFFFFF"/>
          </w:tcPr>
          <w:p w14:paraId="4761F77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3A3908FB" w14:textId="77777777" w:rsidTr="00F30E80">
        <w:trPr>
          <w:trHeight w:val="20"/>
        </w:trPr>
        <w:tc>
          <w:tcPr>
            <w:tcW w:w="4113" w:type="dxa"/>
            <w:shd w:val="clear" w:color="auto" w:fill="FFFFFF"/>
          </w:tcPr>
          <w:p w14:paraId="0A2D058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3.5 : Structurer et renforcer les capacités des producteurs de bois énergie et de bois d’œuvre</w:t>
            </w:r>
          </w:p>
        </w:tc>
        <w:tc>
          <w:tcPr>
            <w:tcW w:w="3117" w:type="dxa"/>
            <w:shd w:val="clear" w:color="auto" w:fill="FFFFFF"/>
          </w:tcPr>
          <w:p w14:paraId="7C3A1B1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Nombre de producteurs de bois énergie et bois d'œuvre structurés</w:t>
            </w:r>
          </w:p>
          <w:p w14:paraId="5C2DC4F3" w14:textId="77777777" w:rsidR="006C7E56" w:rsidRPr="00DB6E6D" w:rsidRDefault="006C7E56" w:rsidP="00F30E80">
            <w:pPr>
              <w:rPr>
                <w:rFonts w:ascii="Avenir" w:eastAsia="Avenir" w:hAnsi="Avenir" w:cs="Avenir"/>
                <w:sz w:val="16"/>
                <w:szCs w:val="16"/>
              </w:rPr>
            </w:pPr>
          </w:p>
        </w:tc>
        <w:tc>
          <w:tcPr>
            <w:tcW w:w="1134" w:type="dxa"/>
            <w:shd w:val="clear" w:color="auto" w:fill="FFFFFF"/>
          </w:tcPr>
          <w:p w14:paraId="62E993B0"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500</w:t>
            </w:r>
          </w:p>
        </w:tc>
        <w:tc>
          <w:tcPr>
            <w:tcW w:w="1419" w:type="dxa"/>
            <w:shd w:val="clear" w:color="auto" w:fill="FFFFFF"/>
          </w:tcPr>
          <w:p w14:paraId="35D3B8FB"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FFFFFF"/>
          </w:tcPr>
          <w:p w14:paraId="166C3A32" w14:textId="77777777" w:rsidR="006C7E56" w:rsidRPr="00DB6E6D" w:rsidRDefault="006C7E56" w:rsidP="00F30E80">
            <w:pPr>
              <w:jc w:val="center"/>
              <w:rPr>
                <w:rFonts w:ascii="Avenir" w:eastAsia="Avenir" w:hAnsi="Avenir" w:cs="Avenir"/>
                <w:sz w:val="16"/>
                <w:szCs w:val="16"/>
              </w:rPr>
            </w:pPr>
          </w:p>
        </w:tc>
        <w:tc>
          <w:tcPr>
            <w:tcW w:w="2329" w:type="dxa"/>
            <w:shd w:val="clear" w:color="auto" w:fill="FFFFFF"/>
          </w:tcPr>
          <w:p w14:paraId="51014ECE"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7EFE6E70" w14:textId="77777777" w:rsidTr="00F30E80">
        <w:trPr>
          <w:trHeight w:val="20"/>
        </w:trPr>
        <w:tc>
          <w:tcPr>
            <w:tcW w:w="4113" w:type="dxa"/>
            <w:vMerge w:val="restart"/>
            <w:shd w:val="clear" w:color="auto" w:fill="FFFFFF"/>
          </w:tcPr>
          <w:p w14:paraId="391A5E5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3.6 : Promouvoir des initiatives liées aux métiers verts à travers l’entreprenariat pour contribuer à la réduction de la demande en bois-énergie et bois d’œuvre</w:t>
            </w:r>
          </w:p>
        </w:tc>
        <w:tc>
          <w:tcPr>
            <w:tcW w:w="3117" w:type="dxa"/>
            <w:shd w:val="clear" w:color="auto" w:fill="FFFFFF"/>
          </w:tcPr>
          <w:p w14:paraId="43A25C0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rapports d’étude sur les foyers améliorées disponibles</w:t>
            </w:r>
          </w:p>
        </w:tc>
        <w:tc>
          <w:tcPr>
            <w:tcW w:w="1134" w:type="dxa"/>
            <w:shd w:val="clear" w:color="auto" w:fill="FFFFFF"/>
          </w:tcPr>
          <w:p w14:paraId="46B0DD92"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FFFFFF"/>
          </w:tcPr>
          <w:p w14:paraId="0A30F4E5"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FFFFFF"/>
          </w:tcPr>
          <w:p w14:paraId="132FBA47" w14:textId="77777777" w:rsidR="006C7E56" w:rsidRPr="00DB6E6D" w:rsidRDefault="006C7E56" w:rsidP="00F30E80">
            <w:pPr>
              <w:jc w:val="center"/>
              <w:rPr>
                <w:rFonts w:ascii="Avenir" w:eastAsia="Avenir" w:hAnsi="Avenir" w:cs="Avenir"/>
                <w:sz w:val="16"/>
                <w:szCs w:val="16"/>
              </w:rPr>
            </w:pPr>
          </w:p>
        </w:tc>
        <w:tc>
          <w:tcPr>
            <w:tcW w:w="2329" w:type="dxa"/>
            <w:shd w:val="clear" w:color="auto" w:fill="FFFFFF"/>
          </w:tcPr>
          <w:p w14:paraId="2909FB67"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561DAD40" w14:textId="77777777" w:rsidTr="00F30E80">
        <w:trPr>
          <w:trHeight w:val="20"/>
        </w:trPr>
        <w:tc>
          <w:tcPr>
            <w:tcW w:w="4113" w:type="dxa"/>
            <w:vMerge/>
            <w:shd w:val="clear" w:color="auto" w:fill="FFFFFF"/>
          </w:tcPr>
          <w:p w14:paraId="01DFBE98" w14:textId="77777777" w:rsidR="006C7E56" w:rsidRPr="00DB6E6D" w:rsidRDefault="006C7E56" w:rsidP="00F30E80">
            <w:pPr>
              <w:rPr>
                <w:rFonts w:ascii="Avenir" w:eastAsia="Avenir" w:hAnsi="Avenir" w:cs="Avenir"/>
                <w:sz w:val="16"/>
                <w:szCs w:val="16"/>
              </w:rPr>
            </w:pPr>
          </w:p>
        </w:tc>
        <w:tc>
          <w:tcPr>
            <w:tcW w:w="3117" w:type="dxa"/>
            <w:shd w:val="clear" w:color="auto" w:fill="FFFFFF"/>
          </w:tcPr>
          <w:p w14:paraId="7F9F8317"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plans d'action sur les foyers améliorées disponibles</w:t>
            </w:r>
          </w:p>
        </w:tc>
        <w:tc>
          <w:tcPr>
            <w:tcW w:w="1134" w:type="dxa"/>
            <w:shd w:val="clear" w:color="auto" w:fill="FFFFFF"/>
          </w:tcPr>
          <w:p w14:paraId="2574FA3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FFFFFF"/>
          </w:tcPr>
          <w:p w14:paraId="13AF5637" w14:textId="77777777" w:rsidR="006C7E56" w:rsidRPr="00DB6E6D" w:rsidRDefault="006C7E56" w:rsidP="00F30E80">
            <w:pPr>
              <w:rPr>
                <w:rFonts w:ascii="Avenir" w:eastAsia="Avenir" w:hAnsi="Avenir" w:cs="Avenir"/>
                <w:sz w:val="16"/>
                <w:szCs w:val="16"/>
              </w:rPr>
            </w:pPr>
          </w:p>
        </w:tc>
        <w:tc>
          <w:tcPr>
            <w:tcW w:w="1274" w:type="dxa"/>
            <w:shd w:val="clear" w:color="auto" w:fill="FFFFFF"/>
          </w:tcPr>
          <w:p w14:paraId="488B2DBC" w14:textId="77777777" w:rsidR="006C7E56" w:rsidRPr="00DB6E6D" w:rsidRDefault="006C7E56" w:rsidP="00F30E80">
            <w:pPr>
              <w:jc w:val="center"/>
              <w:rPr>
                <w:rFonts w:ascii="Avenir" w:eastAsia="Avenir" w:hAnsi="Avenir" w:cs="Avenir"/>
                <w:sz w:val="16"/>
                <w:szCs w:val="16"/>
              </w:rPr>
            </w:pPr>
          </w:p>
        </w:tc>
        <w:tc>
          <w:tcPr>
            <w:tcW w:w="2329" w:type="dxa"/>
            <w:shd w:val="clear" w:color="auto" w:fill="FFFFFF"/>
          </w:tcPr>
          <w:p w14:paraId="1E665027"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344999DF" w14:textId="77777777" w:rsidTr="00F30E80">
        <w:trPr>
          <w:trHeight w:val="20"/>
        </w:trPr>
        <w:tc>
          <w:tcPr>
            <w:tcW w:w="4113" w:type="dxa"/>
            <w:vMerge w:val="restart"/>
            <w:shd w:val="clear" w:color="auto" w:fill="C6E0B4"/>
          </w:tcPr>
          <w:p w14:paraId="4B8C5C3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4.1 : Promouvoir et développer des plantations agro-forestières</w:t>
            </w:r>
          </w:p>
        </w:tc>
        <w:tc>
          <w:tcPr>
            <w:tcW w:w="3117" w:type="dxa"/>
            <w:shd w:val="clear" w:color="auto" w:fill="C6E0B4"/>
          </w:tcPr>
          <w:p w14:paraId="62BAC6B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rapport d’inventaires des initiatives d'agroforesterie disponibles</w:t>
            </w:r>
          </w:p>
        </w:tc>
        <w:tc>
          <w:tcPr>
            <w:tcW w:w="1134" w:type="dxa"/>
            <w:shd w:val="clear" w:color="auto" w:fill="C6E0B4"/>
          </w:tcPr>
          <w:p w14:paraId="3266CD79"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02</w:t>
            </w:r>
          </w:p>
        </w:tc>
        <w:tc>
          <w:tcPr>
            <w:tcW w:w="1419" w:type="dxa"/>
            <w:shd w:val="clear" w:color="auto" w:fill="C6E0B4"/>
          </w:tcPr>
          <w:p w14:paraId="2CE5771F"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C6E0B4"/>
          </w:tcPr>
          <w:p w14:paraId="7A17A3C5"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77F2AFA7"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7C0A5DDA" w14:textId="77777777" w:rsidTr="00F30E80">
        <w:trPr>
          <w:trHeight w:val="20"/>
        </w:trPr>
        <w:tc>
          <w:tcPr>
            <w:tcW w:w="4113" w:type="dxa"/>
            <w:vMerge/>
            <w:shd w:val="clear" w:color="auto" w:fill="C6E0B4"/>
          </w:tcPr>
          <w:p w14:paraId="06A0D1C3" w14:textId="77777777" w:rsidR="006C7E56" w:rsidRPr="00DB6E6D" w:rsidRDefault="006C7E56" w:rsidP="00F30E80">
            <w:pPr>
              <w:rPr>
                <w:rFonts w:ascii="Avenir" w:eastAsia="Avenir" w:hAnsi="Avenir" w:cs="Avenir"/>
                <w:sz w:val="16"/>
                <w:szCs w:val="16"/>
              </w:rPr>
            </w:pPr>
          </w:p>
        </w:tc>
        <w:tc>
          <w:tcPr>
            <w:tcW w:w="3117" w:type="dxa"/>
            <w:shd w:val="clear" w:color="auto" w:fill="C6E0B4"/>
          </w:tcPr>
          <w:p w14:paraId="629BDFD5"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modèles technico-économiques viables de différents types des plantations agroforestières disponibles</w:t>
            </w:r>
          </w:p>
        </w:tc>
        <w:tc>
          <w:tcPr>
            <w:tcW w:w="1134" w:type="dxa"/>
            <w:shd w:val="clear" w:color="auto" w:fill="C6E0B4"/>
          </w:tcPr>
          <w:p w14:paraId="10E6DED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05</w:t>
            </w:r>
          </w:p>
        </w:tc>
        <w:tc>
          <w:tcPr>
            <w:tcW w:w="1419" w:type="dxa"/>
            <w:shd w:val="clear" w:color="auto" w:fill="C6E0B4"/>
          </w:tcPr>
          <w:p w14:paraId="03FFF6F7"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C6E0B4"/>
          </w:tcPr>
          <w:p w14:paraId="0DB203D4"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014981EF"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470418ED" w14:textId="77777777" w:rsidTr="00F30E80">
        <w:trPr>
          <w:trHeight w:val="20"/>
        </w:trPr>
        <w:tc>
          <w:tcPr>
            <w:tcW w:w="4113" w:type="dxa"/>
            <w:vMerge w:val="restart"/>
            <w:shd w:val="clear" w:color="auto" w:fill="C6E0B4"/>
          </w:tcPr>
          <w:p w14:paraId="34BF5E98"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4.2 : Améliorer la structuration et l’efficacité des systèmes de commercialisation</w:t>
            </w:r>
          </w:p>
        </w:tc>
        <w:tc>
          <w:tcPr>
            <w:tcW w:w="3117" w:type="dxa"/>
            <w:shd w:val="clear" w:color="auto" w:fill="C6E0B4"/>
          </w:tcPr>
          <w:p w14:paraId="2C9CCFE7"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de filières prioritaires diagnostiquées</w:t>
            </w:r>
          </w:p>
        </w:tc>
        <w:tc>
          <w:tcPr>
            <w:tcW w:w="1134" w:type="dxa"/>
            <w:shd w:val="clear" w:color="auto" w:fill="C6E0B4"/>
          </w:tcPr>
          <w:p w14:paraId="16E08CDD"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02</w:t>
            </w:r>
          </w:p>
        </w:tc>
        <w:tc>
          <w:tcPr>
            <w:tcW w:w="1419" w:type="dxa"/>
            <w:shd w:val="clear" w:color="auto" w:fill="C6E0B4"/>
          </w:tcPr>
          <w:p w14:paraId="3F88B9C0"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C6E0B4"/>
          </w:tcPr>
          <w:p w14:paraId="7B4ACED1"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7FED207B"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62714F04" w14:textId="77777777" w:rsidTr="00F30E80">
        <w:trPr>
          <w:trHeight w:val="20"/>
        </w:trPr>
        <w:tc>
          <w:tcPr>
            <w:tcW w:w="4113" w:type="dxa"/>
            <w:vMerge/>
            <w:shd w:val="clear" w:color="auto" w:fill="C6E0B4"/>
          </w:tcPr>
          <w:p w14:paraId="033D1AE3" w14:textId="77777777" w:rsidR="006C7E56" w:rsidRPr="00DB6E6D" w:rsidRDefault="006C7E56" w:rsidP="00F30E80">
            <w:pPr>
              <w:rPr>
                <w:rFonts w:ascii="Avenir" w:eastAsia="Avenir" w:hAnsi="Avenir" w:cs="Avenir"/>
                <w:sz w:val="16"/>
                <w:szCs w:val="16"/>
              </w:rPr>
            </w:pPr>
          </w:p>
        </w:tc>
        <w:tc>
          <w:tcPr>
            <w:tcW w:w="3117" w:type="dxa"/>
            <w:shd w:val="clear" w:color="auto" w:fill="C6E0B4"/>
          </w:tcPr>
          <w:p w14:paraId="5A3D2153"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 xml:space="preserve">Nb de plans d'action budgété pour 2 filières / chaines de valeur </w:t>
            </w:r>
          </w:p>
        </w:tc>
        <w:tc>
          <w:tcPr>
            <w:tcW w:w="1134" w:type="dxa"/>
            <w:shd w:val="clear" w:color="auto" w:fill="C6E0B4"/>
          </w:tcPr>
          <w:p w14:paraId="76344318"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C6E0B4"/>
          </w:tcPr>
          <w:p w14:paraId="4DFEEDAC"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C6E0B4"/>
          </w:tcPr>
          <w:p w14:paraId="47F0C65C"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7AF6A05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06FCD515" w14:textId="77777777" w:rsidTr="00F30E80">
        <w:trPr>
          <w:trHeight w:val="20"/>
        </w:trPr>
        <w:tc>
          <w:tcPr>
            <w:tcW w:w="4113" w:type="dxa"/>
            <w:vMerge w:val="restart"/>
            <w:shd w:val="clear" w:color="auto" w:fill="C6E0B4"/>
          </w:tcPr>
          <w:p w14:paraId="2FF13594"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4.3 : Appuyer l'émergence et le fonctionnement d'un réseau local d'acteurs de mise en œuvre de la REDD sensible aux groupes vulnérables</w:t>
            </w:r>
          </w:p>
        </w:tc>
        <w:tc>
          <w:tcPr>
            <w:tcW w:w="3117" w:type="dxa"/>
            <w:shd w:val="clear" w:color="auto" w:fill="C6E0B4"/>
          </w:tcPr>
          <w:p w14:paraId="53A1428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Nb d’études (inégalités genre &amp; peuples autochtones) réalisées</w:t>
            </w:r>
          </w:p>
        </w:tc>
        <w:tc>
          <w:tcPr>
            <w:tcW w:w="1134" w:type="dxa"/>
            <w:shd w:val="clear" w:color="auto" w:fill="C6E0B4"/>
          </w:tcPr>
          <w:p w14:paraId="6C825E74"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04</w:t>
            </w:r>
          </w:p>
        </w:tc>
        <w:tc>
          <w:tcPr>
            <w:tcW w:w="1419" w:type="dxa"/>
            <w:shd w:val="clear" w:color="auto" w:fill="C6E0B4"/>
          </w:tcPr>
          <w:p w14:paraId="606E7C6D"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C6E0B4"/>
          </w:tcPr>
          <w:p w14:paraId="09A85E35"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1B32CD5B"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58C076F4" w14:textId="77777777" w:rsidTr="00F30E80">
        <w:trPr>
          <w:trHeight w:val="20"/>
        </w:trPr>
        <w:tc>
          <w:tcPr>
            <w:tcW w:w="4113" w:type="dxa"/>
            <w:vMerge/>
            <w:shd w:val="clear" w:color="auto" w:fill="C6E0B4"/>
          </w:tcPr>
          <w:p w14:paraId="2C8742DF" w14:textId="77777777" w:rsidR="006C7E56" w:rsidRPr="00DB6E6D" w:rsidRDefault="006C7E56" w:rsidP="00F30E80">
            <w:pPr>
              <w:rPr>
                <w:rFonts w:ascii="Avenir" w:eastAsia="Avenir" w:hAnsi="Avenir" w:cs="Avenir"/>
                <w:sz w:val="16"/>
                <w:szCs w:val="16"/>
              </w:rPr>
            </w:pPr>
          </w:p>
        </w:tc>
        <w:tc>
          <w:tcPr>
            <w:tcW w:w="3117" w:type="dxa"/>
            <w:shd w:val="clear" w:color="auto" w:fill="C6E0B4"/>
          </w:tcPr>
          <w:p w14:paraId="5C1D4059"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lang w:val="fr-FR"/>
              </w:rPr>
              <w:t>Nb de plans de formation disponibles</w:t>
            </w:r>
          </w:p>
        </w:tc>
        <w:tc>
          <w:tcPr>
            <w:tcW w:w="1134" w:type="dxa"/>
            <w:shd w:val="clear" w:color="auto" w:fill="C6E0B4"/>
          </w:tcPr>
          <w:p w14:paraId="693A8047"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02</w:t>
            </w:r>
          </w:p>
        </w:tc>
        <w:tc>
          <w:tcPr>
            <w:tcW w:w="1419" w:type="dxa"/>
            <w:shd w:val="clear" w:color="auto" w:fill="C6E0B4"/>
          </w:tcPr>
          <w:p w14:paraId="04581DDB"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C6E0B4"/>
          </w:tcPr>
          <w:p w14:paraId="437E09EA"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554F280E"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r w:rsidR="006C7E56" w:rsidRPr="00DB6E6D" w14:paraId="68EA98EC" w14:textId="77777777" w:rsidTr="00F30E80">
        <w:trPr>
          <w:trHeight w:val="20"/>
        </w:trPr>
        <w:tc>
          <w:tcPr>
            <w:tcW w:w="4113" w:type="dxa"/>
            <w:vMerge w:val="restart"/>
            <w:shd w:val="clear" w:color="auto" w:fill="C6E0B4"/>
          </w:tcPr>
          <w:p w14:paraId="6AA04E9F"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Produit 4.4 : Engager et accompagner les acteurs pour une prise de conscience des enjeux liés à la gestion durable des ressources naturelles et assurer la diffusion des innovations relatives à la REDD +</w:t>
            </w:r>
          </w:p>
        </w:tc>
        <w:tc>
          <w:tcPr>
            <w:tcW w:w="3117" w:type="dxa"/>
            <w:shd w:val="clear" w:color="auto" w:fill="C6E0B4"/>
          </w:tcPr>
          <w:p w14:paraId="22F51DC1"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lang w:val="fr-FR"/>
              </w:rPr>
              <w:t>Nb de rapports d’études sur les perceptions et usages de la forêt</w:t>
            </w:r>
          </w:p>
        </w:tc>
        <w:tc>
          <w:tcPr>
            <w:tcW w:w="1134" w:type="dxa"/>
            <w:shd w:val="clear" w:color="auto" w:fill="C6E0B4"/>
          </w:tcPr>
          <w:p w14:paraId="30832F7C"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02</w:t>
            </w:r>
          </w:p>
        </w:tc>
        <w:tc>
          <w:tcPr>
            <w:tcW w:w="1419" w:type="dxa"/>
            <w:shd w:val="clear" w:color="auto" w:fill="C6E0B4"/>
          </w:tcPr>
          <w:p w14:paraId="33C16EA1"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0</w:t>
            </w:r>
          </w:p>
        </w:tc>
        <w:tc>
          <w:tcPr>
            <w:tcW w:w="1274" w:type="dxa"/>
            <w:shd w:val="clear" w:color="auto" w:fill="C6E0B4"/>
          </w:tcPr>
          <w:p w14:paraId="1EBDF460"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7854D133" w14:textId="77777777" w:rsidR="006C7E56" w:rsidRPr="00DB6E6D" w:rsidRDefault="006C7E56" w:rsidP="00F30E80">
            <w:pPr>
              <w:rPr>
                <w:rFonts w:ascii="Avenir" w:eastAsia="Avenir" w:hAnsi="Avenir" w:cs="Avenir"/>
              </w:rPr>
            </w:pPr>
            <w:r w:rsidRPr="00DB6E6D">
              <w:rPr>
                <w:rFonts w:ascii="Avenir" w:eastAsia="Avenir" w:hAnsi="Avenir" w:cs="Avenir"/>
                <w:sz w:val="16"/>
                <w:szCs w:val="16"/>
              </w:rPr>
              <w:t>Projet à 2 mois d’exécution</w:t>
            </w:r>
          </w:p>
        </w:tc>
      </w:tr>
      <w:tr w:rsidR="006C7E56" w:rsidRPr="00DB6E6D" w14:paraId="499C6FAB" w14:textId="77777777" w:rsidTr="00F30E80">
        <w:trPr>
          <w:trHeight w:val="20"/>
        </w:trPr>
        <w:tc>
          <w:tcPr>
            <w:tcW w:w="4113" w:type="dxa"/>
            <w:vMerge/>
            <w:shd w:val="clear" w:color="auto" w:fill="C6E0B4"/>
          </w:tcPr>
          <w:p w14:paraId="0AF97845" w14:textId="77777777" w:rsidR="006C7E56" w:rsidRPr="00DB6E6D" w:rsidRDefault="006C7E56" w:rsidP="00F30E80">
            <w:pPr>
              <w:rPr>
                <w:rFonts w:ascii="Avenir" w:eastAsia="Avenir" w:hAnsi="Avenir" w:cs="Avenir"/>
                <w:sz w:val="16"/>
                <w:szCs w:val="16"/>
              </w:rPr>
            </w:pPr>
          </w:p>
        </w:tc>
        <w:tc>
          <w:tcPr>
            <w:tcW w:w="3117" w:type="dxa"/>
            <w:shd w:val="clear" w:color="auto" w:fill="C6E0B4"/>
          </w:tcPr>
          <w:p w14:paraId="1F879D13"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lang w:val="fr-FR"/>
              </w:rPr>
              <w:t>Nb de plan de communication pour le développement (C4D)</w:t>
            </w:r>
          </w:p>
        </w:tc>
        <w:tc>
          <w:tcPr>
            <w:tcW w:w="1134" w:type="dxa"/>
            <w:shd w:val="clear" w:color="auto" w:fill="C6E0B4"/>
          </w:tcPr>
          <w:p w14:paraId="30A1A99C"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01</w:t>
            </w:r>
          </w:p>
        </w:tc>
        <w:tc>
          <w:tcPr>
            <w:tcW w:w="1419" w:type="dxa"/>
            <w:shd w:val="clear" w:color="auto" w:fill="C6E0B4"/>
          </w:tcPr>
          <w:p w14:paraId="44F498FE"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0</w:t>
            </w:r>
          </w:p>
        </w:tc>
        <w:tc>
          <w:tcPr>
            <w:tcW w:w="1274" w:type="dxa"/>
            <w:shd w:val="clear" w:color="auto" w:fill="C6E0B4"/>
          </w:tcPr>
          <w:p w14:paraId="769E2183" w14:textId="77777777" w:rsidR="006C7E56" w:rsidRPr="00DB6E6D" w:rsidRDefault="006C7E56" w:rsidP="00F30E80">
            <w:pPr>
              <w:jc w:val="center"/>
              <w:rPr>
                <w:rFonts w:ascii="Avenir" w:eastAsia="Avenir" w:hAnsi="Avenir" w:cs="Avenir"/>
                <w:sz w:val="16"/>
                <w:szCs w:val="16"/>
              </w:rPr>
            </w:pPr>
          </w:p>
        </w:tc>
        <w:tc>
          <w:tcPr>
            <w:tcW w:w="2329" w:type="dxa"/>
            <w:shd w:val="clear" w:color="auto" w:fill="C6E0B4"/>
          </w:tcPr>
          <w:p w14:paraId="2B78853E" w14:textId="77777777" w:rsidR="006C7E56" w:rsidRPr="00DB6E6D" w:rsidRDefault="006C7E56" w:rsidP="00F30E80">
            <w:pPr>
              <w:rPr>
                <w:rFonts w:ascii="Avenir" w:eastAsia="Avenir" w:hAnsi="Avenir" w:cs="Avenir"/>
                <w:sz w:val="16"/>
                <w:szCs w:val="16"/>
              </w:rPr>
            </w:pPr>
            <w:r w:rsidRPr="00DB6E6D">
              <w:rPr>
                <w:rFonts w:ascii="Avenir" w:eastAsia="Avenir" w:hAnsi="Avenir" w:cs="Avenir"/>
                <w:sz w:val="16"/>
                <w:szCs w:val="16"/>
              </w:rPr>
              <w:t>Projet à 2 mois d’exécution</w:t>
            </w:r>
          </w:p>
        </w:tc>
      </w:tr>
    </w:tbl>
    <w:p w14:paraId="5637F28F" w14:textId="77777777" w:rsidR="00FC75A8" w:rsidRDefault="00FC75A8">
      <w:pPr>
        <w:spacing w:line="240" w:lineRule="auto"/>
        <w:rPr>
          <w:rFonts w:ascii="Avenir" w:eastAsia="Avenir" w:hAnsi="Avenir" w:cs="Avenir"/>
          <w:i/>
          <w:sz w:val="20"/>
          <w:szCs w:val="20"/>
        </w:rPr>
      </w:pPr>
    </w:p>
    <w:p w14:paraId="5637F290" w14:textId="77777777" w:rsidR="00FC75A8" w:rsidRDefault="00000000">
      <w:pPr>
        <w:numPr>
          <w:ilvl w:val="0"/>
          <w:numId w:val="4"/>
        </w:numPr>
        <w:pBdr>
          <w:top w:val="nil"/>
          <w:left w:val="nil"/>
          <w:bottom w:val="nil"/>
          <w:right w:val="nil"/>
          <w:between w:val="nil"/>
        </w:pBdr>
        <w:spacing w:after="0" w:line="240" w:lineRule="auto"/>
        <w:rPr>
          <w:rFonts w:ascii="Avenir" w:eastAsia="Avenir" w:hAnsi="Avenir" w:cs="Avenir"/>
          <w:sz w:val="20"/>
          <w:szCs w:val="20"/>
        </w:rPr>
      </w:pPr>
      <w:r>
        <w:rPr>
          <w:rFonts w:ascii="Avenir" w:eastAsia="Avenir" w:hAnsi="Avenir" w:cs="Avenir"/>
          <w:sz w:val="20"/>
          <w:szCs w:val="20"/>
        </w:rPr>
        <w:t>L’ensemble des données de référence relatives aux différents produits du projet ont été définis à l’issue de la phase de démarrage du projet (année 1) :</w:t>
      </w:r>
    </w:p>
    <w:p w14:paraId="5637F291" w14:textId="77777777" w:rsidR="00FC75A8" w:rsidRDefault="00FC75A8">
      <w:pPr>
        <w:pBdr>
          <w:top w:val="nil"/>
          <w:left w:val="nil"/>
          <w:bottom w:val="nil"/>
          <w:right w:val="nil"/>
          <w:between w:val="nil"/>
        </w:pBdr>
        <w:spacing w:line="240" w:lineRule="auto"/>
        <w:ind w:left="730" w:firstLine="0"/>
        <w:rPr>
          <w:rFonts w:ascii="Avenir" w:eastAsia="Avenir" w:hAnsi="Avenir" w:cs="Avenir"/>
          <w:sz w:val="20"/>
          <w:szCs w:val="20"/>
        </w:rPr>
      </w:pPr>
    </w:p>
    <w:p w14:paraId="5637F292" w14:textId="77777777" w:rsidR="00FC75A8" w:rsidRDefault="00000000">
      <w:pPr>
        <w:ind w:firstLine="1256"/>
        <w:rPr>
          <w:rFonts w:ascii="Avenir" w:eastAsia="Avenir" w:hAnsi="Avenir" w:cs="Avenir"/>
        </w:rPr>
      </w:pPr>
      <w:r>
        <w:rPr>
          <w:rFonts w:ascii="Avenir" w:eastAsia="Avenir" w:hAnsi="Avenir" w:cs="Avenir"/>
        </w:rPr>
        <w:t xml:space="preserve">Oui </w:t>
      </w:r>
      <w:sdt>
        <w:sdtPr>
          <w:tag w:val="goog_rdk_2"/>
          <w:id w:val="1895927041"/>
        </w:sdtPr>
        <w:sdtContent>
          <w:r>
            <w:rPr>
              <w:rFonts w:ascii="Arial Unicode MS" w:eastAsia="Arial Unicode MS" w:hAnsi="Arial Unicode MS" w:cs="Arial Unicode MS"/>
            </w:rPr>
            <w:t>☐</w:t>
          </w:r>
        </w:sdtContent>
      </w:sdt>
    </w:p>
    <w:p w14:paraId="5637F293" w14:textId="6DAA17A7" w:rsidR="00FC75A8" w:rsidRDefault="00000000">
      <w:pPr>
        <w:ind w:firstLine="1256"/>
        <w:rPr>
          <w:rFonts w:ascii="Avenir" w:eastAsia="Avenir" w:hAnsi="Avenir" w:cs="Avenir"/>
        </w:rPr>
      </w:pPr>
      <w:r>
        <w:rPr>
          <w:rFonts w:ascii="Avenir" w:eastAsia="Avenir" w:hAnsi="Avenir" w:cs="Avenir"/>
        </w:rPr>
        <w:t xml:space="preserve">Non </w:t>
      </w:r>
      <w:sdt>
        <w:sdtPr>
          <w:tag w:val="goog_rdk_3"/>
          <w:id w:val="-1002197209"/>
        </w:sdtPr>
        <w:sdtContent>
          <w:sdt>
            <w:sdtPr>
              <w:id w:val="-1737315650"/>
              <w14:checkbox>
                <w14:checked w14:val="1"/>
                <w14:checkedState w14:val="2612" w14:font="MS Gothic"/>
                <w14:uncheckedState w14:val="2610" w14:font="MS Gothic"/>
              </w14:checkbox>
            </w:sdtPr>
            <w:sdtContent>
              <w:r w:rsidR="00BB2D93">
                <w:rPr>
                  <w:rFonts w:ascii="MS Gothic" w:eastAsia="MS Gothic" w:hAnsi="MS Gothic" w:hint="eastAsia"/>
                </w:rPr>
                <w:t>☒</w:t>
              </w:r>
            </w:sdtContent>
          </w:sdt>
        </w:sdtContent>
      </w:sdt>
    </w:p>
    <w:p w14:paraId="5637F294" w14:textId="77777777" w:rsidR="00FC75A8" w:rsidRDefault="00FC75A8">
      <w:pPr>
        <w:spacing w:line="240" w:lineRule="auto"/>
        <w:rPr>
          <w:rFonts w:ascii="Avenir" w:eastAsia="Avenir" w:hAnsi="Avenir" w:cs="Avenir"/>
          <w:sz w:val="22"/>
          <w:szCs w:val="22"/>
        </w:rPr>
      </w:pPr>
    </w:p>
    <w:p w14:paraId="5637F295" w14:textId="77777777" w:rsidR="00FC75A8" w:rsidRDefault="00000000">
      <w:pPr>
        <w:spacing w:line="240" w:lineRule="auto"/>
        <w:rPr>
          <w:rFonts w:ascii="Avenir" w:eastAsia="Avenir" w:hAnsi="Avenir" w:cs="Avenir"/>
          <w:sz w:val="22"/>
          <w:szCs w:val="22"/>
        </w:rPr>
      </w:pPr>
      <w:r>
        <w:rPr>
          <w:rFonts w:ascii="Avenir" w:eastAsia="Avenir" w:hAnsi="Avenir" w:cs="Avenir"/>
          <w:sz w:val="22"/>
          <w:szCs w:val="22"/>
        </w:rPr>
        <w:t xml:space="preserve">Si non, pourquoi ? : </w:t>
      </w:r>
    </w:p>
    <w:p w14:paraId="5637F296" w14:textId="61A45F0B" w:rsidR="00FC75A8" w:rsidRPr="00FE70AA" w:rsidRDefault="00F516D7" w:rsidP="00F516D7">
      <w:pPr>
        <w:pStyle w:val="Paragraphedeliste"/>
        <w:numPr>
          <w:ilvl w:val="0"/>
          <w:numId w:val="11"/>
        </w:numPr>
        <w:rPr>
          <w:rFonts w:ascii="Avenir" w:eastAsia="Avenir" w:hAnsi="Avenir" w:cs="Avenir"/>
          <w:sz w:val="22"/>
          <w:szCs w:val="22"/>
        </w:rPr>
      </w:pPr>
      <w:r w:rsidRPr="00DB6E6D">
        <w:rPr>
          <w:rFonts w:ascii="Avenir" w:eastAsia="Avenir" w:hAnsi="Avenir" w:cs="Avenir"/>
          <w:sz w:val="20"/>
          <w:szCs w:val="20"/>
        </w:rPr>
        <w:t>A la date du 31 décembre 2024 (période couverte par ce rapport), le projet n’était qu’à deux mois d’exécution. Par conséquent, l’étude de base pour définir des données de référence relatives aux différents produits du projet n’a pas encore été conduite.</w:t>
      </w:r>
    </w:p>
    <w:p w14:paraId="63B86523" w14:textId="77777777" w:rsidR="00FE70AA" w:rsidRPr="00FE70AA" w:rsidRDefault="00FE70AA" w:rsidP="00FE70AA">
      <w:pPr>
        <w:ind w:left="0" w:firstLine="0"/>
        <w:rPr>
          <w:rFonts w:ascii="Avenir" w:eastAsia="Avenir" w:hAnsi="Avenir" w:cs="Avenir"/>
          <w:sz w:val="22"/>
          <w:szCs w:val="22"/>
        </w:rPr>
      </w:pPr>
    </w:p>
    <w:p w14:paraId="5637F297" w14:textId="6F78F88D" w:rsidR="00FC75A8" w:rsidRPr="00F516D7" w:rsidRDefault="00FE70AA" w:rsidP="00FE70AA">
      <w:pPr>
        <w:pStyle w:val="PIREDD1"/>
      </w:pPr>
      <w:bookmarkStart w:id="15" w:name="_Toc191317683"/>
      <w:r>
        <w:t xml:space="preserve">5. </w:t>
      </w:r>
      <w:r w:rsidRPr="00F516D7">
        <w:t>Tableau de suivi de la mise en œuvre du projet</w:t>
      </w:r>
      <w:bookmarkEnd w:id="15"/>
    </w:p>
    <w:p w14:paraId="5637F298" w14:textId="77777777" w:rsidR="00FC75A8" w:rsidRDefault="00FC75A8">
      <w:pPr>
        <w:keepNext/>
        <w:spacing w:line="240" w:lineRule="auto"/>
        <w:rPr>
          <w:rFonts w:ascii="Avenir" w:eastAsia="Avenir" w:hAnsi="Avenir" w:cs="Avenir"/>
          <w:sz w:val="8"/>
          <w:szCs w:val="8"/>
        </w:rPr>
      </w:pPr>
    </w:p>
    <w:p w14:paraId="5637F299" w14:textId="0AD21F55" w:rsidR="00FC75A8" w:rsidRDefault="00F516D7" w:rsidP="00F516D7">
      <w:pPr>
        <w:pStyle w:val="Paragraphedeliste"/>
        <w:numPr>
          <w:ilvl w:val="0"/>
          <w:numId w:val="12"/>
        </w:numPr>
        <w:rPr>
          <w:rFonts w:ascii="Avenir" w:eastAsia="Avenir" w:hAnsi="Avenir" w:cs="Avenir"/>
          <w:i/>
          <w:sz w:val="20"/>
          <w:szCs w:val="20"/>
        </w:rPr>
      </w:pPr>
      <w:bookmarkStart w:id="16" w:name="_Hlk189080382"/>
      <w:r w:rsidRPr="00DB6E6D">
        <w:rPr>
          <w:rFonts w:ascii="Avenir" w:eastAsia="Avenir" w:hAnsi="Avenir" w:cs="Avenir"/>
          <w:iCs/>
          <w:sz w:val="20"/>
          <w:szCs w:val="20"/>
        </w:rPr>
        <w:t xml:space="preserve">Les activités qui avaient été prévues pour les deux premiers mois du projet, couvert par ce rapport (à la date du 31 décembre 2024), concernaient essentiellement le recrutement du personnel du projet, l’acquisition des bureaux et équipements, et des échanges avec les principaux partenaires. </w:t>
      </w:r>
      <w:r w:rsidRPr="00DB6E6D">
        <w:rPr>
          <w:rFonts w:ascii="Avenir" w:eastAsia="Avenir" w:hAnsi="Avenir" w:cs="Avenir"/>
          <w:sz w:val="20"/>
          <w:szCs w:val="20"/>
        </w:rPr>
        <w:t>La première réunion du Comité d’Orientation Stratégique (CORS) a aussi été organisée à Kinshasa le 10 décembre 2024, marquant le lancement officiel du projet.</w:t>
      </w:r>
      <w:r w:rsidRPr="00DB6E6D">
        <w:rPr>
          <w:rFonts w:ascii="Avenir" w:eastAsia="Avenir" w:hAnsi="Avenir" w:cs="Avenir"/>
          <w:iCs/>
          <w:sz w:val="20"/>
          <w:szCs w:val="20"/>
        </w:rPr>
        <w:t xml:space="preserve"> La mise en œuvre des activités sur le terrain n’a pas encore démarré. Des ateliers provinciaux ont été programmés avec les entités territoriales décentralisées et les services concernés, afin de clarifier les rôles et responsabilités de chaque service dans la mise en œuvre du projet. Ces ateliers vont se tenir au cours de ce premier trimestre de l’année 2025. Dans les tableaux ci-dessous, malgré qu’il n’y eût pas d’action terrain prévu pour les deux mois du projet, nous avons fait ressortir les différentes activités du projet telles que prévues sous les différents effets et produits.</w:t>
      </w:r>
      <w:bookmarkEnd w:id="16"/>
    </w:p>
    <w:p w14:paraId="5637F29A" w14:textId="77777777" w:rsidR="00FC75A8" w:rsidRDefault="00FC75A8">
      <w:pPr>
        <w:keepNext/>
        <w:spacing w:after="0"/>
        <w:ind w:left="-3" w:right="35" w:firstLine="10"/>
        <w:rPr>
          <w:rFonts w:ascii="Avenir" w:eastAsia="Avenir" w:hAnsi="Avenir" w:cs="Avenir"/>
          <w:i/>
          <w:sz w:val="20"/>
          <w:szCs w:val="20"/>
        </w:rPr>
      </w:pPr>
    </w:p>
    <w:p w14:paraId="6BB3790F" w14:textId="77777777" w:rsidR="00F516D7" w:rsidRPr="00DB6E6D" w:rsidRDefault="00F516D7" w:rsidP="00F516D7">
      <w:pPr>
        <w:keepNext/>
        <w:spacing w:after="0"/>
        <w:ind w:left="-3" w:right="35" w:firstLine="10"/>
        <w:rPr>
          <w:rFonts w:ascii="Avenir" w:eastAsia="Avenir" w:hAnsi="Avenir" w:cs="Avenir"/>
          <w:b/>
          <w:bCs/>
          <w:iCs/>
          <w:color w:val="0070C0"/>
          <w:sz w:val="20"/>
          <w:szCs w:val="20"/>
        </w:rPr>
      </w:pPr>
      <w:bookmarkStart w:id="17" w:name="_Hlk188860434"/>
      <w:r w:rsidRPr="00DB6E6D">
        <w:rPr>
          <w:rFonts w:ascii="Avenir" w:eastAsia="Avenir" w:hAnsi="Avenir" w:cs="Avenir"/>
          <w:b/>
          <w:bCs/>
          <w:iCs/>
          <w:color w:val="0070C0"/>
          <w:sz w:val="20"/>
          <w:szCs w:val="20"/>
        </w:rPr>
        <w:t>Tableau de suivi de la mise en œuvre du projet dans la province du Kasai Oriental</w:t>
      </w:r>
    </w:p>
    <w:tbl>
      <w:tblPr>
        <w:tblW w:w="13378" w:type="dxa"/>
        <w:tblLayout w:type="fixed"/>
        <w:tblLook w:val="0600" w:firstRow="0" w:lastRow="0" w:firstColumn="0" w:lastColumn="0" w:noHBand="1" w:noVBand="1"/>
      </w:tblPr>
      <w:tblGrid>
        <w:gridCol w:w="2154"/>
        <w:gridCol w:w="2796"/>
        <w:gridCol w:w="709"/>
        <w:gridCol w:w="618"/>
        <w:gridCol w:w="615"/>
        <w:gridCol w:w="753"/>
        <w:gridCol w:w="601"/>
        <w:gridCol w:w="615"/>
        <w:gridCol w:w="768"/>
        <w:gridCol w:w="709"/>
        <w:gridCol w:w="615"/>
        <w:gridCol w:w="747"/>
        <w:gridCol w:w="906"/>
        <w:gridCol w:w="772"/>
      </w:tblGrid>
      <w:tr w:rsidR="00F516D7" w:rsidRPr="00DB6E6D" w14:paraId="07DBD85A" w14:textId="77777777" w:rsidTr="00F30E80">
        <w:trPr>
          <w:trHeight w:val="15"/>
        </w:trPr>
        <w:tc>
          <w:tcPr>
            <w:tcW w:w="13378" w:type="dxa"/>
            <w:gridSpan w:val="14"/>
            <w:tcBorders>
              <w:top w:val="single" w:sz="12" w:space="0" w:color="000000"/>
              <w:left w:val="single" w:sz="8" w:space="0" w:color="000000"/>
              <w:bottom w:val="nil"/>
              <w:right w:val="single" w:sz="8" w:space="0" w:color="000000"/>
            </w:tcBorders>
            <w:shd w:val="clear" w:color="auto" w:fill="D9D9D9"/>
            <w:tcMar>
              <w:left w:w="58" w:type="dxa"/>
              <w:right w:w="10" w:type="dxa"/>
            </w:tcMar>
            <w:vAlign w:val="center"/>
          </w:tcPr>
          <w:bookmarkEnd w:id="17"/>
          <w:p w14:paraId="5F382477" w14:textId="77777777" w:rsidR="00F516D7" w:rsidRPr="00DB6E6D" w:rsidRDefault="00F516D7" w:rsidP="00F30E80">
            <w:pPr>
              <w:spacing w:after="0"/>
              <w:rPr>
                <w:rFonts w:ascii="Avenir" w:eastAsia="Avenir" w:hAnsi="Avenir" w:cs="Avenir"/>
                <w:color w:val="auto"/>
              </w:rPr>
            </w:pPr>
            <w:r w:rsidRPr="00DB6E6D">
              <w:rPr>
                <w:rFonts w:ascii="Avenir" w:eastAsia="Avenir" w:hAnsi="Avenir" w:cs="Avenir"/>
                <w:b/>
                <w:color w:val="auto"/>
                <w:sz w:val="18"/>
                <w:szCs w:val="18"/>
              </w:rPr>
              <w:t>Effet 1</w:t>
            </w:r>
            <w:r>
              <w:rPr>
                <w:rFonts w:ascii="Avenir" w:eastAsia="Avenir" w:hAnsi="Avenir" w:cs="Avenir"/>
                <w:b/>
                <w:color w:val="auto"/>
                <w:sz w:val="18"/>
                <w:szCs w:val="18"/>
              </w:rPr>
              <w:t xml:space="preserve"> </w:t>
            </w:r>
            <w:r w:rsidRPr="00DB6E6D">
              <w:rPr>
                <w:rFonts w:ascii="Avenir" w:eastAsia="Avenir" w:hAnsi="Avenir" w:cs="Avenir"/>
                <w:b/>
                <w:color w:val="auto"/>
                <w:sz w:val="18"/>
                <w:szCs w:val="18"/>
              </w:rPr>
              <w:t>: Des cadres de gouvernance provinciaux et locaux inclusifs sont mis en place et appuyés dans leur fonctionnement pour une meilleure gestion des ressources naturelles</w:t>
            </w:r>
          </w:p>
        </w:tc>
      </w:tr>
      <w:tr w:rsidR="00F516D7" w:rsidRPr="00DB6E6D" w14:paraId="00BEFE2D" w14:textId="77777777" w:rsidTr="00F30E80">
        <w:trPr>
          <w:trHeight w:val="15"/>
        </w:trPr>
        <w:tc>
          <w:tcPr>
            <w:tcW w:w="2154"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807B67C"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Produits</w:t>
            </w:r>
          </w:p>
        </w:tc>
        <w:tc>
          <w:tcPr>
            <w:tcW w:w="2796"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AF078F4"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Activités</w:t>
            </w:r>
          </w:p>
        </w:tc>
        <w:tc>
          <w:tcPr>
            <w:tcW w:w="8428" w:type="dxa"/>
            <w:gridSpan w:val="12"/>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65D1489"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18"/>
                <w:szCs w:val="18"/>
              </w:rPr>
              <w:t>Echéancier de mise en œuvre des activités en Année 1</w:t>
            </w:r>
          </w:p>
          <w:p w14:paraId="6BE9BB30"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 xml:space="preserve"> </w:t>
            </w:r>
          </w:p>
        </w:tc>
      </w:tr>
      <w:tr w:rsidR="00F516D7" w:rsidRPr="00DB6E6D" w14:paraId="195CF1CD" w14:textId="77777777" w:rsidTr="00F30E80">
        <w:trPr>
          <w:trHeight w:val="15"/>
        </w:trPr>
        <w:tc>
          <w:tcPr>
            <w:tcW w:w="2154"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A29C0D1"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rPr>
            </w:pPr>
          </w:p>
        </w:tc>
        <w:tc>
          <w:tcPr>
            <w:tcW w:w="2796"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ED6DBCE"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rPr>
            </w:pPr>
          </w:p>
        </w:tc>
        <w:tc>
          <w:tcPr>
            <w:tcW w:w="709" w:type="dxa"/>
            <w:tcBorders>
              <w:top w:val="single" w:sz="8" w:space="0" w:color="000000"/>
              <w:left w:val="nil"/>
              <w:bottom w:val="single" w:sz="8" w:space="0" w:color="000000"/>
              <w:right w:val="single" w:sz="8" w:space="0" w:color="000000"/>
            </w:tcBorders>
            <w:shd w:val="clear" w:color="auto" w:fill="D9D9D9"/>
            <w:tcMar>
              <w:left w:w="58" w:type="dxa"/>
              <w:right w:w="10" w:type="dxa"/>
            </w:tcMar>
            <w:vAlign w:val="center"/>
          </w:tcPr>
          <w:p w14:paraId="43BB56E3"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w:t>
            </w:r>
          </w:p>
        </w:tc>
        <w:tc>
          <w:tcPr>
            <w:tcW w:w="61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5010F6C"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18"/>
                <w:szCs w:val="18"/>
              </w:rPr>
              <w:t>(</w:t>
            </w:r>
            <w:r w:rsidRPr="00D453CD">
              <w:rPr>
                <w:rFonts w:ascii="Avenir" w:eastAsia="Avenir" w:hAnsi="Avenir" w:cs="Avenir"/>
                <w:b/>
                <w:color w:val="auto"/>
                <w:sz w:val="16"/>
                <w:szCs w:val="16"/>
              </w:rPr>
              <w:t>12/24)</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4B94441"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3</w:t>
            </w:r>
          </w:p>
        </w:tc>
        <w:tc>
          <w:tcPr>
            <w:tcW w:w="753"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27C36ED"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4</w:t>
            </w:r>
          </w:p>
        </w:tc>
        <w:tc>
          <w:tcPr>
            <w:tcW w:w="601"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253D640"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5</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54F18E9"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6</w:t>
            </w:r>
          </w:p>
        </w:tc>
        <w:tc>
          <w:tcPr>
            <w:tcW w:w="76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67B7D4F"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7</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A83114C"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8</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13B6308"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9</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E52FC40"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10</w:t>
            </w:r>
          </w:p>
        </w:tc>
        <w:tc>
          <w:tcPr>
            <w:tcW w:w="906"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0A414FF"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11</w:t>
            </w:r>
          </w:p>
        </w:tc>
        <w:tc>
          <w:tcPr>
            <w:tcW w:w="77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1C623EC"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18"/>
                <w:szCs w:val="18"/>
              </w:rPr>
              <w:t>(10/25)</w:t>
            </w:r>
          </w:p>
        </w:tc>
      </w:tr>
      <w:tr w:rsidR="00F516D7" w:rsidRPr="00DB6E6D" w14:paraId="72DF07BE" w14:textId="77777777" w:rsidTr="00F30E80">
        <w:trPr>
          <w:trHeight w:val="887"/>
        </w:trPr>
        <w:tc>
          <w:tcPr>
            <w:tcW w:w="2154"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1DB4F50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 : Appuyer la mise en place et le renforcement des capacités des services publics provinciaux et locaux, décentralisés et déconcentrés en vue d’améliorer et de consolider leurs actions relatives à la REDD+</w:t>
            </w:r>
          </w:p>
          <w:p w14:paraId="42286ABD"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393B369" w14:textId="77777777" w:rsidR="00F516D7" w:rsidRPr="00DB6E6D" w:rsidRDefault="00F516D7" w:rsidP="00F30E80">
            <w:pPr>
              <w:rPr>
                <w:rFonts w:ascii="Avenir" w:eastAsia="Avenir" w:hAnsi="Avenir" w:cs="Avenir"/>
                <w:color w:val="auto"/>
                <w:sz w:val="16"/>
                <w:szCs w:val="16"/>
              </w:rPr>
            </w:pPr>
            <w:r w:rsidRPr="00DB6E6D">
              <w:rPr>
                <w:rFonts w:ascii="Avenir" w:eastAsia="Avenir" w:hAnsi="Avenir" w:cs="Avenir"/>
                <w:color w:val="auto"/>
                <w:sz w:val="16"/>
                <w:szCs w:val="16"/>
              </w:rPr>
              <w:t xml:space="preserve"> 1.1.1</w:t>
            </w:r>
            <w:r w:rsidRPr="00DB6E6D">
              <w:rPr>
                <w:rFonts w:ascii="Avenir" w:hAnsi="Avenir"/>
                <w:color w:val="auto"/>
                <w:sz w:val="16"/>
                <w:szCs w:val="16"/>
              </w:rPr>
              <w:t xml:space="preserve"> </w:t>
            </w:r>
            <w:r w:rsidRPr="00DB6E6D">
              <w:rPr>
                <w:rFonts w:ascii="Avenir" w:eastAsia="Avenir" w:hAnsi="Avenir" w:cs="Avenir"/>
                <w:color w:val="auto"/>
                <w:sz w:val="16"/>
                <w:szCs w:val="16"/>
              </w:rPr>
              <w:t xml:space="preserve">Atelier de lancement avec l'ensemble des ETD et services concernés du projet - définition des rôles et responsabilités de chaque service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567DBC" w14:textId="77777777" w:rsidR="00F516D7" w:rsidRPr="00DB6E6D" w:rsidRDefault="00F516D7" w:rsidP="00F30E80">
            <w:pPr>
              <w:rPr>
                <w:rFonts w:ascii="Avenir" w:eastAsia="Avenir" w:hAnsi="Avenir" w:cs="Avenir"/>
                <w:color w:val="auto"/>
                <w:sz w:val="16"/>
                <w:szCs w:val="16"/>
              </w:rPr>
            </w:pPr>
          </w:p>
        </w:tc>
        <w:tc>
          <w:tcPr>
            <w:tcW w:w="61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3522972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0B0D5E68"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1AEB67D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01"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3FB757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70D5AE8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6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094F3D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09"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7D5A681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10596D3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51C0A04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06"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65D21CA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72"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48A1665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3BA603C2" w14:textId="77777777" w:rsidTr="00F30E80">
        <w:trPr>
          <w:trHeight w:val="403"/>
        </w:trPr>
        <w:tc>
          <w:tcPr>
            <w:tcW w:w="2154" w:type="dxa"/>
            <w:vMerge/>
            <w:tcBorders>
              <w:left w:val="single" w:sz="8" w:space="0" w:color="000000"/>
              <w:right w:val="single" w:sz="8" w:space="0" w:color="000000"/>
            </w:tcBorders>
            <w:shd w:val="clear" w:color="auto" w:fill="FFFFFF"/>
            <w:tcMar>
              <w:left w:w="58" w:type="dxa"/>
              <w:right w:w="10" w:type="dxa"/>
            </w:tcMar>
          </w:tcPr>
          <w:p w14:paraId="7138E77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F14287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d’atelier</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61BA5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7369CA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23C474"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344234"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DC70E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E30CC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6D179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F2FB12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AC448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CE496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EE219F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30B82C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347EC7EE"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6AEB0B08"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131EC7" w14:textId="77777777" w:rsidR="00F516D7" w:rsidRPr="00DB6E6D" w:rsidRDefault="00F516D7" w:rsidP="00F30E80">
            <w:pPr>
              <w:rPr>
                <w:rFonts w:ascii="Avenir" w:eastAsia="Avenir" w:hAnsi="Avenir" w:cs="Avenir"/>
                <w:color w:val="auto"/>
                <w:sz w:val="16"/>
                <w:szCs w:val="16"/>
              </w:rPr>
            </w:pPr>
            <w:r w:rsidRPr="00DB6E6D">
              <w:rPr>
                <w:rFonts w:ascii="Avenir" w:eastAsia="Avenir" w:hAnsi="Avenir" w:cs="Avenir"/>
                <w:color w:val="auto"/>
                <w:sz w:val="16"/>
                <w:szCs w:val="16"/>
              </w:rPr>
              <w:t>1.1.2 Appui et renforcement IPA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908F4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2D5B8F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24ABB9"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DCBE8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087526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72480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54267B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90FD1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4B3F7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CF853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364A8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2D6C63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061EA036"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7EC8C5DB"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75B5EF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7560B1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F4F6A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A666F0"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C7E6F7"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F4939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CE8CB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F98DF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C91B9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356E2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CF2A9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A13EE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F6837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37711AE5"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5FF4F6A1"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3A6757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1.1.3 Appui et renforcement IPDR</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F58DE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50D24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A0741E"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F9379E3"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B7F53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7484E6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BF56B9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12D37F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C94D8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BB040D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B410D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DF692F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12EB702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0921A520"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AC87F9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8D46C5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4D62B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D175F3"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DA6D933"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4E73EE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65522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80C7B8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EBC51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F484B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B93D19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0DBB94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5F166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0AC5ADC3"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D3AFA09"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A97120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1.1.4 Appui et renforcement CPEDD</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09A3EA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6340E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BE81EA"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18AC23A"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4A0B3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A9CA574"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6842BA2"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8AAD2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22BAE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6990D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E6E021"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D30F8C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DD1DB61"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5CA7CADC"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C1E3C8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F04E26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96D8D3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CE3E23"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327411"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9BA89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9F5870"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10814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3C4A4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4FB26B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20923E8"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B34490"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F5A1484"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CA2A623"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6D9E064"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F82597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1.1.5 Appui et renforcement Div Plan</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AEC46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9B0A62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E271F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3A139B"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0EC7C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711CB33"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0AD21B6"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CF3049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030EC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A5A86D3"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F33A64"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713C613"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34D8683"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6CC6162"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9C0D02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4FF5DE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C28E6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DD1E2A"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2DB25EB"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C4AA17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20CD5D"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7323A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32C9B3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14B27A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B3D24FD"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3C0B6EF"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36AB11"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D9B43C4"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02E398B"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86236D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1.1.6 Appui et Renforcement 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ADE38B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A33565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8443D7"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2B48BA"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91D53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BACBFE5"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D4AA123"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314999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55734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342577"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8E0266"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FED76E"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A5F04D0"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7883A7DE"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DCBDE9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1282DB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D6D8E2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F275FC"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A510E7"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8624E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430B49"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14C70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24841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ECBF9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D7E33F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9D0C43"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EC254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EA99854"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7A486851"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6D6D39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1.1.7 Appui et renforcement Affaires Foncières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A7F9AD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63641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04E07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23071A"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D41ED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8AF6F34"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D49F39B"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1379B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B315DC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FE7CEF8"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AFBEFF5"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E31918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53DA7B8"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0B459AA5"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84A746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60395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584484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D56977"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3BD15F"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DC0CD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E674F1"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D2128A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C21661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57191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06B3850"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5C398B"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18533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35CE83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9581AE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40D00A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1.1.8 Formation et renforcement des STD</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1E0219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74E2B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2B3A6F"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66DA325"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188EB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27FF3D"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D778B46"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E26B42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DDB019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5D885CD"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E91C6D6"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985F6E1"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049BAB2"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5E461F1C"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32462C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formations organisées pour les STD</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EED59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86005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C8D43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811E91"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07E4E1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865851"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F6E95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62F7F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2CE8EB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46358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818D6E"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61BB70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19F4B87F"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578C241E"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6526AA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1.1.9. Signature de convention de subside (octroi direct) avec CODELT pour formation et renforcement en matière </w:t>
            </w:r>
            <w:r w:rsidRPr="00DB6E6D">
              <w:rPr>
                <w:rFonts w:ascii="Avenir" w:eastAsia="Avenir" w:hAnsi="Avenir" w:cs="Avenir"/>
                <w:color w:val="auto"/>
                <w:sz w:val="16"/>
                <w:szCs w:val="16"/>
              </w:rPr>
              <w:lastRenderedPageBreak/>
              <w:t>foncière et aménagement du territoire des institutions et administrations sectorielles, décentralisées et déconcentrées, et appui réalisation revue légale des concessions forestières de plus de 5 ha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D1E3F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922E15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A2B3D9D"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7E791AB"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9CC1A9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253261"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0A8210"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A2C7CF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7C247A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3438F2F"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1D8DCC9"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79AD54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5A7184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5C56A059"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25269B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(octroi direct) avec CODELT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EAEAD8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45082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56189B"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FACFBF"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00994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04BF76"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31F214"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120A56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C7767B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D1F660"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E58B22"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174B0E"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71250FD"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65C1A80"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671679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1.1.10 Réhabilitation et équipements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A08D9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656D8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27449C"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7FDE79"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86C4F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3E0420"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3130C5"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28B3A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820A4F"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D221F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6E9D9C"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A13F9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7613BDA"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4B9C391"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5905A5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Marchés de travaux attribués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DE7363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18B28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86B6BF"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1D89F7"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4294A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4CE4C4"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F10BD8"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6032B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874B4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5F1192"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31EBC6"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2EEDAF"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644D2E3"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5841D58A"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0A9E39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1.1.11 Etude et suivi des réhabilitations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08C737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35856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B4B819C"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AB7F232"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D34EA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7DBC2E"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A9042E"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7123FE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229C5E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798F71E"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24D2473"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47C0E7F"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C20165F" w14:textId="77777777" w:rsidTr="00F30E80">
        <w:trPr>
          <w:trHeight w:val="300"/>
        </w:trPr>
        <w:tc>
          <w:tcPr>
            <w:tcW w:w="2154"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395B2382"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86E124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Contrat cadre signé pour l’étude et le suivi</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1C04F1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A7E83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84A0A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0133D17"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1B9E4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7930A0B"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F50715"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91DAE9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2BF710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55F1C44"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CC1B91"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4A72B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0358C25" w14:textId="77777777" w:rsidTr="00F30E80">
        <w:trPr>
          <w:trHeight w:val="300"/>
        </w:trPr>
        <w:tc>
          <w:tcPr>
            <w:tcW w:w="2154" w:type="dxa"/>
            <w:vMerge w:val="restart"/>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36071B5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1.2 Mettre en place et dynamiser des Comités Locaux de Développement (CLD) grâce à un processus d’animation communautaire</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9AFE65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1.2.1 Définition d'une méthodologie d'animation communautaire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24715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D1E1438"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5FA5F91"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131127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9F5D4B"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6CAC0D7"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B54D398"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0463FBE"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2082779"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DF49C9"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1E9563"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55CA0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4B9574E6" w14:textId="77777777" w:rsidTr="00F30E80">
        <w:trPr>
          <w:trHeight w:val="300"/>
        </w:trPr>
        <w:tc>
          <w:tcPr>
            <w:tcW w:w="2154"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014E5A76"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35F10D6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Note méthodologique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9AF1A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36119B"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4E0AB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FFF3E5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088C2B"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F6164D"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C26928" w14:textId="77777777" w:rsidR="00F516D7" w:rsidRPr="00DB6E6D" w:rsidRDefault="00F516D7" w:rsidP="00F30E80">
            <w:pPr>
              <w:spacing w:after="0"/>
              <w:jc w:val="center"/>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48ED8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1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CCE7279"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70A589D"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2F62B8B"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8F1494A"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019D7382" w14:textId="77777777" w:rsidTr="00F30E80">
        <w:trPr>
          <w:trHeight w:val="300"/>
        </w:trPr>
        <w:tc>
          <w:tcPr>
            <w:tcW w:w="2154"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3FB26D4D"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3B18035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1.2.2 Animation communautaire et mise en place des CLD territoire de Katanda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449DF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A6D98A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86ED4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4A959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05A7E9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AB6C5B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CCB2B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F0BBC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961461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3CBD1E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D405F1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98BC1F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51F3257E"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1064F40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BF38EE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 (rapport d’activités) pour la mise en place de CLD à Katanda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9BE4D1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4A0FFC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F824EC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13F3D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7DE69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03230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6412B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2EFFD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19197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2F2E5F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B6BFDD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F59F7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3BEFFCE"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77F23261"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2183AAC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1.2.3 Animation communautaire et mise en place des CLD territoire de Tshilenge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3A56C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20C22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3C5172E"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16FE5A"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28A53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56EC7F"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BBA2EC"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6608F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97274F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6FD4EDD"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EC76427"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25A0D5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398ECA2"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516827AD"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3C6E74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 (rapport d’activités) pour la mise en place de CLD à Tshilenge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0A3309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F8BC14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F81E7DB"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A87F18"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20A0F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ACB4CF7"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546C87"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D47E3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FAD18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845282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022EAB0"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923F73"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C120991"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1CBAABC4"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405C386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1.2.4 Animation communautaire et mise en place des CLD territoire de Lupatapata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CED663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A783EA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208563F"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E196F6"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6940A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9E2D024"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57BDC3"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A179CA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6E1C96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EF91FC1"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644220D"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EDB3F23"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088FEDC"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7B05D012"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90C3EE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 (rapport d’activités) pour la mise en place de CLD à Lupatapata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D6AB4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7621A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F4FEF7"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6E655FF"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7DF2A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D3A4ED"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6AD5EA"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29D463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9BFF3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9A4986"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F039F81"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0ADB3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4AEEFD4"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52A62001"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4A26975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1.2.5. Suivi des activités de mise en place des CLD</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898BD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C5EA9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BC604B0"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AEBF9D"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F99E4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393AF8"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D9812A3"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0FC92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EA6055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227986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40F3B87"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76B913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86BFFC5" w14:textId="77777777" w:rsidTr="00F30E80">
        <w:trPr>
          <w:trHeight w:val="300"/>
        </w:trPr>
        <w:tc>
          <w:tcPr>
            <w:tcW w:w="2154" w:type="dxa"/>
            <w:tcBorders>
              <w:top w:val="nil"/>
              <w:left w:val="single" w:sz="8" w:space="0" w:color="000000"/>
              <w:bottom w:val="single" w:sz="12" w:space="0" w:color="auto"/>
              <w:right w:val="single" w:sz="8" w:space="0" w:color="000000"/>
            </w:tcBorders>
            <w:shd w:val="clear" w:color="auto" w:fill="FFFFFF"/>
            <w:tcMar>
              <w:left w:w="58" w:type="dxa"/>
              <w:right w:w="10" w:type="dxa"/>
            </w:tcMar>
            <w:vAlign w:val="center"/>
          </w:tcPr>
          <w:p w14:paraId="063373BB"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EEB8CF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missions de suivi</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8CF81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16621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BE2775"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FC8D31"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C17AE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94AB30"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781DEA"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3206CC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FAE9A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E2D58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22693C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001D2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50A3A5CF" w14:textId="77777777" w:rsidTr="00F30E80">
        <w:trPr>
          <w:trHeight w:val="300"/>
        </w:trPr>
        <w:tc>
          <w:tcPr>
            <w:tcW w:w="2154"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023FF9C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lastRenderedPageBreak/>
              <w:t>1.3 Mettre en place et opérationnaliser des cadres de concertation, de discussions et de partage d’informations sur les investissements REDD+</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B5E905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1.3.1. Animation des cadres de concertation - renforcement du CCPF et CCPAT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5D3A71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3BE976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C2B657"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D9E75F"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8DF11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766FE6F"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53BC48F"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0F092C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83C3E8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A369CA7"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C2478B9"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E384B0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B21C758"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11CD4AF"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A18194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réunions de concertation du CCPF et CCPAT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8EEBF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FE885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1C255BD"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601A75"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E402C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4C358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0AE920D"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25C8E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99FB8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530BD7"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F9E783"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334D1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1D87029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9E9603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91C473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1.3.2. Renforcement du GTCRR et mise en place du mécanisme des plaintes et recours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E4D5C8"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1EA3A7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D1B4C9"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11366B"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6197F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B0EC6B4"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0E9AC2D"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F7F0A7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7C097E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29110C7"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23D662E"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885BBE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4209C9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5F7BE526"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F12D1C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Livrable : Accord opérationnel ou </w:t>
            </w:r>
            <w:proofErr w:type="spellStart"/>
            <w:r w:rsidRPr="00DB6E6D">
              <w:rPr>
                <w:rFonts w:ascii="Avenir" w:eastAsia="Avenir" w:hAnsi="Avenir" w:cs="Avenir"/>
                <w:color w:val="auto"/>
                <w:sz w:val="16"/>
                <w:szCs w:val="16"/>
              </w:rPr>
              <w:t>CSub</w:t>
            </w:r>
            <w:proofErr w:type="spellEnd"/>
            <w:r w:rsidRPr="00DB6E6D">
              <w:rPr>
                <w:rFonts w:ascii="Avenir" w:eastAsia="Avenir" w:hAnsi="Avenir" w:cs="Avenir"/>
                <w:color w:val="auto"/>
                <w:sz w:val="16"/>
                <w:szCs w:val="16"/>
              </w:rPr>
              <w:t xml:space="preserve"> signé (GTCRR) et comptes rendus de concertation</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06732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7C209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FB2C0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4D4001E"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1559C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225A8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AF78CB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DF022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61932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5790A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B55C4D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46E3CD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748B2AEF"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224CF5C"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933C93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1.3.3. Renforcement des cadres de concertations au niveau secteurs et territoires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BB708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D8458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2EF3FA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68CE31"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BB0B5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CADC9E9"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227E54A"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F93F2B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9D438F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D9A42AF"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1FCFD15"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185C960"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94E5824"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9FB0278"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D9A81F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comptes rendus d’animation des cadres de concertation</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77FE4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562A9B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155C45"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F81A2E7"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53379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891E4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15B9C6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28CED7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37FEA3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48377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8485A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08451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41926BB5"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D985B68"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8F7883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1.3.4. Réhabilitation et équipements territoires et secteurs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315AE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784CB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2406BC"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23369C"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F2D01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26F9C0"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47EEFA"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A7B77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358D5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7B54C4"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6F973D"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09F1E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C6D1AF6"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93AE675"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3A7D8F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Marchés de travaux attribués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3B59F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F82C1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BFEE0E"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1C736A"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848BA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EED0A6"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2C74C9E"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D31AD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B9BB5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53ED03"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B87D16"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A3652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B3F5C8A"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50AFF80D"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9CBFCC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1.3.5. Elaboration du plan de mobilisation des parties prenantes et du mécanisme de gestion des plaintes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1ACB03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F0ECA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DB263E9"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FAF9472"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DDEB91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6FCC33"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FF98B62"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364F3B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2E56C8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68206E3"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54EE5A4"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ECCA0B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3EB113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8CDC09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86181D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Plan de mobilisation des parties prenantes et mécanisme de gestion des plaintes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BF2F6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899C5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408CDA"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D6864B5"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EC419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A9DA696"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D0C82B5"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FF5F2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F134C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8199B0"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F20360"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785F4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79D707E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7C0115B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0AB156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1.3.6. Etude et suivi des réhabilitations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60D71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27D8C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B350AF"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2B2B0E"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1F9DF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BFCCDF3"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C75B15A"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A21ADE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9183E9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2262D5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DA6B142"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EEB097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CC7E043" w14:textId="77777777" w:rsidTr="00F30E80">
        <w:trPr>
          <w:trHeight w:val="300"/>
        </w:trPr>
        <w:tc>
          <w:tcPr>
            <w:tcW w:w="2154"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4957E5F0"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C1D161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Contrat cadre signé / rapports d’étude et de suivi des réhabilitations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E5F58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B0A2A1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FCB413"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C953E4E"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84047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ACF43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120F24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FAD4D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C460D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C5354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99148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7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B6041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bl>
    <w:p w14:paraId="1AF3587D" w14:textId="77777777" w:rsidR="00F516D7" w:rsidRPr="00DB6E6D" w:rsidRDefault="00F516D7" w:rsidP="00F516D7">
      <w:pPr>
        <w:spacing w:after="0"/>
        <w:ind w:left="-3" w:right="35" w:firstLine="10"/>
        <w:rPr>
          <w:rFonts w:ascii="Avenir" w:eastAsia="Avenir" w:hAnsi="Avenir" w:cs="Avenir"/>
          <w:color w:val="auto"/>
          <w:sz w:val="16"/>
          <w:szCs w:val="16"/>
        </w:rPr>
      </w:pPr>
    </w:p>
    <w:tbl>
      <w:tblPr>
        <w:tblW w:w="13378" w:type="dxa"/>
        <w:tblLayout w:type="fixed"/>
        <w:tblLook w:val="0600" w:firstRow="0" w:lastRow="0" w:firstColumn="0" w:lastColumn="0" w:noHBand="1" w:noVBand="1"/>
      </w:tblPr>
      <w:tblGrid>
        <w:gridCol w:w="2154"/>
        <w:gridCol w:w="2796"/>
        <w:gridCol w:w="709"/>
        <w:gridCol w:w="618"/>
        <w:gridCol w:w="615"/>
        <w:gridCol w:w="492"/>
        <w:gridCol w:w="862"/>
        <w:gridCol w:w="615"/>
        <w:gridCol w:w="613"/>
        <w:gridCol w:w="864"/>
        <w:gridCol w:w="615"/>
        <w:gridCol w:w="747"/>
        <w:gridCol w:w="741"/>
        <w:gridCol w:w="937"/>
      </w:tblGrid>
      <w:tr w:rsidR="00F516D7" w:rsidRPr="00DB6E6D" w14:paraId="190CE31B" w14:textId="77777777" w:rsidTr="00F30E80">
        <w:trPr>
          <w:trHeight w:val="15"/>
        </w:trPr>
        <w:tc>
          <w:tcPr>
            <w:tcW w:w="13378" w:type="dxa"/>
            <w:gridSpan w:val="14"/>
            <w:tcBorders>
              <w:top w:val="single" w:sz="8" w:space="0" w:color="000000"/>
              <w:left w:val="single" w:sz="8" w:space="0" w:color="000000"/>
              <w:bottom w:val="nil"/>
              <w:right w:val="single" w:sz="8" w:space="0" w:color="000000"/>
            </w:tcBorders>
            <w:shd w:val="clear" w:color="auto" w:fill="D9D9D9"/>
            <w:tcMar>
              <w:left w:w="58" w:type="dxa"/>
              <w:right w:w="10" w:type="dxa"/>
            </w:tcMar>
            <w:vAlign w:val="center"/>
          </w:tcPr>
          <w:p w14:paraId="0496677D" w14:textId="77777777" w:rsidR="00F516D7" w:rsidRPr="00DB6E6D" w:rsidRDefault="00F516D7" w:rsidP="00F30E80">
            <w:pPr>
              <w:spacing w:after="0"/>
              <w:rPr>
                <w:rFonts w:ascii="Avenir" w:eastAsia="Avenir" w:hAnsi="Avenir" w:cs="Avenir"/>
                <w:color w:val="auto"/>
              </w:rPr>
            </w:pPr>
            <w:bookmarkStart w:id="18" w:name="_Hlk188733076"/>
            <w:r w:rsidRPr="00DB6E6D">
              <w:rPr>
                <w:rFonts w:ascii="Avenir" w:eastAsia="Avenir" w:hAnsi="Avenir" w:cs="Avenir"/>
                <w:b/>
                <w:color w:val="auto"/>
                <w:sz w:val="18"/>
                <w:szCs w:val="18"/>
              </w:rPr>
              <w:t>Effet 2 : Des plans d’aménagement du territoire sont élaborés, appropriés par les acteurs et mis en œuvre pour une meilleure gestion des ressources naturelles et un développement économique et social du territoire</w:t>
            </w:r>
          </w:p>
        </w:tc>
      </w:tr>
      <w:tr w:rsidR="00F516D7" w:rsidRPr="00DB6E6D" w14:paraId="02B36586" w14:textId="77777777" w:rsidTr="00F30E80">
        <w:trPr>
          <w:trHeight w:val="15"/>
        </w:trPr>
        <w:tc>
          <w:tcPr>
            <w:tcW w:w="2154"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E713B3B"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Produits</w:t>
            </w:r>
          </w:p>
        </w:tc>
        <w:tc>
          <w:tcPr>
            <w:tcW w:w="2796"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8FA17A7"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Activités</w:t>
            </w:r>
          </w:p>
        </w:tc>
        <w:tc>
          <w:tcPr>
            <w:tcW w:w="8428" w:type="dxa"/>
            <w:gridSpan w:val="12"/>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D6A5DFA"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18"/>
                <w:szCs w:val="18"/>
              </w:rPr>
              <w:t>Echéancier de mise en œuvre des activités en Année 1</w:t>
            </w:r>
          </w:p>
          <w:p w14:paraId="64A4007B"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 xml:space="preserve"> </w:t>
            </w:r>
          </w:p>
        </w:tc>
      </w:tr>
      <w:tr w:rsidR="00F516D7" w:rsidRPr="00DB6E6D" w14:paraId="2DB5F020" w14:textId="77777777" w:rsidTr="00F30E80">
        <w:trPr>
          <w:trHeight w:val="15"/>
        </w:trPr>
        <w:tc>
          <w:tcPr>
            <w:tcW w:w="2154"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74A7C4E"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rPr>
            </w:pPr>
          </w:p>
        </w:tc>
        <w:tc>
          <w:tcPr>
            <w:tcW w:w="2796"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F8F7FC6"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rPr>
            </w:pPr>
          </w:p>
        </w:tc>
        <w:tc>
          <w:tcPr>
            <w:tcW w:w="709" w:type="dxa"/>
            <w:tcBorders>
              <w:top w:val="single" w:sz="8" w:space="0" w:color="000000"/>
              <w:left w:val="nil"/>
              <w:bottom w:val="single" w:sz="8" w:space="0" w:color="000000"/>
              <w:right w:val="single" w:sz="8" w:space="0" w:color="000000"/>
            </w:tcBorders>
            <w:shd w:val="clear" w:color="auto" w:fill="D9D9D9"/>
            <w:tcMar>
              <w:left w:w="58" w:type="dxa"/>
              <w:right w:w="10" w:type="dxa"/>
            </w:tcMar>
            <w:vAlign w:val="center"/>
          </w:tcPr>
          <w:p w14:paraId="7F25ABB0"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w:t>
            </w:r>
          </w:p>
        </w:tc>
        <w:tc>
          <w:tcPr>
            <w:tcW w:w="61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3387A31"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2</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8B4A25D"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3</w:t>
            </w:r>
          </w:p>
        </w:tc>
        <w:tc>
          <w:tcPr>
            <w:tcW w:w="49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4C5873B"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4</w:t>
            </w:r>
          </w:p>
        </w:tc>
        <w:tc>
          <w:tcPr>
            <w:tcW w:w="86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8E193CF"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5</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0F060F1"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6</w:t>
            </w:r>
          </w:p>
        </w:tc>
        <w:tc>
          <w:tcPr>
            <w:tcW w:w="613"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0C3B107"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7</w:t>
            </w:r>
          </w:p>
        </w:tc>
        <w:tc>
          <w:tcPr>
            <w:tcW w:w="864"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E6B2B38"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8</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065C1DF"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9</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ACB64E3"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10</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7EA2499"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11</w:t>
            </w:r>
          </w:p>
        </w:tc>
        <w:tc>
          <w:tcPr>
            <w:tcW w:w="93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C8AA3AD"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12</w:t>
            </w:r>
          </w:p>
        </w:tc>
      </w:tr>
      <w:tr w:rsidR="00F516D7" w:rsidRPr="00DB6E6D" w14:paraId="00B1FAB2" w14:textId="77777777" w:rsidTr="00F30E80">
        <w:trPr>
          <w:trHeight w:val="300"/>
        </w:trPr>
        <w:tc>
          <w:tcPr>
            <w:tcW w:w="2154" w:type="dxa"/>
            <w:tcBorders>
              <w:top w:val="single" w:sz="8" w:space="0" w:color="000000"/>
              <w:left w:val="single" w:sz="8" w:space="0" w:color="000000"/>
              <w:bottom w:val="single" w:sz="8" w:space="0" w:color="FFFFFF"/>
              <w:right w:val="single" w:sz="8" w:space="0" w:color="000000"/>
            </w:tcBorders>
            <w:shd w:val="clear" w:color="auto" w:fill="FFFFFF"/>
            <w:tcMar>
              <w:left w:w="58" w:type="dxa"/>
              <w:right w:w="10" w:type="dxa"/>
            </w:tcMar>
            <w:vAlign w:val="center"/>
          </w:tcPr>
          <w:p w14:paraId="37C9D20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lastRenderedPageBreak/>
              <w:t>2.1 Accompagner l’élaboration du plan provincial d’aménagement du territoire (PPAT)</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48ACDD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2.1.1 Etude socio-économique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C07FB56" w14:textId="77777777" w:rsidR="00F516D7" w:rsidRPr="00DB6E6D" w:rsidRDefault="00F516D7" w:rsidP="00F30E80">
            <w:pPr>
              <w:rPr>
                <w:rFonts w:ascii="Avenir" w:eastAsia="Avenir" w:hAnsi="Avenir" w:cs="Avenir"/>
                <w:color w:val="auto"/>
                <w:sz w:val="16"/>
                <w:szCs w:val="16"/>
              </w:rPr>
            </w:pPr>
          </w:p>
        </w:tc>
        <w:tc>
          <w:tcPr>
            <w:tcW w:w="61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0941F59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4277C30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0781B23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159EDD8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AA5F71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C05D04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614FFB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EA34FA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A344FC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3E64EE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256DCF2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79D5B1C4" w14:textId="77777777" w:rsidTr="00F30E80">
        <w:trPr>
          <w:trHeight w:val="300"/>
        </w:trPr>
        <w:tc>
          <w:tcPr>
            <w:tcW w:w="2154" w:type="dxa"/>
            <w:vMerge w:val="restart"/>
            <w:tcBorders>
              <w:top w:val="single" w:sz="8" w:space="0" w:color="FFFFFF"/>
              <w:left w:val="single" w:sz="8" w:space="0" w:color="000000"/>
              <w:right w:val="single" w:sz="8" w:space="0" w:color="000000"/>
            </w:tcBorders>
            <w:shd w:val="clear" w:color="auto" w:fill="FFFFFF"/>
            <w:tcMar>
              <w:left w:w="58" w:type="dxa"/>
              <w:right w:w="10" w:type="dxa"/>
            </w:tcMar>
          </w:tcPr>
          <w:p w14:paraId="46EB301E"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7A1C43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socio-économique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F25F8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48AD0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3234C6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p w14:paraId="4C36B0E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92CA10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02B261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62482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76F8B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230DB6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75CC99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AF80C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0EC059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A0687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38C49231"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1611A00C"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D3598F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2.1.2 Etude couvert forestier et dynamiques forestières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39325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4BFBF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30DB82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5D807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160AB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EA68CF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679A75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415410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E6D22A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BD8455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2E8725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A786B9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4F63CA4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682931D2"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F69453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couvert forestier</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49044F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DB27B3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32EC64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4785F1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E4C70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BB447E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38875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AD2DE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3C70F8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6AC47C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A4A4F9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DB694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20241D54"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4254B44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694EC7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2.1.3 Etude tenue foncière et gouvernance foncière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A41A2C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0E493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1BA12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D02AE7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EBB56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F9B877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CA89F8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BFD83F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7BD81B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C26062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9C7A4C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08EAC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735369EA"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485E02E"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EF6152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tenue foncière et gouvernance foncière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97891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71EE4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6CDD30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124DD3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465A6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063EE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A8D9B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B4E18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3C3E3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2AFBA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A05EAD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00E655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3A1296DA"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2131AA2"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1F1B6F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2.1.4 Diagnostics et collecte de données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04A36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9FC99E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AAA033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749824C"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A1879C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046471"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B8E0FC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4001F2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B72D1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49F87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CCD127"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980B7A8"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1EFBCE8"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7631F578"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5A2F95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de collecte de données / base de données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44B5C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FF7E0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A926C0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46CC5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D1AEFB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6C0B5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FBCEB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B37031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87EB92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09152A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1C8977"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BD2681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36DBFB71"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52ECAA6"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F212F4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2.1.5 Appui à l'élaboration du plan</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71E9F2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CBE95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C39076"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89E166"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698DA6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004F4E"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EF36A7"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10A44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7AD1C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CF33B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9FF943A"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CE6371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974D91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049FD96"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1922DA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d’avancement sur l’élaboration du PPAT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FEEF29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DD027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B45BE3"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335BFF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12894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228354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90437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87880C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F0F84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71BF8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CD113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1ADBF3"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898A5D8"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2B9ED3A"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1CE8CA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2.1.6 Atelier provincial d'engagement du processus et ateliers territoriaux de validation des études préalables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F7DB6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A909B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E6585E"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0D8F27A"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DB147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AD6436"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EA47E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D646E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6B1D2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495594"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64D964"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6F4CE3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2E751A5" w14:textId="77777777" w:rsidTr="00F30E80">
        <w:trPr>
          <w:trHeight w:val="300"/>
        </w:trPr>
        <w:tc>
          <w:tcPr>
            <w:tcW w:w="2154"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731F2555"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CE8343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des ateliers provinciaux et territoriaux</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32862C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F62074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BDA486"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5DAD60"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D1301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2EB1B4"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642DF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43517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981C4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8129BA"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12ABA48"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3943B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w:t>
            </w:r>
          </w:p>
        </w:tc>
      </w:tr>
      <w:tr w:rsidR="00F516D7" w:rsidRPr="00DB6E6D" w14:paraId="656C152C" w14:textId="77777777" w:rsidTr="00F30E80">
        <w:trPr>
          <w:trHeight w:val="300"/>
        </w:trPr>
        <w:tc>
          <w:tcPr>
            <w:tcW w:w="2154" w:type="dxa"/>
            <w:vMerge w:val="restart"/>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4F33E71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2.2 Accompagner l’élaboration de plans simples d’aménagement du territoire à l’échelle des terroirs (PSAT)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534D6B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2.2.1 Définition de la méthodologie et du canevas des PSAT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1CF16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C6609F6"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198DA6B"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FFE941"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A426CD"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714530"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781D8C"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6127F44"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EA933D7"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C36744E"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18ACD4"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AB0859"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0D00B31E" w14:textId="77777777" w:rsidTr="00F30E80">
        <w:trPr>
          <w:trHeight w:val="300"/>
        </w:trPr>
        <w:tc>
          <w:tcPr>
            <w:tcW w:w="2154"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7E7526D3"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6F5F77C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Note méthodologique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838C6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DAEF7C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C657B3E"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35D875"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BDDFA9"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3A4A76"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475249" w14:textId="77777777" w:rsidR="00F516D7" w:rsidRPr="00DB6E6D" w:rsidRDefault="00F516D7" w:rsidP="00F30E80">
            <w:pPr>
              <w:spacing w:after="0"/>
              <w:jc w:val="center"/>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52C5D97"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0F1DA3"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8F0AE06"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51197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4C024A" w14:textId="77777777" w:rsidR="00F516D7" w:rsidRPr="00DB6E6D" w:rsidRDefault="00F516D7" w:rsidP="00F30E80">
            <w:pPr>
              <w:spacing w:after="0"/>
              <w:jc w:val="center"/>
              <w:rPr>
                <w:rFonts w:ascii="Avenir" w:eastAsia="Avenir" w:hAnsi="Avenir" w:cs="Avenir"/>
                <w:color w:val="auto"/>
                <w:sz w:val="16"/>
                <w:szCs w:val="16"/>
              </w:rPr>
            </w:pPr>
          </w:p>
        </w:tc>
      </w:tr>
      <w:tr w:rsidR="00F516D7" w:rsidRPr="00DB6E6D" w14:paraId="48C7F28B" w14:textId="77777777" w:rsidTr="00F30E80">
        <w:trPr>
          <w:trHeight w:val="300"/>
        </w:trPr>
        <w:tc>
          <w:tcPr>
            <w:tcW w:w="2154"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6EE43E64"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453A80E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2.2.2 Elaboration des PSAT territoire de Katanda (14 PSAT)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06F2FF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9137E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1B8DB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1765E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AACA43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24880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8266D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B0A6E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FF4FA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A040F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BE9288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AC3E8D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31F092B9"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39B09D2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788E4A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d’état d’avancement d’élaboration des documents PSAT et cartes d'affectation des terres de Katanda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9B81F6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99724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4C11E8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BCDEA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B5D28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5A719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C5757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B374EF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DDF8B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9B057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2D1AD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86B92E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43EDB753"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75398A0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B7087E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2.2.3 Elaboration des PSAT territoire de Tshilenge (14 PSAT)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19A71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2B195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77A9C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B8C6E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B2772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9330E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C8A879"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0F4028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119CF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C01BE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6FB5B23"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3E42F0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93AE97B"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119ECE6F"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46245A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d’état d’avancement d’élaboration des documents PSAT et cartes d'affectation des terres de Tshilenge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916DC88"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D16FE1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1F5490"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AFBCA5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88F388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977D48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2212B2"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33F89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FD4FFC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65CC1D"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154454E"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F3BA3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52366D2C"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241BDAF1"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BAB1F6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2.2.4 Elaboration des PSAT territoire de Lupatapata (14 PSAT)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E1643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CDDCE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A17F9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1A87144"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0DF42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05D3E35"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4286B9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B569A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A43DE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E6E2BE"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A954C1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C960478"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00770AF"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0D071B50"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4AF75D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d’état d’avancement d’élaboration des documents PSAT et cartes d'affectation des terres de Lupatapata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A49D37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D43365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881F23"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1F6DC3"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C2A8D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D3C8C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0CB16A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A309E4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3581B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BEBEA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A4A65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8F499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402A1A48"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187ADE51"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CAF7CC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2.2.5 Suivi des 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51BBD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1A0557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FB83B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1F8898C"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C1B50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4B6A7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8415B82"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606E1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46CE08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FEE1892"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C317319"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019930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BDF0C68" w14:textId="77777777" w:rsidTr="00F30E80">
        <w:trPr>
          <w:trHeight w:val="300"/>
        </w:trPr>
        <w:tc>
          <w:tcPr>
            <w:tcW w:w="2154" w:type="dxa"/>
            <w:tcBorders>
              <w:top w:val="nil"/>
              <w:left w:val="single" w:sz="8" w:space="0" w:color="000000"/>
              <w:bottom w:val="single" w:sz="12" w:space="0" w:color="auto"/>
              <w:right w:val="single" w:sz="8" w:space="0" w:color="000000"/>
            </w:tcBorders>
            <w:shd w:val="clear" w:color="auto" w:fill="FFFFFF"/>
            <w:tcMar>
              <w:left w:w="58" w:type="dxa"/>
              <w:right w:w="10" w:type="dxa"/>
            </w:tcMar>
            <w:vAlign w:val="center"/>
          </w:tcPr>
          <w:p w14:paraId="2A3F127A"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0B48F6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missions de suivi</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EDA43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CC2280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875289"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764D7A"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8716F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88CCC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25FB3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A22400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FFDD8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E1933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D8F69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793B2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43813FD9" w14:textId="77777777" w:rsidTr="00F30E80">
        <w:trPr>
          <w:trHeight w:val="424"/>
        </w:trPr>
        <w:tc>
          <w:tcPr>
            <w:tcW w:w="2154" w:type="dxa"/>
            <w:tcBorders>
              <w:top w:val="single" w:sz="12" w:space="0" w:color="auto"/>
              <w:left w:val="single" w:sz="8" w:space="0" w:color="000000"/>
              <w:bottom w:val="nil"/>
              <w:right w:val="single" w:sz="8" w:space="0" w:color="000000"/>
            </w:tcBorders>
            <w:shd w:val="clear" w:color="auto" w:fill="FFFFFF"/>
            <w:tcMar>
              <w:left w:w="58" w:type="dxa"/>
              <w:right w:w="10" w:type="dxa"/>
            </w:tcMar>
            <w:vAlign w:val="center"/>
          </w:tcPr>
          <w:p w14:paraId="26EBAA7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 Accompagner la mise en œuvre des plans d’aménagement du territoire à travers un système de PSE</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9F76DA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2.3.1 Consultance étude appui définition mécanisme PSE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36C718"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80CC0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1FAFA8"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A2CA0C"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2E1EA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5BB76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97BB1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6F2396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591E80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97F682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7CB739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31D3B8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7C4ACF6"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507B3C4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2C43E7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incl. carte des espaces PSE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9D50C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31555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AA48D8D"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D7400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DC106C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12E6BF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CEFE05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7EDAC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9CB8D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16C36A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7A3628"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7C75E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398330E8"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3F2C251F"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B98E23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2.3.2 Suivi du respect des règles de gestion</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2C1F0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AFBD8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064699"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CF26A8"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0AFB6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5ABE36"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3FEEC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B7A42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223D6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9B215E"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5BD169"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27DA72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39C9232"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78F7F9A9"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C31D03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sur le suivi</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0E9A2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13C12B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A70D29"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BB0C273"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20867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D3C1DA"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C07F4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EDF40F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CB7DD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AA6CF6F"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C70AF9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A0DEF2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CC619F8"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18A158A4"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0D2423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2.3.3 Réalisation des infrastructures prévues dans les plans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D42885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74C44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9A9AE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34FCC6"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D2154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879E2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CB627D"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8E15D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E907C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DBAD3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8FF31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6E6FD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F295085"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56DF3122"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B6CD0E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sur les infrastructures réalisés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895EDF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AD6758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682F69"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EFA7C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049F4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5FA87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CF6547"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6D328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3847C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27468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C9BF0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CB321E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CB952E1"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4F02ECD6"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E44A48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2.3.4 Etude et suivi des réhabilitations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67F61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592C5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07113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2B943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E1CEC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C6AF7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4635C8"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8A136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17E0F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1D34C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7E64B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EBE4E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4F24285"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3CAD370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C244D8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et de suivi des réhabilitations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BFDD6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9EC28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9A127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8C2E2A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7EEE5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89BA1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B42F2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8223F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A9AB8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B26C8FD"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F9756A"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1A45BE"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1F28A14"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1CEEC08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E5C240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2.3.5 Suivi-évaluation et animation des PSAT territoire de Katanda (14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DFE4F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605E5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10958F"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467A3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CCA0E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465601"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5E16C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A9D269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DE353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CAC47F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8517F0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984425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A051901"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60A8061E"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8FF997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de mise en œuvre de la convention de subside incl. Rapport suivi-évaluation et animation des PSAT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0AF71F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B548F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BBD80E"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5C8C1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C783E7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C01B786"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EA440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41A5A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7CC5F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8C38DD0"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12452C9"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88A3E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3CC900B6"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609D22C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74B862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2.3.6 Suivi-évaluation et animation PSAT territoire de Tshilenge (14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6674E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9FFA5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52D00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02F414"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5AA02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BF8A0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1F2AC7"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B8CDE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C057A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DEEC29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BABBB14"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634A5C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1C7D7F7"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062D272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D43BF4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de mise en œuvre de la convention de subside incl. Rapport suivi-évaluation et animation des PSAT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0D3AB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9356D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077BC2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798DD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4345F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5E14020"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65C219"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D414F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3455E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D0CF3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9AA6FB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8B6C5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00D652A6" w14:textId="77777777" w:rsidTr="00F30E80">
        <w:trPr>
          <w:trHeight w:val="300"/>
        </w:trPr>
        <w:tc>
          <w:tcPr>
            <w:tcW w:w="2154" w:type="dxa"/>
            <w:tcBorders>
              <w:top w:val="nil"/>
              <w:left w:val="single" w:sz="8" w:space="0" w:color="000000"/>
              <w:bottom w:val="nil"/>
              <w:right w:val="single" w:sz="8" w:space="0" w:color="000000"/>
            </w:tcBorders>
            <w:shd w:val="clear" w:color="auto" w:fill="FFFFFF"/>
            <w:tcMar>
              <w:left w:w="58" w:type="dxa"/>
              <w:right w:w="10" w:type="dxa"/>
            </w:tcMar>
            <w:vAlign w:val="center"/>
          </w:tcPr>
          <w:p w14:paraId="0AB4E57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8D3CBB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2.3.7 Suivi-évaluation et animation des PSAT du territoire de Lupatapata (14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3A076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3A42B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1F74CD"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D0A70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A4871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E05FF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CF61CD"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E7B6B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5A2C2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B5CB68D"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ED405B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6ECADD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E6C6E0A" w14:textId="77777777" w:rsidTr="00F30E80">
        <w:trPr>
          <w:trHeight w:val="300"/>
        </w:trPr>
        <w:tc>
          <w:tcPr>
            <w:tcW w:w="2154" w:type="dxa"/>
            <w:tcBorders>
              <w:top w:val="nil"/>
              <w:left w:val="single" w:sz="8" w:space="0" w:color="000000"/>
              <w:bottom w:val="single" w:sz="12" w:space="0" w:color="auto"/>
              <w:right w:val="single" w:sz="8" w:space="0" w:color="000000"/>
            </w:tcBorders>
            <w:shd w:val="clear" w:color="auto" w:fill="FFFFFF"/>
            <w:tcMar>
              <w:left w:w="58" w:type="dxa"/>
              <w:right w:w="10" w:type="dxa"/>
            </w:tcMar>
            <w:vAlign w:val="center"/>
          </w:tcPr>
          <w:p w14:paraId="392D649A"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D79279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de mise en œuvre de la convention de subside incl. Rapport suivi-évaluation et animation des PSAT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BEF866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049F2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F5B2ED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8205EAB"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CDCB64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A4A0B7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A80671"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0BE7D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5C9948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15295DE"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4C354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A581A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006E0563" w14:textId="77777777" w:rsidTr="00F30E80">
        <w:trPr>
          <w:trHeight w:val="815"/>
        </w:trPr>
        <w:tc>
          <w:tcPr>
            <w:tcW w:w="2154"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30C64535" w14:textId="77777777" w:rsidR="00F516D7" w:rsidRPr="00DB6E6D" w:rsidRDefault="00F516D7" w:rsidP="00F30E80">
            <w:pPr>
              <w:spacing w:after="0"/>
              <w:ind w:left="0" w:firstLine="0"/>
              <w:rPr>
                <w:rFonts w:ascii="Avenir" w:eastAsia="Avenir" w:hAnsi="Avenir" w:cs="Avenir"/>
                <w:color w:val="auto"/>
                <w:sz w:val="16"/>
                <w:szCs w:val="16"/>
              </w:rPr>
            </w:pPr>
            <w:r w:rsidRPr="00DB6E6D">
              <w:rPr>
                <w:rFonts w:ascii="Avenir" w:eastAsia="Avenir" w:hAnsi="Avenir" w:cs="Avenir"/>
                <w:color w:val="auto"/>
                <w:sz w:val="16"/>
                <w:szCs w:val="16"/>
              </w:rPr>
              <w:t>2.4 Assurer la sécurisation foncière des projets forestiers, agroforestiers et de mise en défens dans les sites dédiés (</w:t>
            </w:r>
            <w:proofErr w:type="spellStart"/>
            <w:r w:rsidRPr="00DB6E6D">
              <w:rPr>
                <w:rFonts w:ascii="Avenir" w:eastAsia="Avenir" w:hAnsi="Avenir" w:cs="Avenir"/>
                <w:color w:val="auto"/>
                <w:sz w:val="16"/>
                <w:szCs w:val="16"/>
              </w:rPr>
              <w:t>cf</w:t>
            </w:r>
            <w:proofErr w:type="spellEnd"/>
            <w:r w:rsidRPr="00DB6E6D">
              <w:rPr>
                <w:rFonts w:ascii="Avenir" w:eastAsia="Avenir" w:hAnsi="Avenir" w:cs="Avenir"/>
                <w:color w:val="auto"/>
                <w:sz w:val="16"/>
                <w:szCs w:val="16"/>
              </w:rPr>
              <w:t xml:space="preserve"> effet 3 et effet 4) et accompagner les provinces réaliser la revue légale des concessions foncières de plus de 5 ha</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159D85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2.4.1 Appui à la réalisation de la revue légale des concessions forestières de plus de 5 ha </w:t>
            </w:r>
          </w:p>
          <w:p w14:paraId="2ECD9CDC"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107653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C19DE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5D495D8"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8545E6"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D77ED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C2ADD39"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758DC8"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CCDC5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12ECA2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B0E295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9559D8A"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489AAE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5455A96"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7D1538D"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47EFE9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avec CODELT / Base de données sur les concessions foncières de plus de 5 ha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FAFA2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55BB15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9AF2428"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0AEC4C"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117EA5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84DC9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0EC14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A18A9E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3A4A0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A378D5E"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373548"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03AE5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03950DA8"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0B1202F"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62C6FF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2.4.2 Amélioration de l'accès et de la sécurisation foncière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1CEFAE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7BD93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48EB6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7B686B"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61ABE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90CD7B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BC920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3AC46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E8D5D3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03CD600"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8EA967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A9C271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393F97D" w14:textId="77777777" w:rsidTr="00F30E80">
        <w:trPr>
          <w:trHeight w:val="300"/>
        </w:trPr>
        <w:tc>
          <w:tcPr>
            <w:tcW w:w="2154"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08398727"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202A19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Outils pour les formations foncier</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FDB6B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58097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6FD26D"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E8826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E07FD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9538B0"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ACB32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60776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D1FE7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1BF6B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AD4C25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315B9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bookmarkEnd w:id="18"/>
    </w:tbl>
    <w:p w14:paraId="4B86013A" w14:textId="77777777" w:rsidR="00F516D7" w:rsidRPr="00DB6E6D" w:rsidRDefault="00F516D7" w:rsidP="00F516D7">
      <w:pPr>
        <w:spacing w:after="0"/>
        <w:ind w:left="-3" w:right="35" w:firstLine="10"/>
        <w:rPr>
          <w:rFonts w:ascii="Avenir" w:eastAsia="Avenir" w:hAnsi="Avenir" w:cs="Avenir"/>
          <w:color w:val="auto"/>
          <w:sz w:val="16"/>
          <w:szCs w:val="16"/>
        </w:rPr>
      </w:pPr>
    </w:p>
    <w:tbl>
      <w:tblPr>
        <w:tblW w:w="13378" w:type="dxa"/>
        <w:tblLayout w:type="fixed"/>
        <w:tblLook w:val="0600" w:firstRow="0" w:lastRow="0" w:firstColumn="0" w:lastColumn="0" w:noHBand="1" w:noVBand="1"/>
      </w:tblPr>
      <w:tblGrid>
        <w:gridCol w:w="2154"/>
        <w:gridCol w:w="2796"/>
        <w:gridCol w:w="709"/>
        <w:gridCol w:w="618"/>
        <w:gridCol w:w="615"/>
        <w:gridCol w:w="492"/>
        <w:gridCol w:w="862"/>
        <w:gridCol w:w="615"/>
        <w:gridCol w:w="613"/>
        <w:gridCol w:w="864"/>
        <w:gridCol w:w="615"/>
        <w:gridCol w:w="747"/>
        <w:gridCol w:w="741"/>
        <w:gridCol w:w="937"/>
      </w:tblGrid>
      <w:tr w:rsidR="00F516D7" w:rsidRPr="00DB6E6D" w14:paraId="20DCAB83" w14:textId="77777777" w:rsidTr="00F30E80">
        <w:trPr>
          <w:trHeight w:val="15"/>
        </w:trPr>
        <w:tc>
          <w:tcPr>
            <w:tcW w:w="13378" w:type="dxa"/>
            <w:gridSpan w:val="14"/>
            <w:tcBorders>
              <w:top w:val="single" w:sz="8" w:space="0" w:color="000000"/>
              <w:left w:val="single" w:sz="8" w:space="0" w:color="000000"/>
              <w:bottom w:val="nil"/>
              <w:right w:val="single" w:sz="8" w:space="0" w:color="000000"/>
            </w:tcBorders>
            <w:shd w:val="clear" w:color="auto" w:fill="D9D9D9"/>
            <w:tcMar>
              <w:left w:w="58" w:type="dxa"/>
              <w:right w:w="10" w:type="dxa"/>
            </w:tcMar>
            <w:vAlign w:val="center"/>
          </w:tcPr>
          <w:p w14:paraId="6EE9F804" w14:textId="77777777" w:rsidR="00F516D7" w:rsidRPr="00DB6E6D" w:rsidRDefault="00F516D7" w:rsidP="00F30E80">
            <w:pPr>
              <w:spacing w:after="0"/>
              <w:rPr>
                <w:rFonts w:ascii="Avenir" w:eastAsia="Avenir" w:hAnsi="Avenir" w:cs="Avenir"/>
                <w:color w:val="auto"/>
              </w:rPr>
            </w:pPr>
            <w:r w:rsidRPr="00DB6E6D">
              <w:rPr>
                <w:rFonts w:ascii="Avenir" w:eastAsia="Avenir" w:hAnsi="Avenir" w:cs="Avenir"/>
                <w:b/>
                <w:color w:val="auto"/>
                <w:sz w:val="18"/>
                <w:szCs w:val="18"/>
              </w:rPr>
              <w:t>Effet 3</w:t>
            </w:r>
            <w:r>
              <w:rPr>
                <w:rFonts w:ascii="Avenir" w:eastAsia="Avenir" w:hAnsi="Avenir" w:cs="Avenir"/>
                <w:b/>
                <w:color w:val="auto"/>
                <w:sz w:val="18"/>
                <w:szCs w:val="18"/>
              </w:rPr>
              <w:t xml:space="preserve"> </w:t>
            </w:r>
            <w:r w:rsidRPr="00DB6E6D">
              <w:rPr>
                <w:rFonts w:ascii="Avenir" w:eastAsia="Avenir" w:hAnsi="Avenir" w:cs="Avenir"/>
                <w:b/>
                <w:color w:val="auto"/>
                <w:sz w:val="18"/>
                <w:szCs w:val="18"/>
              </w:rPr>
              <w:t>: Des systèmes d’exploitation durable des forêts et des savanes sont développés et promus pour contribuer à la gestion durable des ressources naturelles tout en assurant un approvisionnement en bois-énergie et bois d’œuvre</w:t>
            </w:r>
          </w:p>
        </w:tc>
      </w:tr>
      <w:tr w:rsidR="00F516D7" w:rsidRPr="00DB6E6D" w14:paraId="1A333694" w14:textId="77777777" w:rsidTr="00F30E80">
        <w:trPr>
          <w:trHeight w:val="15"/>
        </w:trPr>
        <w:tc>
          <w:tcPr>
            <w:tcW w:w="2154"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CAC9662"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Produits</w:t>
            </w:r>
          </w:p>
        </w:tc>
        <w:tc>
          <w:tcPr>
            <w:tcW w:w="2796"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412069F"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Activités</w:t>
            </w:r>
          </w:p>
        </w:tc>
        <w:tc>
          <w:tcPr>
            <w:tcW w:w="8428" w:type="dxa"/>
            <w:gridSpan w:val="12"/>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294AD26"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18"/>
                <w:szCs w:val="18"/>
              </w:rPr>
              <w:t>Echéancier de mise en œuvre des activités en Année 1</w:t>
            </w:r>
          </w:p>
          <w:p w14:paraId="6CC344CC"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 xml:space="preserve"> </w:t>
            </w:r>
          </w:p>
        </w:tc>
      </w:tr>
      <w:tr w:rsidR="00F516D7" w:rsidRPr="00DB6E6D" w14:paraId="7F921CBF" w14:textId="77777777" w:rsidTr="00F30E80">
        <w:trPr>
          <w:trHeight w:val="15"/>
        </w:trPr>
        <w:tc>
          <w:tcPr>
            <w:tcW w:w="2154"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9C197F8"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rPr>
            </w:pPr>
          </w:p>
        </w:tc>
        <w:tc>
          <w:tcPr>
            <w:tcW w:w="2796"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2EFD484"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rPr>
            </w:pPr>
          </w:p>
        </w:tc>
        <w:tc>
          <w:tcPr>
            <w:tcW w:w="709" w:type="dxa"/>
            <w:tcBorders>
              <w:top w:val="single" w:sz="8" w:space="0" w:color="000000"/>
              <w:left w:val="nil"/>
              <w:bottom w:val="single" w:sz="8" w:space="0" w:color="000000"/>
              <w:right w:val="single" w:sz="8" w:space="0" w:color="000000"/>
            </w:tcBorders>
            <w:shd w:val="clear" w:color="auto" w:fill="D9D9D9"/>
            <w:tcMar>
              <w:left w:w="58" w:type="dxa"/>
              <w:right w:w="10" w:type="dxa"/>
            </w:tcMar>
            <w:vAlign w:val="center"/>
          </w:tcPr>
          <w:p w14:paraId="55B8BA79"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w:t>
            </w:r>
          </w:p>
        </w:tc>
        <w:tc>
          <w:tcPr>
            <w:tcW w:w="61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AD68ABA"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2</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394C216"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3</w:t>
            </w:r>
          </w:p>
        </w:tc>
        <w:tc>
          <w:tcPr>
            <w:tcW w:w="49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CE68886"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4</w:t>
            </w:r>
          </w:p>
        </w:tc>
        <w:tc>
          <w:tcPr>
            <w:tcW w:w="86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3108846"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5</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C48A831"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6</w:t>
            </w:r>
          </w:p>
        </w:tc>
        <w:tc>
          <w:tcPr>
            <w:tcW w:w="613"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A693392"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7</w:t>
            </w:r>
          </w:p>
        </w:tc>
        <w:tc>
          <w:tcPr>
            <w:tcW w:w="864"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0EC44BA"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8</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315617F"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9</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64A1B62"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10</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40934B3"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11</w:t>
            </w:r>
          </w:p>
        </w:tc>
        <w:tc>
          <w:tcPr>
            <w:tcW w:w="93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0379669"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12</w:t>
            </w:r>
          </w:p>
        </w:tc>
      </w:tr>
      <w:tr w:rsidR="00F516D7" w:rsidRPr="00DB6E6D" w14:paraId="1A2983C5" w14:textId="77777777" w:rsidTr="00F30E80">
        <w:trPr>
          <w:trHeight w:val="300"/>
        </w:trPr>
        <w:tc>
          <w:tcPr>
            <w:tcW w:w="2154"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2365CD1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3.1 Développer un schéma directeur d’approvisionnement Provincial (tourné vers l’approvisionnement urbain en bois énergie et en bois d’œuvre)</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379AF0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3.1.1 Etudes de base (évaluation de la ressource ligneuse, quantification des flux de bois-énergie, description des filières bois-énergie et bois d'œuvre, caractérisation des pratiques de production, bilan et interventions prioritaires)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3C071E" w14:textId="77777777" w:rsidR="00F516D7" w:rsidRPr="00DB6E6D" w:rsidRDefault="00F516D7" w:rsidP="00F30E80">
            <w:pPr>
              <w:rPr>
                <w:rFonts w:ascii="Avenir" w:eastAsia="Avenir" w:hAnsi="Avenir" w:cs="Avenir"/>
                <w:color w:val="auto"/>
                <w:sz w:val="16"/>
                <w:szCs w:val="16"/>
              </w:rPr>
            </w:pPr>
          </w:p>
        </w:tc>
        <w:tc>
          <w:tcPr>
            <w:tcW w:w="61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1FE9DB7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6996698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4A5C654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55A6DFF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7DEBBC6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57A7D74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CFA44B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82AE15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014B88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5F7E3A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1E5DBA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4BE286BE"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45B0E339"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E09E69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de base du SDA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DEE88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8B17B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19F32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p w14:paraId="53918B3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19770D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D18F9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7FAF9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7FEBD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86F1D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F9A0F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A23E2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338927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C58207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r>
      <w:tr w:rsidR="00F516D7" w:rsidRPr="00DB6E6D" w14:paraId="0CFF914D"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4C580E20"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922B91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3.1.2 Appui à l'élaboration du schéma directeur d’</w:t>
            </w:r>
            <w:proofErr w:type="spellStart"/>
            <w:r w:rsidRPr="00DB6E6D">
              <w:rPr>
                <w:rFonts w:ascii="Avenir" w:eastAsia="Avenir" w:hAnsi="Avenir" w:cs="Avenir"/>
                <w:color w:val="auto"/>
                <w:sz w:val="16"/>
                <w:szCs w:val="16"/>
              </w:rPr>
              <w:t>approvision</w:t>
            </w:r>
            <w:proofErr w:type="spellEnd"/>
            <w:r w:rsidRPr="00DB6E6D">
              <w:rPr>
                <w:rFonts w:ascii="Avenir" w:eastAsia="Avenir" w:hAnsi="Avenir" w:cs="Avenir"/>
                <w:color w:val="auto"/>
                <w:sz w:val="16"/>
                <w:szCs w:val="16"/>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229A0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7C5BC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DAD68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D642FF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91D2E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55BC0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1AD13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3D8732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1C6B96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FC2445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AC3598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34E46D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146A4028"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4375F47D"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F313E1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sur l’état d’avancement de l’élaboration du SDA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28F58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15FA30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CFDB70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C637AE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6FF22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4AA698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9F87D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B29DE4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041079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9CDBFF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54A4DD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E98BBD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r>
      <w:tr w:rsidR="00F516D7" w:rsidRPr="00DB6E6D" w14:paraId="7EA6272A"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4B2C025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262AC3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3.1.3 Organisation d’ateliers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75369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BCD1E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3CDF6A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7BDC5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C1535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CA6367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8496F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C9FBDB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3D323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1BBB4E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16FA3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18A387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486FE717" w14:textId="77777777" w:rsidTr="00F30E80">
        <w:trPr>
          <w:trHeight w:val="300"/>
        </w:trPr>
        <w:tc>
          <w:tcPr>
            <w:tcW w:w="2154" w:type="dxa"/>
            <w:vMerge/>
            <w:tcBorders>
              <w:left w:val="single" w:sz="8" w:space="0" w:color="000000"/>
              <w:bottom w:val="single" w:sz="12" w:space="0" w:color="auto"/>
              <w:right w:val="single" w:sz="8" w:space="0" w:color="000000"/>
            </w:tcBorders>
            <w:shd w:val="clear" w:color="auto" w:fill="FFFFFF"/>
            <w:tcMar>
              <w:left w:w="58" w:type="dxa"/>
              <w:right w:w="10" w:type="dxa"/>
            </w:tcMar>
            <w:vAlign w:val="center"/>
          </w:tcPr>
          <w:p w14:paraId="47397DF4"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3A1D1A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d’ateliers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1F5EA7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307A1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C7F03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57222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EC54D0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228640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93192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03872C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2</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987AC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AA5A5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4</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588AB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DCEFA9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2</w:t>
            </w:r>
          </w:p>
        </w:tc>
      </w:tr>
      <w:tr w:rsidR="00F516D7" w:rsidRPr="00DB6E6D" w14:paraId="4FA8FD44" w14:textId="77777777" w:rsidTr="00F30E80">
        <w:trPr>
          <w:trHeight w:val="300"/>
        </w:trPr>
        <w:tc>
          <w:tcPr>
            <w:tcW w:w="2154"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080149B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3.2 Mettre en place un système d’information et de suivi du bois-énergie et du bois d’œuvre</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4754AE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3.2.1 Renforcement des STD</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C6F82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29C1A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AF748A9"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AB5456"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CF320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5BECE4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3FD0357"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C75F04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38ECAA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802194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38F944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637399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74E735A"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1090860"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293093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d’avancement de la mise en place des outils de suivi des flux de production et consommation de bois énergie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D5619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0EADC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2CD0A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4C929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29FBBF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FAACC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FC4058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1593D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D6748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423B50"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9EA29B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74FB13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7CD997F3"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7AC44DF"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6DAFE8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3.2.2 Etude pour élaboration du système de suivi</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640B0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0851B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34374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3391EB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15C4BB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D1816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5EF34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1A721E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3CBE56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02D1F8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E202A6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3089F7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DAEDDAE"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2A746AE"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64F664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pour élaboration du système de suivi</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13FFF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50AEA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4A294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1E10A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72000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7713A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3AFAF1"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B9A54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C06515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6B211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E148D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B3757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42CB90D" w14:textId="77777777" w:rsidTr="00F30E80">
        <w:trPr>
          <w:trHeight w:val="300"/>
        </w:trPr>
        <w:tc>
          <w:tcPr>
            <w:tcW w:w="2154"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487B289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 Améliorer les systèmes de gestion des forêts et d’exploitation des ressources naturelles (en lien avec les Plans d'aménagement)</w:t>
            </w:r>
          </w:p>
          <w:p w14:paraId="37CFF9A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0AA21C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3.3.1 Définition de la méthodologie des activités de mise en œuvre engageant des PSE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DE0D5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B33BE5"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0D7FE2"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1EFC3B7"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340951"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5626FE"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22AB73"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E183810"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22B9D1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E3789E6"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3B21C03"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2E988AB"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7B4D5007"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2C3F2A6"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1240BCB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incl. carte des espaces PSE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894C6B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976B10"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1F31AD4"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5924F0"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EAD0A5"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533264"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C10842"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66B567"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449F9B3"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FD143B"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BFDEADB"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27C213"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r>
      <w:tr w:rsidR="00F516D7" w:rsidRPr="00DB6E6D" w14:paraId="7C41A993"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00429C8"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1AC3C6A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3.3.2 PSE : - Mise en défens 2000 ha territoire de Katanda et forêt communautaire 33 ha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A7FAA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48F08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3F520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3B26E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50E4A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61C2D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7CDE5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6B866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0FF77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96104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9FAA77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FF6705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04AB0AA3"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7E136E06"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A70E5A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827DD4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C621A2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A915C8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984AA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75337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14583F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E3E20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6253A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630CB6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F6DCD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183226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ECCDF9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08F086F7"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0C3D41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3ABB3F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3.3.3 PSE : - Mise en défens 2000 ha territoire de Tshilenge et forêt communautaire 33 ha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240D7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26001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DEA5CE"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8BD13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E6DF5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11C4D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B988E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C6F2F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63EC2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66BE9A"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8AAE327"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ED9146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4E8BF4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0E767984"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22070E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1973CD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06849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193EF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9166B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1E7B4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6C5C3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F1A6268"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3DDAA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9F99B8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7D0244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0C4B93"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DBC1E7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24CB458B"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7FFFB62D"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FFCC7F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3.3.4 PSE : - Mise en défens 2000 ha territoires de Lupatapata et forêt communautaire 33 ha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8F627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C110A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A88ABF"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DF7E14"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F4A40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4657F1"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A8B4D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2F1C9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68770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AB9EAA"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DF2A60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0D8B60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FD6F377"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5379EAB"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1CED04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19ED1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A88FE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A4510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C54C6A"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A11544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DBE6F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03949A8"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0CB926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CBBD06E"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C37FE74"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297098"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FD169D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54050E2E"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446EE48"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02FEFA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3.3.5 Bande pares-feux de protection des zones mises en défens territoire de Katanda + mise en place 33 ha forêt communautaire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0A066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A384D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2D0168"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9BB4A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6DEAD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D63BB4"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BD31D2"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2D1F6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1B862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F6025A"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FC4E00E"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ED45D1E"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832D05C"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0FDE316"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6FD9DC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9BC75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3C51B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616C666"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C5FB64"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49F7F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BB2B0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6F8E08"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A8897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AF96A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32F2AF"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9950D0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20824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087F8467"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07028D9"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9DBD4F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3.3.6 Bande pares-feux de protection des zones mises en défens territoire de Tshilenge + mise en place 33 ha forêt communautaire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86C4A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3407B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192D1B"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E44A0A"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F9245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F32A9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B5C3A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201E4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37967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941E1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F52F714"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CDD7FDF"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B847ADE"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F071699"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DFAA16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0DF01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C1555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F3A50C"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0FB146"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10A44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7ABCBE"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A77832"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DBB18B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AF01F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EB150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92A58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E4184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4FACE8C0"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46A620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03F760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3.3.7 Bande pares-feux de protection des zones mises en défens territoire de Lupatapata + mise en place 33 ha forêt communautaire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A0531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A19EE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5A1189"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5F73F0"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EF766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9D704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E95C7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8D00B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6080CE"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3A5E5E"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C42F59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FD59473"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3ED404D"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769F9F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7A69DD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Livrable : Convention de subside signée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0234A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AA7B6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4BFF1F"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871BA8"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3CDC3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D9F2B0"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4044A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997425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D8E4D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D0C34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E0888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E3A2E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77781901"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FC88F48"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C2D97A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3.3.8 Animation PSE et suivi des paiements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C20652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D5171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E43868"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54C033"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5E5D3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2BB89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56358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4F60D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43F7A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813ED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E55020A"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E3C398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3CC4917"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55642C34"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F00B60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d’animation PSE (</w:t>
            </w:r>
            <w:proofErr w:type="spellStart"/>
            <w:r w:rsidRPr="00DB6E6D">
              <w:rPr>
                <w:rFonts w:ascii="Avenir" w:eastAsia="Avenir" w:hAnsi="Avenir" w:cs="Avenir"/>
                <w:color w:val="auto"/>
                <w:sz w:val="16"/>
                <w:szCs w:val="16"/>
              </w:rPr>
              <w:t>Conv</w:t>
            </w:r>
            <w:proofErr w:type="spellEnd"/>
            <w:r w:rsidRPr="00DB6E6D">
              <w:rPr>
                <w:rFonts w:ascii="Avenir" w:eastAsia="Avenir" w:hAnsi="Avenir" w:cs="Avenir"/>
                <w:color w:val="auto"/>
                <w:sz w:val="16"/>
                <w:szCs w:val="16"/>
              </w:rPr>
              <w:t>. Subside signée)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5352E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9F47C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92309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5E8518"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24AFB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7558E5"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E00E3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8D9F8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2DF88E"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A51263"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BF3FA7"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F99B6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0F3AF3C8"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F1CBC71"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C7600A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3.3.9 Espaces pour les PSE de reboisement communautaire (100 ha) intégralement cartographiés. Espaces pour les PSE de mise en défens / protection contre le feu cartographiés aux 2/3 (4 000 ha)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04236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CF996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3D2D4F"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FFF33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9222B5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E5BFE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FF370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EF50B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F8BE1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A1865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6ABBFD2"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5EAE40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868BBD7"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3A6F035"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65A161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et carte des espaces PSE (</w:t>
            </w:r>
            <w:proofErr w:type="spellStart"/>
            <w:r w:rsidRPr="00DB6E6D">
              <w:rPr>
                <w:rFonts w:ascii="Avenir" w:eastAsia="Avenir" w:hAnsi="Avenir" w:cs="Avenir"/>
                <w:color w:val="auto"/>
                <w:sz w:val="16"/>
                <w:szCs w:val="16"/>
              </w:rPr>
              <w:t>Conv</w:t>
            </w:r>
            <w:proofErr w:type="spellEnd"/>
            <w:r w:rsidRPr="00DB6E6D">
              <w:rPr>
                <w:rFonts w:ascii="Avenir" w:eastAsia="Avenir" w:hAnsi="Avenir" w:cs="Avenir"/>
                <w:color w:val="auto"/>
                <w:sz w:val="16"/>
                <w:szCs w:val="16"/>
              </w:rPr>
              <w:t>. Subside signée)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90D6AD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2C8535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A32AC11"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FFD222"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2D208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F46453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D95AB1"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7915B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43BA8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5839E4"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6B1C00A"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C20FBC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61205052"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74FB1552"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F6DF26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3.3.10 Appui à la valorisation des PFNL</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7F9774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862473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531A6A"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29440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22298A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46302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3B235F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6CC161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E77A13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E71357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81CF8C2"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A80253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9AC0D9A" w14:textId="77777777" w:rsidTr="00F30E80">
        <w:trPr>
          <w:trHeight w:val="300"/>
        </w:trPr>
        <w:tc>
          <w:tcPr>
            <w:tcW w:w="2154" w:type="dxa"/>
            <w:vMerge/>
            <w:tcBorders>
              <w:left w:val="single" w:sz="8" w:space="0" w:color="000000"/>
              <w:bottom w:val="single" w:sz="12" w:space="0" w:color="auto"/>
              <w:right w:val="single" w:sz="8" w:space="0" w:color="000000"/>
            </w:tcBorders>
            <w:shd w:val="clear" w:color="auto" w:fill="FFFFFF"/>
            <w:tcMar>
              <w:left w:w="58" w:type="dxa"/>
              <w:right w:w="10" w:type="dxa"/>
            </w:tcMar>
            <w:vAlign w:val="center"/>
          </w:tcPr>
          <w:p w14:paraId="2FB65379"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0AD223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diagnostic approfondi des filières PFNL incl. Plan d’action</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05BED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762BE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07FD37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E04C72"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1E162D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9AB3FE"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F803D8"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8B856F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EC8E2E"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1755C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4174D4"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2BA6D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1D87DD28" w14:textId="77777777" w:rsidTr="00F30E80">
        <w:trPr>
          <w:trHeight w:val="424"/>
        </w:trPr>
        <w:tc>
          <w:tcPr>
            <w:tcW w:w="2154"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18929DB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 Susciter et accompagner des actions de reboisement à large échelle</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BB96E5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3.4.1 Inventaire approfondi des plantations de bois énergie et bois d'œuvre existantes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CAD8E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F09CF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C38C26"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E4596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F46CF2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87273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F7A34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040774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42D6C9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DAC79E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CCCAB72"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2D9EDE3"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02187E5"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003C0A26"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A5DF34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14AA95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5009F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19B291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84217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04780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67C3A1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CD770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5AF8E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40B1E0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8B5B7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240C02A"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1906A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547BB8F6"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7167116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A1301D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3.4.2 Elaboration de plans d'affaire et modèle économique viable pour les plantations par le secteur privé (y compris guide méthodologique foncier)</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399CB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B3D367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65FA9AF"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FD5D5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F39AD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89079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F44C7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2268F0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C49EDE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B38F2D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2C8EAD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0E6E213"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4058103"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97388D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05560E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Plan d’affaire / modèle économique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73F5C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A8CE6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0309AE"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B971DE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F62B12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342D7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C2175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05180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78893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3491F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1D09728"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A43BF0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7BB30E75"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2330C8F"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vAlign w:val="center"/>
          </w:tcPr>
          <w:p w14:paraId="6B7593D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3.4.3 Structuration et formation des futurs planteurs privés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B5099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3E2DD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71633B"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F884E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0F942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B31D70"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7D554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23CC3A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2BC9F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F00E2E"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5CC172"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75F7DF"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D405260"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F3EA6A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18C09C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structuration et de formation</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460824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725C8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5430C9"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BE05A2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F02AF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AC3B0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A61C027"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31589F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C5B6A7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A10B3AB"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DC98FC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89E556F"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B961AA9"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7A4F88E"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EE0249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3.4.4 Appui technique aux plantations existantes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E8C038"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231ED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636A5C"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5F42B1C"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32682E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7988F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87BDB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86654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E762E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CA0E2A"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8E175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22DD7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E9DC8B6"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8897A5F"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D28521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missions d’appui</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E25CC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0E141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0256901"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3A437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3B596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E12266"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F1916C"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64CB6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DD03B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EE46BA2"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01EBEA"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0C41D1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F290B31"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629CC87"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C982BC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3.4.5 Mise en place de nouvelles plantations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D4A89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53A7C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57723A"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C5F01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99689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4E63D1"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C57FF2C"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E5284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4812B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02391D"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55F07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F5FE4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AEDE9C0" w14:textId="77777777" w:rsidTr="00F30E80">
        <w:trPr>
          <w:trHeight w:val="300"/>
        </w:trPr>
        <w:tc>
          <w:tcPr>
            <w:tcW w:w="2154" w:type="dxa"/>
            <w:vMerge/>
            <w:tcBorders>
              <w:left w:val="single" w:sz="8" w:space="0" w:color="000000"/>
              <w:bottom w:val="single" w:sz="12" w:space="0" w:color="auto"/>
              <w:right w:val="single" w:sz="8" w:space="0" w:color="000000"/>
            </w:tcBorders>
            <w:shd w:val="clear" w:color="auto" w:fill="FFFFFF"/>
            <w:tcMar>
              <w:left w:w="58" w:type="dxa"/>
              <w:right w:w="10" w:type="dxa"/>
            </w:tcMar>
            <w:vAlign w:val="center"/>
          </w:tcPr>
          <w:p w14:paraId="049F1405"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5CFC6A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 – nbre ha plantés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04CF6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95A15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5BA1C8"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5A565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FAE210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365EA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D98389"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997DD0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20779EF"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DDB39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B3FAC1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BA5224"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9C28323" w14:textId="77777777" w:rsidTr="00F30E80">
        <w:trPr>
          <w:trHeight w:val="300"/>
        </w:trPr>
        <w:tc>
          <w:tcPr>
            <w:tcW w:w="2154"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342D26D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3.5 Structurer et renforcer les capacités des producteurs de bois énergie et de bois d’œuvre</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337F9D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3.5.1 Structuration des producteurs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79ABD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C22A0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ED4117C"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AF96F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3E6DA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023C5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D0F1A7"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D361A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56BA5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937273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3E86F1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6FB1788"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858E9B0"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662DC189"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4668D3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D447F1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CDCA0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CCCAC30"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F67D16"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529920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D4ED7E"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1A7BC69"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AF3E67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DDCA7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ACD92B"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E1451B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8EAB9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603AC6D8"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609E320"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45B027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3.5.2 Formation aux techniques de carbonisation et coupe améliorées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7A5FC8"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B9394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D60B90"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8696C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F547B0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FFE69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23D6FF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FE2DE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33CD7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5DF9D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467C0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C10167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30D4A81" w14:textId="77777777" w:rsidTr="00F30E80">
        <w:trPr>
          <w:trHeight w:val="300"/>
        </w:trPr>
        <w:tc>
          <w:tcPr>
            <w:tcW w:w="2154" w:type="dxa"/>
            <w:vMerge/>
            <w:tcBorders>
              <w:left w:val="single" w:sz="8" w:space="0" w:color="000000"/>
              <w:bottom w:val="single" w:sz="12" w:space="0" w:color="auto"/>
              <w:right w:val="single" w:sz="8" w:space="0" w:color="000000"/>
            </w:tcBorders>
            <w:shd w:val="clear" w:color="auto" w:fill="FFFFFF"/>
            <w:tcMar>
              <w:left w:w="58" w:type="dxa"/>
              <w:right w:w="10" w:type="dxa"/>
            </w:tcMar>
            <w:vAlign w:val="center"/>
          </w:tcPr>
          <w:p w14:paraId="49EB30B9"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EB9046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formation aux techniques de carbonisation et coupe améliorées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AEA72B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F3F3F5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6D4E90"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6BA40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07FB55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E5BE76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C9215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D123A3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51126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3B9D8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17596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CC921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1A9FDCA" w14:textId="77777777" w:rsidTr="00F30E80">
        <w:trPr>
          <w:trHeight w:val="231"/>
        </w:trPr>
        <w:tc>
          <w:tcPr>
            <w:tcW w:w="2154"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0FF02204" w14:textId="77777777" w:rsidR="00F516D7" w:rsidRPr="00DB6E6D" w:rsidRDefault="00F516D7" w:rsidP="00F30E80">
            <w:pPr>
              <w:spacing w:after="0"/>
              <w:ind w:left="0" w:firstLine="0"/>
              <w:rPr>
                <w:rFonts w:ascii="Avenir" w:eastAsia="Avenir" w:hAnsi="Avenir" w:cs="Avenir"/>
                <w:color w:val="auto"/>
                <w:sz w:val="16"/>
                <w:szCs w:val="16"/>
              </w:rPr>
            </w:pPr>
            <w:r w:rsidRPr="00DB6E6D">
              <w:rPr>
                <w:rFonts w:ascii="Avenir" w:eastAsia="Avenir" w:hAnsi="Avenir" w:cs="Avenir"/>
                <w:color w:val="auto"/>
                <w:sz w:val="16"/>
                <w:szCs w:val="16"/>
              </w:rPr>
              <w:t>3.6 Promouvoir des initiatives liées aux métiers verts à travers l’entreprenariat pour contribuer à la réduction de la demande en bois-énergie et bois-d ’œuvre</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A559D3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3.6.1 Etude sur les foyers améliorés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17C1AF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1228DF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5ACB3E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D7DFB08"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144D8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EE2169"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848101"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55BE4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A70BAF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1C1C9D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269C9E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F725EC1"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43007A6"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179E29C"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BF7454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82A718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51A6F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A8080DF"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EDCA4C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1AA683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16D04D5"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5F4D13"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91CA8B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826EDF"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E41F6D"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B967E33"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74500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50FA3A88"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1A2279F"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4D6E11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3.6.2 Appui aux projets d'entreprenariat vert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852F0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690D7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B352D8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202B1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231C0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F620B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52CC5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765C6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C4C99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7699C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F5F468"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AE0B7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9792E1B"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AA441A2"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A76AF9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d’activités (sur les porteurs de projets d'entreprenariat verts identifiés)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3B994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74668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8F11AE"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6A60D9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650BD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84F03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00E432"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3F271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CA3C9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8289E0"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F0323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C41C2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25C22B5"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8EA9A27"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B28838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3.6.3 Promotion (et subventions) des foyers améliorés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4C0A6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37B1D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AF37B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F92572"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1E689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9E8114"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CAC68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2E7F2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D10D2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F17E8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90158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979C83"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772E8FD" w14:textId="77777777" w:rsidTr="00F30E80">
        <w:trPr>
          <w:trHeight w:val="300"/>
        </w:trPr>
        <w:tc>
          <w:tcPr>
            <w:tcW w:w="2154"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03AC60C9"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709A92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w:t>
            </w:r>
            <w:r>
              <w:rPr>
                <w:rFonts w:ascii="Avenir" w:eastAsia="Avenir" w:hAnsi="Avenir" w:cs="Avenir"/>
                <w:color w:val="auto"/>
                <w:sz w:val="16"/>
                <w:szCs w:val="16"/>
              </w:rPr>
              <w:t xml:space="preserve"> </w:t>
            </w:r>
            <w:r w:rsidRPr="00DB6E6D">
              <w:rPr>
                <w:rFonts w:ascii="Avenir" w:eastAsia="Avenir" w:hAnsi="Avenir" w:cs="Avenir"/>
                <w:color w:val="auto"/>
                <w:sz w:val="16"/>
                <w:szCs w:val="16"/>
              </w:rPr>
              <w:t>: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AA33F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498C14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33AC6BD"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E6F843"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CECD4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3A5EA5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F1BD243"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5E393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C4F95F"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59F92E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D4204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E82F7E" w14:textId="77777777" w:rsidR="00F516D7" w:rsidRPr="00DB6E6D" w:rsidRDefault="00F516D7" w:rsidP="00F30E80">
            <w:pPr>
              <w:spacing w:after="0"/>
              <w:rPr>
                <w:rFonts w:ascii="Avenir" w:eastAsia="Avenir" w:hAnsi="Avenir" w:cs="Avenir"/>
                <w:color w:val="auto"/>
                <w:sz w:val="16"/>
                <w:szCs w:val="16"/>
              </w:rPr>
            </w:pPr>
          </w:p>
        </w:tc>
      </w:tr>
    </w:tbl>
    <w:p w14:paraId="2E610130" w14:textId="77777777" w:rsidR="00F516D7" w:rsidRPr="00DB6E6D" w:rsidRDefault="00F516D7" w:rsidP="00F516D7">
      <w:pPr>
        <w:spacing w:after="0" w:line="250" w:lineRule="auto"/>
        <w:ind w:left="-15" w:right="0" w:firstLine="0"/>
        <w:rPr>
          <w:rFonts w:ascii="Avenir" w:eastAsia="Avenir" w:hAnsi="Avenir" w:cs="Avenir"/>
          <w:iCs/>
          <w:color w:val="auto"/>
          <w:sz w:val="16"/>
          <w:szCs w:val="16"/>
        </w:rPr>
      </w:pPr>
    </w:p>
    <w:tbl>
      <w:tblPr>
        <w:tblW w:w="13378" w:type="dxa"/>
        <w:tblLayout w:type="fixed"/>
        <w:tblLook w:val="0600" w:firstRow="0" w:lastRow="0" w:firstColumn="0" w:lastColumn="0" w:noHBand="1" w:noVBand="1"/>
      </w:tblPr>
      <w:tblGrid>
        <w:gridCol w:w="2154"/>
        <w:gridCol w:w="2796"/>
        <w:gridCol w:w="709"/>
        <w:gridCol w:w="618"/>
        <w:gridCol w:w="615"/>
        <w:gridCol w:w="492"/>
        <w:gridCol w:w="862"/>
        <w:gridCol w:w="615"/>
        <w:gridCol w:w="613"/>
        <w:gridCol w:w="864"/>
        <w:gridCol w:w="615"/>
        <w:gridCol w:w="747"/>
        <w:gridCol w:w="741"/>
        <w:gridCol w:w="937"/>
      </w:tblGrid>
      <w:tr w:rsidR="00F516D7" w:rsidRPr="00DB6E6D" w14:paraId="2D2B340B" w14:textId="77777777" w:rsidTr="00F30E80">
        <w:trPr>
          <w:trHeight w:val="15"/>
        </w:trPr>
        <w:tc>
          <w:tcPr>
            <w:tcW w:w="13378" w:type="dxa"/>
            <w:gridSpan w:val="14"/>
            <w:tcBorders>
              <w:top w:val="single" w:sz="8" w:space="0" w:color="000000"/>
              <w:left w:val="single" w:sz="8" w:space="0" w:color="000000"/>
              <w:bottom w:val="nil"/>
              <w:right w:val="single" w:sz="8" w:space="0" w:color="000000"/>
            </w:tcBorders>
            <w:shd w:val="clear" w:color="auto" w:fill="D9D9D9"/>
            <w:tcMar>
              <w:left w:w="58" w:type="dxa"/>
              <w:right w:w="10" w:type="dxa"/>
            </w:tcMar>
            <w:vAlign w:val="center"/>
          </w:tcPr>
          <w:p w14:paraId="5A7748A8" w14:textId="77777777" w:rsidR="00F516D7" w:rsidRPr="00DB6E6D" w:rsidRDefault="00F516D7" w:rsidP="00F30E80">
            <w:pPr>
              <w:spacing w:after="0"/>
              <w:rPr>
                <w:rFonts w:ascii="Avenir" w:eastAsia="Avenir" w:hAnsi="Avenir" w:cs="Avenir"/>
                <w:color w:val="auto"/>
              </w:rPr>
            </w:pPr>
            <w:r w:rsidRPr="00DB6E6D">
              <w:rPr>
                <w:rFonts w:ascii="Avenir" w:eastAsia="Avenir" w:hAnsi="Avenir" w:cs="Avenir"/>
                <w:b/>
                <w:color w:val="auto"/>
                <w:sz w:val="18"/>
                <w:szCs w:val="18"/>
              </w:rPr>
              <w:t>Effet 4</w:t>
            </w:r>
            <w:r>
              <w:rPr>
                <w:rFonts w:ascii="Avenir" w:eastAsia="Avenir" w:hAnsi="Avenir" w:cs="Avenir"/>
                <w:b/>
                <w:color w:val="auto"/>
                <w:sz w:val="18"/>
                <w:szCs w:val="18"/>
              </w:rPr>
              <w:t xml:space="preserve"> </w:t>
            </w:r>
            <w:r w:rsidRPr="00DB6E6D">
              <w:rPr>
                <w:rFonts w:ascii="Avenir" w:eastAsia="Avenir" w:hAnsi="Avenir" w:cs="Avenir"/>
                <w:b/>
                <w:color w:val="auto"/>
                <w:sz w:val="18"/>
                <w:szCs w:val="18"/>
              </w:rPr>
              <w:t>: Des systèmes d’agriculture familiale et entrepreneuriale durables sont développés pour réduire la pression sur les forêts et les savanes</w:t>
            </w:r>
          </w:p>
        </w:tc>
      </w:tr>
      <w:tr w:rsidR="00F516D7" w:rsidRPr="00DB6E6D" w14:paraId="3F70F9EE" w14:textId="77777777" w:rsidTr="00F30E80">
        <w:trPr>
          <w:trHeight w:val="15"/>
        </w:trPr>
        <w:tc>
          <w:tcPr>
            <w:tcW w:w="2154"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D7849C2"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Produits</w:t>
            </w:r>
          </w:p>
        </w:tc>
        <w:tc>
          <w:tcPr>
            <w:tcW w:w="2796"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AB2876C"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Activités</w:t>
            </w:r>
          </w:p>
        </w:tc>
        <w:tc>
          <w:tcPr>
            <w:tcW w:w="8428" w:type="dxa"/>
            <w:gridSpan w:val="12"/>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E01FC18"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18"/>
                <w:szCs w:val="18"/>
              </w:rPr>
              <w:t>Echéancier de mise en œuvre des activités en Année 1</w:t>
            </w:r>
          </w:p>
          <w:p w14:paraId="5D3117F5"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 xml:space="preserve"> </w:t>
            </w:r>
          </w:p>
        </w:tc>
      </w:tr>
      <w:tr w:rsidR="00F516D7" w:rsidRPr="00DB6E6D" w14:paraId="6A10F313" w14:textId="77777777" w:rsidTr="00F30E80">
        <w:trPr>
          <w:trHeight w:val="15"/>
        </w:trPr>
        <w:tc>
          <w:tcPr>
            <w:tcW w:w="2154"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C30F6D3"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rPr>
            </w:pPr>
          </w:p>
        </w:tc>
        <w:tc>
          <w:tcPr>
            <w:tcW w:w="2796"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D79F4EA"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rPr>
            </w:pPr>
          </w:p>
        </w:tc>
        <w:tc>
          <w:tcPr>
            <w:tcW w:w="709" w:type="dxa"/>
            <w:tcBorders>
              <w:top w:val="single" w:sz="8" w:space="0" w:color="000000"/>
              <w:left w:val="nil"/>
              <w:bottom w:val="single" w:sz="8" w:space="0" w:color="000000"/>
              <w:right w:val="single" w:sz="8" w:space="0" w:color="000000"/>
            </w:tcBorders>
            <w:shd w:val="clear" w:color="auto" w:fill="D9D9D9"/>
            <w:tcMar>
              <w:left w:w="58" w:type="dxa"/>
              <w:right w:w="10" w:type="dxa"/>
            </w:tcMar>
            <w:vAlign w:val="center"/>
          </w:tcPr>
          <w:p w14:paraId="3AB57D04"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w:t>
            </w:r>
          </w:p>
        </w:tc>
        <w:tc>
          <w:tcPr>
            <w:tcW w:w="61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F89CB48"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2</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4487846"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3</w:t>
            </w:r>
          </w:p>
        </w:tc>
        <w:tc>
          <w:tcPr>
            <w:tcW w:w="49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B3AFD95"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4</w:t>
            </w:r>
          </w:p>
        </w:tc>
        <w:tc>
          <w:tcPr>
            <w:tcW w:w="86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11F030A"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5</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DC45C2A"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6</w:t>
            </w:r>
          </w:p>
        </w:tc>
        <w:tc>
          <w:tcPr>
            <w:tcW w:w="613"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110A6AE"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7</w:t>
            </w:r>
          </w:p>
        </w:tc>
        <w:tc>
          <w:tcPr>
            <w:tcW w:w="864"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6D71896"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8</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4D6EEE2"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9</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4973D60"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10</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91A6D95"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11</w:t>
            </w:r>
          </w:p>
        </w:tc>
        <w:tc>
          <w:tcPr>
            <w:tcW w:w="93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5EAC193" w14:textId="77777777" w:rsidR="00F516D7" w:rsidRPr="00DB6E6D" w:rsidRDefault="00F516D7" w:rsidP="00F30E80">
            <w:pPr>
              <w:spacing w:after="0"/>
              <w:jc w:val="center"/>
              <w:rPr>
                <w:rFonts w:ascii="Avenir" w:eastAsia="Avenir" w:hAnsi="Avenir" w:cs="Avenir"/>
                <w:color w:val="auto"/>
              </w:rPr>
            </w:pPr>
            <w:r w:rsidRPr="00DB6E6D">
              <w:rPr>
                <w:rFonts w:ascii="Avenir" w:eastAsia="Avenir" w:hAnsi="Avenir" w:cs="Avenir"/>
                <w:b/>
                <w:color w:val="auto"/>
                <w:sz w:val="20"/>
                <w:szCs w:val="20"/>
              </w:rPr>
              <w:t>12</w:t>
            </w:r>
          </w:p>
        </w:tc>
      </w:tr>
      <w:tr w:rsidR="00F516D7" w:rsidRPr="00DB6E6D" w14:paraId="00599981" w14:textId="77777777" w:rsidTr="00F30E80">
        <w:trPr>
          <w:trHeight w:val="300"/>
        </w:trPr>
        <w:tc>
          <w:tcPr>
            <w:tcW w:w="2154"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274A157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lastRenderedPageBreak/>
              <w:t xml:space="preserve">4.1 Promouvoir et développer des plantations agro-forestières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0264FD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4.1.1 Inventaire approfondi des plantations agroforestière existantes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8D1F49A" w14:textId="77777777" w:rsidR="00F516D7" w:rsidRPr="00DB6E6D" w:rsidRDefault="00F516D7" w:rsidP="00F30E80">
            <w:pPr>
              <w:rPr>
                <w:rFonts w:ascii="Avenir" w:eastAsia="Avenir" w:hAnsi="Avenir" w:cs="Avenir"/>
                <w:color w:val="auto"/>
                <w:sz w:val="16"/>
                <w:szCs w:val="16"/>
              </w:rPr>
            </w:pPr>
          </w:p>
        </w:tc>
        <w:tc>
          <w:tcPr>
            <w:tcW w:w="618"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69A1775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726BEB5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3130654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nil"/>
              <w:left w:val="single" w:sz="8" w:space="0" w:color="000000"/>
              <w:bottom w:val="single" w:sz="8" w:space="0" w:color="000000"/>
              <w:right w:val="single" w:sz="8" w:space="0" w:color="000000"/>
            </w:tcBorders>
            <w:shd w:val="clear" w:color="auto" w:fill="FFFFFF"/>
            <w:tcMar>
              <w:left w:w="58" w:type="dxa"/>
              <w:right w:w="10" w:type="dxa"/>
            </w:tcMar>
          </w:tcPr>
          <w:p w14:paraId="28AA84F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30BB398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199B461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4DD9E5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510B80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D712D4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9E2C7F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C1D6FD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35F8DB0E"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08629507" w14:textId="77777777" w:rsidR="00F516D7" w:rsidRPr="00DB6E6D" w:rsidRDefault="00F516D7" w:rsidP="00F30E80">
            <w:pPr>
              <w:spacing w:after="0"/>
              <w:ind w:left="0" w:firstLine="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8FBD2A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FCC75B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1CC0AF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BCCEBA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p w14:paraId="2F79950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55FC5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BBE593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070807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FE5DD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636C9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4A4C2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593A5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F1F9C9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AC6C17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r>
      <w:tr w:rsidR="00F516D7" w:rsidRPr="00DB6E6D" w14:paraId="474BAE1B"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26F8866C"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749AB0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4.1.2 Elaboration de plans d'affaire et modèle économique viable pour les plantations agroforestières (y compris guide méthodologique foncier)</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0325A6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C2B96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4F365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E3F7C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A651A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97803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1F4E5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60D69E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BA5686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3A370B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027FDF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946AC4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54537515"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3D631E40"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E8C648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Plan d’affaire / modèle économique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AF867E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B5F35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D45FB5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0C8409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63216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F05FF0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15A4B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D5D771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ADBEE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581D48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C2F77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29C617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r>
      <w:tr w:rsidR="00F516D7" w:rsidRPr="00DB6E6D" w14:paraId="34C9E746"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tcPr>
          <w:p w14:paraId="20BF990C"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15F22D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4.1.3 Soutien aux filières pépiniéristes et agricoles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C8AF3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2F7408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73499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DA274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2296E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04054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4AEA6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0E5B8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DB725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BF257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0D0B3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75083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7A272F75"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0BA3D79"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3D52B0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E00D0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56161F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3F8546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CB40E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84871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F3FACF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DC36C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2D89F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11B7B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C2E20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665A62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4A49CF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0D7E6D99"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C549962"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48D246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4.1.4 Reboisement agroforesterie territoire de Tshilenge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BB9C6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6AF7D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B32C0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FACED7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1F083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8ABD81"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A94FF6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117619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907E72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F3A877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36C066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23F326E"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1A1C40D"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63F2C92"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09DBA6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Livrable : Convention de subside avec </w:t>
            </w:r>
            <w:proofErr w:type="spellStart"/>
            <w:r w:rsidRPr="00DB6E6D">
              <w:rPr>
                <w:rFonts w:ascii="Avenir" w:eastAsia="Avenir" w:hAnsi="Avenir" w:cs="Avenir"/>
                <w:color w:val="auto"/>
                <w:sz w:val="16"/>
                <w:szCs w:val="16"/>
              </w:rPr>
              <w:t>Mazzarello</w:t>
            </w:r>
            <w:proofErr w:type="spellEnd"/>
            <w:r w:rsidRPr="00DB6E6D">
              <w:rPr>
                <w:rFonts w:ascii="Avenir" w:eastAsia="Avenir" w:hAnsi="Avenir" w:cs="Avenir"/>
                <w:color w:val="auto"/>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04C15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79B16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2975AFC"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8A79F2"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275114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023CA5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8177D99"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3A1D5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88371E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B4D3A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2789E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8E12DA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B87424F"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55EAF2C6"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1707DC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4.1.5 Reboisement agroforesterie territoire de Lupatapata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96320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0B191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CEE85D"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4B5239B"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23D9C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65C94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E6C463"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D08FAE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C8D7FAE"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B67E61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BF2DCD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F0E1D4F"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0E6B7A9"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F0785AD"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EA0016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Livrable : Convention de subside avec </w:t>
            </w:r>
            <w:proofErr w:type="spellStart"/>
            <w:r w:rsidRPr="00DB6E6D">
              <w:rPr>
                <w:rFonts w:ascii="Avenir" w:eastAsia="Avenir" w:hAnsi="Avenir" w:cs="Avenir"/>
                <w:color w:val="auto"/>
                <w:sz w:val="16"/>
                <w:szCs w:val="16"/>
              </w:rPr>
              <w:t>Mazzarello</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63D30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A33C8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45625D0"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F598D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F6639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57D474"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7E20E3"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3C0678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7506F5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3CB8F5A"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47657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0D0E34"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525060F"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E208EE8"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vAlign w:val="center"/>
          </w:tcPr>
          <w:p w14:paraId="5217432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4.1.6 Soutien aux projets d'agroforesterie individuels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7920F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EF1803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D170F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E76E40"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7D61C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41C9835"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081AB2"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9F4F8A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F3FE4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6EBAF0"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067E86"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30C5E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1E1F26D"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086650CF"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836C32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d’activités (sur nombre ha de reboisement agroforestier)</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7E8B01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4B839C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A8E1FF9"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96D7DA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879721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1AA5B6"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540A49"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1B842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0AAEDF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78165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FDD9E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9C512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933A855"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41E2559"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38B8CC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4.1.7 PSE : 500 ha - Réintégration de l'arbre au sein des parcelles cultivées par la régénération naturelle assistée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A509D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77122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008A6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C9A31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83CE1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85ABB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1A164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D65AF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6DA60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865C2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899A83"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F9475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48B9972" w14:textId="77777777" w:rsidTr="00F30E80">
        <w:trPr>
          <w:trHeight w:val="300"/>
        </w:trPr>
        <w:tc>
          <w:tcPr>
            <w:tcW w:w="2154" w:type="dxa"/>
            <w:vMerge/>
            <w:tcBorders>
              <w:left w:val="single" w:sz="8" w:space="0" w:color="000000"/>
              <w:bottom w:val="single" w:sz="12" w:space="0" w:color="auto"/>
              <w:right w:val="single" w:sz="8" w:space="0" w:color="000000"/>
            </w:tcBorders>
            <w:shd w:val="clear" w:color="auto" w:fill="FFFFFF"/>
            <w:tcMar>
              <w:left w:w="58" w:type="dxa"/>
              <w:right w:w="10" w:type="dxa"/>
            </w:tcMar>
            <w:vAlign w:val="center"/>
          </w:tcPr>
          <w:p w14:paraId="3DCD8DC9"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1C527B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d’activités (sur nombre ha RNA)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92880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77A475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910C985"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40FF47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23654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F251E0"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3BF7D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D9F912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9058C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AB0C2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DFD4A85"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20A5F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4200C74" w14:textId="77777777" w:rsidTr="00F30E80">
        <w:trPr>
          <w:trHeight w:val="300"/>
        </w:trPr>
        <w:tc>
          <w:tcPr>
            <w:tcW w:w="2154"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6A8A846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4.2 Améliorer la structuration et l'efficacité des systèmes de commercialisation</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F06430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4.2.1 Etude filière agricole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E4634B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60394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821D81"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EB2A6F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BD42E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5BC6F95"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1194E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8A197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6FECE6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840404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3EE7986"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EB8D71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A98B3FB"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C8AB77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0AC938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(2 filières prioritaires)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A4EA0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B2E0A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61B698"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A6C116"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84A10A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C6CCDB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51C2FD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65462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941B66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8FEDAD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1E530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A63329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6ABD7AE3"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F3D77F4"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42FA85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4.2.2 Amélioration des circuits de commercialisation</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596C7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A2014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1876B6"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8EDD24"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C66A5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E9A720"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ABD6093"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2EBB4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D2438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75F54E"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506196"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BCB6C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422B201"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02203AF3"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9821FA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004CC9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329B0E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750F1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D01C3B"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4D7AC2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0F2F870"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31C3B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2E1AD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7C8C8B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CC975DD"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7BB8782"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04A7978"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E6789A3" w14:textId="77777777" w:rsidTr="00F30E80">
        <w:trPr>
          <w:trHeight w:val="300"/>
        </w:trPr>
        <w:tc>
          <w:tcPr>
            <w:tcW w:w="2154"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2213C02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lastRenderedPageBreak/>
              <w:t>4.3 Appuyer l'émergence et le fonctionnement d'un réseau local d'acteurs de mise en œuvre de la REDD sensible aux groupes vulnérables</w:t>
            </w:r>
          </w:p>
          <w:p w14:paraId="6ABF98AB"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350C5A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4.3.1 Etude genre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CBBFA0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273AE45"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AF14ABC"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CCD495"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E041A25"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E6BB1E4"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94575D"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9E854F8"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1105AD5"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B793B59"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4E6B85A"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23B0CD1"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0E2182A4"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51818A5"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5876311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946B75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8F573D4"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B696E52"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BA259E"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41F278"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FFB7CB"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3AA430"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FB99D2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CFD316"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5E1E9FA"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DA06B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5418895"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 xml:space="preserve"> 1</w:t>
            </w:r>
          </w:p>
        </w:tc>
      </w:tr>
      <w:tr w:rsidR="00F516D7" w:rsidRPr="00DB6E6D" w14:paraId="7C14BF8A"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69D7E22"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52FCACC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4.3.2 Etude peuple autochtone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27E152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FD78F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167DB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E2859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2CBC9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4BBD8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B3BC3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4761D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C815E3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A08D13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F4E949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4A6BFB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r>
      <w:tr w:rsidR="00F516D7" w:rsidRPr="00DB6E6D" w14:paraId="0E4FD230"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30513F5"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4DB7D8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6BE14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CAF8D2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5C7223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378FE1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3B864D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02481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694004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6DB9BE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1F8CD4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0E7E6E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91D1A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425EF0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6CF320DE"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273F2B78"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D735EA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4.3.3 Cycles de formation à destination des ONG</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E021DA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378CD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8230EC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FA35F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0F44D0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73AA270"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766752"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669D5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7ADEEE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6B258B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3029E87"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6887B6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3EAFCD4"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4640C7A1"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E37436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Plan de formation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920BC8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7EE3EA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E710F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82D4A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26084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C18694E"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F8CA32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5D37B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02F21D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B326EC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8D0B1B8"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93EA92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65D43CB9"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58F22070"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BD3573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4.3.6 Renforcement des capacités, transferts de connaissance et compétences aux ONG en charge de la mise en place des CLD et PSAT (</w:t>
            </w:r>
            <w:proofErr w:type="spellStart"/>
            <w:r w:rsidRPr="00DB6E6D">
              <w:rPr>
                <w:rFonts w:ascii="Avenir" w:eastAsia="Avenir" w:hAnsi="Avenir" w:cs="Avenir"/>
                <w:color w:val="auto"/>
                <w:sz w:val="16"/>
                <w:szCs w:val="16"/>
              </w:rPr>
              <w:t>CSub</w:t>
            </w:r>
            <w:proofErr w:type="spellEnd"/>
            <w:r w:rsidRPr="00DB6E6D">
              <w:rPr>
                <w:rFonts w:ascii="Avenir" w:eastAsia="Avenir" w:hAnsi="Avenir" w:cs="Avenir"/>
                <w:color w:val="auto"/>
                <w:sz w:val="16"/>
                <w:szCs w:val="16"/>
              </w:rPr>
              <w:t xml:space="preserve"> </w:t>
            </w:r>
            <w:proofErr w:type="spellStart"/>
            <w:r w:rsidRPr="00DB6E6D">
              <w:rPr>
                <w:rFonts w:ascii="Avenir" w:eastAsia="Avenir" w:hAnsi="Avenir" w:cs="Avenir"/>
                <w:color w:val="auto"/>
                <w:sz w:val="16"/>
                <w:szCs w:val="16"/>
              </w:rPr>
              <w:t>Katanda</w:t>
            </w:r>
            <w:proofErr w:type="spellEnd"/>
            <w:r w:rsidRPr="00DB6E6D">
              <w:rPr>
                <w:rFonts w:ascii="Avenir" w:eastAsia="Avenir" w:hAnsi="Avenir" w:cs="Avenir"/>
                <w:color w:val="auto"/>
                <w:sz w:val="16"/>
                <w:szCs w:val="16"/>
              </w:rPr>
              <w:t xml:space="preserve">, </w:t>
            </w:r>
            <w:proofErr w:type="spellStart"/>
            <w:r w:rsidRPr="00DB6E6D">
              <w:rPr>
                <w:rFonts w:ascii="Avenir" w:eastAsia="Avenir" w:hAnsi="Avenir" w:cs="Avenir"/>
                <w:color w:val="auto"/>
                <w:sz w:val="16"/>
                <w:szCs w:val="16"/>
              </w:rPr>
              <w:t>Tshilenge</w:t>
            </w:r>
            <w:proofErr w:type="spellEnd"/>
            <w:r w:rsidRPr="00DB6E6D">
              <w:rPr>
                <w:rFonts w:ascii="Avenir" w:eastAsia="Avenir" w:hAnsi="Avenir" w:cs="Avenir"/>
                <w:color w:val="auto"/>
                <w:sz w:val="16"/>
                <w:szCs w:val="16"/>
              </w:rPr>
              <w:t xml:space="preserve"> et Lupatapata)</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C5630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0749DB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4D27833"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95A21C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CDD22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046236"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3879F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8AD175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640C3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0355DA4"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A56375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894F6F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1A80544"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1A2A65DE"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792B54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240AD5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646F94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BD64A13"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6E4A29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C3E7AE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3FE0061"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2616AD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E4DBA7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F8203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7F8601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E8ABC66"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B6A8CC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5480C815" w14:textId="77777777" w:rsidTr="00F30E80">
        <w:trPr>
          <w:trHeight w:val="424"/>
        </w:trPr>
        <w:tc>
          <w:tcPr>
            <w:tcW w:w="2154" w:type="dxa"/>
            <w:vMerge w:val="restart"/>
            <w:tcBorders>
              <w:top w:val="single" w:sz="12" w:space="0" w:color="auto"/>
              <w:left w:val="single" w:sz="8" w:space="0" w:color="000000"/>
              <w:bottom w:val="single" w:sz="8" w:space="0" w:color="000000"/>
              <w:right w:val="single" w:sz="8" w:space="0" w:color="000000"/>
            </w:tcBorders>
            <w:shd w:val="clear" w:color="auto" w:fill="FFFFFF"/>
            <w:tcMar>
              <w:left w:w="58" w:type="dxa"/>
              <w:right w:w="10" w:type="dxa"/>
            </w:tcMar>
            <w:vAlign w:val="center"/>
          </w:tcPr>
          <w:p w14:paraId="75DEBA0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4.4 Engager et accompagner les acteurs pour une prise de conscience des enjeux liés à la gestion durable des ressources naturelles et assurer la diffusion des innovations relatives à la REDD +</w:t>
            </w: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C944EF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4.4.1 Etude sur les perceptions et usages de la forêt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0A6A6F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45FF29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FEBB400"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0652FC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4E5CB1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AD123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A182A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F1F22D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888F6A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96AB0AB"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D0867D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68557A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91E054F" w14:textId="77777777" w:rsidTr="00F30E80">
        <w:trPr>
          <w:trHeight w:val="300"/>
        </w:trPr>
        <w:tc>
          <w:tcPr>
            <w:tcW w:w="2154" w:type="dxa"/>
            <w:vMerge/>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6B88B7BA"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6FD3C3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BFB647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6491CE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DE62893"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1AF6FC2"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25F55F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70F10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DDBFB7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B4A5D6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EEA84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4B9FCBD"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E21B5CE"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3E485CD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7C15F380"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0FBE8ECE"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C7925E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4.4.2 Appui au développement du plan C4D</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EB05AD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E9B072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C6F7EC0"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C5E5C2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B01F3D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F3AD36"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48B60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7AFF7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A7F79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AD2108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7D0FF7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7E5F5D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D658B81"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712B7BFE"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C40C14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Plan C4D</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B4379F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6AAC2E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100437BE"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DB3870"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110CDF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B98BA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2FCEED"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6222F9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888975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2386A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F1939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AB85A1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36A6BD1A" w14:textId="77777777" w:rsidTr="00F30E80">
        <w:trPr>
          <w:trHeight w:val="300"/>
        </w:trPr>
        <w:tc>
          <w:tcPr>
            <w:tcW w:w="2154" w:type="dxa"/>
            <w:vMerge/>
            <w:tcBorders>
              <w:left w:val="single" w:sz="8" w:space="0" w:color="000000"/>
              <w:right w:val="single" w:sz="8" w:space="0" w:color="000000"/>
            </w:tcBorders>
            <w:shd w:val="clear" w:color="auto" w:fill="FFFFFF"/>
            <w:tcMar>
              <w:left w:w="58" w:type="dxa"/>
              <w:right w:w="10" w:type="dxa"/>
            </w:tcMar>
            <w:vAlign w:val="center"/>
          </w:tcPr>
          <w:p w14:paraId="3BA5E1EE"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5D929E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4.4.3 Mise en œuvre des activités de C4D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2A20F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6409D7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E4EAD6"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121E70"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266A8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D2A871"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94F59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9F0D3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CA723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C8B5D4D"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9871FDA"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FDDAF9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DCC3760" w14:textId="77777777" w:rsidTr="00F30E80">
        <w:trPr>
          <w:trHeight w:val="300"/>
        </w:trPr>
        <w:tc>
          <w:tcPr>
            <w:tcW w:w="2154"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35B16896" w14:textId="77777777" w:rsidR="00F516D7" w:rsidRPr="00DB6E6D" w:rsidRDefault="00F516D7" w:rsidP="00F30E80">
            <w:pPr>
              <w:spacing w:after="0"/>
              <w:rPr>
                <w:rFonts w:ascii="Avenir" w:eastAsia="Avenir" w:hAnsi="Avenir" w:cs="Avenir"/>
                <w:color w:val="auto"/>
                <w:sz w:val="16"/>
                <w:szCs w:val="16"/>
              </w:rPr>
            </w:pPr>
          </w:p>
        </w:tc>
        <w:tc>
          <w:tcPr>
            <w:tcW w:w="279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vAlign w:val="center"/>
          </w:tcPr>
          <w:p w14:paraId="720609A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CADFAC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69798DE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77460EB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5AF71F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6B4421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C581DA9"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2B76A3C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176CD4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AE2CE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45FC98E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0682506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tcPr>
          <w:p w14:paraId="50523BC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bl>
    <w:p w14:paraId="1E756845" w14:textId="77777777" w:rsidR="00F516D7" w:rsidRPr="00DB6E6D" w:rsidRDefault="00F516D7" w:rsidP="00F516D7">
      <w:pPr>
        <w:spacing w:after="0" w:line="250" w:lineRule="auto"/>
        <w:ind w:left="-15" w:right="0" w:firstLine="0"/>
        <w:rPr>
          <w:rFonts w:ascii="Avenir" w:eastAsia="Avenir" w:hAnsi="Avenir" w:cs="Avenir"/>
          <w:iCs/>
          <w:sz w:val="20"/>
          <w:szCs w:val="20"/>
        </w:rPr>
      </w:pPr>
    </w:p>
    <w:p w14:paraId="4F830765" w14:textId="77777777" w:rsidR="00F516D7" w:rsidRDefault="00F516D7">
      <w:pPr>
        <w:spacing w:after="0"/>
        <w:ind w:left="-3" w:right="35" w:firstLine="10"/>
        <w:rPr>
          <w:rFonts w:ascii="Avenir" w:eastAsia="Avenir" w:hAnsi="Avenir" w:cs="Avenir"/>
          <w:sz w:val="16"/>
          <w:szCs w:val="16"/>
        </w:rPr>
        <w:sectPr w:rsidR="00F516D7" w:rsidSect="00666782">
          <w:headerReference w:type="first" r:id="rId19"/>
          <w:pgSz w:w="16840" w:h="11900" w:orient="landscape"/>
          <w:pgMar w:top="1579" w:right="1961" w:bottom="1557" w:left="1493" w:header="1020" w:footer="1115" w:gutter="0"/>
          <w:cols w:space="720"/>
          <w:titlePg/>
        </w:sectPr>
      </w:pPr>
    </w:p>
    <w:p w14:paraId="70BF856E" w14:textId="77777777" w:rsidR="00F516D7" w:rsidRPr="00DB6E6D" w:rsidRDefault="00F516D7" w:rsidP="00F516D7">
      <w:pPr>
        <w:keepNext/>
        <w:spacing w:after="0"/>
        <w:ind w:left="-3" w:right="35" w:firstLine="10"/>
        <w:rPr>
          <w:rFonts w:ascii="Avenir" w:eastAsia="Avenir" w:hAnsi="Avenir" w:cs="Avenir"/>
          <w:b/>
          <w:bCs/>
          <w:iCs/>
          <w:color w:val="0070C0"/>
          <w:sz w:val="20"/>
          <w:szCs w:val="20"/>
        </w:rPr>
      </w:pPr>
      <w:r w:rsidRPr="00DB6E6D">
        <w:rPr>
          <w:rFonts w:ascii="Avenir" w:eastAsia="Avenir" w:hAnsi="Avenir" w:cs="Avenir"/>
          <w:b/>
          <w:bCs/>
          <w:iCs/>
          <w:color w:val="0070C0"/>
          <w:sz w:val="20"/>
          <w:szCs w:val="20"/>
        </w:rPr>
        <w:lastRenderedPageBreak/>
        <w:t>Tableau de suivi de la mise en œuvre du projet dans la province de la Lomami</w:t>
      </w:r>
    </w:p>
    <w:tbl>
      <w:tblPr>
        <w:tblW w:w="13378" w:type="dxa"/>
        <w:tblLayout w:type="fixed"/>
        <w:tblLook w:val="0600" w:firstRow="0" w:lastRow="0" w:firstColumn="0" w:lastColumn="0" w:noHBand="1" w:noVBand="1"/>
      </w:tblPr>
      <w:tblGrid>
        <w:gridCol w:w="1975"/>
        <w:gridCol w:w="2975"/>
        <w:gridCol w:w="709"/>
        <w:gridCol w:w="618"/>
        <w:gridCol w:w="615"/>
        <w:gridCol w:w="753"/>
        <w:gridCol w:w="601"/>
        <w:gridCol w:w="615"/>
        <w:gridCol w:w="768"/>
        <w:gridCol w:w="709"/>
        <w:gridCol w:w="615"/>
        <w:gridCol w:w="747"/>
        <w:gridCol w:w="906"/>
        <w:gridCol w:w="772"/>
      </w:tblGrid>
      <w:tr w:rsidR="00F516D7" w:rsidRPr="00DB6E6D" w14:paraId="7A09C9DD" w14:textId="77777777" w:rsidTr="00F30E80">
        <w:trPr>
          <w:trHeight w:val="15"/>
        </w:trPr>
        <w:tc>
          <w:tcPr>
            <w:tcW w:w="13378" w:type="dxa"/>
            <w:gridSpan w:val="14"/>
            <w:tcBorders>
              <w:top w:val="single" w:sz="12" w:space="0" w:color="000000"/>
              <w:left w:val="single" w:sz="8" w:space="0" w:color="000000"/>
              <w:bottom w:val="nil"/>
              <w:right w:val="single" w:sz="8" w:space="0" w:color="000000"/>
            </w:tcBorders>
            <w:shd w:val="clear" w:color="auto" w:fill="D9D9D9"/>
            <w:tcMar>
              <w:left w:w="58" w:type="dxa"/>
              <w:right w:w="10" w:type="dxa"/>
            </w:tcMar>
            <w:vAlign w:val="center"/>
          </w:tcPr>
          <w:p w14:paraId="7E6EC1B2" w14:textId="77777777" w:rsidR="00F516D7" w:rsidRPr="00DB6E6D" w:rsidRDefault="00F516D7" w:rsidP="00F30E80">
            <w:pPr>
              <w:spacing w:after="0"/>
              <w:rPr>
                <w:rFonts w:ascii="Avenir" w:eastAsia="Avenir" w:hAnsi="Avenir" w:cs="Avenir"/>
                <w:color w:val="auto"/>
                <w:sz w:val="18"/>
                <w:szCs w:val="18"/>
              </w:rPr>
            </w:pPr>
            <w:r w:rsidRPr="00DB6E6D">
              <w:rPr>
                <w:rFonts w:ascii="Avenir" w:eastAsia="Avenir" w:hAnsi="Avenir" w:cs="Avenir"/>
                <w:b/>
                <w:color w:val="auto"/>
                <w:sz w:val="18"/>
                <w:szCs w:val="18"/>
              </w:rPr>
              <w:t>Effet 1</w:t>
            </w:r>
            <w:r>
              <w:rPr>
                <w:rFonts w:ascii="Avenir" w:eastAsia="Avenir" w:hAnsi="Avenir" w:cs="Avenir"/>
                <w:b/>
                <w:color w:val="auto"/>
                <w:sz w:val="18"/>
                <w:szCs w:val="18"/>
              </w:rPr>
              <w:t xml:space="preserve"> </w:t>
            </w:r>
            <w:r w:rsidRPr="00DB6E6D">
              <w:rPr>
                <w:rFonts w:ascii="Avenir" w:eastAsia="Avenir" w:hAnsi="Avenir" w:cs="Avenir"/>
                <w:b/>
                <w:color w:val="auto"/>
                <w:sz w:val="18"/>
                <w:szCs w:val="18"/>
              </w:rPr>
              <w:t>: Des cadres de gouvernance provinciaux et locaux inclusifs sont mis en place et appuyés dans leur fonctionnement pour une meilleure gestion des ressources naturelles</w:t>
            </w:r>
          </w:p>
        </w:tc>
      </w:tr>
      <w:tr w:rsidR="00F516D7" w:rsidRPr="00DB6E6D" w14:paraId="257C071A" w14:textId="77777777" w:rsidTr="00F9560C">
        <w:trPr>
          <w:trHeight w:val="15"/>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4921B65"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Produits</w:t>
            </w:r>
          </w:p>
        </w:tc>
        <w:tc>
          <w:tcPr>
            <w:tcW w:w="2975"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431D220"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Activités</w:t>
            </w:r>
          </w:p>
        </w:tc>
        <w:tc>
          <w:tcPr>
            <w:tcW w:w="8428" w:type="dxa"/>
            <w:gridSpan w:val="12"/>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656E6B3"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Echéancier de mise en œuvre des activités en Année 1</w:t>
            </w:r>
          </w:p>
          <w:p w14:paraId="1EDD2909"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 xml:space="preserve"> </w:t>
            </w:r>
          </w:p>
        </w:tc>
      </w:tr>
      <w:tr w:rsidR="00F516D7" w:rsidRPr="00DB6E6D" w14:paraId="33777367" w14:textId="77777777" w:rsidTr="00F9560C">
        <w:trPr>
          <w:trHeight w:val="15"/>
        </w:trPr>
        <w:tc>
          <w:tcPr>
            <w:tcW w:w="1975"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2293934"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8"/>
                <w:szCs w:val="18"/>
              </w:rPr>
            </w:pPr>
          </w:p>
        </w:tc>
        <w:tc>
          <w:tcPr>
            <w:tcW w:w="2975"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28441AE"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8"/>
                <w:szCs w:val="18"/>
              </w:rPr>
            </w:pPr>
          </w:p>
        </w:tc>
        <w:tc>
          <w:tcPr>
            <w:tcW w:w="709" w:type="dxa"/>
            <w:tcBorders>
              <w:top w:val="single" w:sz="8" w:space="0" w:color="000000"/>
              <w:left w:val="nil"/>
              <w:bottom w:val="single" w:sz="8" w:space="0" w:color="000000"/>
              <w:right w:val="single" w:sz="8" w:space="0" w:color="000000"/>
            </w:tcBorders>
            <w:shd w:val="clear" w:color="auto" w:fill="D9D9D9"/>
            <w:tcMar>
              <w:left w:w="58" w:type="dxa"/>
              <w:right w:w="10" w:type="dxa"/>
            </w:tcMar>
            <w:vAlign w:val="center"/>
          </w:tcPr>
          <w:p w14:paraId="46D8761E"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w:t>
            </w:r>
          </w:p>
        </w:tc>
        <w:tc>
          <w:tcPr>
            <w:tcW w:w="61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93848CB"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2</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F4D8329"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3</w:t>
            </w:r>
          </w:p>
        </w:tc>
        <w:tc>
          <w:tcPr>
            <w:tcW w:w="753"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BADBFFE"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4</w:t>
            </w:r>
          </w:p>
        </w:tc>
        <w:tc>
          <w:tcPr>
            <w:tcW w:w="601"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3AB561B"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5</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F1313B0"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6</w:t>
            </w:r>
          </w:p>
        </w:tc>
        <w:tc>
          <w:tcPr>
            <w:tcW w:w="76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9E72486"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7</w:t>
            </w:r>
          </w:p>
        </w:tc>
        <w:tc>
          <w:tcPr>
            <w:tcW w:w="709"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370FD80"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8</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0B9E2A7"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9</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63901A0"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10</w:t>
            </w:r>
          </w:p>
        </w:tc>
        <w:tc>
          <w:tcPr>
            <w:tcW w:w="906"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400329D"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11</w:t>
            </w:r>
          </w:p>
        </w:tc>
        <w:tc>
          <w:tcPr>
            <w:tcW w:w="77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A2828E"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12</w:t>
            </w:r>
          </w:p>
        </w:tc>
      </w:tr>
      <w:tr w:rsidR="00F516D7" w:rsidRPr="00DB6E6D" w14:paraId="41D4CC03" w14:textId="77777777" w:rsidTr="00F9560C">
        <w:trPr>
          <w:trHeight w:val="887"/>
        </w:trPr>
        <w:tc>
          <w:tcPr>
            <w:tcW w:w="1975"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08930CE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 : Appuyer la mise en place et le renforcement des capacités des services publics provinciaux et locaux, décentralisés et déconcentrés en vue d’améliorer et de consolider leurs actions relatives à la REDD+</w:t>
            </w:r>
          </w:p>
          <w:p w14:paraId="0C622B79"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D2A6D9E" w14:textId="77777777" w:rsidR="00F516D7" w:rsidRPr="00DB6E6D" w:rsidRDefault="00F516D7" w:rsidP="00F30E80">
            <w:pPr>
              <w:rPr>
                <w:rFonts w:ascii="Avenir" w:eastAsia="Avenir" w:hAnsi="Avenir" w:cs="Avenir"/>
                <w:color w:val="auto"/>
                <w:sz w:val="16"/>
                <w:szCs w:val="16"/>
              </w:rPr>
            </w:pPr>
            <w:r w:rsidRPr="00DB6E6D">
              <w:rPr>
                <w:rFonts w:ascii="Avenir" w:eastAsia="Avenir" w:hAnsi="Avenir" w:cs="Avenir"/>
                <w:color w:val="auto"/>
                <w:sz w:val="16"/>
                <w:szCs w:val="16"/>
              </w:rPr>
              <w:t xml:space="preserve"> 1.1.1</w:t>
            </w:r>
            <w:r w:rsidRPr="00DB6E6D">
              <w:rPr>
                <w:rFonts w:ascii="Avenir" w:hAnsi="Avenir"/>
                <w:color w:val="auto"/>
                <w:sz w:val="16"/>
                <w:szCs w:val="16"/>
              </w:rPr>
              <w:t xml:space="preserve"> </w:t>
            </w:r>
            <w:r w:rsidRPr="00DB6E6D">
              <w:rPr>
                <w:rFonts w:ascii="Avenir" w:eastAsia="Avenir" w:hAnsi="Avenir" w:cs="Avenir"/>
                <w:color w:val="auto"/>
                <w:sz w:val="16"/>
                <w:szCs w:val="16"/>
              </w:rPr>
              <w:t xml:space="preserve">Atelier de lancement avec l'ensemble des ETD et services concernés du projet - définition des rôles et responsabilités de chaque service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BC03C4" w14:textId="77777777" w:rsidR="00F516D7" w:rsidRPr="00DB6E6D" w:rsidRDefault="00F516D7" w:rsidP="00F30E80">
            <w:pPr>
              <w:rPr>
                <w:rFonts w:ascii="Avenir" w:eastAsia="Avenir" w:hAnsi="Avenir" w:cs="Avenir"/>
                <w:color w:val="auto"/>
                <w:sz w:val="16"/>
                <w:szCs w:val="16"/>
              </w:rPr>
            </w:pPr>
          </w:p>
        </w:tc>
        <w:tc>
          <w:tcPr>
            <w:tcW w:w="618"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7AE946F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6254B75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670977D0"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1465B2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3323B2EC"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7B93D3C9"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7130ADD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738B148F"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39A095F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60A6848A"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6F37917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E54959D" w14:textId="77777777" w:rsidTr="00F9560C">
        <w:trPr>
          <w:trHeight w:val="403"/>
        </w:trPr>
        <w:tc>
          <w:tcPr>
            <w:tcW w:w="1975" w:type="dxa"/>
            <w:vMerge/>
            <w:tcBorders>
              <w:left w:val="single" w:sz="8" w:space="0" w:color="000000"/>
              <w:right w:val="single" w:sz="8" w:space="0" w:color="000000"/>
            </w:tcBorders>
            <w:shd w:val="clear" w:color="auto" w:fill="FFFFFF"/>
            <w:tcMar>
              <w:left w:w="58" w:type="dxa"/>
              <w:right w:w="10" w:type="dxa"/>
            </w:tcMar>
          </w:tcPr>
          <w:p w14:paraId="1BA36F13"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7E8F98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d’atelier</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B990C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F3E8E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39B768"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3E0F68"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E2081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5CFEC6"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A6B00C"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BC861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70F00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B43380"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2886DE"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CAFCE4"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72570C8"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1DFC7943"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9C4AEEB" w14:textId="77777777" w:rsidR="00F516D7" w:rsidRPr="00DB6E6D" w:rsidRDefault="00F516D7" w:rsidP="00F30E80">
            <w:pPr>
              <w:rPr>
                <w:rFonts w:ascii="Avenir" w:eastAsia="Avenir" w:hAnsi="Avenir" w:cs="Avenir"/>
                <w:color w:val="auto"/>
                <w:sz w:val="16"/>
                <w:szCs w:val="16"/>
              </w:rPr>
            </w:pPr>
            <w:r w:rsidRPr="00DB6E6D">
              <w:rPr>
                <w:rFonts w:ascii="Avenir" w:eastAsia="Avenir" w:hAnsi="Avenir" w:cs="Avenir"/>
                <w:color w:val="auto"/>
                <w:sz w:val="16"/>
                <w:szCs w:val="16"/>
              </w:rPr>
              <w:t>1.1.2 Appui et renforcement IPA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77545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EABDC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8076E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C5D76EC"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A805C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F1F55C"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D5EBD70"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96448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D0F7B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BD0D1D"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ACEA53"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A6555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127BFE5"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026471A4"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26850E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F4B43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B1997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591FA8"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20370F"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ED422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0F5D7C"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8221E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C5C970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1AD32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22DF9F"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E9C4E9"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33D2B8"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AD9258A"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1CF9B957"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3480FE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1.1.3 Appui et renforcement IPDR</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96EDD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2EC0D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A90ECA"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A91994"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46ED1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02C9FA"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30B32E4"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AC421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6FB1C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035E08"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23B2ABA"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E308E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E1DE460"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1781EBA3"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E39912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823CD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64DC7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69E12B"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F03439"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101D1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38BF8A"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18F63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AA50C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EACAD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74C2C4"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60D489"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C6650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66F553B"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5BCF313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6A0961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1.1.4 Appui et renforcement CPEDD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AB2BF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C2E91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740373"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B51731"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47600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3CEE33"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28AF0B1"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40B22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FF8C1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AEF75F"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54D240"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12B9D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4F0D7F2"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482564CA"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D98879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97003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EF9BE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3C3ADD"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AB239A"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81935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FDC2D3"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27F32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A87C4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B4B0D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F039E3"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E98BE3"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A855CF"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88F12D1"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6990834"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7DC699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1.1.5 Appui et renforcement Div Plan</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CB904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6A1BF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C02428"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37E04E"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A4FF0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D7AE25"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B4080AE"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9578B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45C94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482BE5"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C8CE61"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A21F1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86DC186"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73D19984"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AFB42A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38071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73ABD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94CF7E"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E8F3EF"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E2E58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8C2D62"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B5CB1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3C031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4EB6B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C4308D"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873FD4"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A8811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B0DD45F"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55A60DEA"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E70BAD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1.1.6 Appui et Renforcement 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BD05C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9463A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AC12516"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B8A824"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173D2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92C7DC"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D09F49A"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F97BD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10639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C936B9"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45511E"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45B3C1"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1D2E18F"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C991182"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7418FA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2FE07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C2176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09C2A2"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7C9B71"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6408A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ADD1C0"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54AB1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343A0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A383A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FF48DC"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9ADEA3"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5BEE5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432EB14"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2240B03"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BC7205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1.1.7 Appui et renforcement Affaires Foncières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2FC66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DB3B6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81C988"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1D69AF"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6C269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10EAF6"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A12A81F"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C8956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218C96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F3D367"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0205D7"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A6C07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9F2B690"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071212E"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F129D0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Accord opérationnel signé</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1FF68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418E2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F76AB2"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C52A85"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FD13D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EE4184"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546A4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7CF87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5581B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5E2D10"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F381A6"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C1980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7B31B0A"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5F5280C3"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B22997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1.1.8 Formation et renforcement des STD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67831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1DD19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FF6B65"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C7E917"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460AA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1430DD"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1A379F5"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78A869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85A3FD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9503E5F"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675BAD9"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D8DE5B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EC4A135"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D211BE2"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A37915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formations organisées pour les STD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D02B6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1DABA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4E8646"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820125"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72E0D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28E123"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51E2B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74639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1CBBFF"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64E4F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B02AC6"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65C85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3BC13C74"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86926AD"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4FD8C1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1.1.9. Signature de convention de subside (octroi direct) avec CODELT pour formation et renforcement en matière foncière et aménagement du territoire des institutions et administrations sectorielles, </w:t>
            </w:r>
            <w:r w:rsidRPr="00DB6E6D">
              <w:rPr>
                <w:rFonts w:ascii="Avenir" w:eastAsia="Avenir" w:hAnsi="Avenir" w:cs="Avenir"/>
                <w:color w:val="auto"/>
                <w:sz w:val="16"/>
                <w:szCs w:val="16"/>
              </w:rPr>
              <w:lastRenderedPageBreak/>
              <w:t>décentralisées et déconcentrées, et appui réalisation revue légale des concessions forestières de plus de 5 ha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F3647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62A9A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129BDF"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F282B2"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8CA17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1BDC13"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D6B06D"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73B122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035144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F56B52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C70E4E7"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20A2F30"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3324E05"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7F390F65"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B108D0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(octroi direct) avec CODELT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00133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EED5F7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738309"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76DC64"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F1C65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53B60D"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7BE984"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BA29C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E23D7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5CED92"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12F719"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9E33B3"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FE0C05B"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5BE7D02F"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72A880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1.1.10 Réhabilitation et équipements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B105B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3494B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3A37E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7E6ED6"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C6EAEC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33FA7D"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1D39FF"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246A20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C3082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1D0561"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643712"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A1AFC3"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8B76299"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C4027E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448397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Marchés de travaux attribués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D05A1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1C635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1B0126"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081022"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5FAF9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E0C38B"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BA9D9D"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3D5C1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9029FD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BAF1DF"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2DDA7AA"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7612A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8A3175A"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7E4E42D9"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B6772A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1.1.11 Etude et suivi des réhabilitations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A7036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3B6FB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39E11B"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7D7492"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EDBB8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3F6C73"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306C25"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0B17E4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446B53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7A32B77"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9C75351"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ED4112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A448192" w14:textId="77777777" w:rsidTr="00F9560C">
        <w:trPr>
          <w:trHeight w:val="300"/>
        </w:trPr>
        <w:tc>
          <w:tcPr>
            <w:tcW w:w="1975"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53C3C025"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7AF2D3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Contrat cadre signé pour l’étude et le suivi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66BF1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BED2D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9AA6B8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EAE398"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2A0CB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37BCA5"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4D0E2B"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25345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564B6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972E58"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D9B8D8"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94E5E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13B5603" w14:textId="77777777" w:rsidTr="00F9560C">
        <w:trPr>
          <w:trHeight w:val="300"/>
        </w:trPr>
        <w:tc>
          <w:tcPr>
            <w:tcW w:w="1975" w:type="dxa"/>
            <w:vMerge w:val="restart"/>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112B9B4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1.2 Mettre en place et dynamiser des Comités Locaux de Développement (CLD) grâce à un processus d’animation communautaire</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0EFBE9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1.2.1 Définition d'une méthodologie d'animation communautaire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6F869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8C141F"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ECAFFE" w14:textId="77777777" w:rsidR="00F516D7" w:rsidRPr="00DB6E6D" w:rsidRDefault="00F516D7" w:rsidP="00F30E80">
            <w:pPr>
              <w:spacing w:after="0"/>
              <w:jc w:val="center"/>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288F18" w14:textId="77777777" w:rsidR="00F516D7" w:rsidRPr="00DB6E6D" w:rsidRDefault="00F516D7" w:rsidP="00F30E80">
            <w:pPr>
              <w:spacing w:after="0"/>
              <w:jc w:val="center"/>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06742C"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1A37767" w14:textId="77777777" w:rsidR="00F516D7" w:rsidRPr="00DB6E6D" w:rsidRDefault="00F516D7" w:rsidP="00F30E80">
            <w:pPr>
              <w:spacing w:after="0"/>
              <w:jc w:val="center"/>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72885D4" w14:textId="77777777" w:rsidR="00F516D7" w:rsidRPr="00DB6E6D" w:rsidRDefault="00F516D7" w:rsidP="00F30E80">
            <w:pPr>
              <w:spacing w:after="0"/>
              <w:jc w:val="center"/>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8A306EF"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4DCE66" w14:textId="77777777" w:rsidR="00F516D7" w:rsidRPr="00DB6E6D" w:rsidRDefault="00F516D7" w:rsidP="00F30E80">
            <w:pPr>
              <w:spacing w:after="0"/>
              <w:jc w:val="center"/>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F3F527" w14:textId="77777777" w:rsidR="00F516D7" w:rsidRPr="00DB6E6D" w:rsidRDefault="00F516D7" w:rsidP="00F30E80">
            <w:pPr>
              <w:spacing w:after="0"/>
              <w:jc w:val="center"/>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108154" w14:textId="77777777" w:rsidR="00F516D7" w:rsidRPr="00DB6E6D" w:rsidRDefault="00F516D7" w:rsidP="00F30E80">
            <w:pPr>
              <w:spacing w:after="0"/>
              <w:jc w:val="center"/>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3E5B24" w14:textId="77777777" w:rsidR="00F516D7" w:rsidRPr="00DB6E6D" w:rsidRDefault="00F516D7" w:rsidP="00F30E80">
            <w:pPr>
              <w:spacing w:after="0"/>
              <w:jc w:val="center"/>
              <w:rPr>
                <w:rFonts w:ascii="Avenir" w:eastAsia="Avenir" w:hAnsi="Avenir" w:cs="Avenir"/>
                <w:color w:val="auto"/>
                <w:sz w:val="16"/>
                <w:szCs w:val="16"/>
              </w:rPr>
            </w:pPr>
          </w:p>
        </w:tc>
      </w:tr>
      <w:tr w:rsidR="00F516D7" w:rsidRPr="00DB6E6D" w14:paraId="35C00E79" w14:textId="77777777" w:rsidTr="00F9560C">
        <w:trPr>
          <w:trHeight w:val="300"/>
        </w:trPr>
        <w:tc>
          <w:tcPr>
            <w:tcW w:w="1975"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5C5F7413"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6"/>
                <w:szCs w:val="16"/>
              </w:rPr>
            </w:pPr>
          </w:p>
        </w:tc>
        <w:tc>
          <w:tcPr>
            <w:tcW w:w="2975"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54F4E59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Note méthodologique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2183A8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68B209F"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6F2EBB" w14:textId="77777777" w:rsidR="00F516D7" w:rsidRPr="00DB6E6D" w:rsidRDefault="00F516D7" w:rsidP="00F30E80">
            <w:pPr>
              <w:spacing w:after="0"/>
              <w:jc w:val="center"/>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6093E7" w14:textId="77777777" w:rsidR="00F516D7" w:rsidRPr="00DB6E6D" w:rsidRDefault="00F516D7" w:rsidP="00F30E80">
            <w:pPr>
              <w:spacing w:after="0"/>
              <w:jc w:val="center"/>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16C1D5"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16FC11" w14:textId="77777777" w:rsidR="00F516D7" w:rsidRPr="00DB6E6D" w:rsidRDefault="00F516D7" w:rsidP="00F30E80">
            <w:pPr>
              <w:spacing w:after="0"/>
              <w:jc w:val="center"/>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D10366" w14:textId="77777777" w:rsidR="00F516D7" w:rsidRPr="00DB6E6D" w:rsidRDefault="00F516D7" w:rsidP="00F30E80">
            <w:pPr>
              <w:spacing w:after="0"/>
              <w:jc w:val="center"/>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7C371F"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5B7CA5" w14:textId="77777777" w:rsidR="00F516D7" w:rsidRPr="00DB6E6D" w:rsidRDefault="00F516D7" w:rsidP="00F30E80">
            <w:pPr>
              <w:spacing w:after="0"/>
              <w:jc w:val="center"/>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C9C4B9" w14:textId="77777777" w:rsidR="00F516D7" w:rsidRPr="00DB6E6D" w:rsidRDefault="00F516D7" w:rsidP="00F30E80">
            <w:pPr>
              <w:spacing w:after="0"/>
              <w:jc w:val="center"/>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8CAD91" w14:textId="77777777" w:rsidR="00F516D7" w:rsidRPr="00DB6E6D" w:rsidRDefault="00F516D7" w:rsidP="00F30E80">
            <w:pPr>
              <w:spacing w:after="0"/>
              <w:jc w:val="center"/>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EB9501" w14:textId="77777777" w:rsidR="00F516D7" w:rsidRPr="00DB6E6D" w:rsidRDefault="00F516D7" w:rsidP="00F30E80">
            <w:pPr>
              <w:spacing w:after="0"/>
              <w:jc w:val="center"/>
              <w:rPr>
                <w:rFonts w:ascii="Avenir" w:eastAsia="Avenir" w:hAnsi="Avenir" w:cs="Avenir"/>
                <w:color w:val="auto"/>
                <w:sz w:val="16"/>
                <w:szCs w:val="16"/>
              </w:rPr>
            </w:pPr>
          </w:p>
        </w:tc>
      </w:tr>
      <w:tr w:rsidR="00F516D7" w:rsidRPr="00DB6E6D" w14:paraId="00729E1A" w14:textId="77777777" w:rsidTr="00F9560C">
        <w:trPr>
          <w:trHeight w:val="300"/>
        </w:trPr>
        <w:tc>
          <w:tcPr>
            <w:tcW w:w="1975"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23F7F9E5"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6"/>
                <w:szCs w:val="16"/>
              </w:rPr>
            </w:pPr>
          </w:p>
        </w:tc>
        <w:tc>
          <w:tcPr>
            <w:tcW w:w="2975"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7B3A9A0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1.2.2 Animation communautaire et mise en place des CLD territoire de </w:t>
            </w:r>
            <w:proofErr w:type="spellStart"/>
            <w:r w:rsidRPr="00DB6E6D">
              <w:rPr>
                <w:rFonts w:ascii="Avenir" w:eastAsia="Avenir" w:hAnsi="Avenir" w:cs="Avenir"/>
                <w:color w:val="auto"/>
                <w:sz w:val="16"/>
                <w:szCs w:val="16"/>
              </w:rPr>
              <w:t>Kamji</w:t>
            </w:r>
            <w:proofErr w:type="spellEnd"/>
            <w:r w:rsidRPr="00DB6E6D">
              <w:rPr>
                <w:rFonts w:ascii="Avenir" w:eastAsia="Avenir" w:hAnsi="Avenir" w:cs="Avenir"/>
                <w:color w:val="auto"/>
                <w:sz w:val="16"/>
                <w:szCs w:val="16"/>
              </w:rPr>
              <w:t xml:space="preserve">, Luilu et </w:t>
            </w:r>
            <w:proofErr w:type="spellStart"/>
            <w:r w:rsidRPr="00DB6E6D">
              <w:rPr>
                <w:rFonts w:ascii="Avenir" w:eastAsia="Avenir" w:hAnsi="Avenir" w:cs="Avenir"/>
                <w:color w:val="auto"/>
                <w:sz w:val="16"/>
                <w:szCs w:val="16"/>
              </w:rPr>
              <w:t>Ngandajika</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342EE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F9040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1D4B47"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DDB3A4"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41740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0D9F30"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A0E26E"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1B88A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957324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130E167"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B43FFD0"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AB9AEC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C0FD7E1"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4827F97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0999ED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 avec PRODI/DITUNGA (rapport d’activités) pour la mise en place de CLD à Katanda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6FC99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96839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4440B5"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732058"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AC997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889811"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3E873C"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D6F87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05D34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86341D"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8A0BA9"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EE250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83F493A"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06D9DE7C"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6F38E56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1.2.3 Animation communautaire et mise en place des CLD territoire de Kabinda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C4AC2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0C4B6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B65B8E"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E330F3"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D9B65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35F0B0"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5F8727"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D0964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921AA4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B8D93FA"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17283CF"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1377990"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44794D5"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6EE90D96"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DBB135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 - AP (rapport d’activités) pour la mise en place de CLD à Kabinda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CE13D48"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F8BCD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70403E"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5D6BB4"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F9C8C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988C2D"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468D5C"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A9FBA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2831D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90C44A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B325DE"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C0960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78967FD"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09257B82"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7DFFF2A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1.2.4 Suivi des activités de mise en place des CLD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0DEFD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B754B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3AA8A1"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641DBF"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D632E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6CA8C2"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92DB36"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F0A46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9E09C2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8D43534"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009D0FA"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3A2CC6E"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A55E414" w14:textId="77777777" w:rsidTr="00F9560C">
        <w:trPr>
          <w:trHeight w:val="300"/>
        </w:trPr>
        <w:tc>
          <w:tcPr>
            <w:tcW w:w="1975" w:type="dxa"/>
            <w:tcBorders>
              <w:top w:val="nil"/>
              <w:left w:val="single" w:sz="8" w:space="0" w:color="000000"/>
              <w:bottom w:val="single" w:sz="4" w:space="0" w:color="auto"/>
              <w:right w:val="single" w:sz="8" w:space="0" w:color="000000"/>
            </w:tcBorders>
            <w:shd w:val="clear" w:color="auto" w:fill="FFFFFF"/>
            <w:tcMar>
              <w:left w:w="58" w:type="dxa"/>
              <w:right w:w="10" w:type="dxa"/>
            </w:tcMar>
            <w:vAlign w:val="center"/>
          </w:tcPr>
          <w:p w14:paraId="3D670816"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4AE102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missions de suivi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AE920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257CB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2E9F0C"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986109"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CF494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3BB6D6"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E1FB80"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7A031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D6506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D7F901"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787700"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7A1A7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BEEB059" w14:textId="77777777" w:rsidTr="00F9560C">
        <w:trPr>
          <w:trHeight w:val="300"/>
        </w:trPr>
        <w:tc>
          <w:tcPr>
            <w:tcW w:w="1975"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3C1BAA7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 Mettre en place et opérationnaliser des cadres de concertation, de discussions et de partage d’informations sur les investissements REDD+</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C681B0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1.3.1. Animation des cadres de concertation - renforcement du CCPF et CCPAT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E0EBE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C6BE0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750CD4"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79E546"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5D9A7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FFC1176"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436BF39"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352C22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8EF20D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8CBCDA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D9DF2BD"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F75F96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E6CD16A"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EF039CD"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0E61D8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réunions de concertation du CCPF et CCPAT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06A1E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7DCBB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FC4F06"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270471C"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64E44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9628E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AACBE0"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5C3A8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3EF57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5B793A"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4652F4"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E92CE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5C02BE8C"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FAAC992"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603956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1.3.2. Renforcement du GTCRR et mise en place du mécanisme des plaintes et recours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8715B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59C98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95202D"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0039EA"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BA782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59F9E0C"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77F2034"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3034FA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11438B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FD0F6BB"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E9668DC"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B4187C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2C578E8"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7054F838"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6C363C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Livrable : Accord opérationnel ou </w:t>
            </w:r>
            <w:proofErr w:type="spellStart"/>
            <w:r w:rsidRPr="00DB6E6D">
              <w:rPr>
                <w:rFonts w:ascii="Avenir" w:eastAsia="Avenir" w:hAnsi="Avenir" w:cs="Avenir"/>
                <w:color w:val="auto"/>
                <w:sz w:val="16"/>
                <w:szCs w:val="16"/>
              </w:rPr>
              <w:t>CSub</w:t>
            </w:r>
            <w:proofErr w:type="spellEnd"/>
            <w:r w:rsidRPr="00DB6E6D">
              <w:rPr>
                <w:rFonts w:ascii="Avenir" w:eastAsia="Avenir" w:hAnsi="Avenir" w:cs="Avenir"/>
                <w:color w:val="auto"/>
                <w:sz w:val="16"/>
                <w:szCs w:val="16"/>
              </w:rPr>
              <w:t xml:space="preserve"> signé (GTCRR) et comptes rendus de concertation</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D6635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ADC8F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045739"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92D9DC"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BC909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037EC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24035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A1196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57E3A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C62F3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0E939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40172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62B96EFF"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CBC1D2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7B7E00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1.3.3. Renforcement des cadres de concertations au niveau secteurs et territoires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1947A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DDA6F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5BCD90"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E9FA1C"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2CD41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FD27BD6"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8E57AAA"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69F8EE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239B77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B3F3222"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2731226"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38C26C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C1AFA69"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7EE41575"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F182E2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comptes rendus d’animation des cadres de concertation</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AE6EF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E3144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8DC3E0"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A071A5"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3497C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AFF9D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10CF0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E3072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9715B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28517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CA091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CC711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404B2EC6"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4205686F"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4843F7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1.3.4. Réhabilitation et équipements territoires et secteurs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82B91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0304B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D9A3A5"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67DAD0"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4250B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1FD060"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89E6CA"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67AD3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6D356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A5A3A1"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8325B7"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4AA93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AFDED2D"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1F4E42F7"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86BB9D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Marchés de travaux attribués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C4A10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6361E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B020F3"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ED0D68"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27FD7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3377ED"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8C93D7"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1089A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7DB0BF"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F26A7F"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EC858B"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CC058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1830BD3"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A80DA53"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C44691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1.3.5. Elaboration du plan de mobilisation des parties prenantes et du mécanisme de gestion des plaintes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81318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5630D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9D2478"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8CBA15"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CB6AB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CA5D20"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763829E"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F96DA1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93A67E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0B0A29F"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35B6CDA"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56BBEC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9D727A2"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B695939"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390A2B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signée avec CODELT / Plan de mobilisation des parties prenantes et mécanisme de gestion des plaintes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BE48F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026F2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96EAD7E"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028673"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ECD52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B9F7CF"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649459"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9BCD2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19710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123E63"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F026D1"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0E0B5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51FB5767"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E184FD1"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5BAAFD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1.3.6. Etude et suivi des réhabilitations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F967D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11393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CC9692"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B943AB"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65CEC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4BAE2CA" w14:textId="77777777" w:rsidR="00F516D7" w:rsidRPr="00DB6E6D" w:rsidRDefault="00F516D7" w:rsidP="00F30E80">
            <w:pPr>
              <w:spacing w:after="0"/>
              <w:rPr>
                <w:rFonts w:ascii="Avenir" w:eastAsia="Avenir" w:hAnsi="Avenir" w:cs="Avenir"/>
                <w:color w:val="auto"/>
                <w:sz w:val="16"/>
                <w:szCs w:val="16"/>
              </w:rPr>
            </w:pPr>
          </w:p>
        </w:tc>
        <w:tc>
          <w:tcPr>
            <w:tcW w:w="768"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09B3D31"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E876A8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C0E7BD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2B17C9C" w14:textId="77777777" w:rsidR="00F516D7" w:rsidRPr="00DB6E6D" w:rsidRDefault="00F516D7" w:rsidP="00F30E80">
            <w:pPr>
              <w:spacing w:after="0"/>
              <w:rPr>
                <w:rFonts w:ascii="Avenir" w:eastAsia="Avenir" w:hAnsi="Avenir" w:cs="Avenir"/>
                <w:color w:val="auto"/>
                <w:sz w:val="16"/>
                <w:szCs w:val="16"/>
              </w:rPr>
            </w:pPr>
          </w:p>
        </w:tc>
        <w:tc>
          <w:tcPr>
            <w:tcW w:w="906"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E064B88" w14:textId="77777777" w:rsidR="00F516D7" w:rsidRPr="00DB6E6D" w:rsidRDefault="00F516D7" w:rsidP="00F30E80">
            <w:pPr>
              <w:spacing w:after="0"/>
              <w:rPr>
                <w:rFonts w:ascii="Avenir" w:eastAsia="Avenir" w:hAnsi="Avenir" w:cs="Avenir"/>
                <w:color w:val="auto"/>
                <w:sz w:val="16"/>
                <w:szCs w:val="16"/>
              </w:rPr>
            </w:pPr>
          </w:p>
        </w:tc>
        <w:tc>
          <w:tcPr>
            <w:tcW w:w="772"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28C789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6E2AA5C" w14:textId="77777777" w:rsidTr="00F9560C">
        <w:trPr>
          <w:trHeight w:val="300"/>
        </w:trPr>
        <w:tc>
          <w:tcPr>
            <w:tcW w:w="1975"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3254F1BF"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FCAF25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Contrat cadre signé / rapports d’étude et de suivi des réhabilitations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C0F30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37A57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D384DE" w14:textId="77777777" w:rsidR="00F516D7" w:rsidRPr="00DB6E6D" w:rsidRDefault="00F516D7" w:rsidP="00F30E80">
            <w:pPr>
              <w:spacing w:after="0"/>
              <w:rPr>
                <w:rFonts w:ascii="Avenir" w:eastAsia="Avenir" w:hAnsi="Avenir" w:cs="Avenir"/>
                <w:color w:val="auto"/>
                <w:sz w:val="16"/>
                <w:szCs w:val="16"/>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9D3329" w14:textId="77777777" w:rsidR="00F516D7" w:rsidRPr="00DB6E6D" w:rsidRDefault="00F516D7" w:rsidP="00F30E80">
            <w:pPr>
              <w:spacing w:after="0"/>
              <w:rPr>
                <w:rFonts w:ascii="Avenir" w:eastAsia="Avenir" w:hAnsi="Avenir" w:cs="Avenir"/>
                <w:color w:val="auto"/>
                <w:sz w:val="16"/>
                <w:szCs w:val="16"/>
              </w:rPr>
            </w:pPr>
          </w:p>
        </w:tc>
        <w:tc>
          <w:tcPr>
            <w:tcW w:w="60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C05EB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FDB25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6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AFD87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0F7EA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79D20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7A89A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00310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7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658D1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bl>
    <w:p w14:paraId="30AE60B1" w14:textId="77777777" w:rsidR="00F516D7" w:rsidRPr="00DB6E6D" w:rsidRDefault="00F516D7" w:rsidP="00F516D7">
      <w:pPr>
        <w:spacing w:after="0"/>
        <w:ind w:left="-3" w:right="35" w:firstLine="10"/>
        <w:rPr>
          <w:rFonts w:ascii="Avenir" w:eastAsia="Avenir" w:hAnsi="Avenir" w:cs="Avenir"/>
          <w:color w:val="auto"/>
          <w:sz w:val="18"/>
          <w:szCs w:val="18"/>
        </w:rPr>
      </w:pPr>
    </w:p>
    <w:tbl>
      <w:tblPr>
        <w:tblW w:w="13378" w:type="dxa"/>
        <w:tblLayout w:type="fixed"/>
        <w:tblLook w:val="0600" w:firstRow="0" w:lastRow="0" w:firstColumn="0" w:lastColumn="0" w:noHBand="1" w:noVBand="1"/>
      </w:tblPr>
      <w:tblGrid>
        <w:gridCol w:w="1975"/>
        <w:gridCol w:w="2975"/>
        <w:gridCol w:w="709"/>
        <w:gridCol w:w="618"/>
        <w:gridCol w:w="615"/>
        <w:gridCol w:w="492"/>
        <w:gridCol w:w="862"/>
        <w:gridCol w:w="615"/>
        <w:gridCol w:w="613"/>
        <w:gridCol w:w="864"/>
        <w:gridCol w:w="615"/>
        <w:gridCol w:w="747"/>
        <w:gridCol w:w="741"/>
        <w:gridCol w:w="937"/>
      </w:tblGrid>
      <w:tr w:rsidR="00F516D7" w:rsidRPr="00DB6E6D" w14:paraId="64BA4A26" w14:textId="77777777" w:rsidTr="00F30E80">
        <w:trPr>
          <w:trHeight w:val="15"/>
        </w:trPr>
        <w:tc>
          <w:tcPr>
            <w:tcW w:w="13378" w:type="dxa"/>
            <w:gridSpan w:val="14"/>
            <w:tcBorders>
              <w:top w:val="single" w:sz="8" w:space="0" w:color="000000"/>
              <w:left w:val="single" w:sz="8" w:space="0" w:color="000000"/>
              <w:bottom w:val="nil"/>
              <w:right w:val="single" w:sz="8" w:space="0" w:color="000000"/>
            </w:tcBorders>
            <w:shd w:val="clear" w:color="auto" w:fill="D9D9D9"/>
            <w:tcMar>
              <w:left w:w="58" w:type="dxa"/>
              <w:right w:w="10" w:type="dxa"/>
            </w:tcMar>
            <w:vAlign w:val="center"/>
          </w:tcPr>
          <w:p w14:paraId="2CC034E7" w14:textId="77777777" w:rsidR="00F516D7" w:rsidRPr="00DB6E6D" w:rsidRDefault="00F516D7" w:rsidP="00F30E80">
            <w:pPr>
              <w:spacing w:after="0"/>
              <w:rPr>
                <w:rFonts w:ascii="Avenir" w:eastAsia="Avenir" w:hAnsi="Avenir" w:cs="Avenir"/>
                <w:color w:val="auto"/>
                <w:sz w:val="18"/>
                <w:szCs w:val="18"/>
              </w:rPr>
            </w:pPr>
            <w:r w:rsidRPr="00DB6E6D">
              <w:rPr>
                <w:rFonts w:ascii="Avenir" w:eastAsia="Avenir" w:hAnsi="Avenir" w:cs="Avenir"/>
                <w:b/>
                <w:color w:val="auto"/>
                <w:sz w:val="18"/>
                <w:szCs w:val="18"/>
              </w:rPr>
              <w:t>Effet 2</w:t>
            </w:r>
            <w:r>
              <w:rPr>
                <w:rFonts w:ascii="Avenir" w:eastAsia="Avenir" w:hAnsi="Avenir" w:cs="Avenir"/>
                <w:b/>
                <w:color w:val="auto"/>
                <w:sz w:val="18"/>
                <w:szCs w:val="18"/>
              </w:rPr>
              <w:t xml:space="preserve"> </w:t>
            </w:r>
            <w:r w:rsidRPr="00DB6E6D">
              <w:rPr>
                <w:rFonts w:ascii="Avenir" w:eastAsia="Avenir" w:hAnsi="Avenir" w:cs="Avenir"/>
                <w:b/>
                <w:color w:val="auto"/>
                <w:sz w:val="18"/>
                <w:szCs w:val="18"/>
              </w:rPr>
              <w:t>: Des plans d’aménagement du territoire sont élaborés, appropriés par les acteurs et mis en œuvre pour une meilleure gestion des ressources naturelles et un développement économique et social du territoire</w:t>
            </w:r>
          </w:p>
        </w:tc>
      </w:tr>
      <w:tr w:rsidR="00F516D7" w:rsidRPr="00DB6E6D" w14:paraId="2341F498" w14:textId="77777777" w:rsidTr="00F9560C">
        <w:trPr>
          <w:trHeight w:val="15"/>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9BB718A"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Produits</w:t>
            </w:r>
          </w:p>
        </w:tc>
        <w:tc>
          <w:tcPr>
            <w:tcW w:w="2975"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6FF9DE4"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Activités</w:t>
            </w:r>
          </w:p>
        </w:tc>
        <w:tc>
          <w:tcPr>
            <w:tcW w:w="8428" w:type="dxa"/>
            <w:gridSpan w:val="12"/>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758F6BE"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Echéancier de mise en œuvre des activités en Année 1</w:t>
            </w:r>
          </w:p>
          <w:p w14:paraId="4AFE925E"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 xml:space="preserve"> </w:t>
            </w:r>
          </w:p>
        </w:tc>
      </w:tr>
      <w:tr w:rsidR="00F516D7" w:rsidRPr="00DB6E6D" w14:paraId="361C39BD" w14:textId="77777777" w:rsidTr="00F9560C">
        <w:trPr>
          <w:trHeight w:val="15"/>
        </w:trPr>
        <w:tc>
          <w:tcPr>
            <w:tcW w:w="1975"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45139E5"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8"/>
                <w:szCs w:val="18"/>
              </w:rPr>
            </w:pPr>
          </w:p>
        </w:tc>
        <w:tc>
          <w:tcPr>
            <w:tcW w:w="2975"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B26D564"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8"/>
                <w:szCs w:val="18"/>
              </w:rPr>
            </w:pPr>
          </w:p>
        </w:tc>
        <w:tc>
          <w:tcPr>
            <w:tcW w:w="709" w:type="dxa"/>
            <w:tcBorders>
              <w:top w:val="single" w:sz="8" w:space="0" w:color="000000"/>
              <w:left w:val="nil"/>
              <w:bottom w:val="single" w:sz="8" w:space="0" w:color="000000"/>
              <w:right w:val="single" w:sz="8" w:space="0" w:color="000000"/>
            </w:tcBorders>
            <w:shd w:val="clear" w:color="auto" w:fill="D9D9D9"/>
            <w:tcMar>
              <w:left w:w="58" w:type="dxa"/>
              <w:right w:w="10" w:type="dxa"/>
            </w:tcMar>
            <w:vAlign w:val="center"/>
          </w:tcPr>
          <w:p w14:paraId="0BD536F2"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w:t>
            </w:r>
          </w:p>
        </w:tc>
        <w:tc>
          <w:tcPr>
            <w:tcW w:w="61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DA99EAF"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2</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F395EF7"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3</w:t>
            </w:r>
          </w:p>
        </w:tc>
        <w:tc>
          <w:tcPr>
            <w:tcW w:w="49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6FCF6D6"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4</w:t>
            </w:r>
          </w:p>
        </w:tc>
        <w:tc>
          <w:tcPr>
            <w:tcW w:w="86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1961FB3"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5</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74AD317"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6</w:t>
            </w:r>
          </w:p>
        </w:tc>
        <w:tc>
          <w:tcPr>
            <w:tcW w:w="613"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C911AFC"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7</w:t>
            </w:r>
          </w:p>
        </w:tc>
        <w:tc>
          <w:tcPr>
            <w:tcW w:w="864"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5C4FDB4"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8</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145B928"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9</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ADD1A68"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10</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F4AF0AF"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11</w:t>
            </w:r>
          </w:p>
        </w:tc>
        <w:tc>
          <w:tcPr>
            <w:tcW w:w="93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9002871"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12</w:t>
            </w:r>
          </w:p>
        </w:tc>
      </w:tr>
      <w:tr w:rsidR="00F516D7" w:rsidRPr="00DB6E6D" w14:paraId="14618858" w14:textId="77777777" w:rsidTr="00F9560C">
        <w:trPr>
          <w:trHeight w:val="300"/>
        </w:trPr>
        <w:tc>
          <w:tcPr>
            <w:tcW w:w="1975"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73DFD47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 Accompagner l’élaboration du plan provincial d’aménagement du territoire (PPAT)</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CE693A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2.1.1 Etude socio-économique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4BC2166" w14:textId="77777777" w:rsidR="00F516D7" w:rsidRPr="00DB6E6D" w:rsidRDefault="00F516D7" w:rsidP="00F30E80">
            <w:pPr>
              <w:rPr>
                <w:rFonts w:ascii="Avenir" w:eastAsia="Avenir" w:hAnsi="Avenir" w:cs="Avenir"/>
                <w:color w:val="auto"/>
                <w:sz w:val="16"/>
                <w:szCs w:val="16"/>
              </w:rPr>
            </w:pPr>
          </w:p>
        </w:tc>
        <w:tc>
          <w:tcPr>
            <w:tcW w:w="618"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205A1FE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3C8665DD"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0AFEA8A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6699C31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3DD7BA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2DDA802"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C83359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0AC763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33F0B72"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4A6DF9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50DB9EA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D4AB627"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7CB84320"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3F4147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socio-économique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C1099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99DE3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EEDCCB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D2D323"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FA8C9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F0D43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0983B7"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0EDF7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A0C0B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0DDB2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9D93F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41CC6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C818FBC"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563AB4E2"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53A1D3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2.1.2 Etude couvert forestier et dynamiques forestières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7F9C0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91723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D862C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5162B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E45408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1C96C69"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750CB3D"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191CDD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1933D9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8AE034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6C06A6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BDA57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D67A8D6"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41740067"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A4058D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couvert forestier</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9D1FC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D7D4F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116411"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38A85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9E9BA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C5EFD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8E0DD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B53CE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ED6CC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734E5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9101A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F81C6F"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66460EC"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0CC503C5"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D2E50F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2.1.3 Etude tenue foncière et gouvernance foncière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E4061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CB7B5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47E611"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51E0D6"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2B303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3E6340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165EBC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E12C38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0E2E4A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B6AF51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149816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F6CEB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8828F67"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3E72B0F"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66B928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tenue foncière et gouvernance foncière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E101B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0C681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01BEEE"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066703"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AA9A8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F829D5"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6987C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89B38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B8454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46F12B"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9EA47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18124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ADA64B9"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3C43930"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9D2A6F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2.1.4 Diagnostics et collecte de données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5BA12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43209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45908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C65ED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302E4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6B1B2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FE6398"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3F745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65E26D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03B5E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A655B0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D629AD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4EA4C3F"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756DF8E"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ACB15F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de collecte de données / base de données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16743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75CA9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E8A299"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B2887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2A48F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3E4914"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866F3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6465F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A9AE2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8A985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03CFDE"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4A7EA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791F5971"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B7BFCD5"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E9F391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2.1.5 Appui à l'élaboration du plan PPAT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5E0CA8"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18790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E8B06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C440B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F4DDB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EA98C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F33E2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A4BC7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DF91C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E74F24"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AD3CA2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FE3AB8"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C48377E"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42B73185"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8F3A3B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Contrat cadre signé / Rapports d’avancement sur l’élaboration du PPAT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DB981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67701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432CB8"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1761F0"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151EE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4EB71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D3CCD9"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66573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2D475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1633A4"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C7D10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ABBB9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E2E49B8"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985B9F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A3CD0E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2.1.6 Atelier provincial d'engagement du processus et ateliers territoriaux de validation des études préalables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26743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458DC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5D6B7B"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F11324"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78348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8400F9"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2639C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6847C8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A97DE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50490F"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0F902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F190700"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98FC8A1" w14:textId="77777777" w:rsidTr="00F9560C">
        <w:trPr>
          <w:trHeight w:val="300"/>
        </w:trPr>
        <w:tc>
          <w:tcPr>
            <w:tcW w:w="1975"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70CECC97"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88BB84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des ateliers provinciaux et territoriaux</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28C27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B9778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2B01CF"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F1298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D31D3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15E7CE"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6AB59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C4F6C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3B645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844A3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C203B9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9B8D7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w:t>
            </w:r>
          </w:p>
        </w:tc>
      </w:tr>
      <w:tr w:rsidR="00F516D7" w:rsidRPr="00DB6E6D" w14:paraId="72313322" w14:textId="77777777" w:rsidTr="00F9560C">
        <w:trPr>
          <w:trHeight w:val="300"/>
        </w:trPr>
        <w:tc>
          <w:tcPr>
            <w:tcW w:w="1975" w:type="dxa"/>
            <w:vMerge w:val="restart"/>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4C10A89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2.2 Accompagner l’élaboration de plans simples d’aménagement du territoire à l’échelle des terroirs (PSAT)  </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621B75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2.2.1 Définition de la méthodologie et du canevas des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82C3A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985846"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7F4C45" w14:textId="77777777" w:rsidR="00F516D7" w:rsidRPr="00DB6E6D" w:rsidRDefault="00F516D7" w:rsidP="00F30E80">
            <w:pPr>
              <w:spacing w:after="0"/>
              <w:jc w:val="center"/>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9DE0E9" w14:textId="77777777" w:rsidR="00F516D7" w:rsidRPr="00DB6E6D" w:rsidRDefault="00F516D7" w:rsidP="00F30E80">
            <w:pPr>
              <w:spacing w:after="0"/>
              <w:jc w:val="center"/>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CA2F93"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8FE793" w14:textId="77777777" w:rsidR="00F516D7" w:rsidRPr="00DB6E6D" w:rsidRDefault="00F516D7" w:rsidP="00F30E80">
            <w:pPr>
              <w:spacing w:after="0"/>
              <w:jc w:val="center"/>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B3F60D" w14:textId="77777777" w:rsidR="00F516D7" w:rsidRPr="00DB6E6D" w:rsidRDefault="00F516D7" w:rsidP="00F30E80">
            <w:pPr>
              <w:spacing w:after="0"/>
              <w:jc w:val="center"/>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9F3301B"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1895E6A" w14:textId="77777777" w:rsidR="00F516D7" w:rsidRPr="00DB6E6D" w:rsidRDefault="00F516D7" w:rsidP="00F30E80">
            <w:pPr>
              <w:spacing w:after="0"/>
              <w:jc w:val="center"/>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DF7E3D8" w14:textId="77777777" w:rsidR="00F516D7" w:rsidRPr="00DB6E6D" w:rsidRDefault="00F516D7" w:rsidP="00F30E80">
            <w:pPr>
              <w:spacing w:after="0"/>
              <w:jc w:val="center"/>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9ECBF6B" w14:textId="77777777" w:rsidR="00F516D7" w:rsidRPr="00DB6E6D" w:rsidRDefault="00F516D7" w:rsidP="00F30E80">
            <w:pPr>
              <w:spacing w:after="0"/>
              <w:jc w:val="center"/>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783FB6" w14:textId="77777777" w:rsidR="00F516D7" w:rsidRPr="00DB6E6D" w:rsidRDefault="00F516D7" w:rsidP="00F30E80">
            <w:pPr>
              <w:spacing w:after="0"/>
              <w:jc w:val="center"/>
              <w:rPr>
                <w:rFonts w:ascii="Avenir" w:eastAsia="Avenir" w:hAnsi="Avenir" w:cs="Avenir"/>
                <w:color w:val="auto"/>
                <w:sz w:val="16"/>
                <w:szCs w:val="16"/>
              </w:rPr>
            </w:pPr>
          </w:p>
        </w:tc>
      </w:tr>
      <w:tr w:rsidR="00F516D7" w:rsidRPr="00DB6E6D" w14:paraId="0B2A18FB" w14:textId="77777777" w:rsidTr="00F9560C">
        <w:trPr>
          <w:trHeight w:val="300"/>
        </w:trPr>
        <w:tc>
          <w:tcPr>
            <w:tcW w:w="1975"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64838FAB"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6"/>
                <w:szCs w:val="16"/>
              </w:rPr>
            </w:pPr>
          </w:p>
        </w:tc>
        <w:tc>
          <w:tcPr>
            <w:tcW w:w="2975"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262B77C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Note méthodologique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9DD86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E844846"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D5A9AE" w14:textId="77777777" w:rsidR="00F516D7" w:rsidRPr="00DB6E6D" w:rsidRDefault="00F516D7" w:rsidP="00F30E80">
            <w:pPr>
              <w:spacing w:after="0"/>
              <w:jc w:val="center"/>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DB429E" w14:textId="77777777" w:rsidR="00F516D7" w:rsidRPr="00DB6E6D" w:rsidRDefault="00F516D7" w:rsidP="00F30E80">
            <w:pPr>
              <w:spacing w:after="0"/>
              <w:jc w:val="center"/>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976909"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A55C9A" w14:textId="77777777" w:rsidR="00F516D7" w:rsidRPr="00DB6E6D" w:rsidRDefault="00F516D7" w:rsidP="00F30E80">
            <w:pPr>
              <w:spacing w:after="0"/>
              <w:jc w:val="center"/>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DE7417" w14:textId="77777777" w:rsidR="00F516D7" w:rsidRPr="00DB6E6D" w:rsidRDefault="00F516D7" w:rsidP="00F30E80">
            <w:pPr>
              <w:spacing w:after="0"/>
              <w:jc w:val="center"/>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183873"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3A600E" w14:textId="77777777" w:rsidR="00F516D7" w:rsidRPr="00DB6E6D" w:rsidRDefault="00F516D7" w:rsidP="00F30E80">
            <w:pPr>
              <w:spacing w:after="0"/>
              <w:jc w:val="center"/>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83CF7A"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BB65B7" w14:textId="77777777" w:rsidR="00F516D7" w:rsidRPr="00DB6E6D" w:rsidRDefault="00F516D7" w:rsidP="00F30E80">
            <w:pPr>
              <w:spacing w:after="0"/>
              <w:jc w:val="center"/>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3A1AFB" w14:textId="77777777" w:rsidR="00F516D7" w:rsidRPr="00DB6E6D" w:rsidRDefault="00F516D7" w:rsidP="00F30E80">
            <w:pPr>
              <w:spacing w:after="0"/>
              <w:jc w:val="center"/>
              <w:rPr>
                <w:rFonts w:ascii="Avenir" w:eastAsia="Avenir" w:hAnsi="Avenir" w:cs="Avenir"/>
                <w:color w:val="auto"/>
                <w:sz w:val="16"/>
                <w:szCs w:val="16"/>
              </w:rPr>
            </w:pPr>
          </w:p>
        </w:tc>
      </w:tr>
      <w:tr w:rsidR="00F516D7" w:rsidRPr="00DB6E6D" w14:paraId="491E08F7" w14:textId="77777777" w:rsidTr="00F9560C">
        <w:trPr>
          <w:trHeight w:val="300"/>
        </w:trPr>
        <w:tc>
          <w:tcPr>
            <w:tcW w:w="1975" w:type="dxa"/>
            <w:vMerge/>
            <w:tcBorders>
              <w:top w:val="single" w:sz="8" w:space="0" w:color="000000"/>
              <w:left w:val="single" w:sz="8" w:space="0" w:color="000000"/>
              <w:bottom w:val="nil"/>
              <w:right w:val="single" w:sz="8" w:space="0" w:color="000000"/>
            </w:tcBorders>
            <w:shd w:val="clear" w:color="auto" w:fill="FFFFFF"/>
            <w:tcMar>
              <w:left w:w="58" w:type="dxa"/>
              <w:right w:w="10" w:type="dxa"/>
            </w:tcMar>
            <w:vAlign w:val="center"/>
          </w:tcPr>
          <w:p w14:paraId="690D0A28"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6"/>
                <w:szCs w:val="16"/>
              </w:rPr>
            </w:pPr>
          </w:p>
        </w:tc>
        <w:tc>
          <w:tcPr>
            <w:tcW w:w="2975"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344B8A7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2.2.2 Elaboration des PSAT territoires de </w:t>
            </w:r>
            <w:proofErr w:type="spellStart"/>
            <w:r w:rsidRPr="00DB6E6D">
              <w:rPr>
                <w:rFonts w:ascii="Avenir" w:eastAsia="Avenir" w:hAnsi="Avenir" w:cs="Avenir"/>
                <w:color w:val="auto"/>
                <w:sz w:val="16"/>
                <w:szCs w:val="16"/>
              </w:rPr>
              <w:t>Kamji</w:t>
            </w:r>
            <w:proofErr w:type="spellEnd"/>
            <w:r w:rsidRPr="00DB6E6D">
              <w:rPr>
                <w:rFonts w:ascii="Avenir" w:eastAsia="Avenir" w:hAnsi="Avenir" w:cs="Avenir"/>
                <w:color w:val="auto"/>
                <w:sz w:val="16"/>
                <w:szCs w:val="16"/>
              </w:rPr>
              <w:t xml:space="preserve">, </w:t>
            </w:r>
            <w:proofErr w:type="spellStart"/>
            <w:r w:rsidRPr="00DB6E6D">
              <w:rPr>
                <w:rFonts w:ascii="Avenir" w:eastAsia="Avenir" w:hAnsi="Avenir" w:cs="Avenir"/>
                <w:color w:val="auto"/>
                <w:sz w:val="16"/>
                <w:szCs w:val="16"/>
              </w:rPr>
              <w:t>Luilu</w:t>
            </w:r>
            <w:proofErr w:type="spellEnd"/>
            <w:r w:rsidRPr="00DB6E6D">
              <w:rPr>
                <w:rFonts w:ascii="Avenir" w:eastAsia="Avenir" w:hAnsi="Avenir" w:cs="Avenir"/>
                <w:color w:val="auto"/>
                <w:sz w:val="16"/>
                <w:szCs w:val="16"/>
              </w:rPr>
              <w:t xml:space="preserve"> et </w:t>
            </w:r>
            <w:proofErr w:type="spellStart"/>
            <w:r w:rsidRPr="00DB6E6D">
              <w:rPr>
                <w:rFonts w:ascii="Avenir" w:eastAsia="Avenir" w:hAnsi="Avenir" w:cs="Avenir"/>
                <w:color w:val="auto"/>
                <w:sz w:val="16"/>
                <w:szCs w:val="16"/>
              </w:rPr>
              <w:t>Ngandajika</w:t>
            </w:r>
            <w:proofErr w:type="spellEnd"/>
            <w:r w:rsidRPr="00DB6E6D">
              <w:rPr>
                <w:rFonts w:ascii="Avenir" w:eastAsia="Avenir" w:hAnsi="Avenir" w:cs="Avenir"/>
                <w:color w:val="auto"/>
                <w:sz w:val="16"/>
                <w:szCs w:val="16"/>
              </w:rPr>
              <w:t xml:space="preserve"> (45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0C646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73B2F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A5330C"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A44F98"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8E33D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678CB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8EC2A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CEE0B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8F374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48691F"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EF5C24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52BB72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88825E0"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204AD59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1F1680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Livrable : Convention de subside signée avec PRODI/DITUNGA / Rapports d’état d’avancement d’élaboration des documents PSAT et des cartes d'affectation des terres de </w:t>
            </w:r>
            <w:proofErr w:type="spellStart"/>
            <w:r w:rsidRPr="00DB6E6D">
              <w:rPr>
                <w:rFonts w:ascii="Avenir" w:eastAsia="Avenir" w:hAnsi="Avenir" w:cs="Avenir"/>
                <w:color w:val="auto"/>
                <w:sz w:val="16"/>
                <w:szCs w:val="16"/>
              </w:rPr>
              <w:t>Kamji</w:t>
            </w:r>
            <w:proofErr w:type="spellEnd"/>
            <w:r w:rsidRPr="00DB6E6D">
              <w:rPr>
                <w:rFonts w:ascii="Avenir" w:eastAsia="Avenir" w:hAnsi="Avenir" w:cs="Avenir"/>
                <w:color w:val="auto"/>
                <w:sz w:val="16"/>
                <w:szCs w:val="16"/>
              </w:rPr>
              <w:t xml:space="preserve">, Luilu et </w:t>
            </w:r>
            <w:proofErr w:type="spellStart"/>
            <w:r w:rsidRPr="00DB6E6D">
              <w:rPr>
                <w:rFonts w:ascii="Avenir" w:eastAsia="Avenir" w:hAnsi="Avenir" w:cs="Avenir"/>
                <w:color w:val="auto"/>
                <w:sz w:val="16"/>
                <w:szCs w:val="16"/>
              </w:rPr>
              <w:t>Ngandajika</w:t>
            </w:r>
            <w:proofErr w:type="spellEnd"/>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30FB1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1E32E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9441BB"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AA6D0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25E4C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C5D54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9490F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8A0AB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CA67D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2FEC76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35610A"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D8783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64D5A094"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4A21EB0D"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243390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2.2.3 Elaboration des PSAT territoire de Kabinda (15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F06DB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DAD854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DDF9EA"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C93DA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50147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2E654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EF861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9F9118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223FB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F2F08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A02227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EF1FF2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8B5D6CA"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727E36D0"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F09BCB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 – AP / Rapports d’état d’avancement d’élaboration des documents PSAT et cartes d'affectation des terres de Kabinda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9A0C7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DC92B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F612E8"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403B9B"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3B5D5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777BCA"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D4B0EC"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D9444F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25D17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E12B4E"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4712D9"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AADB9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75F6DF93"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62FDD50E"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EE3537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2.2.4 Suivi des 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063D8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73EF9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BC2603"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0B21F8"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2321F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DB497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29E254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0A21B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7BB3C8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50E9802"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BEA53B3"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799E51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0FEF1B2"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1AEBEF09"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83DDDA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missions de suivi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6CF7A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66A7E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440CA7"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A6444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970B7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9F0D9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D88F4D"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FE611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DF098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7CF14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41395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408A1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0863AC2A" w14:textId="77777777" w:rsidTr="00F9560C">
        <w:trPr>
          <w:trHeight w:val="424"/>
        </w:trPr>
        <w:tc>
          <w:tcPr>
            <w:tcW w:w="1975"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0F8B02D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 Accompagner la mise en œuvre des plans d’aménagement du territoire à travers un système de PSE</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2F9EA3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2.3.1 Consultance étude appui définition mécanisme PSE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9C466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46D81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DD5E19"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D6FBA34"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2471D8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45A10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40996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04B211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D428E6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D5D23A3"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92CFC7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DDED37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54637D7"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72D08D9D"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5D5AF6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incl. carte des espaces PSE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B5F31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3B341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4AFAF3"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8A21E2"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429A4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250144"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AE4A0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5A842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8B7F1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97696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B44CC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F2EBA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0B68EE61" w14:textId="77777777" w:rsidTr="00F9560C">
        <w:trPr>
          <w:trHeight w:val="300"/>
        </w:trPr>
        <w:tc>
          <w:tcPr>
            <w:tcW w:w="1975" w:type="dxa"/>
            <w:vMerge/>
            <w:tcBorders>
              <w:left w:val="single" w:sz="8" w:space="0" w:color="000000"/>
              <w:bottom w:val="nil"/>
              <w:right w:val="single" w:sz="8" w:space="0" w:color="000000"/>
            </w:tcBorders>
            <w:shd w:val="clear" w:color="auto" w:fill="FFFFFF"/>
            <w:tcMar>
              <w:left w:w="58" w:type="dxa"/>
              <w:right w:w="10" w:type="dxa"/>
            </w:tcMar>
            <w:vAlign w:val="center"/>
          </w:tcPr>
          <w:p w14:paraId="71D8D6FE"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6BCCEB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2.3.2 Suivi du respect des règles de gestion</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528FC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61BA1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2C585F"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471CD0"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9292B6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73186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7D4A7D"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69F9A6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F2C74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D36CD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037EF2"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29FA01"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C3283E0"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538DB5EF"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E89829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sur le suivi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63C2D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3729E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4F040B"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5AE94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B3DCA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24AB51"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CD023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D9DB6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C2007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98A21B"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8FCD95"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CEBCE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A3FADF6"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08F9EFA3"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76AE9B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2.3.3 Réalisation des infrastructures prévues dans les plans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95502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318C7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9E67AF6"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07FF0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CF198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12A75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AB3623"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489BB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8B258F"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2CA382"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8993C8"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F74C88"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A09ED5F"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680184D1"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D51321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sur les infrastructures réalisés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FB443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74E41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5F5F0F"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CEA356"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5CC86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C80C6B4"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53979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EBFDF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7A0CF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508134"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796C13"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33F9F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473571F"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59E43186"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24CBD9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2.3.4 Etude et suivi des réhabilitations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132B5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738E3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2492F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26578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F9D64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9E26A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3DABBD"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F227B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E93CF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D59CA3"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E6F44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352FB1"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A79C0C3"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57E1EE1E"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178D50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Contrat cadre / Rapport d’étude et de suivi des réhabilitations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916F7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6E271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DE3E5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09CCF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0A1A1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98D5A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4A3373"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A4A84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D996E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7EB1DF"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7A9A5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7EFB41"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B95DE30"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4BE4ABA4"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E99924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2.3.5 Suivi-évaluation et animation des PSAT territoires de </w:t>
            </w:r>
            <w:proofErr w:type="spellStart"/>
            <w:r w:rsidRPr="00DB6E6D">
              <w:rPr>
                <w:rFonts w:ascii="Avenir" w:eastAsia="Avenir" w:hAnsi="Avenir" w:cs="Avenir"/>
                <w:color w:val="auto"/>
                <w:sz w:val="16"/>
                <w:szCs w:val="16"/>
              </w:rPr>
              <w:t>Kamji</w:t>
            </w:r>
            <w:proofErr w:type="spellEnd"/>
            <w:r w:rsidRPr="00DB6E6D">
              <w:rPr>
                <w:rFonts w:ascii="Avenir" w:eastAsia="Avenir" w:hAnsi="Avenir" w:cs="Avenir"/>
                <w:color w:val="auto"/>
                <w:sz w:val="16"/>
                <w:szCs w:val="16"/>
              </w:rPr>
              <w:t xml:space="preserve">, </w:t>
            </w:r>
            <w:proofErr w:type="spellStart"/>
            <w:r w:rsidRPr="00DB6E6D">
              <w:rPr>
                <w:rFonts w:ascii="Avenir" w:eastAsia="Avenir" w:hAnsi="Avenir" w:cs="Avenir"/>
                <w:color w:val="auto"/>
                <w:sz w:val="16"/>
                <w:szCs w:val="16"/>
              </w:rPr>
              <w:t>Luilu</w:t>
            </w:r>
            <w:proofErr w:type="spellEnd"/>
            <w:r w:rsidRPr="00DB6E6D">
              <w:rPr>
                <w:rFonts w:ascii="Avenir" w:eastAsia="Avenir" w:hAnsi="Avenir" w:cs="Avenir"/>
                <w:color w:val="auto"/>
                <w:sz w:val="16"/>
                <w:szCs w:val="16"/>
              </w:rPr>
              <w:t xml:space="preserve"> et </w:t>
            </w:r>
            <w:proofErr w:type="spellStart"/>
            <w:r w:rsidRPr="00DB6E6D">
              <w:rPr>
                <w:rFonts w:ascii="Avenir" w:eastAsia="Avenir" w:hAnsi="Avenir" w:cs="Avenir"/>
                <w:color w:val="auto"/>
                <w:sz w:val="16"/>
                <w:szCs w:val="16"/>
              </w:rPr>
              <w:t>Ngandajika</w:t>
            </w:r>
            <w:proofErr w:type="spellEnd"/>
            <w:r w:rsidRPr="00DB6E6D">
              <w:rPr>
                <w:rFonts w:ascii="Avenir" w:eastAsia="Avenir" w:hAnsi="Avenir" w:cs="Avenir"/>
                <w:color w:val="auto"/>
                <w:sz w:val="16"/>
                <w:szCs w:val="16"/>
              </w:rPr>
              <w:t xml:space="preserve"> (45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8CEC7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580F5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52018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109DD6"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83EAC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D23AB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24672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975FF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48BA1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817722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682F053"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84A75C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ADB0B63"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7F79B16C"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A98823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 avec PRODI-DITUNGA / Rapport de mise en œuvre de la convention de subside incl. Rapport suivi-évaluation et animation des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C7FC6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2ACA7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A62946"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8A2770"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17D8B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E0D271"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F63893"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2E5659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7784B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2B03B3"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39ABBE"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7E56F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0B406F0B"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10509DB9"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FBF83F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2.3.6 Suivi-évaluation et animation PSAT territoire de Kabinda (15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37938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24277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0AF6B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A6C4E2"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DDBF11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9BDA54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7B448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01BD4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C7F1E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59867AA"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2CDAD7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78382DE"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0B02F21" w14:textId="77777777" w:rsidTr="00F9560C">
        <w:trPr>
          <w:trHeight w:val="300"/>
        </w:trPr>
        <w:tc>
          <w:tcPr>
            <w:tcW w:w="1975" w:type="dxa"/>
            <w:tcBorders>
              <w:top w:val="nil"/>
              <w:left w:val="single" w:sz="8" w:space="0" w:color="000000"/>
              <w:bottom w:val="nil"/>
              <w:right w:val="single" w:sz="8" w:space="0" w:color="000000"/>
            </w:tcBorders>
            <w:shd w:val="clear" w:color="auto" w:fill="FFFFFF"/>
            <w:tcMar>
              <w:left w:w="58" w:type="dxa"/>
              <w:right w:w="10" w:type="dxa"/>
            </w:tcMar>
            <w:vAlign w:val="center"/>
          </w:tcPr>
          <w:p w14:paraId="41F0BE28"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BBBD11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 – AP / Rapport de mise en œuvre de la convention de subside incl. Rapport suivi-évaluation et animation des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51EB1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B411D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1C579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582AF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74548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DB142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A22CD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9DE3F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3EF0E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AD22B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199AE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5944C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44C60FDF" w14:textId="77777777" w:rsidTr="00F9560C">
        <w:trPr>
          <w:trHeight w:val="815"/>
        </w:trPr>
        <w:tc>
          <w:tcPr>
            <w:tcW w:w="1975"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720CDE9A" w14:textId="77777777" w:rsidR="00F516D7" w:rsidRPr="00DB6E6D" w:rsidRDefault="00F516D7" w:rsidP="00F30E80">
            <w:pPr>
              <w:spacing w:after="0"/>
              <w:ind w:left="0" w:firstLine="0"/>
              <w:rPr>
                <w:rFonts w:ascii="Avenir" w:eastAsia="Avenir" w:hAnsi="Avenir" w:cs="Avenir"/>
                <w:color w:val="auto"/>
                <w:sz w:val="16"/>
                <w:szCs w:val="16"/>
              </w:rPr>
            </w:pPr>
            <w:r w:rsidRPr="00DB6E6D">
              <w:rPr>
                <w:rFonts w:ascii="Avenir" w:eastAsia="Avenir" w:hAnsi="Avenir" w:cs="Avenir"/>
                <w:color w:val="auto"/>
                <w:sz w:val="16"/>
                <w:szCs w:val="16"/>
              </w:rPr>
              <w:t>2.4 Assurer la sécurisation foncière des projets forestiers, agroforestiers et de mise en défens dans les sites dédiés (</w:t>
            </w:r>
            <w:proofErr w:type="spellStart"/>
            <w:r w:rsidRPr="00DB6E6D">
              <w:rPr>
                <w:rFonts w:ascii="Avenir" w:eastAsia="Avenir" w:hAnsi="Avenir" w:cs="Avenir"/>
                <w:color w:val="auto"/>
                <w:sz w:val="16"/>
                <w:szCs w:val="16"/>
              </w:rPr>
              <w:t>cf</w:t>
            </w:r>
            <w:proofErr w:type="spellEnd"/>
            <w:r w:rsidRPr="00DB6E6D">
              <w:rPr>
                <w:rFonts w:ascii="Avenir" w:eastAsia="Avenir" w:hAnsi="Avenir" w:cs="Avenir"/>
                <w:color w:val="auto"/>
                <w:sz w:val="16"/>
                <w:szCs w:val="16"/>
              </w:rPr>
              <w:t xml:space="preserve"> effet 3 et effet 4) et accompagner les provinces réaliser la revue légale des concessions foncières de plus de 5 ha</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2C49D1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2.4.1 Appui à la réalisation de la revue légale des concessions forestières de plus de 5 ha </w:t>
            </w:r>
          </w:p>
          <w:p w14:paraId="7BCAC7BA" w14:textId="77777777" w:rsidR="00F516D7" w:rsidRPr="00DB6E6D" w:rsidRDefault="00F516D7" w:rsidP="00F30E80">
            <w:pPr>
              <w:spacing w:after="0"/>
              <w:rPr>
                <w:rFonts w:ascii="Avenir" w:eastAsia="Avenir" w:hAnsi="Avenir" w:cs="Avenir"/>
                <w:color w:val="auto"/>
                <w:sz w:val="16"/>
                <w:szCs w:val="16"/>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5D251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64498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64C08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3A5BF2"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E6448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DEF0CA"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C84CD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38138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851992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D6C493A"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E41FF6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4F0CBC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A1B1A21"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7D5BA68A"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010F5B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avec CODELT / Base de données sur les concessions foncières de plus de 5 ha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B04C5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6EA3E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92315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7B32A4"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52903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73C1F5"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E4B961"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A8B53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3D36A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65A00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B9B2D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A0FC59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33BABBBD"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CC61E48"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784962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2.4.2 Amélioration de l'accès et de la sécurisation foncière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80787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990B3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515052"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832ADC"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10284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E68E2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E83DE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9B37D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CBAB93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25FE86A"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464134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E43A26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B84F459" w14:textId="77777777" w:rsidTr="00F9560C">
        <w:trPr>
          <w:trHeight w:val="300"/>
        </w:trPr>
        <w:tc>
          <w:tcPr>
            <w:tcW w:w="1975"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1DC1059F"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10174F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Outils pour les formations foncier</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EFDC4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E349E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969A74" w14:textId="77777777" w:rsidR="00F516D7" w:rsidRPr="00DB6E6D"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B019D3"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DB8AA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62B15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3AF2F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87875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608C8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FC8C3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9BB3A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48FFA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bl>
    <w:p w14:paraId="469EE122" w14:textId="77777777" w:rsidR="00F516D7" w:rsidRPr="00DB6E6D" w:rsidRDefault="00F516D7" w:rsidP="00F516D7">
      <w:pPr>
        <w:spacing w:after="0"/>
        <w:ind w:left="-3" w:right="35" w:firstLine="10"/>
        <w:rPr>
          <w:rFonts w:ascii="Avenir" w:eastAsia="Avenir" w:hAnsi="Avenir" w:cs="Avenir"/>
          <w:color w:val="auto"/>
          <w:sz w:val="18"/>
          <w:szCs w:val="18"/>
        </w:rPr>
      </w:pPr>
    </w:p>
    <w:tbl>
      <w:tblPr>
        <w:tblW w:w="13378" w:type="dxa"/>
        <w:tblLayout w:type="fixed"/>
        <w:tblLook w:val="0600" w:firstRow="0" w:lastRow="0" w:firstColumn="0" w:lastColumn="0" w:noHBand="1" w:noVBand="1"/>
      </w:tblPr>
      <w:tblGrid>
        <w:gridCol w:w="1975"/>
        <w:gridCol w:w="2975"/>
        <w:gridCol w:w="709"/>
        <w:gridCol w:w="618"/>
        <w:gridCol w:w="659"/>
        <w:gridCol w:w="448"/>
        <w:gridCol w:w="862"/>
        <w:gridCol w:w="615"/>
        <w:gridCol w:w="613"/>
        <w:gridCol w:w="864"/>
        <w:gridCol w:w="615"/>
        <w:gridCol w:w="747"/>
        <w:gridCol w:w="741"/>
        <w:gridCol w:w="937"/>
      </w:tblGrid>
      <w:tr w:rsidR="00F516D7" w:rsidRPr="00DB6E6D" w14:paraId="39972E82" w14:textId="77777777" w:rsidTr="00F30E80">
        <w:trPr>
          <w:trHeight w:val="15"/>
        </w:trPr>
        <w:tc>
          <w:tcPr>
            <w:tcW w:w="13378" w:type="dxa"/>
            <w:gridSpan w:val="14"/>
            <w:tcBorders>
              <w:top w:val="single" w:sz="8" w:space="0" w:color="000000"/>
              <w:left w:val="single" w:sz="8" w:space="0" w:color="000000"/>
              <w:bottom w:val="nil"/>
              <w:right w:val="single" w:sz="8" w:space="0" w:color="000000"/>
            </w:tcBorders>
            <w:shd w:val="clear" w:color="auto" w:fill="D9D9D9"/>
            <w:tcMar>
              <w:left w:w="58" w:type="dxa"/>
              <w:right w:w="10" w:type="dxa"/>
            </w:tcMar>
            <w:vAlign w:val="center"/>
          </w:tcPr>
          <w:p w14:paraId="582FB748" w14:textId="77777777" w:rsidR="00F516D7" w:rsidRPr="00DB6E6D" w:rsidRDefault="00F516D7" w:rsidP="00F30E80">
            <w:pPr>
              <w:spacing w:after="0"/>
              <w:rPr>
                <w:rFonts w:ascii="Avenir" w:eastAsia="Avenir" w:hAnsi="Avenir" w:cs="Avenir"/>
                <w:color w:val="auto"/>
                <w:sz w:val="18"/>
                <w:szCs w:val="18"/>
              </w:rPr>
            </w:pPr>
            <w:r w:rsidRPr="00DB6E6D">
              <w:rPr>
                <w:rFonts w:ascii="Avenir" w:eastAsia="Avenir" w:hAnsi="Avenir" w:cs="Avenir"/>
                <w:b/>
                <w:color w:val="auto"/>
                <w:sz w:val="18"/>
                <w:szCs w:val="18"/>
              </w:rPr>
              <w:t>Effet 3</w:t>
            </w:r>
            <w:r>
              <w:rPr>
                <w:rFonts w:ascii="Avenir" w:eastAsia="Avenir" w:hAnsi="Avenir" w:cs="Avenir"/>
                <w:b/>
                <w:color w:val="auto"/>
                <w:sz w:val="18"/>
                <w:szCs w:val="18"/>
              </w:rPr>
              <w:t xml:space="preserve"> </w:t>
            </w:r>
            <w:r w:rsidRPr="00DB6E6D">
              <w:rPr>
                <w:rFonts w:ascii="Avenir" w:eastAsia="Avenir" w:hAnsi="Avenir" w:cs="Avenir"/>
                <w:b/>
                <w:color w:val="auto"/>
                <w:sz w:val="18"/>
                <w:szCs w:val="18"/>
              </w:rPr>
              <w:t>: Des systèmes d’exploitation durable des forêts et des savanes sont développés et promus pour contribuer à la gestion durable des ressources naturelles tout en assurant un approvisionnement en bois-énergie et bois d’œuvre</w:t>
            </w:r>
          </w:p>
        </w:tc>
      </w:tr>
      <w:tr w:rsidR="00F516D7" w:rsidRPr="00DB6E6D" w14:paraId="040904B7" w14:textId="77777777" w:rsidTr="00F9560C">
        <w:trPr>
          <w:trHeight w:val="15"/>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7DFF389"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Produits</w:t>
            </w:r>
          </w:p>
        </w:tc>
        <w:tc>
          <w:tcPr>
            <w:tcW w:w="2975"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58EC574"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Activités</w:t>
            </w:r>
          </w:p>
        </w:tc>
        <w:tc>
          <w:tcPr>
            <w:tcW w:w="8428" w:type="dxa"/>
            <w:gridSpan w:val="12"/>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139E88E"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Echéancier de mise en œuvre des activités en Année 1</w:t>
            </w:r>
          </w:p>
          <w:p w14:paraId="159B5B44"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 xml:space="preserve"> </w:t>
            </w:r>
          </w:p>
        </w:tc>
      </w:tr>
      <w:tr w:rsidR="00F516D7" w:rsidRPr="00DB6E6D" w14:paraId="31767A18" w14:textId="77777777" w:rsidTr="00F9560C">
        <w:trPr>
          <w:trHeight w:val="15"/>
        </w:trPr>
        <w:tc>
          <w:tcPr>
            <w:tcW w:w="1975"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9069F1E"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8"/>
                <w:szCs w:val="18"/>
              </w:rPr>
            </w:pPr>
          </w:p>
        </w:tc>
        <w:tc>
          <w:tcPr>
            <w:tcW w:w="2975"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E133C68"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8"/>
                <w:szCs w:val="18"/>
              </w:rPr>
            </w:pPr>
          </w:p>
        </w:tc>
        <w:tc>
          <w:tcPr>
            <w:tcW w:w="709" w:type="dxa"/>
            <w:tcBorders>
              <w:top w:val="single" w:sz="8" w:space="0" w:color="000000"/>
              <w:left w:val="nil"/>
              <w:bottom w:val="single" w:sz="8" w:space="0" w:color="000000"/>
              <w:right w:val="single" w:sz="8" w:space="0" w:color="000000"/>
            </w:tcBorders>
            <w:shd w:val="clear" w:color="auto" w:fill="D9D9D9"/>
            <w:tcMar>
              <w:left w:w="58" w:type="dxa"/>
              <w:right w:w="10" w:type="dxa"/>
            </w:tcMar>
            <w:vAlign w:val="center"/>
          </w:tcPr>
          <w:p w14:paraId="03013AF3"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w:t>
            </w:r>
          </w:p>
        </w:tc>
        <w:tc>
          <w:tcPr>
            <w:tcW w:w="61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13F3599"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2</w:t>
            </w:r>
          </w:p>
        </w:tc>
        <w:tc>
          <w:tcPr>
            <w:tcW w:w="659"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0F806B3"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3</w:t>
            </w:r>
          </w:p>
        </w:tc>
        <w:tc>
          <w:tcPr>
            <w:tcW w:w="44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625E2E2"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4</w:t>
            </w:r>
          </w:p>
        </w:tc>
        <w:tc>
          <w:tcPr>
            <w:tcW w:w="86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067DDA7C"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5</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5338D7B"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6</w:t>
            </w:r>
          </w:p>
        </w:tc>
        <w:tc>
          <w:tcPr>
            <w:tcW w:w="613"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5C777A2"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7</w:t>
            </w:r>
          </w:p>
        </w:tc>
        <w:tc>
          <w:tcPr>
            <w:tcW w:w="864"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045546D"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8</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EC49384"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9</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665C1873"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10</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622EA63"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11</w:t>
            </w:r>
          </w:p>
        </w:tc>
        <w:tc>
          <w:tcPr>
            <w:tcW w:w="93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486C669"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12</w:t>
            </w:r>
          </w:p>
        </w:tc>
      </w:tr>
      <w:tr w:rsidR="00F516D7" w:rsidRPr="00DB6E6D" w14:paraId="28378105" w14:textId="77777777" w:rsidTr="00F9560C">
        <w:trPr>
          <w:trHeight w:val="300"/>
        </w:trPr>
        <w:tc>
          <w:tcPr>
            <w:tcW w:w="1975"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2936BD4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3.1 Développer un schéma directeur d’approvisionnement Provincial (tourné vers l’approvisionnement urbain en bois énergie et en bois d’œuvre)</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408A02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3.1.1 Etudes de base (évaluation de la ressource ligneuse, quantification des flux de bois-énergie, description des filières bois-énergie et bois d'œuvre, caractérisation des pratiques de production, bilan et interventions prioritaires)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F554C2" w14:textId="77777777" w:rsidR="00F516D7" w:rsidRPr="00DB6E6D" w:rsidRDefault="00F516D7" w:rsidP="00F30E80">
            <w:pPr>
              <w:rPr>
                <w:rFonts w:ascii="Avenir" w:eastAsia="Avenir" w:hAnsi="Avenir" w:cs="Avenir"/>
                <w:color w:val="auto"/>
                <w:sz w:val="16"/>
                <w:szCs w:val="16"/>
              </w:rPr>
            </w:pPr>
          </w:p>
        </w:tc>
        <w:tc>
          <w:tcPr>
            <w:tcW w:w="618"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63C166B9"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0D8EB5A8"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36DB9778"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214E9B3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5FA5E89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7AD8F7F7"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0ADBC6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420ECF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E2FB93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7E05122"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395785E"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0137A7B"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745D729B"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002A3B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de base du SDA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4E68A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12E1EF"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7257EE"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A4119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43965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EA475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BFAAF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0FE30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85A76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744A93"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5DC4AA"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4E90B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24BCFC93"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064E6FA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A1EA25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3.1.2 Appui à l'élaboration du schéma directeur d’</w:t>
            </w:r>
            <w:proofErr w:type="spellStart"/>
            <w:r w:rsidRPr="00DB6E6D">
              <w:rPr>
                <w:rFonts w:ascii="Avenir" w:eastAsia="Avenir" w:hAnsi="Avenir" w:cs="Avenir"/>
                <w:color w:val="auto"/>
                <w:sz w:val="16"/>
                <w:szCs w:val="16"/>
              </w:rPr>
              <w:t>approvision</w:t>
            </w:r>
            <w:proofErr w:type="spellEnd"/>
            <w:r w:rsidRPr="00DB6E6D">
              <w:rPr>
                <w:rFonts w:ascii="Avenir" w:eastAsia="Avenir" w:hAnsi="Avenir" w:cs="Avenir"/>
                <w:color w:val="auto"/>
                <w:sz w:val="16"/>
                <w:szCs w:val="16"/>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464248"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699CAB"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AC0B96"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454D90"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BD5F8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C05E20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BD24A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B33C2A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BC066E6"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F386FA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3203B4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68FC674"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8C8EA7F"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0132623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4EF283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sur l’état d’avancement de l’élaboration du SDA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E64AA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C9CB80"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90D341"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0531B8"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510FC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D7E88A"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00D16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6DF2A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03884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90C752"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3B43FE"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AC51C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25AA3BBD"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5ED8E95E"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27DB62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3.1.3 Organisation d’ateliers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C2E64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098E15"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9C965F"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416CB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F476C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7DA961"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D7B617"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C7197F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E022F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DAA531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419E4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260C67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95FAD55" w14:textId="77777777" w:rsidTr="00F9560C">
        <w:trPr>
          <w:trHeight w:val="300"/>
        </w:trPr>
        <w:tc>
          <w:tcPr>
            <w:tcW w:w="1975" w:type="dxa"/>
            <w:vMerge/>
            <w:tcBorders>
              <w:left w:val="single" w:sz="8" w:space="0" w:color="000000"/>
              <w:bottom w:val="single" w:sz="12" w:space="0" w:color="auto"/>
              <w:right w:val="single" w:sz="8" w:space="0" w:color="000000"/>
            </w:tcBorders>
            <w:shd w:val="clear" w:color="auto" w:fill="FFFFFF"/>
            <w:tcMar>
              <w:left w:w="58" w:type="dxa"/>
              <w:right w:w="10" w:type="dxa"/>
            </w:tcMar>
            <w:vAlign w:val="center"/>
          </w:tcPr>
          <w:p w14:paraId="0EC29535"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9E2DA0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d’ateliers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D3658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EBF411"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FF1733"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29F65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DD2AE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C4711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33FCB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71CAA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w:t>
            </w: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780C8F"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86A40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4</w:t>
            </w: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4EF92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B9C24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2</w:t>
            </w:r>
          </w:p>
        </w:tc>
      </w:tr>
      <w:tr w:rsidR="00F516D7" w:rsidRPr="00DB6E6D" w14:paraId="17085F98" w14:textId="77777777" w:rsidTr="00F9560C">
        <w:trPr>
          <w:trHeight w:val="300"/>
        </w:trPr>
        <w:tc>
          <w:tcPr>
            <w:tcW w:w="1975"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768979E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3.2 Mettre en place un système d’information et de suivi du bois-énergie et du bois d’œuvre</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316A5E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3.2.1 Renforcement des STD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E85D9F"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5C8582"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7AC9E2"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9FAE1B"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E714D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016ECB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A852C28"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1FBF36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9B51CB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41B8D1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FFFB74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027843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EB1D7CE"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747F860"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F10508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d’avancement de la mise en place des outils de suivi des flux de production et consommation de bois énergie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EDC96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5401AE"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D14FD2"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EFFC6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B423A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C8F59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83857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A4029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053FE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70D52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AE5CBC"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28863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28594F34"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57B0BBEC"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2262E8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3.2.2 Etude pour élaboration du système de suivi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D3595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1835B4"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D10A0A"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7AFEB2"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89BD1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271D2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9725A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D8D785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74EDD0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7812DB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1C33107"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3C9CD4"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365715A"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5403DBC"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C8CFF7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pour élaboration du système de suivi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31F5A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A953E4"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043E53"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D7D09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6A13E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8AB094"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A4FCED"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87DDC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54C2CF"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C2680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1D8C71"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A191D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0048BAD" w14:textId="77777777" w:rsidTr="00F9560C">
        <w:trPr>
          <w:trHeight w:val="300"/>
        </w:trPr>
        <w:tc>
          <w:tcPr>
            <w:tcW w:w="1975"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35BA47A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 Améliorer les systèmes de gestion des forêts et d’exploitation des ressources naturelles (en lien avec les Plans d'aménagement)</w:t>
            </w:r>
          </w:p>
          <w:p w14:paraId="465C008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 </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28DF91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3.3.1 Définition de la méthodologie des activités de mise en œuvre engageant des PSE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9AA9D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72BB47" w14:textId="77777777" w:rsidR="00F516D7" w:rsidRPr="00DB6E6D" w:rsidRDefault="00F516D7" w:rsidP="00F30E80">
            <w:pPr>
              <w:spacing w:after="0"/>
              <w:jc w:val="center"/>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877DA4" w14:textId="77777777" w:rsidR="00F516D7" w:rsidRPr="00DB6E6D" w:rsidRDefault="00F516D7" w:rsidP="00F30E80">
            <w:pPr>
              <w:spacing w:after="0"/>
              <w:jc w:val="center"/>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EBD72A" w14:textId="77777777" w:rsidR="00F516D7" w:rsidRPr="00DB6E6D" w:rsidRDefault="00F516D7" w:rsidP="00F30E80">
            <w:pPr>
              <w:spacing w:after="0"/>
              <w:jc w:val="center"/>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AA573F"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E208CB" w14:textId="77777777" w:rsidR="00F516D7" w:rsidRPr="00DB6E6D" w:rsidRDefault="00F516D7" w:rsidP="00F30E80">
            <w:pPr>
              <w:spacing w:after="0"/>
              <w:jc w:val="center"/>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7825B7" w14:textId="77777777" w:rsidR="00F516D7" w:rsidRPr="00DB6E6D" w:rsidRDefault="00F516D7" w:rsidP="00F30E80">
            <w:pPr>
              <w:spacing w:after="0"/>
              <w:jc w:val="center"/>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44BD2BE"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BE0A721" w14:textId="77777777" w:rsidR="00F516D7" w:rsidRPr="00DB6E6D" w:rsidRDefault="00F516D7" w:rsidP="00F30E80">
            <w:pPr>
              <w:spacing w:after="0"/>
              <w:jc w:val="center"/>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4786A3E" w14:textId="77777777" w:rsidR="00F516D7" w:rsidRPr="00DB6E6D" w:rsidRDefault="00F516D7" w:rsidP="00F30E80">
            <w:pPr>
              <w:spacing w:after="0"/>
              <w:jc w:val="center"/>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A908A6B" w14:textId="77777777" w:rsidR="00F516D7" w:rsidRPr="00DB6E6D" w:rsidRDefault="00F516D7" w:rsidP="00F30E80">
            <w:pPr>
              <w:spacing w:after="0"/>
              <w:jc w:val="center"/>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61ADFB2" w14:textId="77777777" w:rsidR="00F516D7" w:rsidRPr="00DB6E6D" w:rsidRDefault="00F516D7" w:rsidP="00F30E80">
            <w:pPr>
              <w:spacing w:after="0"/>
              <w:jc w:val="center"/>
              <w:rPr>
                <w:rFonts w:ascii="Avenir" w:eastAsia="Avenir" w:hAnsi="Avenir" w:cs="Avenir"/>
                <w:color w:val="auto"/>
                <w:sz w:val="16"/>
                <w:szCs w:val="16"/>
              </w:rPr>
            </w:pPr>
          </w:p>
        </w:tc>
      </w:tr>
      <w:tr w:rsidR="00F516D7" w:rsidRPr="00DB6E6D" w14:paraId="12C562DA"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96F47CA"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0D21BEF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 incl. carte des espaces PSE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2A8C90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33DDB8" w14:textId="77777777" w:rsidR="00F516D7" w:rsidRPr="00DB6E6D" w:rsidRDefault="00F516D7" w:rsidP="00F30E80">
            <w:pPr>
              <w:spacing w:after="0"/>
              <w:jc w:val="center"/>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CD91B7" w14:textId="77777777" w:rsidR="00F516D7" w:rsidRPr="00DB6E6D" w:rsidRDefault="00F516D7" w:rsidP="00F30E80">
            <w:pPr>
              <w:spacing w:after="0"/>
              <w:jc w:val="center"/>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5C0A53" w14:textId="77777777" w:rsidR="00F516D7" w:rsidRPr="00DB6E6D" w:rsidRDefault="00F516D7" w:rsidP="00F30E80">
            <w:pPr>
              <w:spacing w:after="0"/>
              <w:jc w:val="center"/>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04E924"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7105DC" w14:textId="77777777" w:rsidR="00F516D7" w:rsidRPr="00DB6E6D" w:rsidRDefault="00F516D7" w:rsidP="00F30E80">
            <w:pPr>
              <w:spacing w:after="0"/>
              <w:jc w:val="center"/>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FAA576" w14:textId="77777777" w:rsidR="00F516D7" w:rsidRPr="00DB6E6D" w:rsidRDefault="00F516D7" w:rsidP="00F30E80">
            <w:pPr>
              <w:spacing w:after="0"/>
              <w:jc w:val="center"/>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AA5FDB" w14:textId="77777777" w:rsidR="00F516D7" w:rsidRPr="00DB6E6D"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2C330B" w14:textId="77777777" w:rsidR="00F516D7" w:rsidRPr="00DB6E6D" w:rsidRDefault="00F516D7" w:rsidP="00F30E80">
            <w:pPr>
              <w:spacing w:after="0"/>
              <w:jc w:val="center"/>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AF08B6" w14:textId="77777777" w:rsidR="00F516D7" w:rsidRPr="00DB6E6D" w:rsidRDefault="00F516D7" w:rsidP="00F30E80">
            <w:pPr>
              <w:spacing w:after="0"/>
              <w:jc w:val="center"/>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EDEE2E" w14:textId="77777777" w:rsidR="00F516D7" w:rsidRPr="00DB6E6D" w:rsidRDefault="00F516D7" w:rsidP="00F30E80">
            <w:pPr>
              <w:spacing w:after="0"/>
              <w:jc w:val="center"/>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D7402A" w14:textId="77777777" w:rsidR="00F516D7" w:rsidRPr="00DB6E6D" w:rsidRDefault="00F516D7" w:rsidP="00F30E80">
            <w:pPr>
              <w:spacing w:after="0"/>
              <w:jc w:val="center"/>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617442C2"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96E05A2"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4CDAF9C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3.3.2 PSE : - Mise en défens 7500 ha territoires de </w:t>
            </w:r>
            <w:proofErr w:type="spellStart"/>
            <w:r w:rsidRPr="00DB6E6D">
              <w:rPr>
                <w:rFonts w:ascii="Avenir" w:eastAsia="Avenir" w:hAnsi="Avenir" w:cs="Avenir"/>
                <w:color w:val="auto"/>
                <w:sz w:val="16"/>
                <w:szCs w:val="16"/>
              </w:rPr>
              <w:t>Kamji</w:t>
            </w:r>
            <w:proofErr w:type="spellEnd"/>
            <w:r w:rsidRPr="00DB6E6D">
              <w:rPr>
                <w:rFonts w:ascii="Avenir" w:eastAsia="Avenir" w:hAnsi="Avenir" w:cs="Avenir"/>
                <w:color w:val="auto"/>
                <w:sz w:val="16"/>
                <w:szCs w:val="16"/>
              </w:rPr>
              <w:t xml:space="preserve">, </w:t>
            </w:r>
            <w:proofErr w:type="spellStart"/>
            <w:r w:rsidRPr="00DB6E6D">
              <w:rPr>
                <w:rFonts w:ascii="Avenir" w:eastAsia="Avenir" w:hAnsi="Avenir" w:cs="Avenir"/>
                <w:color w:val="auto"/>
                <w:sz w:val="16"/>
                <w:szCs w:val="16"/>
              </w:rPr>
              <w:t>Luilu</w:t>
            </w:r>
            <w:proofErr w:type="spellEnd"/>
            <w:r w:rsidRPr="00DB6E6D">
              <w:rPr>
                <w:rFonts w:ascii="Avenir" w:eastAsia="Avenir" w:hAnsi="Avenir" w:cs="Avenir"/>
                <w:color w:val="auto"/>
                <w:sz w:val="16"/>
                <w:szCs w:val="16"/>
              </w:rPr>
              <w:t xml:space="preserve"> et </w:t>
            </w:r>
            <w:proofErr w:type="spellStart"/>
            <w:r w:rsidRPr="00DB6E6D">
              <w:rPr>
                <w:rFonts w:ascii="Avenir" w:eastAsia="Avenir" w:hAnsi="Avenir" w:cs="Avenir"/>
                <w:color w:val="auto"/>
                <w:sz w:val="16"/>
                <w:szCs w:val="16"/>
              </w:rPr>
              <w:t>Ngandajika</w:t>
            </w:r>
            <w:proofErr w:type="spellEnd"/>
            <w:r w:rsidRPr="00DB6E6D">
              <w:rPr>
                <w:rFonts w:ascii="Avenir" w:eastAsia="Avenir" w:hAnsi="Avenir" w:cs="Avenir"/>
                <w:color w:val="auto"/>
                <w:sz w:val="16"/>
                <w:szCs w:val="16"/>
              </w:rPr>
              <w:t xml:space="preserve"> et forêt communautaire 75 ha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AD570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EFAA0A"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5B11F5"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CCB30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FDEBC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4A833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9893A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640EE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9CB37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9CFC1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C802332"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AD3266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90894B2"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4431FF6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D2077C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signée avec PRODI DITUNGA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9FC0D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B5F71D"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D5C285"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E94178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5733C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6AAA9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1E62E1"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C4224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642E7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57BDA3"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12DC58"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9C1CC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52B48167"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593D566A"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129142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3.3.3 PSE : - Mise en défens 7500 ha territoire de Kabinda et forêt communautaire 25 ha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F5CD84"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DA1C24"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766D16"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43E74A"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0CFD4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5DDFF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64F52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1D690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54050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525170"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20AF262"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9015206"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51902ED"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71D5225C"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8940A6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Livrable : Convention de subside – AP signée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5ECE89"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260017"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DE2D2D"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77F85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8027C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820FC0"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A2FD2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D6ED0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4F8FD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4E74CF"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E4288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F2A7B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4CE06800"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B922A12"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164DB9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3.3.4 Bande pares-feux de protection des zones mises en défens territoires de </w:t>
            </w:r>
            <w:proofErr w:type="spellStart"/>
            <w:r w:rsidRPr="00DB6E6D">
              <w:rPr>
                <w:rFonts w:ascii="Avenir" w:eastAsia="Avenir" w:hAnsi="Avenir" w:cs="Avenir"/>
                <w:color w:val="auto"/>
                <w:sz w:val="16"/>
                <w:szCs w:val="16"/>
              </w:rPr>
              <w:t>Kamji</w:t>
            </w:r>
            <w:proofErr w:type="spellEnd"/>
            <w:r w:rsidRPr="00DB6E6D">
              <w:rPr>
                <w:rFonts w:ascii="Avenir" w:eastAsia="Avenir" w:hAnsi="Avenir" w:cs="Avenir"/>
                <w:color w:val="auto"/>
                <w:sz w:val="16"/>
                <w:szCs w:val="16"/>
              </w:rPr>
              <w:t xml:space="preserve">, </w:t>
            </w:r>
            <w:proofErr w:type="spellStart"/>
            <w:r w:rsidRPr="00DB6E6D">
              <w:rPr>
                <w:rFonts w:ascii="Avenir" w:eastAsia="Avenir" w:hAnsi="Avenir" w:cs="Avenir"/>
                <w:color w:val="auto"/>
                <w:sz w:val="16"/>
                <w:szCs w:val="16"/>
              </w:rPr>
              <w:t>Luilu</w:t>
            </w:r>
            <w:proofErr w:type="spellEnd"/>
            <w:r w:rsidRPr="00DB6E6D">
              <w:rPr>
                <w:rFonts w:ascii="Avenir" w:eastAsia="Avenir" w:hAnsi="Avenir" w:cs="Avenir"/>
                <w:color w:val="auto"/>
                <w:sz w:val="16"/>
                <w:szCs w:val="16"/>
              </w:rPr>
              <w:t xml:space="preserve"> et </w:t>
            </w:r>
            <w:proofErr w:type="spellStart"/>
            <w:r w:rsidRPr="00DB6E6D">
              <w:rPr>
                <w:rFonts w:ascii="Avenir" w:eastAsia="Avenir" w:hAnsi="Avenir" w:cs="Avenir"/>
                <w:color w:val="auto"/>
                <w:sz w:val="16"/>
                <w:szCs w:val="16"/>
              </w:rPr>
              <w:t>Ngandajika</w:t>
            </w:r>
            <w:proofErr w:type="spellEnd"/>
            <w:r w:rsidRPr="00DB6E6D">
              <w:rPr>
                <w:rFonts w:ascii="Avenir" w:eastAsia="Avenir" w:hAnsi="Avenir" w:cs="Avenir"/>
                <w:color w:val="auto"/>
                <w:sz w:val="16"/>
                <w:szCs w:val="16"/>
              </w:rPr>
              <w:t xml:space="preserve"> &amp; forêt communautaire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481A2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2000F0"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D0EEEC"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6AB7C4"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18A07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D19D6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91130D"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9492E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D4255E"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AA809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D14A514"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C0DEA40"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4E90DBE"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58029E2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77AAD1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signée avec PRODI DITUNGA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50150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4402DC"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2EB726"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34DEC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537E6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25879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9CFAFF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9E066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C6839F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849A7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258F22"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F0DA0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52530B6E"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BC10BA4"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7E84F5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3.3.5 Bande pares-feux de protection des zones mises en défens territoire de Kabinda+ mise en place 25 ha forêt communautaire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38C8B8"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792E4E"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F26317"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D053D4"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2CCA3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55ECB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67927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6B5CA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CDBEE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211D53"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06ED398"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6B82AE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315861B"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56EA57A5"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731493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 AP signée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D332A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94BF363"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C4DCF5"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5D5B20"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7DB65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C8E7A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6C709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278EF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A58D13"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21F3D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941BCE"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FB771F"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46C1B661"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BC662DE"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4CBCD2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3.3.6 Animation PSE et suivi des paiements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8AD86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9C5224"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07F270"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EC97D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89F52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90035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DDC0D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3C62A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A0A8D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7AC8C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A745CD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D1B98CD"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4AA6109"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107E9323"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2DF6EC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 xml:space="preserve">Livrable : </w:t>
            </w:r>
            <w:proofErr w:type="spellStart"/>
            <w:r w:rsidRPr="00DB6E6D">
              <w:rPr>
                <w:rFonts w:ascii="Avenir" w:eastAsia="Avenir" w:hAnsi="Avenir" w:cs="Avenir"/>
                <w:color w:val="auto"/>
                <w:sz w:val="16"/>
                <w:szCs w:val="16"/>
              </w:rPr>
              <w:t>Conv</w:t>
            </w:r>
            <w:proofErr w:type="spellEnd"/>
            <w:r w:rsidRPr="00DB6E6D">
              <w:rPr>
                <w:rFonts w:ascii="Avenir" w:eastAsia="Avenir" w:hAnsi="Avenir" w:cs="Avenir"/>
                <w:color w:val="auto"/>
                <w:sz w:val="16"/>
                <w:szCs w:val="16"/>
              </w:rPr>
              <w:t>. Subside signée / Rapport d’animation PSE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A9593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D0E1DB"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757BF4"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2120FA"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FAC86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E7BA84"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EB32E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0C45F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E51F92"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F9143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890BDE"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9942F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175B7963"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17595A4F"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9EA397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3.3.7 Suivi des activités – cartographie des espaces pour les PSE de reboisement communautaire (100 ha) cartographiés. 2/3 des espaces pour la mise en défens / protection contre le feu (10 000 ha)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ABE0AE"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D72125"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1F492E"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474127"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9B4E08"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0D7315"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04AED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B5440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AFEAD8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542C12"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2B9D6E"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B437E91"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835C69D"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B4C966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4335D5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Convention de subside signée / Rapport et carte des espaces PSE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909D9C"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FB3CB2"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543608"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A9A1AE"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AC62B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53931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C3DE0CC"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E5C1F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4FAC2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8C1249"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A6444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951AE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7CB39B2C"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421165CD"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07B518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3.3.8 Appui à la valorisation des PFNL / Diagnostic approfondi des filières PFNL et plan d'action concerté pour la valorisation des PFNL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F44D2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410DEB"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BF92B0"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6B4B1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2DAE4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84386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B74BA5D"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81E275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7D7751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FB2E5D0"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D275833"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96F44E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71BF550" w14:textId="77777777" w:rsidTr="00F9560C">
        <w:trPr>
          <w:trHeight w:val="300"/>
        </w:trPr>
        <w:tc>
          <w:tcPr>
            <w:tcW w:w="1975" w:type="dxa"/>
            <w:vMerge/>
            <w:tcBorders>
              <w:left w:val="single" w:sz="8" w:space="0" w:color="000000"/>
              <w:bottom w:val="single" w:sz="12" w:space="0" w:color="auto"/>
              <w:right w:val="single" w:sz="8" w:space="0" w:color="000000"/>
            </w:tcBorders>
            <w:shd w:val="clear" w:color="auto" w:fill="FFFFFF"/>
            <w:tcMar>
              <w:left w:w="58" w:type="dxa"/>
              <w:right w:w="10" w:type="dxa"/>
            </w:tcMar>
            <w:vAlign w:val="center"/>
          </w:tcPr>
          <w:p w14:paraId="1154E2D8"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08F35B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diagnostic approfondi des filières PFNL incl. Plan d’action</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0B63C7"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FF7DAA"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84ED2F"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8C276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D1441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2EB2E6"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91FB6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66235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67802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AD0CA6"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CB0F06"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0C476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1AD1F7C1" w14:textId="77777777" w:rsidTr="00F9560C">
        <w:trPr>
          <w:trHeight w:val="424"/>
        </w:trPr>
        <w:tc>
          <w:tcPr>
            <w:tcW w:w="1975"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269ECF1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 Susciter et accompagner des actions de reboisement à large échelle</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57A59DA"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3.4.1 Inventaire approfondi des plantations de bois énergie et bois d'œuvre existantes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D5CD2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2BF32F"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1D3DC0"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D6A2FA"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371B74"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24E152"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E4D8C4"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C5C7FB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39D59C5"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6898174"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4382366"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8B2B4E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EA1484C"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41A5CB1"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262A0E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C3BD6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44BE3B"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42AA50"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8C807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2991C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C94CE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978E03"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2FD22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9DB31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ECC83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CA6CD4"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BDE25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2C1DE044"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C5F6F0A"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433ADF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3.4.2 Elaboration de plans d'affaire et modèle économique viable pour les plantations par le secteur privé (y compris guide méthodologique foncier)</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A5ED0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8392B1"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9F6605"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199FD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16B727"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7D3326"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202CCC"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063487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BE05D4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966D79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969863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04D9A1C"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484E15F"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11315E1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DF3FDA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Plan d’affaire / modèle économique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56292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75E6A7"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1E8FEC"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84494B"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FCA60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7B1877"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6665B9C"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D5230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AC7AB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ED5FEE"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85FAF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F89BF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1C33318F"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8C6D6A7"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vAlign w:val="center"/>
          </w:tcPr>
          <w:p w14:paraId="4F256FA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3.4.3 Structuration et formation des futurs planteurs privés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3A23BA"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797547"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951568"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63373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049D2F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2FC23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3AD2C9"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B526F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1A573B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549848"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62DE77"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FD730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466035E"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7300F624"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6EFAFF4"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structuration et de formation</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3DD44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05307C"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21E196"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D7F77B"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3E082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CC3556"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26E44E"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1169C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1441F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33D45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65A9C7"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2F1C8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DA1DA49"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89BFA1A"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2D67FD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3.4.4 Appui technique aux plantations existantes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F2AD5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F023AA"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9531DC"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A69D8F"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F7729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F38CBA"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6AAA2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0EEAFF"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59F50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19F6D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1E91A3"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C5C84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D441A53"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553FF1B8"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128F976"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missions d’appui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F6E0A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148C9A"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62E390"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C0C948"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EF68AF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33D642B"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38AD8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66AB3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C3A21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2F2EC4"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21F557"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CDBFCF"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4755ED8"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48B2CFD9"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EDCA5A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3.4.5 Mise en place de nouvelles plantations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CCC2A0"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5359BA"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A61A1A"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440FA5"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C18E94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B96B4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558EFC"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5B2DB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F4B878"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558CEB"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0BC51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96277B"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69D1051D" w14:textId="77777777" w:rsidTr="00F9560C">
        <w:trPr>
          <w:trHeight w:val="300"/>
        </w:trPr>
        <w:tc>
          <w:tcPr>
            <w:tcW w:w="1975" w:type="dxa"/>
            <w:vMerge/>
            <w:tcBorders>
              <w:left w:val="single" w:sz="8" w:space="0" w:color="000000"/>
              <w:bottom w:val="single" w:sz="12" w:space="0" w:color="auto"/>
              <w:right w:val="single" w:sz="8" w:space="0" w:color="000000"/>
            </w:tcBorders>
            <w:shd w:val="clear" w:color="auto" w:fill="FFFFFF"/>
            <w:tcMar>
              <w:left w:w="58" w:type="dxa"/>
              <w:right w:w="10" w:type="dxa"/>
            </w:tcMar>
            <w:vAlign w:val="center"/>
          </w:tcPr>
          <w:p w14:paraId="65C4510B"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7660543"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 – nbre ha plantés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E4B541"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40A5740"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C22DE1"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6705B3"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5292B3"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D29B5E"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9F43CA"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F8505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72DBBD1"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8B27F3"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888C1D"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741185"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31032BF5" w14:textId="77777777" w:rsidTr="00F9560C">
        <w:trPr>
          <w:trHeight w:val="300"/>
        </w:trPr>
        <w:tc>
          <w:tcPr>
            <w:tcW w:w="1975"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12BE15A9"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3.5 Structurer et renforcer les capacités des producteurs de bois énergie et de bois d’œuvre</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151ABFE"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3.5.1 Structuration des producteurs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40009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62BDF4"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1DF61B"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E775A0C"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C6824E"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81E598"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51CA6B"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CF2850"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4A5CCD"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4D7193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AEF064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ED1C86F"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10255695"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1BA237A"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CEFF87B"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1C5582"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09395D"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EA7629"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C3C06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B95AD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DF4DCF"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B8FEA1"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0D26D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98542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E17001"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92984E"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E995D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3C4CF1B1"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3775BF0" w14:textId="77777777" w:rsidR="00F516D7" w:rsidRPr="00DB6E6D"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50EB672"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3.5.2 Formation aux techniques de carbonisation et coupe améliorées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79E5FD"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790C0E"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D0335A"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4EDB5D"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42463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8BA39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10816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40E4EC"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9AF46C"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9FA00A"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5CB5A14"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4B7ED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7F2451B" w14:textId="77777777" w:rsidTr="00F9560C">
        <w:trPr>
          <w:trHeight w:val="300"/>
        </w:trPr>
        <w:tc>
          <w:tcPr>
            <w:tcW w:w="1975" w:type="dxa"/>
            <w:vMerge/>
            <w:tcBorders>
              <w:left w:val="single" w:sz="8" w:space="0" w:color="000000"/>
              <w:bottom w:val="single" w:sz="12" w:space="0" w:color="auto"/>
              <w:right w:val="single" w:sz="8" w:space="0" w:color="000000"/>
            </w:tcBorders>
            <w:shd w:val="clear" w:color="auto" w:fill="FFFFFF"/>
            <w:tcMar>
              <w:left w:w="58" w:type="dxa"/>
              <w:right w:w="10" w:type="dxa"/>
            </w:tcMar>
            <w:vAlign w:val="center"/>
          </w:tcPr>
          <w:p w14:paraId="6EE0DE00"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3B1A9E0"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Rapports de formation aux techniques de carbonisation et coupe améliorées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CEC43B"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4AB458"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F5748E"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85243B"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5CBD19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33565A"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84C11F"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F170A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7B2E2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A566B3"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61E294"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3E23DA"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461272EA" w14:textId="77777777" w:rsidTr="00F9560C">
        <w:trPr>
          <w:trHeight w:val="231"/>
        </w:trPr>
        <w:tc>
          <w:tcPr>
            <w:tcW w:w="1975"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7451C74A" w14:textId="77777777" w:rsidR="00F516D7" w:rsidRPr="00DB6E6D" w:rsidRDefault="00F516D7" w:rsidP="00F30E80">
            <w:pPr>
              <w:spacing w:after="0"/>
              <w:ind w:left="0" w:firstLine="0"/>
              <w:rPr>
                <w:rFonts w:ascii="Avenir" w:eastAsia="Avenir" w:hAnsi="Avenir" w:cs="Avenir"/>
                <w:color w:val="auto"/>
                <w:sz w:val="16"/>
                <w:szCs w:val="16"/>
              </w:rPr>
            </w:pPr>
            <w:r w:rsidRPr="00DB6E6D">
              <w:rPr>
                <w:rFonts w:ascii="Avenir" w:eastAsia="Avenir" w:hAnsi="Avenir" w:cs="Avenir"/>
                <w:color w:val="auto"/>
                <w:sz w:val="16"/>
                <w:szCs w:val="16"/>
              </w:rPr>
              <w:t>3.6 Promouvoir des initiatives liées aux métiers verts à travers l’entreprenariat pour contribuer à la réduction de la demande en bois-énergie et bois d’œuvre</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05761B7"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3.6.1 Etude sur les foyers améliorés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4C5876"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EA7C71"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B4A72F"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57E8F63"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4FB69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1C685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DCA9E6"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C6ECEE6"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040814"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FB6956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A8F25E0"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0ACF3D1"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029BC785"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4CCF5A9E"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9D4308C"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5739D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528B73"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BCAA59"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DFDD9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43D73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A46D7C"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092EB3"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515E2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959877"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070425"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36BD1B"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01A17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1</w:t>
            </w:r>
          </w:p>
        </w:tc>
      </w:tr>
      <w:tr w:rsidR="00F516D7" w:rsidRPr="00DB6E6D" w14:paraId="3A43987E"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D41EDC5"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54B57B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3.6.2 Appui aux projets d'entreprenariat vert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71CED8"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18FE80"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E839A9"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F8D4F9"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0F205D"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594355"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7912E2"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D63D7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0013FB"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0B6EA7"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A10137"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B88142"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59BAD302"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4E3DF99B"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A9D955D"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d’activités (sur les porteurs de projets d'entreprenariat verts identifiés)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77D36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F5B5E3"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4FAA64"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48B1F1"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DF4EE1"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9E1EFE5"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BBCFC15"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C1F8DF2"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952800"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2C4C7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7F0BA3"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EE36D7"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2FDEEA4C"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F3DEC22"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598D095"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3.6.3 Promotion (et subventions) des foyers améliorés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86C443"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2419E7"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028B68"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AB027A"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E8AD929"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B9E7BD"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FC2270"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C2084B"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6C4E46A"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7B6EB4"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52D211"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51DED9" w14:textId="77777777" w:rsidR="00F516D7" w:rsidRPr="00DB6E6D" w:rsidRDefault="00F516D7" w:rsidP="00F30E80">
            <w:pPr>
              <w:spacing w:after="0"/>
              <w:rPr>
                <w:rFonts w:ascii="Avenir" w:eastAsia="Avenir" w:hAnsi="Avenir" w:cs="Avenir"/>
                <w:color w:val="auto"/>
                <w:sz w:val="16"/>
                <w:szCs w:val="16"/>
              </w:rPr>
            </w:pPr>
          </w:p>
        </w:tc>
      </w:tr>
      <w:tr w:rsidR="00F516D7" w:rsidRPr="00DB6E6D" w14:paraId="741A58C0" w14:textId="77777777" w:rsidTr="00F9560C">
        <w:trPr>
          <w:trHeight w:val="300"/>
        </w:trPr>
        <w:tc>
          <w:tcPr>
            <w:tcW w:w="1975" w:type="dxa"/>
            <w:vMerge/>
            <w:tcBorders>
              <w:left w:val="single" w:sz="8" w:space="0" w:color="000000"/>
              <w:bottom w:val="single" w:sz="8" w:space="0" w:color="000000"/>
              <w:right w:val="single" w:sz="8" w:space="0" w:color="000000"/>
            </w:tcBorders>
            <w:shd w:val="clear" w:color="auto" w:fill="FFFFFF"/>
            <w:tcMar>
              <w:left w:w="58" w:type="dxa"/>
              <w:right w:w="10" w:type="dxa"/>
            </w:tcMar>
            <w:vAlign w:val="center"/>
          </w:tcPr>
          <w:p w14:paraId="15CF39AF" w14:textId="77777777" w:rsidR="00F516D7" w:rsidRPr="00DB6E6D"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9E49A68" w14:textId="77777777" w:rsidR="00F516D7" w:rsidRPr="00DB6E6D" w:rsidRDefault="00F516D7" w:rsidP="00F30E80">
            <w:pPr>
              <w:spacing w:after="0"/>
              <w:rPr>
                <w:rFonts w:ascii="Avenir" w:eastAsia="Avenir" w:hAnsi="Avenir" w:cs="Avenir"/>
                <w:color w:val="auto"/>
                <w:sz w:val="16"/>
                <w:szCs w:val="16"/>
              </w:rPr>
            </w:pPr>
            <w:r w:rsidRPr="00DB6E6D">
              <w:rPr>
                <w:rFonts w:ascii="Avenir" w:eastAsia="Avenir" w:hAnsi="Avenir" w:cs="Avenir"/>
                <w:color w:val="auto"/>
                <w:sz w:val="16"/>
                <w:szCs w:val="16"/>
              </w:rPr>
              <w:t>Livrable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2046B95" w14:textId="77777777" w:rsidR="00F516D7" w:rsidRPr="00DB6E6D"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A0313B" w14:textId="77777777" w:rsidR="00F516D7" w:rsidRPr="00DB6E6D" w:rsidRDefault="00F516D7" w:rsidP="00F30E80">
            <w:pPr>
              <w:spacing w:after="0"/>
              <w:rPr>
                <w:rFonts w:ascii="Avenir" w:eastAsia="Avenir" w:hAnsi="Avenir" w:cs="Avenir"/>
                <w:color w:val="auto"/>
                <w:sz w:val="16"/>
                <w:szCs w:val="16"/>
              </w:rPr>
            </w:pPr>
          </w:p>
        </w:tc>
        <w:tc>
          <w:tcPr>
            <w:tcW w:w="65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8D992C" w14:textId="77777777" w:rsidR="00F516D7" w:rsidRPr="00DB6E6D" w:rsidRDefault="00F516D7" w:rsidP="00F30E80">
            <w:pPr>
              <w:spacing w:after="0"/>
              <w:rPr>
                <w:rFonts w:ascii="Avenir" w:eastAsia="Avenir" w:hAnsi="Avenir" w:cs="Avenir"/>
                <w:color w:val="auto"/>
                <w:sz w:val="16"/>
                <w:szCs w:val="16"/>
              </w:rPr>
            </w:pPr>
          </w:p>
        </w:tc>
        <w:tc>
          <w:tcPr>
            <w:tcW w:w="44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3A06AC" w14:textId="77777777" w:rsidR="00F516D7" w:rsidRPr="00DB6E6D"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1EDE95"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94DDBC3" w14:textId="77777777" w:rsidR="00F516D7" w:rsidRPr="00DB6E6D"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F49551" w14:textId="77777777" w:rsidR="00F516D7" w:rsidRPr="00DB6E6D"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11173A" w14:textId="77777777" w:rsidR="00F516D7" w:rsidRPr="00DB6E6D"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B4B489" w14:textId="77777777" w:rsidR="00F516D7" w:rsidRPr="00DB6E6D"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57EA28C" w14:textId="77777777" w:rsidR="00F516D7" w:rsidRPr="00DB6E6D"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2E7FDF" w14:textId="77777777" w:rsidR="00F516D7" w:rsidRPr="00DB6E6D"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EC4B87" w14:textId="77777777" w:rsidR="00F516D7" w:rsidRPr="00DB6E6D" w:rsidRDefault="00F516D7" w:rsidP="00F30E80">
            <w:pPr>
              <w:spacing w:after="0"/>
              <w:rPr>
                <w:rFonts w:ascii="Avenir" w:eastAsia="Avenir" w:hAnsi="Avenir" w:cs="Avenir"/>
                <w:color w:val="auto"/>
                <w:sz w:val="16"/>
                <w:szCs w:val="16"/>
              </w:rPr>
            </w:pPr>
          </w:p>
        </w:tc>
      </w:tr>
    </w:tbl>
    <w:p w14:paraId="31CBAE5E" w14:textId="77777777" w:rsidR="00F516D7" w:rsidRPr="00DB6E6D" w:rsidRDefault="00F516D7" w:rsidP="00F516D7">
      <w:pPr>
        <w:spacing w:after="0" w:line="250" w:lineRule="auto"/>
        <w:ind w:left="-15" w:right="0" w:firstLine="0"/>
        <w:rPr>
          <w:rFonts w:ascii="Avenir" w:eastAsia="Avenir" w:hAnsi="Avenir" w:cs="Avenir"/>
          <w:iCs/>
          <w:color w:val="auto"/>
          <w:sz w:val="18"/>
          <w:szCs w:val="18"/>
        </w:rPr>
      </w:pPr>
    </w:p>
    <w:tbl>
      <w:tblPr>
        <w:tblW w:w="13378" w:type="dxa"/>
        <w:tblLayout w:type="fixed"/>
        <w:tblLook w:val="0600" w:firstRow="0" w:lastRow="0" w:firstColumn="0" w:lastColumn="0" w:noHBand="1" w:noVBand="1"/>
      </w:tblPr>
      <w:tblGrid>
        <w:gridCol w:w="1975"/>
        <w:gridCol w:w="2975"/>
        <w:gridCol w:w="709"/>
        <w:gridCol w:w="618"/>
        <w:gridCol w:w="615"/>
        <w:gridCol w:w="492"/>
        <w:gridCol w:w="862"/>
        <w:gridCol w:w="615"/>
        <w:gridCol w:w="613"/>
        <w:gridCol w:w="864"/>
        <w:gridCol w:w="615"/>
        <w:gridCol w:w="747"/>
        <w:gridCol w:w="741"/>
        <w:gridCol w:w="937"/>
      </w:tblGrid>
      <w:tr w:rsidR="00F516D7" w:rsidRPr="00DB6E6D" w14:paraId="3DE2AC11" w14:textId="77777777" w:rsidTr="00F30E80">
        <w:trPr>
          <w:trHeight w:val="15"/>
        </w:trPr>
        <w:tc>
          <w:tcPr>
            <w:tcW w:w="13378" w:type="dxa"/>
            <w:gridSpan w:val="14"/>
            <w:tcBorders>
              <w:top w:val="single" w:sz="8" w:space="0" w:color="000000"/>
              <w:left w:val="single" w:sz="8" w:space="0" w:color="000000"/>
              <w:bottom w:val="nil"/>
              <w:right w:val="single" w:sz="8" w:space="0" w:color="000000"/>
            </w:tcBorders>
            <w:shd w:val="clear" w:color="auto" w:fill="D9D9D9"/>
            <w:tcMar>
              <w:left w:w="58" w:type="dxa"/>
              <w:right w:w="10" w:type="dxa"/>
            </w:tcMar>
            <w:vAlign w:val="center"/>
          </w:tcPr>
          <w:p w14:paraId="6DED2649" w14:textId="77777777" w:rsidR="00F516D7" w:rsidRPr="00DB6E6D" w:rsidRDefault="00F516D7" w:rsidP="00F30E80">
            <w:pPr>
              <w:spacing w:after="0"/>
              <w:rPr>
                <w:rFonts w:ascii="Avenir" w:eastAsia="Avenir" w:hAnsi="Avenir" w:cs="Avenir"/>
                <w:color w:val="auto"/>
                <w:sz w:val="18"/>
                <w:szCs w:val="18"/>
              </w:rPr>
            </w:pPr>
            <w:r w:rsidRPr="00DB6E6D">
              <w:rPr>
                <w:rFonts w:ascii="Avenir" w:eastAsia="Avenir" w:hAnsi="Avenir" w:cs="Avenir"/>
                <w:b/>
                <w:color w:val="auto"/>
                <w:sz w:val="18"/>
                <w:szCs w:val="18"/>
              </w:rPr>
              <w:t>Effet 4</w:t>
            </w:r>
            <w:r>
              <w:rPr>
                <w:rFonts w:ascii="Avenir" w:eastAsia="Avenir" w:hAnsi="Avenir" w:cs="Avenir"/>
                <w:b/>
                <w:color w:val="auto"/>
                <w:sz w:val="18"/>
                <w:szCs w:val="18"/>
              </w:rPr>
              <w:t xml:space="preserve"> </w:t>
            </w:r>
            <w:r w:rsidRPr="00DB6E6D">
              <w:rPr>
                <w:rFonts w:ascii="Avenir" w:eastAsia="Avenir" w:hAnsi="Avenir" w:cs="Avenir"/>
                <w:b/>
                <w:color w:val="auto"/>
                <w:sz w:val="18"/>
                <w:szCs w:val="18"/>
              </w:rPr>
              <w:t>: Des systèmes d’agriculture familiale et entrepreneuriale durables sont développés pour réduire la pression sur les forêts et les savanes</w:t>
            </w:r>
          </w:p>
        </w:tc>
      </w:tr>
      <w:tr w:rsidR="00F516D7" w:rsidRPr="00DB6E6D" w14:paraId="68E1DD2D" w14:textId="77777777" w:rsidTr="00F9560C">
        <w:trPr>
          <w:trHeight w:val="15"/>
        </w:trPr>
        <w:tc>
          <w:tcPr>
            <w:tcW w:w="1975"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BEFD13B"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Produits</w:t>
            </w:r>
          </w:p>
        </w:tc>
        <w:tc>
          <w:tcPr>
            <w:tcW w:w="2975" w:type="dxa"/>
            <w:vMerge w:val="restart"/>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A3AA217"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Activités</w:t>
            </w:r>
          </w:p>
        </w:tc>
        <w:tc>
          <w:tcPr>
            <w:tcW w:w="8428" w:type="dxa"/>
            <w:gridSpan w:val="12"/>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6694E82"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Echéancier de mise en œuvre des activités en Année 1</w:t>
            </w:r>
          </w:p>
          <w:p w14:paraId="00F59856"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 xml:space="preserve"> </w:t>
            </w:r>
          </w:p>
        </w:tc>
      </w:tr>
      <w:tr w:rsidR="00F516D7" w:rsidRPr="00DB6E6D" w14:paraId="52C4D163" w14:textId="77777777" w:rsidTr="00F9560C">
        <w:trPr>
          <w:trHeight w:val="15"/>
        </w:trPr>
        <w:tc>
          <w:tcPr>
            <w:tcW w:w="1975"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BEF018F"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8"/>
                <w:szCs w:val="18"/>
              </w:rPr>
            </w:pPr>
          </w:p>
        </w:tc>
        <w:tc>
          <w:tcPr>
            <w:tcW w:w="2975" w:type="dxa"/>
            <w:vMerge/>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B1B93B4" w14:textId="77777777" w:rsidR="00F516D7" w:rsidRPr="00DB6E6D" w:rsidRDefault="00F516D7" w:rsidP="00F30E80">
            <w:pPr>
              <w:widowControl w:val="0"/>
              <w:pBdr>
                <w:top w:val="nil"/>
                <w:left w:val="nil"/>
                <w:bottom w:val="nil"/>
                <w:right w:val="nil"/>
                <w:between w:val="nil"/>
              </w:pBdr>
              <w:spacing w:after="0" w:line="276" w:lineRule="auto"/>
              <w:ind w:left="0" w:right="0" w:firstLine="0"/>
              <w:jc w:val="left"/>
              <w:rPr>
                <w:rFonts w:ascii="Avenir" w:eastAsia="Avenir" w:hAnsi="Avenir" w:cs="Avenir"/>
                <w:color w:val="auto"/>
                <w:sz w:val="18"/>
                <w:szCs w:val="18"/>
              </w:rPr>
            </w:pPr>
          </w:p>
        </w:tc>
        <w:tc>
          <w:tcPr>
            <w:tcW w:w="709" w:type="dxa"/>
            <w:tcBorders>
              <w:top w:val="single" w:sz="8" w:space="0" w:color="000000"/>
              <w:left w:val="nil"/>
              <w:bottom w:val="single" w:sz="8" w:space="0" w:color="000000"/>
              <w:right w:val="single" w:sz="8" w:space="0" w:color="000000"/>
            </w:tcBorders>
            <w:shd w:val="clear" w:color="auto" w:fill="D9D9D9"/>
            <w:tcMar>
              <w:left w:w="58" w:type="dxa"/>
              <w:right w:w="10" w:type="dxa"/>
            </w:tcMar>
            <w:vAlign w:val="center"/>
          </w:tcPr>
          <w:p w14:paraId="4BFE488A"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w:t>
            </w:r>
          </w:p>
        </w:tc>
        <w:tc>
          <w:tcPr>
            <w:tcW w:w="618"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531C267"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2</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0FBD551"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3</w:t>
            </w:r>
          </w:p>
        </w:tc>
        <w:tc>
          <w:tcPr>
            <w:tcW w:w="49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28334D7C"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4</w:t>
            </w:r>
          </w:p>
        </w:tc>
        <w:tc>
          <w:tcPr>
            <w:tcW w:w="862"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3304558"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5</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7DE11CC1"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6</w:t>
            </w:r>
          </w:p>
        </w:tc>
        <w:tc>
          <w:tcPr>
            <w:tcW w:w="613"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0190582"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7</w:t>
            </w:r>
          </w:p>
        </w:tc>
        <w:tc>
          <w:tcPr>
            <w:tcW w:w="864"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1AF52D90"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8</w:t>
            </w:r>
          </w:p>
        </w:tc>
        <w:tc>
          <w:tcPr>
            <w:tcW w:w="615"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AE19EEA"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9</w:t>
            </w:r>
          </w:p>
        </w:tc>
        <w:tc>
          <w:tcPr>
            <w:tcW w:w="74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4C9A5A4A"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10</w:t>
            </w:r>
          </w:p>
        </w:tc>
        <w:tc>
          <w:tcPr>
            <w:tcW w:w="741"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58869635"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11</w:t>
            </w:r>
          </w:p>
        </w:tc>
        <w:tc>
          <w:tcPr>
            <w:tcW w:w="937" w:type="dxa"/>
            <w:tcBorders>
              <w:top w:val="single" w:sz="8" w:space="0" w:color="000000"/>
              <w:left w:val="single" w:sz="8" w:space="0" w:color="000000"/>
              <w:bottom w:val="single" w:sz="8" w:space="0" w:color="000000"/>
              <w:right w:val="single" w:sz="8" w:space="0" w:color="000000"/>
            </w:tcBorders>
            <w:shd w:val="clear" w:color="auto" w:fill="D9D9D9"/>
            <w:tcMar>
              <w:left w:w="58" w:type="dxa"/>
              <w:right w:w="10" w:type="dxa"/>
            </w:tcMar>
            <w:vAlign w:val="center"/>
          </w:tcPr>
          <w:p w14:paraId="3E3D5A7A" w14:textId="77777777" w:rsidR="00F516D7" w:rsidRPr="00DB6E6D" w:rsidRDefault="00F516D7" w:rsidP="00F30E80">
            <w:pPr>
              <w:spacing w:after="0"/>
              <w:jc w:val="center"/>
              <w:rPr>
                <w:rFonts w:ascii="Avenir" w:eastAsia="Avenir" w:hAnsi="Avenir" w:cs="Avenir"/>
                <w:color w:val="auto"/>
                <w:sz w:val="18"/>
                <w:szCs w:val="18"/>
              </w:rPr>
            </w:pPr>
            <w:r w:rsidRPr="00DB6E6D">
              <w:rPr>
                <w:rFonts w:ascii="Avenir" w:eastAsia="Avenir" w:hAnsi="Avenir" w:cs="Avenir"/>
                <w:b/>
                <w:color w:val="auto"/>
                <w:sz w:val="18"/>
                <w:szCs w:val="18"/>
              </w:rPr>
              <w:t>12</w:t>
            </w:r>
          </w:p>
        </w:tc>
      </w:tr>
      <w:tr w:rsidR="00F516D7" w:rsidRPr="00DB6E6D" w14:paraId="2B7F19B5" w14:textId="77777777" w:rsidTr="00F9560C">
        <w:trPr>
          <w:trHeight w:val="300"/>
        </w:trPr>
        <w:tc>
          <w:tcPr>
            <w:tcW w:w="1975"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63A19F59"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 xml:space="preserve">4.1 Promouvoir et développer des plantations agro-forestières  </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A6B181C"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4.1.1 Inventaire approfondi des plantations agroforestière existantes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88D0E7" w14:textId="77777777" w:rsidR="00F516D7" w:rsidRPr="00096C8B" w:rsidRDefault="00F516D7" w:rsidP="00F30E80">
            <w:pPr>
              <w:rPr>
                <w:rFonts w:ascii="Avenir" w:eastAsia="Avenir" w:hAnsi="Avenir" w:cs="Avenir"/>
                <w:color w:val="auto"/>
                <w:sz w:val="16"/>
                <w:szCs w:val="16"/>
              </w:rPr>
            </w:pPr>
          </w:p>
        </w:tc>
        <w:tc>
          <w:tcPr>
            <w:tcW w:w="618"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60C2E284"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2F78CF6D"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48BA4A89"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2DCA3D9E"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42AA93B1"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nil"/>
              <w:left w:val="single" w:sz="8" w:space="0" w:color="000000"/>
              <w:bottom w:val="single" w:sz="8" w:space="0" w:color="000000"/>
              <w:right w:val="single" w:sz="8" w:space="0" w:color="000000"/>
            </w:tcBorders>
            <w:shd w:val="clear" w:color="auto" w:fill="auto"/>
            <w:tcMar>
              <w:left w:w="58" w:type="dxa"/>
              <w:right w:w="10" w:type="dxa"/>
            </w:tcMar>
          </w:tcPr>
          <w:p w14:paraId="24F0B71B"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1AD5D6D"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2E5F78A"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B5633E9"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512561F"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nil"/>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B7ED35A"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46DB7E8A"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460A11D1" w14:textId="77777777" w:rsidR="00F516D7" w:rsidRPr="00096C8B" w:rsidRDefault="00F516D7" w:rsidP="00F30E80">
            <w:pPr>
              <w:spacing w:after="0"/>
              <w:ind w:left="0" w:firstLine="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B5A4955"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BC0385"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DFBD4A"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66D8DA8"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E054B3"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1E3BBC"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2E65391"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20CB54"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250D7D"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834230"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8EF3BE"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29A4BA"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A15235"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1</w:t>
            </w:r>
          </w:p>
        </w:tc>
      </w:tr>
      <w:tr w:rsidR="00F516D7" w:rsidRPr="00DB6E6D" w14:paraId="4654D072"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6D925251"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16CD3A1"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4.1.2 Elaboration de plans d'affaire et modèle économique viable pour les plantations agroforestières (y compris guide méthodologique foncier)</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FF9809"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787539"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635F163"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7A292C"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8A5E65"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540143"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3C14680"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8BA6A33"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2890E3B"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EF3AFE4"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5AFC273"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2C3A31A"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3327DF81"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3ECD8180"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CEDEE67"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Plan d’affaire / modèle économique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EDFDCA0"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1FE606"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C876C7"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81A135"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C126445"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9D61C4"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BC669C"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B9304F"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7F2508"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BC980B"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21CCAB"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EB57A77"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1</w:t>
            </w:r>
          </w:p>
        </w:tc>
      </w:tr>
      <w:tr w:rsidR="00F516D7" w:rsidRPr="00DB6E6D" w14:paraId="36FD2E0A"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tcPr>
          <w:p w14:paraId="1BB61B27"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343C5EFE"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4.1.3 Soutien aux filières pépiniéristes et agricoles - Activités de mise en œuvre pour développer des filières d'approvisionnement durable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14F61E"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328715"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751496"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A37DCF"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1E3454"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CA7B51"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E9B58F"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E6EE57"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524CB5"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559212"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D19FF9"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F2C85C"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32E4D4CC"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9DC0D74"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9FCE11F"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Rapport d’activité / Plan d'action disponible pour le développement des filières de production de semences et de plants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555520"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AF97FF"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66F6B8"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13A598"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C48D43"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6C2367"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96D4A6"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68C0EB"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BDBE54"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3B76E1"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4C71D4"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EB78E90"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47878CD5"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FC46F94"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DF92F98"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 xml:space="preserve">4.1.4 Soutien aux projets d'agroforesterie individuels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A3C836"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44B255"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7A443E"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98BE71"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CEA634"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CAF8BA"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B4B742"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E747F4"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3C0218D"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D3E3C1"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D55289"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CC0924"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3AA782C8"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632B0CE"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51B5981D"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Rapport d’activités (sur nombre ha de reboisement agroforestier)</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E99831A"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474BDF"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36722B"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C6B263"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B666D7"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942F00"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DC1E97"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68E6FFB"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16AC3F4"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7EC4454"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E061870"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E47D4B"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3A9200DD"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47511902"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D394037"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4.1.5 PSE : 500 ha - Réintégration de l'arbre au sein des parcelles cultivées par la régénération naturelle assistée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613354"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FB03F1"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D31A00"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99701A"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6E8A41"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BAE6A3"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D2EBAFB"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C7F8C3"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69F38EA"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574E4F"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1641CB7"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8AE8786"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6C181262" w14:textId="77777777" w:rsidTr="00F9560C">
        <w:trPr>
          <w:trHeight w:val="300"/>
        </w:trPr>
        <w:tc>
          <w:tcPr>
            <w:tcW w:w="1975" w:type="dxa"/>
            <w:vMerge/>
            <w:tcBorders>
              <w:left w:val="single" w:sz="8" w:space="0" w:color="000000"/>
              <w:bottom w:val="single" w:sz="12" w:space="0" w:color="auto"/>
              <w:right w:val="single" w:sz="8" w:space="0" w:color="000000"/>
            </w:tcBorders>
            <w:shd w:val="clear" w:color="auto" w:fill="FFFFFF"/>
            <w:tcMar>
              <w:left w:w="58" w:type="dxa"/>
              <w:right w:w="10" w:type="dxa"/>
            </w:tcMar>
            <w:vAlign w:val="center"/>
          </w:tcPr>
          <w:p w14:paraId="0E37E851"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1D83096"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Convention de subside signé / Rapport d’activités (sur nombre ha RNA)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CCB712"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97F972"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493DF7"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DB055F"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69E2C7"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2DE142"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276949"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DFED3DC"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4127D8F"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4679A3B"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94CDFB"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AEFC75"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1</w:t>
            </w:r>
          </w:p>
        </w:tc>
      </w:tr>
      <w:tr w:rsidR="00F516D7" w:rsidRPr="00DB6E6D" w14:paraId="1EF45F2C" w14:textId="77777777" w:rsidTr="00F9560C">
        <w:trPr>
          <w:trHeight w:val="300"/>
        </w:trPr>
        <w:tc>
          <w:tcPr>
            <w:tcW w:w="1975" w:type="dxa"/>
            <w:vMerge w:val="restart"/>
            <w:tcBorders>
              <w:top w:val="single" w:sz="12" w:space="0" w:color="auto"/>
              <w:left w:val="single" w:sz="8" w:space="0" w:color="000000"/>
              <w:right w:val="single" w:sz="8" w:space="0" w:color="000000"/>
            </w:tcBorders>
            <w:shd w:val="clear" w:color="auto" w:fill="FFFFFF"/>
            <w:tcMar>
              <w:left w:w="58" w:type="dxa"/>
              <w:right w:w="10" w:type="dxa"/>
            </w:tcMar>
            <w:vAlign w:val="center"/>
          </w:tcPr>
          <w:p w14:paraId="7286196F"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4.2 Améliorer la structuration et l'efficacité des systèmes de commercialisation</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D8A9D74"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4.2.1 Etude filière agricole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C734CB"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A413ECB"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12AC90"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B7300B4"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EEE4EA"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D0B1A9"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3C7343"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F1ECD7F"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BBE5A26"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0955BEB"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CF40070"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7C1C020"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3B0B12C1"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1FF3E2C5"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A4F537D"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Rapport d'étude / Plans d'action pour le renforcement de performances de 2 filières prioritaires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42DDE5"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475ADB"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755408"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25A247"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CF62DE"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10E034"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F75E09C"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36C9F1"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EDFEF1"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D5A1599"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FB9BAD"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8FF085"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1</w:t>
            </w:r>
          </w:p>
        </w:tc>
      </w:tr>
      <w:tr w:rsidR="00F516D7" w:rsidRPr="00DB6E6D" w14:paraId="0E6F858F"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32DB5A4B"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2423C378"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4.2.2 Amélioration des circuits de commercialisation</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0E8C5E"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2BA759"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BFD9D2"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143AFC"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27AC64"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0D3FCF"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F55CCFA"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A5786C"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09ACC3"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359366"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6492E4"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63D859"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0091E224"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7636D67"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C68F9EF"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4926C9"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B61A24C"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9BF6B5"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95440F6"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4D1AF3"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90FA03D"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831456"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AFE85B"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71BEFA"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BB86771"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C654618"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43F043A"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696AE94E" w14:textId="77777777" w:rsidTr="00F9560C">
        <w:trPr>
          <w:trHeight w:val="300"/>
        </w:trPr>
        <w:tc>
          <w:tcPr>
            <w:tcW w:w="1975" w:type="dxa"/>
            <w:vMerge w:val="restart"/>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779D33F9"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 xml:space="preserve">4.3 Appuyer l'émergence et le fonctionnement d'un réseau local d'acteurs de mise en œuvre de la REDD </w:t>
            </w:r>
            <w:r w:rsidRPr="00096C8B">
              <w:rPr>
                <w:rFonts w:ascii="Avenir" w:eastAsia="Avenir" w:hAnsi="Avenir" w:cs="Avenir"/>
                <w:color w:val="auto"/>
                <w:sz w:val="16"/>
                <w:szCs w:val="16"/>
              </w:rPr>
              <w:lastRenderedPageBreak/>
              <w:t>sensible aux groupes vulnérables</w:t>
            </w:r>
          </w:p>
          <w:p w14:paraId="64DFE0CD"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BBFFBE6"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lastRenderedPageBreak/>
              <w:t>4.3.1 Etude genre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F2FA82F"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53CFD8" w14:textId="77777777" w:rsidR="00F516D7" w:rsidRPr="00096C8B"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45950DB" w14:textId="77777777" w:rsidR="00F516D7" w:rsidRPr="00096C8B" w:rsidRDefault="00F516D7" w:rsidP="00F30E80">
            <w:pPr>
              <w:spacing w:after="0"/>
              <w:jc w:val="center"/>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7FD507" w14:textId="77777777" w:rsidR="00F516D7" w:rsidRPr="00096C8B" w:rsidRDefault="00F516D7" w:rsidP="00F30E80">
            <w:pPr>
              <w:spacing w:after="0"/>
              <w:jc w:val="center"/>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01C1D80" w14:textId="77777777" w:rsidR="00F516D7" w:rsidRPr="00096C8B"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A47491" w14:textId="77777777" w:rsidR="00F516D7" w:rsidRPr="00096C8B" w:rsidRDefault="00F516D7" w:rsidP="00F30E80">
            <w:pPr>
              <w:spacing w:after="0"/>
              <w:jc w:val="center"/>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D18C571" w14:textId="77777777" w:rsidR="00F516D7" w:rsidRPr="00096C8B" w:rsidRDefault="00F516D7" w:rsidP="00F30E80">
            <w:pPr>
              <w:spacing w:after="0"/>
              <w:jc w:val="center"/>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A5B4B5A" w14:textId="77777777" w:rsidR="00F516D7" w:rsidRPr="00096C8B"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B66AA97" w14:textId="77777777" w:rsidR="00F516D7" w:rsidRPr="00096C8B" w:rsidRDefault="00F516D7" w:rsidP="00F30E80">
            <w:pPr>
              <w:spacing w:after="0"/>
              <w:jc w:val="center"/>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CAB361A" w14:textId="77777777" w:rsidR="00F516D7" w:rsidRPr="00096C8B" w:rsidRDefault="00F516D7" w:rsidP="00F30E80">
            <w:pPr>
              <w:spacing w:after="0"/>
              <w:jc w:val="center"/>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F4755B7" w14:textId="77777777" w:rsidR="00F516D7" w:rsidRPr="00096C8B" w:rsidRDefault="00F516D7" w:rsidP="00F30E80">
            <w:pPr>
              <w:spacing w:after="0"/>
              <w:jc w:val="center"/>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EB03841" w14:textId="77777777" w:rsidR="00F516D7" w:rsidRPr="00096C8B" w:rsidRDefault="00F516D7" w:rsidP="00F30E80">
            <w:pPr>
              <w:spacing w:after="0"/>
              <w:jc w:val="center"/>
              <w:rPr>
                <w:rFonts w:ascii="Avenir" w:eastAsia="Avenir" w:hAnsi="Avenir" w:cs="Avenir"/>
                <w:color w:val="auto"/>
                <w:sz w:val="16"/>
                <w:szCs w:val="16"/>
              </w:rPr>
            </w:pPr>
          </w:p>
        </w:tc>
      </w:tr>
      <w:tr w:rsidR="00F516D7" w:rsidRPr="00DB6E6D" w14:paraId="59358A66"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4585516B"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269147EB"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E80D83E"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FF47C25" w14:textId="77777777" w:rsidR="00F516D7" w:rsidRPr="00096C8B"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14B6512" w14:textId="77777777" w:rsidR="00F516D7" w:rsidRPr="00096C8B" w:rsidRDefault="00F516D7" w:rsidP="00F30E80">
            <w:pPr>
              <w:spacing w:after="0"/>
              <w:jc w:val="center"/>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711DE9" w14:textId="77777777" w:rsidR="00F516D7" w:rsidRPr="00096C8B" w:rsidRDefault="00F516D7" w:rsidP="00F30E80">
            <w:pPr>
              <w:spacing w:after="0"/>
              <w:jc w:val="center"/>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2953A3A" w14:textId="77777777" w:rsidR="00F516D7" w:rsidRPr="00096C8B"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E7AC6B" w14:textId="77777777" w:rsidR="00F516D7" w:rsidRPr="00096C8B" w:rsidRDefault="00F516D7" w:rsidP="00F30E80">
            <w:pPr>
              <w:spacing w:after="0"/>
              <w:jc w:val="center"/>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CE6D8B" w14:textId="77777777" w:rsidR="00F516D7" w:rsidRPr="00096C8B" w:rsidRDefault="00F516D7" w:rsidP="00F30E80">
            <w:pPr>
              <w:spacing w:after="0"/>
              <w:jc w:val="center"/>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4D6443" w14:textId="77777777" w:rsidR="00F516D7" w:rsidRPr="00096C8B" w:rsidRDefault="00F516D7" w:rsidP="00F30E80">
            <w:pPr>
              <w:spacing w:after="0"/>
              <w:jc w:val="center"/>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0C0DFE" w14:textId="77777777" w:rsidR="00F516D7" w:rsidRPr="00096C8B" w:rsidRDefault="00F516D7" w:rsidP="00F30E80">
            <w:pPr>
              <w:spacing w:after="0"/>
              <w:jc w:val="center"/>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81B733" w14:textId="77777777" w:rsidR="00F516D7" w:rsidRPr="00096C8B" w:rsidRDefault="00F516D7" w:rsidP="00F30E80">
            <w:pPr>
              <w:spacing w:after="0"/>
              <w:jc w:val="center"/>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5DBE9F" w14:textId="77777777" w:rsidR="00F516D7" w:rsidRPr="00096C8B" w:rsidRDefault="00F516D7" w:rsidP="00F30E80">
            <w:pPr>
              <w:spacing w:after="0"/>
              <w:jc w:val="center"/>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66C237" w14:textId="77777777" w:rsidR="00F516D7" w:rsidRPr="00096C8B" w:rsidRDefault="00F516D7" w:rsidP="00F30E80">
            <w:pPr>
              <w:spacing w:after="0"/>
              <w:jc w:val="center"/>
              <w:rPr>
                <w:rFonts w:ascii="Avenir" w:eastAsia="Avenir" w:hAnsi="Avenir" w:cs="Avenir"/>
                <w:color w:val="auto"/>
                <w:sz w:val="16"/>
                <w:szCs w:val="16"/>
              </w:rPr>
            </w:pPr>
            <w:r w:rsidRPr="00096C8B">
              <w:rPr>
                <w:rFonts w:ascii="Avenir" w:eastAsia="Avenir" w:hAnsi="Avenir" w:cs="Avenir"/>
                <w:color w:val="auto"/>
                <w:sz w:val="16"/>
                <w:szCs w:val="16"/>
              </w:rPr>
              <w:t>1</w:t>
            </w:r>
          </w:p>
        </w:tc>
      </w:tr>
      <w:tr w:rsidR="00F516D7" w:rsidRPr="00DB6E6D" w14:paraId="18E64ADF"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760B63C3"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nil"/>
              <w:bottom w:val="single" w:sz="8" w:space="0" w:color="000000"/>
              <w:right w:val="single" w:sz="8" w:space="0" w:color="000000"/>
            </w:tcBorders>
            <w:shd w:val="clear" w:color="auto" w:fill="FFFFFF"/>
            <w:tcMar>
              <w:left w:w="58" w:type="dxa"/>
              <w:right w:w="10" w:type="dxa"/>
            </w:tcMar>
            <w:vAlign w:val="center"/>
          </w:tcPr>
          <w:p w14:paraId="2DFF2195"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4.3.2 Etude peuple autochtone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B820C7"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5CE4F5B"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C72077"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03536DD"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86C0FC"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A65167"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8D8555"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B40C819"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5F495197"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ACC0299"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F8C5AE9"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6886061"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6872857E"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55D31A7D"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EAC0035"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90C014"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7259C68"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8EDECCB"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A1E542"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E51A0D"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3252EFB"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48806E2"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7CF2AF"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176E13E"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8ABCDCE"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034037"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1C3326D"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1</w:t>
            </w:r>
          </w:p>
        </w:tc>
      </w:tr>
      <w:tr w:rsidR="00F516D7" w:rsidRPr="00DB6E6D" w14:paraId="3041DFCA"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C782365"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7F28D64"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4.3.3 Cycles de formation à destination des ONG</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F271BE8"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A666063"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8C65EC"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92ECBCC"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34D52BC"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6BD948"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7B509C"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D04605"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E1ADD05"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679DF34A"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18B3C12"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58C3E61"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56CA2FBF"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A3305F9"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2790723"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Plan de formation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138FD9"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825245"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F9B041F"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F9F80B"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8ADB596"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1BEB13"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15F87E"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AEAC347"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B525BE6"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9C6FFB"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980B976"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A57D66F"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1</w:t>
            </w:r>
          </w:p>
        </w:tc>
      </w:tr>
      <w:tr w:rsidR="00F516D7" w:rsidRPr="00DB6E6D" w14:paraId="0694618E"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596A0E8"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EA7BB0D"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 xml:space="preserve">4.3.6 </w:t>
            </w:r>
            <w:proofErr w:type="spellStart"/>
            <w:r w:rsidRPr="00096C8B">
              <w:rPr>
                <w:rFonts w:ascii="Avenir" w:eastAsia="Avenir" w:hAnsi="Avenir" w:cs="Avenir"/>
                <w:color w:val="auto"/>
                <w:sz w:val="16"/>
                <w:szCs w:val="16"/>
              </w:rPr>
              <w:t>CSub</w:t>
            </w:r>
            <w:proofErr w:type="spellEnd"/>
            <w:r w:rsidRPr="00096C8B">
              <w:rPr>
                <w:rFonts w:ascii="Avenir" w:eastAsia="Avenir" w:hAnsi="Avenir" w:cs="Avenir"/>
                <w:color w:val="auto"/>
                <w:sz w:val="16"/>
                <w:szCs w:val="16"/>
              </w:rPr>
              <w:t xml:space="preserve"> signé / Renforcement des capacités, transferts de connaissance et compétences aux ONG en charge de la mise en place des CLD et PSAT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BFA23D"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BFC0B3"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C5051E5"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6280E0"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F7048A"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7602F1"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5BA51B"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0D9B036"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A49D253"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D16714C"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10564D4"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16F9C201"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1F7E7536"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056F391D"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16EECDAD"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 xml:space="preserve">Livrable : </w:t>
            </w:r>
            <w:proofErr w:type="spellStart"/>
            <w:r w:rsidRPr="00096C8B">
              <w:rPr>
                <w:rFonts w:ascii="Avenir" w:eastAsia="Avenir" w:hAnsi="Avenir" w:cs="Avenir"/>
                <w:color w:val="auto"/>
                <w:sz w:val="16"/>
                <w:szCs w:val="16"/>
              </w:rPr>
              <w:t>CSub</w:t>
            </w:r>
            <w:proofErr w:type="spellEnd"/>
            <w:r w:rsidRPr="00096C8B">
              <w:rPr>
                <w:rFonts w:ascii="Avenir" w:eastAsia="Avenir" w:hAnsi="Avenir" w:cs="Avenir"/>
                <w:color w:val="auto"/>
                <w:sz w:val="16"/>
                <w:szCs w:val="16"/>
              </w:rPr>
              <w:t xml:space="preserve"> signé / Rapport d'activités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2552BE7"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8236C0"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67B4AED"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F64495"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CB1E3D8"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F7E9588"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63B67DB"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00C3A83"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02D9A77"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08BB022"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F0C738"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5177207"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1</w:t>
            </w:r>
          </w:p>
        </w:tc>
      </w:tr>
      <w:tr w:rsidR="00F516D7" w:rsidRPr="00DB6E6D" w14:paraId="54D2F79B" w14:textId="77777777" w:rsidTr="00F9560C">
        <w:trPr>
          <w:trHeight w:val="424"/>
        </w:trPr>
        <w:tc>
          <w:tcPr>
            <w:tcW w:w="1975" w:type="dxa"/>
            <w:vMerge w:val="restart"/>
            <w:tcBorders>
              <w:top w:val="single" w:sz="12" w:space="0" w:color="auto"/>
              <w:left w:val="single" w:sz="8" w:space="0" w:color="000000"/>
              <w:bottom w:val="single" w:sz="8" w:space="0" w:color="000000"/>
              <w:right w:val="single" w:sz="8" w:space="0" w:color="000000"/>
            </w:tcBorders>
            <w:shd w:val="clear" w:color="auto" w:fill="FFFFFF"/>
            <w:tcMar>
              <w:left w:w="58" w:type="dxa"/>
              <w:right w:w="10" w:type="dxa"/>
            </w:tcMar>
            <w:vAlign w:val="center"/>
          </w:tcPr>
          <w:p w14:paraId="516361D2"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4.4 Engager et accompagner les acteurs pour une prise de conscience des enjeux liés à la gestion durable des ressources naturelles et assurer la diffusion des innovations relatives à la REDD +</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CACA0E2"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4.4.1 Etude sur les perceptions et usages de la forêt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A4F803"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4CB52F3"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739EF2B"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4993BFB"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59EF395"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DF38E72"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3AC73CC"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9E31E6B"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912C963"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0C49EA0"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2063ACB"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40A28FB"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7F84B0D0" w14:textId="77777777" w:rsidTr="00F9560C">
        <w:trPr>
          <w:trHeight w:val="300"/>
        </w:trPr>
        <w:tc>
          <w:tcPr>
            <w:tcW w:w="1975" w:type="dxa"/>
            <w:vMerge/>
            <w:tcBorders>
              <w:top w:val="single" w:sz="8" w:space="0" w:color="000000"/>
              <w:left w:val="single" w:sz="8" w:space="0" w:color="000000"/>
              <w:right w:val="single" w:sz="8" w:space="0" w:color="000000"/>
            </w:tcBorders>
            <w:shd w:val="clear" w:color="auto" w:fill="FFFFFF"/>
            <w:tcMar>
              <w:left w:w="58" w:type="dxa"/>
              <w:right w:w="10" w:type="dxa"/>
            </w:tcMar>
            <w:vAlign w:val="center"/>
          </w:tcPr>
          <w:p w14:paraId="3C71DEA9"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7777BBB4"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Rapport d’étude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768DF14"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D42D151"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64DC1B"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5CBCD1"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7C482ED"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8DFB89B"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49B9EB8C"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C8E4082"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84DB595"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83C06CB"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1DD88B8"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D2AEB1"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1</w:t>
            </w:r>
          </w:p>
        </w:tc>
      </w:tr>
      <w:tr w:rsidR="00F516D7" w:rsidRPr="00DB6E6D" w14:paraId="193BE95B"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08006CA"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6A912429"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4.4.2 Appui au développement du plan C4D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D251C3F"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B9978B"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1F79699"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2594307"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56D160C"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4F38E2C"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EA20738"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8FBFC5C"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60D2990"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220078D8"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728AFCB"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3EECB080"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59F9E577"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2A740D25"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41290A0D"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Plan C4D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E7364BF"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BECCCEE"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67E7C43"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D71D9DB"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3BF4CEC"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CF6D393"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41F8013"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781324B"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22733579"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8D72EB6"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227C818"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34219A"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1</w:t>
            </w:r>
          </w:p>
        </w:tc>
      </w:tr>
      <w:tr w:rsidR="00F516D7" w:rsidRPr="00DB6E6D" w14:paraId="31B6FEAD" w14:textId="77777777" w:rsidTr="00F9560C">
        <w:trPr>
          <w:trHeight w:val="300"/>
        </w:trPr>
        <w:tc>
          <w:tcPr>
            <w:tcW w:w="1975" w:type="dxa"/>
            <w:vMerge/>
            <w:tcBorders>
              <w:left w:val="single" w:sz="8" w:space="0" w:color="000000"/>
              <w:right w:val="single" w:sz="8" w:space="0" w:color="000000"/>
            </w:tcBorders>
            <w:shd w:val="clear" w:color="auto" w:fill="FFFFFF"/>
            <w:tcMar>
              <w:left w:w="58" w:type="dxa"/>
              <w:right w:w="10" w:type="dxa"/>
            </w:tcMar>
            <w:vAlign w:val="center"/>
          </w:tcPr>
          <w:p w14:paraId="62E4DBDF"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left w:w="58" w:type="dxa"/>
              <w:right w:w="10" w:type="dxa"/>
            </w:tcMar>
            <w:vAlign w:val="center"/>
          </w:tcPr>
          <w:p w14:paraId="00D3EB75"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4.4.3 Mise en œuvre des activités de C4D</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5CFC9B21"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61D82099"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3B676A32"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961C720"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0720CAA1"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00A3837"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31B5285"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7A39AF86"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8" w:space="0" w:color="000000"/>
              <w:right w:val="single" w:sz="8" w:space="0" w:color="000000"/>
            </w:tcBorders>
            <w:shd w:val="clear" w:color="auto" w:fill="auto"/>
            <w:tcMar>
              <w:left w:w="58" w:type="dxa"/>
              <w:right w:w="10" w:type="dxa"/>
            </w:tcMar>
          </w:tcPr>
          <w:p w14:paraId="120FA796"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7D9CDB5D"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05986FA2"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8" w:space="0" w:color="000000"/>
              <w:right w:val="single" w:sz="8" w:space="0" w:color="000000"/>
            </w:tcBorders>
            <w:shd w:val="clear" w:color="auto" w:fill="94F6DB" w:themeFill="accent4" w:themeFillTint="66"/>
            <w:tcMar>
              <w:left w:w="58" w:type="dxa"/>
              <w:right w:w="10" w:type="dxa"/>
            </w:tcMar>
          </w:tcPr>
          <w:p w14:paraId="43FF3C3E" w14:textId="77777777" w:rsidR="00F516D7" w:rsidRPr="00096C8B" w:rsidRDefault="00F516D7" w:rsidP="00F30E80">
            <w:pPr>
              <w:spacing w:after="0"/>
              <w:rPr>
                <w:rFonts w:ascii="Avenir" w:eastAsia="Avenir" w:hAnsi="Avenir" w:cs="Avenir"/>
                <w:color w:val="auto"/>
                <w:sz w:val="16"/>
                <w:szCs w:val="16"/>
              </w:rPr>
            </w:pPr>
          </w:p>
        </w:tc>
      </w:tr>
      <w:tr w:rsidR="00F516D7" w:rsidRPr="00DB6E6D" w14:paraId="63E25B2A" w14:textId="77777777" w:rsidTr="00F9560C">
        <w:trPr>
          <w:trHeight w:val="300"/>
        </w:trPr>
        <w:tc>
          <w:tcPr>
            <w:tcW w:w="1975" w:type="dxa"/>
            <w:vMerge/>
            <w:tcBorders>
              <w:left w:val="single" w:sz="8" w:space="0" w:color="000000"/>
              <w:bottom w:val="single" w:sz="4" w:space="0" w:color="auto"/>
              <w:right w:val="single" w:sz="8" w:space="0" w:color="000000"/>
            </w:tcBorders>
            <w:shd w:val="clear" w:color="auto" w:fill="FFFFFF"/>
            <w:tcMar>
              <w:left w:w="58" w:type="dxa"/>
              <w:right w:w="10" w:type="dxa"/>
            </w:tcMar>
            <w:vAlign w:val="center"/>
          </w:tcPr>
          <w:p w14:paraId="5454F8C1" w14:textId="77777777" w:rsidR="00F516D7" w:rsidRPr="00096C8B" w:rsidRDefault="00F516D7" w:rsidP="00F30E80">
            <w:pPr>
              <w:spacing w:after="0"/>
              <w:rPr>
                <w:rFonts w:ascii="Avenir" w:eastAsia="Avenir" w:hAnsi="Avenir" w:cs="Avenir"/>
                <w:color w:val="auto"/>
                <w:sz w:val="16"/>
                <w:szCs w:val="16"/>
              </w:rPr>
            </w:pPr>
          </w:p>
        </w:tc>
        <w:tc>
          <w:tcPr>
            <w:tcW w:w="2975"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vAlign w:val="center"/>
          </w:tcPr>
          <w:p w14:paraId="5AD7F002"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Livrable : Rapport d’activités</w:t>
            </w:r>
          </w:p>
        </w:tc>
        <w:tc>
          <w:tcPr>
            <w:tcW w:w="709"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291F6C26" w14:textId="77777777" w:rsidR="00F516D7" w:rsidRPr="00096C8B" w:rsidRDefault="00F516D7" w:rsidP="00F30E80">
            <w:pPr>
              <w:spacing w:after="0"/>
              <w:rPr>
                <w:rFonts w:ascii="Avenir" w:eastAsia="Avenir" w:hAnsi="Avenir" w:cs="Avenir"/>
                <w:color w:val="auto"/>
                <w:sz w:val="16"/>
                <w:szCs w:val="16"/>
              </w:rPr>
            </w:pPr>
          </w:p>
        </w:tc>
        <w:tc>
          <w:tcPr>
            <w:tcW w:w="618"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3584A51A"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3CBEB23C" w14:textId="77777777" w:rsidR="00F516D7" w:rsidRPr="00096C8B" w:rsidRDefault="00F516D7" w:rsidP="00F30E80">
            <w:pPr>
              <w:spacing w:after="0"/>
              <w:rPr>
                <w:rFonts w:ascii="Avenir" w:eastAsia="Avenir" w:hAnsi="Avenir" w:cs="Avenir"/>
                <w:color w:val="auto"/>
                <w:sz w:val="16"/>
                <w:szCs w:val="16"/>
              </w:rPr>
            </w:pPr>
          </w:p>
        </w:tc>
        <w:tc>
          <w:tcPr>
            <w:tcW w:w="492"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7AC86ED3" w14:textId="77777777" w:rsidR="00F516D7" w:rsidRPr="00096C8B" w:rsidRDefault="00F516D7" w:rsidP="00F30E80">
            <w:pPr>
              <w:spacing w:after="0"/>
              <w:rPr>
                <w:rFonts w:ascii="Avenir" w:eastAsia="Avenir" w:hAnsi="Avenir" w:cs="Avenir"/>
                <w:color w:val="auto"/>
                <w:sz w:val="16"/>
                <w:szCs w:val="16"/>
              </w:rPr>
            </w:pPr>
          </w:p>
        </w:tc>
        <w:tc>
          <w:tcPr>
            <w:tcW w:w="862"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76509C58"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0D8ADA60" w14:textId="77777777" w:rsidR="00F516D7" w:rsidRPr="00096C8B" w:rsidRDefault="00F516D7" w:rsidP="00F30E80">
            <w:pPr>
              <w:spacing w:after="0"/>
              <w:rPr>
                <w:rFonts w:ascii="Avenir" w:eastAsia="Avenir" w:hAnsi="Avenir" w:cs="Avenir"/>
                <w:color w:val="auto"/>
                <w:sz w:val="16"/>
                <w:szCs w:val="16"/>
              </w:rPr>
            </w:pPr>
          </w:p>
        </w:tc>
        <w:tc>
          <w:tcPr>
            <w:tcW w:w="613"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22E858D6" w14:textId="77777777" w:rsidR="00F516D7" w:rsidRPr="00096C8B" w:rsidRDefault="00F516D7" w:rsidP="00F30E80">
            <w:pPr>
              <w:spacing w:after="0"/>
              <w:rPr>
                <w:rFonts w:ascii="Avenir" w:eastAsia="Avenir" w:hAnsi="Avenir" w:cs="Avenir"/>
                <w:color w:val="auto"/>
                <w:sz w:val="16"/>
                <w:szCs w:val="16"/>
              </w:rPr>
            </w:pPr>
          </w:p>
        </w:tc>
        <w:tc>
          <w:tcPr>
            <w:tcW w:w="864"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46A4D9EA" w14:textId="77777777" w:rsidR="00F516D7" w:rsidRPr="00096C8B" w:rsidRDefault="00F516D7" w:rsidP="00F30E80">
            <w:pPr>
              <w:spacing w:after="0"/>
              <w:rPr>
                <w:rFonts w:ascii="Avenir" w:eastAsia="Avenir" w:hAnsi="Avenir" w:cs="Avenir"/>
                <w:color w:val="auto"/>
                <w:sz w:val="16"/>
                <w:szCs w:val="16"/>
              </w:rPr>
            </w:pPr>
          </w:p>
        </w:tc>
        <w:tc>
          <w:tcPr>
            <w:tcW w:w="615"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3D48CD7C" w14:textId="77777777" w:rsidR="00F516D7" w:rsidRPr="00096C8B" w:rsidRDefault="00F516D7" w:rsidP="00F30E80">
            <w:pPr>
              <w:spacing w:after="0"/>
              <w:rPr>
                <w:rFonts w:ascii="Avenir" w:eastAsia="Avenir" w:hAnsi="Avenir" w:cs="Avenir"/>
                <w:color w:val="auto"/>
                <w:sz w:val="16"/>
                <w:szCs w:val="16"/>
              </w:rPr>
            </w:pPr>
          </w:p>
        </w:tc>
        <w:tc>
          <w:tcPr>
            <w:tcW w:w="747"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2CFFE1F8" w14:textId="77777777" w:rsidR="00F516D7" w:rsidRPr="00096C8B" w:rsidRDefault="00F516D7" w:rsidP="00F30E80">
            <w:pPr>
              <w:spacing w:after="0"/>
              <w:rPr>
                <w:rFonts w:ascii="Avenir" w:eastAsia="Avenir" w:hAnsi="Avenir" w:cs="Avenir"/>
                <w:color w:val="auto"/>
                <w:sz w:val="16"/>
                <w:szCs w:val="16"/>
              </w:rPr>
            </w:pPr>
          </w:p>
        </w:tc>
        <w:tc>
          <w:tcPr>
            <w:tcW w:w="741"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6F8CAB5A" w14:textId="77777777" w:rsidR="00F516D7" w:rsidRPr="00096C8B" w:rsidRDefault="00F516D7" w:rsidP="00F30E80">
            <w:pPr>
              <w:spacing w:after="0"/>
              <w:rPr>
                <w:rFonts w:ascii="Avenir" w:eastAsia="Avenir" w:hAnsi="Avenir" w:cs="Avenir"/>
                <w:color w:val="auto"/>
                <w:sz w:val="16"/>
                <w:szCs w:val="16"/>
              </w:rPr>
            </w:pPr>
          </w:p>
        </w:tc>
        <w:tc>
          <w:tcPr>
            <w:tcW w:w="937" w:type="dxa"/>
            <w:tcBorders>
              <w:top w:val="single" w:sz="8" w:space="0" w:color="000000"/>
              <w:left w:val="single" w:sz="8" w:space="0" w:color="000000"/>
              <w:bottom w:val="single" w:sz="4" w:space="0" w:color="auto"/>
              <w:right w:val="single" w:sz="8" w:space="0" w:color="000000"/>
            </w:tcBorders>
            <w:shd w:val="clear" w:color="auto" w:fill="auto"/>
            <w:tcMar>
              <w:left w:w="58" w:type="dxa"/>
              <w:right w:w="10" w:type="dxa"/>
            </w:tcMar>
          </w:tcPr>
          <w:p w14:paraId="029687BF" w14:textId="77777777" w:rsidR="00F516D7" w:rsidRPr="00096C8B" w:rsidRDefault="00F516D7" w:rsidP="00F30E80">
            <w:pPr>
              <w:spacing w:after="0"/>
              <w:rPr>
                <w:rFonts w:ascii="Avenir" w:eastAsia="Avenir" w:hAnsi="Avenir" w:cs="Avenir"/>
                <w:color w:val="auto"/>
                <w:sz w:val="16"/>
                <w:szCs w:val="16"/>
              </w:rPr>
            </w:pPr>
            <w:r w:rsidRPr="00096C8B">
              <w:rPr>
                <w:rFonts w:ascii="Avenir" w:eastAsia="Avenir" w:hAnsi="Avenir" w:cs="Avenir"/>
                <w:color w:val="auto"/>
                <w:sz w:val="16"/>
                <w:szCs w:val="16"/>
              </w:rPr>
              <w:t>1</w:t>
            </w:r>
          </w:p>
        </w:tc>
      </w:tr>
    </w:tbl>
    <w:p w14:paraId="5637F3F6" w14:textId="77777777" w:rsidR="00FC75A8" w:rsidRDefault="00FC75A8" w:rsidP="000734E8">
      <w:pPr>
        <w:spacing w:after="0"/>
        <w:ind w:left="0" w:right="35" w:firstLine="0"/>
        <w:rPr>
          <w:rFonts w:ascii="Avenir" w:eastAsia="Avenir" w:hAnsi="Avenir" w:cs="Avenir"/>
          <w:sz w:val="16"/>
          <w:szCs w:val="16"/>
        </w:rPr>
      </w:pPr>
    </w:p>
    <w:p w14:paraId="5637F3F7" w14:textId="77777777" w:rsidR="00FC75A8" w:rsidRDefault="00FC75A8">
      <w:pPr>
        <w:spacing w:after="0" w:line="250" w:lineRule="auto"/>
        <w:ind w:left="-15" w:right="0" w:firstLine="0"/>
        <w:rPr>
          <w:rFonts w:ascii="Avenir" w:eastAsia="Avenir" w:hAnsi="Avenir" w:cs="Avenir"/>
          <w:i/>
          <w:sz w:val="20"/>
          <w:szCs w:val="20"/>
        </w:rPr>
      </w:pPr>
    </w:p>
    <w:p w14:paraId="5637F3F8" w14:textId="77777777" w:rsidR="00FC75A8" w:rsidRDefault="00000000">
      <w:pPr>
        <w:spacing w:after="0" w:line="250" w:lineRule="auto"/>
        <w:ind w:left="10" w:right="0" w:firstLine="0"/>
        <w:rPr>
          <w:rFonts w:ascii="Avenir" w:eastAsia="Avenir" w:hAnsi="Avenir" w:cs="Avenir"/>
          <w:i/>
          <w:sz w:val="20"/>
          <w:szCs w:val="20"/>
        </w:rPr>
        <w:sectPr w:rsidR="00FC75A8" w:rsidSect="00666782">
          <w:pgSz w:w="16840" w:h="11900" w:orient="landscape"/>
          <w:pgMar w:top="1579" w:right="1961" w:bottom="1557" w:left="1493" w:header="1020" w:footer="1115" w:gutter="0"/>
          <w:cols w:space="720"/>
          <w:titlePg/>
        </w:sectPr>
      </w:pPr>
      <w:r>
        <w:rPr>
          <w:rFonts w:ascii="Avenir" w:eastAsia="Avenir" w:hAnsi="Avenir" w:cs="Avenir"/>
          <w:i/>
          <w:sz w:val="20"/>
          <w:szCs w:val="20"/>
        </w:rPr>
        <w:t>Veuillez ajouter des lignes si nécessaires pour l’ensemble des produits prévues dans le 1</w:t>
      </w:r>
      <w:r>
        <w:rPr>
          <w:rFonts w:ascii="Avenir" w:eastAsia="Avenir" w:hAnsi="Avenir" w:cs="Avenir"/>
          <w:i/>
          <w:sz w:val="20"/>
          <w:szCs w:val="20"/>
          <w:vertAlign w:val="superscript"/>
        </w:rPr>
        <w:t>er</w:t>
      </w:r>
      <w:r>
        <w:rPr>
          <w:rFonts w:ascii="Avenir" w:eastAsia="Avenir" w:hAnsi="Avenir" w:cs="Avenir"/>
          <w:i/>
          <w:sz w:val="20"/>
          <w:szCs w:val="20"/>
        </w:rPr>
        <w:t xml:space="preserve"> PTA du projet.</w:t>
      </w:r>
    </w:p>
    <w:p w14:paraId="5637F3F9" w14:textId="6485B942" w:rsidR="00FC75A8" w:rsidRDefault="00FE70AA" w:rsidP="00FE70AA">
      <w:pPr>
        <w:pStyle w:val="PIREDD1"/>
      </w:pPr>
      <w:bookmarkStart w:id="19" w:name="_Toc191317684"/>
      <w:r>
        <w:lastRenderedPageBreak/>
        <w:t>6. Exécution financière</w:t>
      </w:r>
      <w:bookmarkEnd w:id="19"/>
    </w:p>
    <w:p w14:paraId="5637F3FA" w14:textId="77777777" w:rsidR="00FC75A8" w:rsidRDefault="00000000" w:rsidP="00FE70AA">
      <w:pPr>
        <w:pStyle w:val="PIREDD2"/>
      </w:pPr>
      <w:bookmarkStart w:id="20" w:name="_Toc191317685"/>
      <w:r>
        <w:t>6.1 Décaissements</w:t>
      </w:r>
      <w:bookmarkEnd w:id="20"/>
      <w:r>
        <w:t xml:space="preserve"> </w:t>
      </w:r>
    </w:p>
    <w:p w14:paraId="67F72C49" w14:textId="77777777" w:rsidR="00780A77" w:rsidRPr="00DB6E6D" w:rsidRDefault="00780A77" w:rsidP="00780A77">
      <w:pPr>
        <w:pStyle w:val="Paragraphedeliste"/>
        <w:numPr>
          <w:ilvl w:val="0"/>
          <w:numId w:val="40"/>
        </w:numPr>
        <w:spacing w:after="8" w:line="259" w:lineRule="auto"/>
        <w:ind w:right="0"/>
        <w:rPr>
          <w:rFonts w:ascii="Avenir" w:eastAsia="Avenir" w:hAnsi="Avenir" w:cs="Avenir"/>
          <w:sz w:val="20"/>
          <w:szCs w:val="20"/>
        </w:rPr>
      </w:pPr>
      <w:r w:rsidRPr="00DB6E6D">
        <w:rPr>
          <w:rFonts w:ascii="Avenir" w:eastAsia="Avenir" w:hAnsi="Avenir" w:cs="Avenir"/>
          <w:sz w:val="20"/>
          <w:szCs w:val="20"/>
        </w:rPr>
        <w:t>Le tableau 8.1 ci-dessous indique, sur les transferts reçus, le niveau de décaissement global ainsi que le niveau de décaissement annuel. Il précise aussi le budget prévisionnel pour l’année et le décaissement effectif.</w:t>
      </w:r>
    </w:p>
    <w:p w14:paraId="5637F3FE" w14:textId="77777777" w:rsidR="00FC75A8" w:rsidRDefault="00FC75A8">
      <w:pPr>
        <w:spacing w:after="8" w:line="259" w:lineRule="auto"/>
        <w:ind w:left="10" w:right="0" w:firstLine="0"/>
        <w:jc w:val="left"/>
        <w:rPr>
          <w:rFonts w:ascii="Avenir" w:eastAsia="Avenir" w:hAnsi="Avenir" w:cs="Avenir"/>
          <w:sz w:val="22"/>
          <w:szCs w:val="22"/>
        </w:rPr>
      </w:pPr>
    </w:p>
    <w:p w14:paraId="5637F3FF" w14:textId="77777777" w:rsidR="00FC75A8" w:rsidRDefault="00000000">
      <w:pPr>
        <w:numPr>
          <w:ilvl w:val="0"/>
          <w:numId w:val="2"/>
        </w:numPr>
        <w:pBdr>
          <w:top w:val="nil"/>
          <w:left w:val="nil"/>
          <w:bottom w:val="nil"/>
          <w:right w:val="nil"/>
          <w:between w:val="nil"/>
        </w:pBdr>
        <w:spacing w:after="8" w:line="259" w:lineRule="auto"/>
        <w:ind w:right="0"/>
        <w:jc w:val="left"/>
        <w:rPr>
          <w:rFonts w:ascii="Avenir" w:eastAsia="Avenir" w:hAnsi="Avenir" w:cs="Avenir"/>
          <w:sz w:val="22"/>
          <w:szCs w:val="22"/>
        </w:rPr>
      </w:pPr>
      <w:r>
        <w:rPr>
          <w:rFonts w:ascii="Avenir" w:eastAsia="Avenir" w:hAnsi="Avenir" w:cs="Avenir"/>
          <w:sz w:val="22"/>
          <w:szCs w:val="22"/>
        </w:rPr>
        <w:t>Tableau 8.1 - Taux de décaissements du projet.</w:t>
      </w:r>
    </w:p>
    <w:p w14:paraId="5637F400" w14:textId="77777777" w:rsidR="00FC75A8" w:rsidRDefault="00FC75A8">
      <w:pPr>
        <w:spacing w:after="8" w:line="259" w:lineRule="auto"/>
        <w:ind w:left="10" w:right="0" w:firstLine="0"/>
        <w:jc w:val="left"/>
        <w:rPr>
          <w:rFonts w:ascii="Avenir" w:eastAsia="Avenir" w:hAnsi="Avenir" w:cs="Avenir"/>
          <w:sz w:val="22"/>
          <w:szCs w:val="22"/>
        </w:rPr>
      </w:pPr>
    </w:p>
    <w:tbl>
      <w:tblPr>
        <w:tblStyle w:val="a5"/>
        <w:tblW w:w="101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1207"/>
        <w:gridCol w:w="1058"/>
        <w:gridCol w:w="1312"/>
        <w:gridCol w:w="1134"/>
        <w:gridCol w:w="1364"/>
        <w:gridCol w:w="1329"/>
        <w:gridCol w:w="897"/>
      </w:tblGrid>
      <w:tr w:rsidR="00D6016E" w:rsidRPr="00DB6E6D" w14:paraId="32073A8F" w14:textId="77777777" w:rsidTr="00F30E80">
        <w:trPr>
          <w:trHeight w:val="1352"/>
          <w:jc w:val="center"/>
        </w:trPr>
        <w:tc>
          <w:tcPr>
            <w:tcW w:w="1805" w:type="dxa"/>
            <w:shd w:val="clear" w:color="auto" w:fill="C7E2FA"/>
            <w:vAlign w:val="center"/>
          </w:tcPr>
          <w:p w14:paraId="6B937886"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r w:rsidRPr="00DB6E6D">
              <w:rPr>
                <w:rFonts w:ascii="Avenir" w:eastAsia="Avenir" w:hAnsi="Avenir" w:cs="Avenir"/>
                <w:b/>
                <w:sz w:val="16"/>
                <w:szCs w:val="16"/>
              </w:rPr>
              <w:t xml:space="preserve">A) Résultats </w:t>
            </w:r>
          </w:p>
        </w:tc>
        <w:tc>
          <w:tcPr>
            <w:tcW w:w="1207" w:type="dxa"/>
            <w:shd w:val="clear" w:color="auto" w:fill="C7E2FA"/>
            <w:vAlign w:val="center"/>
          </w:tcPr>
          <w:p w14:paraId="1383A578"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r w:rsidRPr="00DB6E6D">
              <w:rPr>
                <w:rFonts w:ascii="Avenir" w:eastAsia="Avenir" w:hAnsi="Avenir" w:cs="Avenir"/>
                <w:b/>
                <w:sz w:val="16"/>
                <w:szCs w:val="16"/>
              </w:rPr>
              <w:t>B) Budget Total (USD) tel que dans le document de projet (indiquer si révision)</w:t>
            </w:r>
          </w:p>
        </w:tc>
        <w:tc>
          <w:tcPr>
            <w:tcW w:w="1058" w:type="dxa"/>
            <w:shd w:val="clear" w:color="auto" w:fill="C7E2FA"/>
            <w:vAlign w:val="center"/>
          </w:tcPr>
          <w:p w14:paraId="3C6F9894"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r w:rsidRPr="00DB6E6D">
              <w:rPr>
                <w:rFonts w:ascii="Avenir" w:eastAsia="Avenir" w:hAnsi="Avenir" w:cs="Avenir"/>
                <w:b/>
                <w:sz w:val="16"/>
                <w:szCs w:val="16"/>
              </w:rPr>
              <w:t>C) Budget prévu pour la période de rapportage (2024)</w:t>
            </w:r>
          </w:p>
        </w:tc>
        <w:tc>
          <w:tcPr>
            <w:tcW w:w="1312" w:type="dxa"/>
            <w:shd w:val="clear" w:color="auto" w:fill="C7E2FA"/>
            <w:vAlign w:val="center"/>
          </w:tcPr>
          <w:p w14:paraId="203D3125"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r w:rsidRPr="00DB6E6D">
              <w:rPr>
                <w:rFonts w:ascii="Avenir" w:eastAsia="Avenir" w:hAnsi="Avenir" w:cs="Avenir"/>
                <w:b/>
                <w:sz w:val="16"/>
                <w:szCs w:val="16"/>
              </w:rPr>
              <w:t>D) Dépenses annuelles (2024)</w:t>
            </w:r>
          </w:p>
        </w:tc>
        <w:tc>
          <w:tcPr>
            <w:tcW w:w="1134" w:type="dxa"/>
            <w:shd w:val="clear" w:color="auto" w:fill="C7E2FA"/>
            <w:vAlign w:val="center"/>
          </w:tcPr>
          <w:p w14:paraId="669327F0"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r w:rsidRPr="00DB6E6D">
              <w:rPr>
                <w:rFonts w:ascii="Avenir" w:eastAsia="Avenir" w:hAnsi="Avenir" w:cs="Avenir"/>
                <w:b/>
                <w:sz w:val="16"/>
                <w:szCs w:val="16"/>
              </w:rPr>
              <w:t>E) Solde au 31/12/2024</w:t>
            </w:r>
          </w:p>
        </w:tc>
        <w:tc>
          <w:tcPr>
            <w:tcW w:w="1364" w:type="dxa"/>
            <w:shd w:val="clear" w:color="auto" w:fill="C7E2FA"/>
            <w:vAlign w:val="center"/>
          </w:tcPr>
          <w:p w14:paraId="367017AD"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r w:rsidRPr="00DB6E6D">
              <w:rPr>
                <w:rFonts w:ascii="Avenir" w:eastAsia="Avenir" w:hAnsi="Avenir" w:cs="Avenir"/>
                <w:b/>
                <w:sz w:val="16"/>
                <w:szCs w:val="16"/>
              </w:rPr>
              <w:t>F) Taux de décaissement sur la période de rapportage</w:t>
            </w:r>
          </w:p>
        </w:tc>
        <w:tc>
          <w:tcPr>
            <w:tcW w:w="1329" w:type="dxa"/>
            <w:shd w:val="clear" w:color="auto" w:fill="C7E2FA"/>
            <w:vAlign w:val="center"/>
          </w:tcPr>
          <w:p w14:paraId="05491A7F"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r w:rsidRPr="00DB6E6D">
              <w:rPr>
                <w:rFonts w:ascii="Avenir" w:eastAsia="Avenir" w:hAnsi="Avenir" w:cs="Avenir"/>
                <w:b/>
                <w:sz w:val="16"/>
                <w:szCs w:val="16"/>
              </w:rPr>
              <w:t>G) Taux de décaissement cumulatif depuis le début du projet</w:t>
            </w:r>
          </w:p>
        </w:tc>
        <w:tc>
          <w:tcPr>
            <w:tcW w:w="897" w:type="dxa"/>
            <w:shd w:val="clear" w:color="auto" w:fill="C7E2FA"/>
          </w:tcPr>
          <w:p w14:paraId="608A3B06"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r w:rsidRPr="00DB6E6D">
              <w:rPr>
                <w:rFonts w:ascii="Avenir" w:eastAsia="Avenir" w:hAnsi="Avenir" w:cs="Avenir"/>
                <w:b/>
                <w:sz w:val="16"/>
                <w:szCs w:val="16"/>
              </w:rPr>
              <w:t>H) Montants engagés mais non dépensés</w:t>
            </w:r>
          </w:p>
        </w:tc>
      </w:tr>
      <w:tr w:rsidR="00D6016E" w:rsidRPr="00DB6E6D" w14:paraId="6887C924" w14:textId="77777777" w:rsidTr="00F30E80">
        <w:trPr>
          <w:trHeight w:val="710"/>
          <w:jc w:val="center"/>
        </w:trPr>
        <w:tc>
          <w:tcPr>
            <w:tcW w:w="1805" w:type="dxa"/>
            <w:shd w:val="clear" w:color="auto" w:fill="C7E2FA"/>
            <w:vAlign w:val="center"/>
          </w:tcPr>
          <w:p w14:paraId="5A5E5092" w14:textId="77777777" w:rsidR="00D6016E" w:rsidRPr="00DB6E6D" w:rsidRDefault="00D6016E" w:rsidP="00F30E80">
            <w:pPr>
              <w:spacing w:after="0" w:line="240" w:lineRule="auto"/>
              <w:ind w:left="0" w:right="0" w:firstLine="0"/>
              <w:rPr>
                <w:rFonts w:ascii="Avenir" w:eastAsia="Avenir" w:hAnsi="Avenir" w:cs="Avenir"/>
                <w:b/>
                <w:sz w:val="16"/>
                <w:szCs w:val="16"/>
              </w:rPr>
            </w:pPr>
            <w:r w:rsidRPr="00DB6E6D">
              <w:rPr>
                <w:rFonts w:ascii="Avenir" w:eastAsia="Avenir" w:hAnsi="Avenir" w:cs="Avenir"/>
                <w:b/>
                <w:sz w:val="16"/>
                <w:szCs w:val="16"/>
              </w:rPr>
              <w:t>A. Coûts des produits du projet - province du Kasaï Oriental</w:t>
            </w:r>
          </w:p>
        </w:tc>
        <w:tc>
          <w:tcPr>
            <w:tcW w:w="1207" w:type="dxa"/>
            <w:shd w:val="clear" w:color="auto" w:fill="C7E2FA"/>
            <w:vAlign w:val="center"/>
          </w:tcPr>
          <w:p w14:paraId="6F45DBF6"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12 036 628 </w:t>
            </w:r>
          </w:p>
        </w:tc>
        <w:tc>
          <w:tcPr>
            <w:tcW w:w="1058" w:type="dxa"/>
            <w:shd w:val="clear" w:color="auto" w:fill="C7E2FA"/>
            <w:vAlign w:val="center"/>
          </w:tcPr>
          <w:p w14:paraId="66144DEC"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183 660 </w:t>
            </w:r>
          </w:p>
        </w:tc>
        <w:tc>
          <w:tcPr>
            <w:tcW w:w="1312" w:type="dxa"/>
            <w:shd w:val="clear" w:color="auto" w:fill="C7E2FA"/>
            <w:vAlign w:val="center"/>
          </w:tcPr>
          <w:p w14:paraId="33FE43C2"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55 </w:t>
            </w:r>
            <w:r>
              <w:rPr>
                <w:rFonts w:ascii="Avenir" w:eastAsia="Avenir" w:hAnsi="Avenir" w:cs="Avenir"/>
                <w:b/>
                <w:bCs/>
                <w:sz w:val="16"/>
                <w:szCs w:val="16"/>
              </w:rPr>
              <w:t>884,76</w:t>
            </w:r>
            <w:r w:rsidRPr="00DB6E6D">
              <w:rPr>
                <w:rFonts w:ascii="Avenir" w:eastAsia="Avenir" w:hAnsi="Avenir" w:cs="Avenir"/>
                <w:b/>
                <w:bCs/>
                <w:sz w:val="16"/>
                <w:szCs w:val="16"/>
              </w:rPr>
              <w:t xml:space="preserve"> </w:t>
            </w:r>
          </w:p>
        </w:tc>
        <w:tc>
          <w:tcPr>
            <w:tcW w:w="1134" w:type="dxa"/>
            <w:shd w:val="clear" w:color="auto" w:fill="C7E2FA"/>
            <w:vAlign w:val="center"/>
          </w:tcPr>
          <w:p w14:paraId="3C7A27F8"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11 98</w:t>
            </w:r>
            <w:r>
              <w:rPr>
                <w:rFonts w:ascii="Avenir" w:eastAsia="Avenir" w:hAnsi="Avenir" w:cs="Avenir"/>
                <w:b/>
                <w:bCs/>
                <w:sz w:val="16"/>
                <w:szCs w:val="16"/>
              </w:rPr>
              <w:t>0</w:t>
            </w:r>
            <w:r w:rsidRPr="00DB6E6D">
              <w:rPr>
                <w:rFonts w:ascii="Avenir" w:eastAsia="Avenir" w:hAnsi="Avenir" w:cs="Avenir"/>
                <w:b/>
                <w:bCs/>
                <w:sz w:val="16"/>
                <w:szCs w:val="16"/>
              </w:rPr>
              <w:t xml:space="preserve"> </w:t>
            </w:r>
            <w:r>
              <w:rPr>
                <w:rFonts w:ascii="Avenir" w:eastAsia="Avenir" w:hAnsi="Avenir" w:cs="Avenir"/>
                <w:b/>
                <w:bCs/>
                <w:sz w:val="16"/>
                <w:szCs w:val="16"/>
              </w:rPr>
              <w:t>743,24</w:t>
            </w:r>
            <w:r w:rsidRPr="00DB6E6D">
              <w:rPr>
                <w:rFonts w:ascii="Avenir" w:eastAsia="Avenir" w:hAnsi="Avenir" w:cs="Avenir"/>
                <w:b/>
                <w:bCs/>
                <w:sz w:val="16"/>
                <w:szCs w:val="16"/>
              </w:rPr>
              <w:t xml:space="preserve"> </w:t>
            </w:r>
          </w:p>
        </w:tc>
        <w:tc>
          <w:tcPr>
            <w:tcW w:w="1364" w:type="dxa"/>
            <w:shd w:val="clear" w:color="auto" w:fill="C7E2FA"/>
            <w:vAlign w:val="center"/>
          </w:tcPr>
          <w:p w14:paraId="355C1B4D"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30,</w:t>
            </w:r>
            <w:r>
              <w:rPr>
                <w:rFonts w:ascii="Avenir" w:eastAsia="Avenir" w:hAnsi="Avenir" w:cs="Avenir"/>
                <w:b/>
                <w:bCs/>
                <w:sz w:val="16"/>
                <w:szCs w:val="16"/>
              </w:rPr>
              <w:t>43</w:t>
            </w:r>
            <w:r w:rsidRPr="00DB6E6D">
              <w:rPr>
                <w:rFonts w:ascii="Avenir" w:eastAsia="Avenir" w:hAnsi="Avenir" w:cs="Avenir"/>
                <w:b/>
                <w:bCs/>
                <w:sz w:val="16"/>
                <w:szCs w:val="16"/>
              </w:rPr>
              <w:t>%</w:t>
            </w:r>
          </w:p>
        </w:tc>
        <w:tc>
          <w:tcPr>
            <w:tcW w:w="1329" w:type="dxa"/>
            <w:shd w:val="clear" w:color="auto" w:fill="C7E2FA"/>
            <w:vAlign w:val="center"/>
          </w:tcPr>
          <w:p w14:paraId="29903A6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b/>
                <w:bCs/>
                <w:sz w:val="16"/>
                <w:szCs w:val="16"/>
              </w:rPr>
              <w:t>0,</w:t>
            </w:r>
            <w:r>
              <w:rPr>
                <w:rFonts w:ascii="Avenir" w:eastAsia="Avenir" w:hAnsi="Avenir" w:cs="Avenir"/>
                <w:b/>
                <w:bCs/>
                <w:sz w:val="16"/>
                <w:szCs w:val="16"/>
              </w:rPr>
              <w:t>46</w:t>
            </w:r>
            <w:r w:rsidRPr="00DB6E6D">
              <w:rPr>
                <w:rFonts w:ascii="Avenir" w:eastAsia="Avenir" w:hAnsi="Avenir" w:cs="Avenir"/>
                <w:b/>
                <w:bCs/>
                <w:sz w:val="16"/>
                <w:szCs w:val="16"/>
              </w:rPr>
              <w:t>%</w:t>
            </w:r>
          </w:p>
        </w:tc>
        <w:tc>
          <w:tcPr>
            <w:tcW w:w="897" w:type="dxa"/>
            <w:shd w:val="clear" w:color="auto" w:fill="C7E2FA"/>
            <w:vAlign w:val="center"/>
          </w:tcPr>
          <w:p w14:paraId="1D1C7A2D"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p>
        </w:tc>
      </w:tr>
      <w:tr w:rsidR="00D6016E" w:rsidRPr="00DB6E6D" w14:paraId="525B335D" w14:textId="77777777" w:rsidTr="00F30E80">
        <w:trPr>
          <w:trHeight w:val="300"/>
          <w:jc w:val="center"/>
        </w:trPr>
        <w:tc>
          <w:tcPr>
            <w:tcW w:w="1805" w:type="dxa"/>
            <w:shd w:val="clear" w:color="auto" w:fill="auto"/>
            <w:vAlign w:val="center"/>
          </w:tcPr>
          <w:p w14:paraId="3C3C5E25"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Effet 1</w:t>
            </w:r>
          </w:p>
        </w:tc>
        <w:tc>
          <w:tcPr>
            <w:tcW w:w="1207" w:type="dxa"/>
            <w:shd w:val="clear" w:color="auto" w:fill="auto"/>
            <w:vAlign w:val="center"/>
          </w:tcPr>
          <w:p w14:paraId="72F472C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1 760 000 </w:t>
            </w:r>
          </w:p>
        </w:tc>
        <w:tc>
          <w:tcPr>
            <w:tcW w:w="1058" w:type="dxa"/>
            <w:shd w:val="clear" w:color="auto" w:fill="auto"/>
            <w:vAlign w:val="center"/>
          </w:tcPr>
          <w:p w14:paraId="26E4251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25 600 </w:t>
            </w:r>
          </w:p>
        </w:tc>
        <w:tc>
          <w:tcPr>
            <w:tcW w:w="1312" w:type="dxa"/>
            <w:shd w:val="clear" w:color="auto" w:fill="auto"/>
            <w:vAlign w:val="center"/>
          </w:tcPr>
          <w:p w14:paraId="1970CE3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443</w:t>
            </w:r>
            <w:r w:rsidRPr="00DB6E6D">
              <w:rPr>
                <w:rFonts w:ascii="Avenir" w:eastAsia="Avenir" w:hAnsi="Avenir" w:cs="Avenir"/>
                <w:sz w:val="16"/>
                <w:szCs w:val="16"/>
              </w:rPr>
              <w:t xml:space="preserve">   </w:t>
            </w:r>
          </w:p>
        </w:tc>
        <w:tc>
          <w:tcPr>
            <w:tcW w:w="1134" w:type="dxa"/>
            <w:shd w:val="clear" w:color="auto" w:fill="auto"/>
            <w:vAlign w:val="center"/>
          </w:tcPr>
          <w:p w14:paraId="17A4A19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1 7</w:t>
            </w:r>
            <w:r>
              <w:rPr>
                <w:rFonts w:ascii="Avenir" w:eastAsia="Avenir" w:hAnsi="Avenir" w:cs="Avenir"/>
                <w:sz w:val="16"/>
                <w:szCs w:val="16"/>
              </w:rPr>
              <w:t>59</w:t>
            </w:r>
            <w:r w:rsidRPr="00DB6E6D">
              <w:rPr>
                <w:rFonts w:ascii="Avenir" w:eastAsia="Avenir" w:hAnsi="Avenir" w:cs="Avenir"/>
                <w:sz w:val="16"/>
                <w:szCs w:val="16"/>
              </w:rPr>
              <w:t xml:space="preserve"> </w:t>
            </w:r>
            <w:r>
              <w:rPr>
                <w:rFonts w:ascii="Avenir" w:eastAsia="Avenir" w:hAnsi="Avenir" w:cs="Avenir"/>
                <w:sz w:val="16"/>
                <w:szCs w:val="16"/>
              </w:rPr>
              <w:t>557</w:t>
            </w:r>
            <w:r w:rsidRPr="00DB6E6D">
              <w:rPr>
                <w:rFonts w:ascii="Avenir" w:eastAsia="Avenir" w:hAnsi="Avenir" w:cs="Avenir"/>
                <w:sz w:val="16"/>
                <w:szCs w:val="16"/>
              </w:rPr>
              <w:t xml:space="preserve"> </w:t>
            </w:r>
          </w:p>
        </w:tc>
        <w:tc>
          <w:tcPr>
            <w:tcW w:w="1364" w:type="dxa"/>
            <w:shd w:val="clear" w:color="auto" w:fill="auto"/>
            <w:vAlign w:val="center"/>
          </w:tcPr>
          <w:p w14:paraId="21D74CB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1</w:t>
            </w:r>
            <w:r w:rsidRPr="00DB6E6D">
              <w:rPr>
                <w:rFonts w:ascii="Avenir" w:eastAsia="Avenir" w:hAnsi="Avenir" w:cs="Avenir"/>
                <w:sz w:val="16"/>
                <w:szCs w:val="16"/>
              </w:rPr>
              <w:t>,</w:t>
            </w:r>
            <w:r>
              <w:rPr>
                <w:rFonts w:ascii="Avenir" w:eastAsia="Avenir" w:hAnsi="Avenir" w:cs="Avenir"/>
                <w:sz w:val="16"/>
                <w:szCs w:val="16"/>
              </w:rPr>
              <w:t>73</w:t>
            </w:r>
            <w:r w:rsidRPr="00DB6E6D">
              <w:rPr>
                <w:rFonts w:ascii="Avenir" w:eastAsia="Avenir" w:hAnsi="Avenir" w:cs="Avenir"/>
                <w:sz w:val="16"/>
                <w:szCs w:val="16"/>
              </w:rPr>
              <w:t>%</w:t>
            </w:r>
          </w:p>
        </w:tc>
        <w:tc>
          <w:tcPr>
            <w:tcW w:w="1329" w:type="dxa"/>
            <w:vAlign w:val="center"/>
          </w:tcPr>
          <w:p w14:paraId="5BA6A07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r>
              <w:rPr>
                <w:rFonts w:ascii="Avenir" w:eastAsia="Avenir" w:hAnsi="Avenir" w:cs="Avenir"/>
                <w:sz w:val="16"/>
                <w:szCs w:val="16"/>
              </w:rPr>
              <w:t>3</w:t>
            </w:r>
            <w:r w:rsidRPr="00DB6E6D">
              <w:rPr>
                <w:rFonts w:ascii="Avenir" w:eastAsia="Avenir" w:hAnsi="Avenir" w:cs="Avenir"/>
                <w:sz w:val="16"/>
                <w:szCs w:val="16"/>
              </w:rPr>
              <w:t>%</w:t>
            </w:r>
          </w:p>
        </w:tc>
        <w:tc>
          <w:tcPr>
            <w:tcW w:w="897" w:type="dxa"/>
            <w:vAlign w:val="center"/>
          </w:tcPr>
          <w:p w14:paraId="2266872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162B3620" w14:textId="77777777" w:rsidTr="00F30E80">
        <w:trPr>
          <w:trHeight w:val="270"/>
          <w:jc w:val="center"/>
        </w:trPr>
        <w:tc>
          <w:tcPr>
            <w:tcW w:w="1805" w:type="dxa"/>
            <w:shd w:val="clear" w:color="auto" w:fill="auto"/>
            <w:vAlign w:val="center"/>
          </w:tcPr>
          <w:p w14:paraId="0FCE54F9"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1.1</w:t>
            </w:r>
          </w:p>
        </w:tc>
        <w:tc>
          <w:tcPr>
            <w:tcW w:w="1207" w:type="dxa"/>
            <w:shd w:val="clear" w:color="auto" w:fill="auto"/>
            <w:vAlign w:val="center"/>
          </w:tcPr>
          <w:p w14:paraId="799E944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840 000,00 </w:t>
            </w:r>
          </w:p>
        </w:tc>
        <w:tc>
          <w:tcPr>
            <w:tcW w:w="1058" w:type="dxa"/>
            <w:shd w:val="clear" w:color="auto" w:fill="auto"/>
            <w:vAlign w:val="center"/>
          </w:tcPr>
          <w:p w14:paraId="53ABF82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20 000,00 </w:t>
            </w:r>
          </w:p>
        </w:tc>
        <w:tc>
          <w:tcPr>
            <w:tcW w:w="1312" w:type="dxa"/>
            <w:shd w:val="clear" w:color="auto" w:fill="auto"/>
            <w:vAlign w:val="center"/>
          </w:tcPr>
          <w:p w14:paraId="075BFA9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w:t>
            </w:r>
            <w:r>
              <w:rPr>
                <w:rFonts w:ascii="Avenir" w:eastAsia="Avenir" w:hAnsi="Avenir" w:cs="Avenir"/>
                <w:sz w:val="16"/>
                <w:szCs w:val="16"/>
              </w:rPr>
              <w:t>443</w:t>
            </w:r>
            <w:r w:rsidRPr="00DB6E6D">
              <w:rPr>
                <w:rFonts w:ascii="Avenir" w:eastAsia="Avenir" w:hAnsi="Avenir" w:cs="Avenir"/>
                <w:sz w:val="16"/>
                <w:szCs w:val="16"/>
              </w:rPr>
              <w:t xml:space="preserve">   </w:t>
            </w:r>
          </w:p>
        </w:tc>
        <w:tc>
          <w:tcPr>
            <w:tcW w:w="1134" w:type="dxa"/>
            <w:shd w:val="clear" w:color="auto" w:fill="auto"/>
            <w:vAlign w:val="center"/>
          </w:tcPr>
          <w:p w14:paraId="6EA82C9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8</w:t>
            </w:r>
            <w:r>
              <w:rPr>
                <w:rFonts w:ascii="Avenir" w:eastAsia="Avenir" w:hAnsi="Avenir" w:cs="Avenir"/>
                <w:sz w:val="16"/>
                <w:szCs w:val="16"/>
              </w:rPr>
              <w:t>39</w:t>
            </w:r>
            <w:r w:rsidRPr="00DB6E6D">
              <w:rPr>
                <w:rFonts w:ascii="Avenir" w:eastAsia="Avenir" w:hAnsi="Avenir" w:cs="Avenir"/>
                <w:sz w:val="16"/>
                <w:szCs w:val="16"/>
              </w:rPr>
              <w:t xml:space="preserve"> </w:t>
            </w:r>
            <w:r>
              <w:rPr>
                <w:rFonts w:ascii="Avenir" w:eastAsia="Avenir" w:hAnsi="Avenir" w:cs="Avenir"/>
                <w:sz w:val="16"/>
                <w:szCs w:val="16"/>
              </w:rPr>
              <w:t>557</w:t>
            </w:r>
            <w:r w:rsidRPr="00DB6E6D">
              <w:rPr>
                <w:rFonts w:ascii="Avenir" w:eastAsia="Avenir" w:hAnsi="Avenir" w:cs="Avenir"/>
                <w:sz w:val="16"/>
                <w:szCs w:val="16"/>
              </w:rPr>
              <w:t xml:space="preserve">,00 </w:t>
            </w:r>
          </w:p>
        </w:tc>
        <w:tc>
          <w:tcPr>
            <w:tcW w:w="1364" w:type="dxa"/>
            <w:shd w:val="clear" w:color="auto" w:fill="auto"/>
            <w:vAlign w:val="center"/>
          </w:tcPr>
          <w:p w14:paraId="44C3AB9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2</w:t>
            </w:r>
            <w:r w:rsidRPr="00DB6E6D">
              <w:rPr>
                <w:rFonts w:ascii="Avenir" w:eastAsia="Avenir" w:hAnsi="Avenir" w:cs="Avenir"/>
                <w:sz w:val="16"/>
                <w:szCs w:val="16"/>
              </w:rPr>
              <w:t>,</w:t>
            </w:r>
            <w:r>
              <w:rPr>
                <w:rFonts w:ascii="Avenir" w:eastAsia="Avenir" w:hAnsi="Avenir" w:cs="Avenir"/>
                <w:sz w:val="16"/>
                <w:szCs w:val="16"/>
              </w:rPr>
              <w:t>22</w:t>
            </w:r>
            <w:r w:rsidRPr="00DB6E6D">
              <w:rPr>
                <w:rFonts w:ascii="Avenir" w:eastAsia="Avenir" w:hAnsi="Avenir" w:cs="Avenir"/>
                <w:sz w:val="16"/>
                <w:szCs w:val="16"/>
              </w:rPr>
              <w:t>%</w:t>
            </w:r>
          </w:p>
        </w:tc>
        <w:tc>
          <w:tcPr>
            <w:tcW w:w="1329" w:type="dxa"/>
            <w:vAlign w:val="center"/>
          </w:tcPr>
          <w:p w14:paraId="219AC11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w:t>
            </w:r>
            <w:r>
              <w:rPr>
                <w:rFonts w:ascii="Avenir" w:eastAsia="Avenir" w:hAnsi="Avenir" w:cs="Avenir"/>
                <w:sz w:val="16"/>
                <w:szCs w:val="16"/>
              </w:rPr>
              <w:t>89</w:t>
            </w:r>
            <w:r w:rsidRPr="00DB6E6D">
              <w:rPr>
                <w:rFonts w:ascii="Avenir" w:eastAsia="Avenir" w:hAnsi="Avenir" w:cs="Avenir"/>
                <w:sz w:val="16"/>
                <w:szCs w:val="16"/>
              </w:rPr>
              <w:t>%</w:t>
            </w:r>
          </w:p>
        </w:tc>
        <w:tc>
          <w:tcPr>
            <w:tcW w:w="897" w:type="dxa"/>
            <w:vAlign w:val="center"/>
          </w:tcPr>
          <w:p w14:paraId="48EF0F4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4A458C54" w14:textId="77777777" w:rsidTr="00F30E80">
        <w:trPr>
          <w:trHeight w:val="270"/>
          <w:jc w:val="center"/>
        </w:trPr>
        <w:tc>
          <w:tcPr>
            <w:tcW w:w="1805" w:type="dxa"/>
            <w:shd w:val="clear" w:color="auto" w:fill="auto"/>
            <w:vAlign w:val="center"/>
          </w:tcPr>
          <w:p w14:paraId="12C816BC"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 xml:space="preserve">Produit 1.2. </w:t>
            </w:r>
          </w:p>
        </w:tc>
        <w:tc>
          <w:tcPr>
            <w:tcW w:w="1207" w:type="dxa"/>
            <w:shd w:val="clear" w:color="auto" w:fill="auto"/>
            <w:vAlign w:val="center"/>
          </w:tcPr>
          <w:p w14:paraId="211CEB1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275 000,00 </w:t>
            </w:r>
          </w:p>
        </w:tc>
        <w:tc>
          <w:tcPr>
            <w:tcW w:w="1058" w:type="dxa"/>
            <w:shd w:val="clear" w:color="auto" w:fill="auto"/>
            <w:vAlign w:val="center"/>
          </w:tcPr>
          <w:p w14:paraId="6D746F9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26E97BE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664204A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275 000,00 </w:t>
            </w:r>
          </w:p>
        </w:tc>
        <w:tc>
          <w:tcPr>
            <w:tcW w:w="1364" w:type="dxa"/>
            <w:shd w:val="clear" w:color="auto" w:fill="auto"/>
            <w:vAlign w:val="center"/>
          </w:tcPr>
          <w:p w14:paraId="0DB8A6E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29" w:type="dxa"/>
            <w:vAlign w:val="center"/>
          </w:tcPr>
          <w:p w14:paraId="7FE79C8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736D7C4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14865FB1" w14:textId="77777777" w:rsidTr="00F30E80">
        <w:trPr>
          <w:trHeight w:val="270"/>
          <w:jc w:val="center"/>
        </w:trPr>
        <w:tc>
          <w:tcPr>
            <w:tcW w:w="1805" w:type="dxa"/>
            <w:shd w:val="clear" w:color="auto" w:fill="auto"/>
            <w:vAlign w:val="center"/>
          </w:tcPr>
          <w:p w14:paraId="692558F1"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 xml:space="preserve">Produit 1.3. </w:t>
            </w:r>
          </w:p>
        </w:tc>
        <w:tc>
          <w:tcPr>
            <w:tcW w:w="1207" w:type="dxa"/>
            <w:shd w:val="clear" w:color="auto" w:fill="auto"/>
            <w:vAlign w:val="center"/>
          </w:tcPr>
          <w:p w14:paraId="58D1FB0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505 000,00 </w:t>
            </w:r>
          </w:p>
        </w:tc>
        <w:tc>
          <w:tcPr>
            <w:tcW w:w="1058" w:type="dxa"/>
            <w:shd w:val="clear" w:color="auto" w:fill="auto"/>
            <w:vAlign w:val="center"/>
          </w:tcPr>
          <w:p w14:paraId="0A972CF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64A4737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13ED97F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505 000,00 </w:t>
            </w:r>
          </w:p>
        </w:tc>
        <w:tc>
          <w:tcPr>
            <w:tcW w:w="1364" w:type="dxa"/>
            <w:shd w:val="clear" w:color="auto" w:fill="auto"/>
            <w:vAlign w:val="center"/>
          </w:tcPr>
          <w:p w14:paraId="1CEC618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3366871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7F5900F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1588E7FC" w14:textId="77777777" w:rsidTr="00F30E80">
        <w:trPr>
          <w:trHeight w:val="270"/>
          <w:jc w:val="center"/>
        </w:trPr>
        <w:tc>
          <w:tcPr>
            <w:tcW w:w="1805" w:type="dxa"/>
            <w:shd w:val="clear" w:color="auto" w:fill="auto"/>
            <w:vAlign w:val="center"/>
          </w:tcPr>
          <w:p w14:paraId="0211D50F"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1.4 : Ressources humaines</w:t>
            </w:r>
          </w:p>
        </w:tc>
        <w:tc>
          <w:tcPr>
            <w:tcW w:w="1207" w:type="dxa"/>
            <w:shd w:val="clear" w:color="auto" w:fill="auto"/>
            <w:vAlign w:val="center"/>
          </w:tcPr>
          <w:p w14:paraId="0127461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140 000,00 </w:t>
            </w:r>
          </w:p>
        </w:tc>
        <w:tc>
          <w:tcPr>
            <w:tcW w:w="1058" w:type="dxa"/>
            <w:shd w:val="clear" w:color="auto" w:fill="auto"/>
            <w:vAlign w:val="center"/>
          </w:tcPr>
          <w:p w14:paraId="5AB7B4B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5 600,00 </w:t>
            </w:r>
          </w:p>
        </w:tc>
        <w:tc>
          <w:tcPr>
            <w:tcW w:w="1312" w:type="dxa"/>
            <w:shd w:val="clear" w:color="auto" w:fill="auto"/>
            <w:vAlign w:val="center"/>
          </w:tcPr>
          <w:p w14:paraId="549BFC2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7F26508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140 000,00 </w:t>
            </w:r>
          </w:p>
        </w:tc>
        <w:tc>
          <w:tcPr>
            <w:tcW w:w="1364" w:type="dxa"/>
            <w:shd w:val="clear" w:color="auto" w:fill="auto"/>
            <w:vAlign w:val="center"/>
          </w:tcPr>
          <w:p w14:paraId="7BECCA8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462345F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5240A86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118DDC22" w14:textId="77777777" w:rsidTr="00F30E80">
        <w:trPr>
          <w:trHeight w:val="300"/>
          <w:jc w:val="center"/>
        </w:trPr>
        <w:tc>
          <w:tcPr>
            <w:tcW w:w="1805" w:type="dxa"/>
            <w:shd w:val="clear" w:color="auto" w:fill="auto"/>
            <w:vAlign w:val="center"/>
          </w:tcPr>
          <w:p w14:paraId="4038785A"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Effet 2</w:t>
            </w:r>
          </w:p>
        </w:tc>
        <w:tc>
          <w:tcPr>
            <w:tcW w:w="1207" w:type="dxa"/>
            <w:shd w:val="clear" w:color="auto" w:fill="auto"/>
            <w:vAlign w:val="center"/>
          </w:tcPr>
          <w:p w14:paraId="516DEB5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1 440 368 </w:t>
            </w:r>
          </w:p>
        </w:tc>
        <w:tc>
          <w:tcPr>
            <w:tcW w:w="1058" w:type="dxa"/>
            <w:shd w:val="clear" w:color="auto" w:fill="auto"/>
            <w:vAlign w:val="center"/>
          </w:tcPr>
          <w:p w14:paraId="00E9350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5 600 </w:t>
            </w:r>
          </w:p>
        </w:tc>
        <w:tc>
          <w:tcPr>
            <w:tcW w:w="1312" w:type="dxa"/>
            <w:shd w:val="clear" w:color="auto" w:fill="auto"/>
            <w:vAlign w:val="center"/>
          </w:tcPr>
          <w:p w14:paraId="0DA3322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48C7738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1 440 368 </w:t>
            </w:r>
          </w:p>
        </w:tc>
        <w:tc>
          <w:tcPr>
            <w:tcW w:w="1364" w:type="dxa"/>
            <w:shd w:val="clear" w:color="auto" w:fill="auto"/>
            <w:vAlign w:val="center"/>
          </w:tcPr>
          <w:p w14:paraId="26A90A2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3DF864F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7D466B4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149CEC74" w14:textId="77777777" w:rsidTr="00F30E80">
        <w:trPr>
          <w:trHeight w:val="300"/>
          <w:jc w:val="center"/>
        </w:trPr>
        <w:tc>
          <w:tcPr>
            <w:tcW w:w="1805" w:type="dxa"/>
            <w:shd w:val="clear" w:color="auto" w:fill="auto"/>
            <w:vAlign w:val="center"/>
          </w:tcPr>
          <w:p w14:paraId="0A42C252"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2.1</w:t>
            </w:r>
          </w:p>
        </w:tc>
        <w:tc>
          <w:tcPr>
            <w:tcW w:w="1207" w:type="dxa"/>
            <w:shd w:val="clear" w:color="auto" w:fill="auto"/>
            <w:vAlign w:val="center"/>
          </w:tcPr>
          <w:p w14:paraId="3E257F9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177 000,00 </w:t>
            </w:r>
          </w:p>
        </w:tc>
        <w:tc>
          <w:tcPr>
            <w:tcW w:w="1058" w:type="dxa"/>
            <w:shd w:val="clear" w:color="auto" w:fill="auto"/>
            <w:vAlign w:val="center"/>
          </w:tcPr>
          <w:p w14:paraId="3F9C4F0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6A904F2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3D38767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177 000,00 </w:t>
            </w:r>
          </w:p>
        </w:tc>
        <w:tc>
          <w:tcPr>
            <w:tcW w:w="1364" w:type="dxa"/>
            <w:shd w:val="clear" w:color="auto" w:fill="auto"/>
          </w:tcPr>
          <w:p w14:paraId="3A246B2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2230519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32B63F0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66C6A804" w14:textId="77777777" w:rsidTr="00F30E80">
        <w:trPr>
          <w:trHeight w:val="300"/>
          <w:jc w:val="center"/>
        </w:trPr>
        <w:tc>
          <w:tcPr>
            <w:tcW w:w="1805" w:type="dxa"/>
            <w:shd w:val="clear" w:color="auto" w:fill="auto"/>
            <w:vAlign w:val="center"/>
          </w:tcPr>
          <w:p w14:paraId="6327C9BF"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2.2</w:t>
            </w:r>
          </w:p>
        </w:tc>
        <w:tc>
          <w:tcPr>
            <w:tcW w:w="1207" w:type="dxa"/>
            <w:shd w:val="clear" w:color="auto" w:fill="auto"/>
            <w:vAlign w:val="center"/>
          </w:tcPr>
          <w:p w14:paraId="087399A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166 000,00 </w:t>
            </w:r>
          </w:p>
        </w:tc>
        <w:tc>
          <w:tcPr>
            <w:tcW w:w="1058" w:type="dxa"/>
            <w:shd w:val="clear" w:color="auto" w:fill="auto"/>
            <w:vAlign w:val="center"/>
          </w:tcPr>
          <w:p w14:paraId="55DA596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34A4DE6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33F4ACF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166 000,00 </w:t>
            </w:r>
          </w:p>
        </w:tc>
        <w:tc>
          <w:tcPr>
            <w:tcW w:w="1364" w:type="dxa"/>
            <w:shd w:val="clear" w:color="auto" w:fill="auto"/>
          </w:tcPr>
          <w:p w14:paraId="4C9B9B1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089A107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1976347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15C53541" w14:textId="77777777" w:rsidTr="00F30E80">
        <w:trPr>
          <w:trHeight w:val="300"/>
          <w:jc w:val="center"/>
        </w:trPr>
        <w:tc>
          <w:tcPr>
            <w:tcW w:w="1805" w:type="dxa"/>
            <w:shd w:val="clear" w:color="auto" w:fill="auto"/>
            <w:vAlign w:val="center"/>
          </w:tcPr>
          <w:p w14:paraId="6E28A0E7"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2.3</w:t>
            </w:r>
          </w:p>
        </w:tc>
        <w:tc>
          <w:tcPr>
            <w:tcW w:w="1207" w:type="dxa"/>
            <w:shd w:val="clear" w:color="auto" w:fill="auto"/>
            <w:vAlign w:val="center"/>
          </w:tcPr>
          <w:p w14:paraId="27B1BD0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739 568,00 </w:t>
            </w:r>
          </w:p>
        </w:tc>
        <w:tc>
          <w:tcPr>
            <w:tcW w:w="1058" w:type="dxa"/>
            <w:shd w:val="clear" w:color="auto" w:fill="auto"/>
            <w:vAlign w:val="center"/>
          </w:tcPr>
          <w:p w14:paraId="68AC5ED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37C081D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6F42772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739 568,00 </w:t>
            </w:r>
          </w:p>
        </w:tc>
        <w:tc>
          <w:tcPr>
            <w:tcW w:w="1364" w:type="dxa"/>
            <w:shd w:val="clear" w:color="auto" w:fill="auto"/>
          </w:tcPr>
          <w:p w14:paraId="63E2607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7E9BD01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3A8B86F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72B8A7C5" w14:textId="77777777" w:rsidTr="00F30E80">
        <w:trPr>
          <w:trHeight w:val="300"/>
          <w:jc w:val="center"/>
        </w:trPr>
        <w:tc>
          <w:tcPr>
            <w:tcW w:w="1805" w:type="dxa"/>
            <w:shd w:val="clear" w:color="auto" w:fill="auto"/>
            <w:vAlign w:val="center"/>
          </w:tcPr>
          <w:p w14:paraId="4998C6B2"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2.4</w:t>
            </w:r>
          </w:p>
        </w:tc>
        <w:tc>
          <w:tcPr>
            <w:tcW w:w="1207" w:type="dxa"/>
            <w:shd w:val="clear" w:color="auto" w:fill="auto"/>
            <w:vAlign w:val="center"/>
          </w:tcPr>
          <w:p w14:paraId="050B6A7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105 000,00 </w:t>
            </w:r>
          </w:p>
        </w:tc>
        <w:tc>
          <w:tcPr>
            <w:tcW w:w="1058" w:type="dxa"/>
            <w:shd w:val="clear" w:color="auto" w:fill="auto"/>
            <w:vAlign w:val="center"/>
          </w:tcPr>
          <w:p w14:paraId="22001BD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7939D5C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3ACC4EF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105 000,00 </w:t>
            </w:r>
          </w:p>
        </w:tc>
        <w:tc>
          <w:tcPr>
            <w:tcW w:w="1364" w:type="dxa"/>
            <w:shd w:val="clear" w:color="auto" w:fill="auto"/>
          </w:tcPr>
          <w:p w14:paraId="4AFD97B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7DB246B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3B4F77E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3F5FA7FF" w14:textId="77777777" w:rsidTr="00F30E80">
        <w:trPr>
          <w:trHeight w:val="300"/>
          <w:jc w:val="center"/>
        </w:trPr>
        <w:tc>
          <w:tcPr>
            <w:tcW w:w="1805" w:type="dxa"/>
            <w:shd w:val="clear" w:color="auto" w:fill="auto"/>
            <w:vAlign w:val="center"/>
          </w:tcPr>
          <w:p w14:paraId="31092741"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2.5: Ressources humaines</w:t>
            </w:r>
          </w:p>
        </w:tc>
        <w:tc>
          <w:tcPr>
            <w:tcW w:w="1207" w:type="dxa"/>
            <w:shd w:val="clear" w:color="auto" w:fill="auto"/>
            <w:vAlign w:val="center"/>
          </w:tcPr>
          <w:p w14:paraId="4733B7A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252 800,00 </w:t>
            </w:r>
          </w:p>
        </w:tc>
        <w:tc>
          <w:tcPr>
            <w:tcW w:w="1058" w:type="dxa"/>
            <w:shd w:val="clear" w:color="auto" w:fill="auto"/>
            <w:vAlign w:val="center"/>
          </w:tcPr>
          <w:p w14:paraId="2619C07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5 600,00 </w:t>
            </w:r>
          </w:p>
        </w:tc>
        <w:tc>
          <w:tcPr>
            <w:tcW w:w="1312" w:type="dxa"/>
            <w:shd w:val="clear" w:color="auto" w:fill="auto"/>
            <w:vAlign w:val="center"/>
          </w:tcPr>
          <w:p w14:paraId="44F84DB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04C98AA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252 800,00 </w:t>
            </w:r>
          </w:p>
        </w:tc>
        <w:tc>
          <w:tcPr>
            <w:tcW w:w="1364" w:type="dxa"/>
            <w:shd w:val="clear" w:color="auto" w:fill="auto"/>
            <w:vAlign w:val="center"/>
          </w:tcPr>
          <w:p w14:paraId="42D9964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306687D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68772F5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40C21496" w14:textId="77777777" w:rsidTr="00F30E80">
        <w:trPr>
          <w:trHeight w:val="300"/>
          <w:jc w:val="center"/>
        </w:trPr>
        <w:tc>
          <w:tcPr>
            <w:tcW w:w="1805" w:type="dxa"/>
            <w:shd w:val="clear" w:color="auto" w:fill="auto"/>
            <w:vAlign w:val="center"/>
          </w:tcPr>
          <w:p w14:paraId="53BCAC7D"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Effet 3</w:t>
            </w:r>
          </w:p>
        </w:tc>
        <w:tc>
          <w:tcPr>
            <w:tcW w:w="1207" w:type="dxa"/>
            <w:shd w:val="clear" w:color="auto" w:fill="auto"/>
            <w:vAlign w:val="center"/>
          </w:tcPr>
          <w:p w14:paraId="083222D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4 042 260 </w:t>
            </w:r>
          </w:p>
        </w:tc>
        <w:tc>
          <w:tcPr>
            <w:tcW w:w="1058" w:type="dxa"/>
            <w:shd w:val="clear" w:color="auto" w:fill="auto"/>
            <w:vAlign w:val="center"/>
          </w:tcPr>
          <w:p w14:paraId="0670178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30 360 </w:t>
            </w:r>
          </w:p>
        </w:tc>
        <w:tc>
          <w:tcPr>
            <w:tcW w:w="1312" w:type="dxa"/>
            <w:shd w:val="clear" w:color="auto" w:fill="auto"/>
            <w:vAlign w:val="center"/>
          </w:tcPr>
          <w:p w14:paraId="15438C6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43 18</w:t>
            </w:r>
            <w:r>
              <w:rPr>
                <w:rFonts w:ascii="Avenir" w:eastAsia="Avenir" w:hAnsi="Avenir" w:cs="Avenir"/>
                <w:sz w:val="16"/>
                <w:szCs w:val="16"/>
              </w:rPr>
              <w:t>1,54</w:t>
            </w:r>
            <w:r w:rsidRPr="00DB6E6D">
              <w:rPr>
                <w:rFonts w:ascii="Avenir" w:eastAsia="Avenir" w:hAnsi="Avenir" w:cs="Avenir"/>
                <w:sz w:val="16"/>
                <w:szCs w:val="16"/>
              </w:rPr>
              <w:t xml:space="preserve"> </w:t>
            </w:r>
          </w:p>
        </w:tc>
        <w:tc>
          <w:tcPr>
            <w:tcW w:w="1134" w:type="dxa"/>
            <w:shd w:val="clear" w:color="auto" w:fill="auto"/>
            <w:vAlign w:val="center"/>
          </w:tcPr>
          <w:p w14:paraId="5B6F318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3 999 078 </w:t>
            </w:r>
          </w:p>
        </w:tc>
        <w:tc>
          <w:tcPr>
            <w:tcW w:w="1364" w:type="dxa"/>
            <w:shd w:val="clear" w:color="auto" w:fill="auto"/>
            <w:vAlign w:val="center"/>
          </w:tcPr>
          <w:p w14:paraId="53CAD7A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142,2%</w:t>
            </w:r>
          </w:p>
        </w:tc>
        <w:tc>
          <w:tcPr>
            <w:tcW w:w="1329" w:type="dxa"/>
            <w:vAlign w:val="center"/>
          </w:tcPr>
          <w:p w14:paraId="27C0584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1,1%</w:t>
            </w:r>
          </w:p>
        </w:tc>
        <w:tc>
          <w:tcPr>
            <w:tcW w:w="897" w:type="dxa"/>
            <w:vAlign w:val="center"/>
          </w:tcPr>
          <w:p w14:paraId="19071BC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7B932E81" w14:textId="77777777" w:rsidTr="00F30E80">
        <w:trPr>
          <w:trHeight w:val="300"/>
          <w:jc w:val="center"/>
        </w:trPr>
        <w:tc>
          <w:tcPr>
            <w:tcW w:w="1805" w:type="dxa"/>
            <w:shd w:val="clear" w:color="auto" w:fill="auto"/>
            <w:vAlign w:val="center"/>
          </w:tcPr>
          <w:p w14:paraId="709C9029"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3.1</w:t>
            </w:r>
          </w:p>
        </w:tc>
        <w:tc>
          <w:tcPr>
            <w:tcW w:w="1207" w:type="dxa"/>
            <w:shd w:val="clear" w:color="auto" w:fill="auto"/>
            <w:vAlign w:val="center"/>
          </w:tcPr>
          <w:p w14:paraId="415374A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112 000,00 </w:t>
            </w:r>
          </w:p>
        </w:tc>
        <w:tc>
          <w:tcPr>
            <w:tcW w:w="1058" w:type="dxa"/>
            <w:shd w:val="clear" w:color="auto" w:fill="auto"/>
            <w:vAlign w:val="center"/>
          </w:tcPr>
          <w:p w14:paraId="39AED29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02D2570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5A6195C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112 000,00 </w:t>
            </w:r>
          </w:p>
        </w:tc>
        <w:tc>
          <w:tcPr>
            <w:tcW w:w="1364" w:type="dxa"/>
            <w:shd w:val="clear" w:color="auto" w:fill="auto"/>
            <w:vAlign w:val="center"/>
          </w:tcPr>
          <w:p w14:paraId="6CBB3B1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65D7161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077701F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2162B259" w14:textId="77777777" w:rsidTr="00F30E80">
        <w:trPr>
          <w:trHeight w:val="300"/>
          <w:jc w:val="center"/>
        </w:trPr>
        <w:tc>
          <w:tcPr>
            <w:tcW w:w="1805" w:type="dxa"/>
            <w:shd w:val="clear" w:color="auto" w:fill="auto"/>
            <w:vAlign w:val="center"/>
          </w:tcPr>
          <w:p w14:paraId="586BF988"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3.2</w:t>
            </w:r>
          </w:p>
        </w:tc>
        <w:tc>
          <w:tcPr>
            <w:tcW w:w="1207" w:type="dxa"/>
            <w:shd w:val="clear" w:color="auto" w:fill="auto"/>
            <w:vAlign w:val="center"/>
          </w:tcPr>
          <w:p w14:paraId="4150BB2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15 000,00 </w:t>
            </w:r>
          </w:p>
        </w:tc>
        <w:tc>
          <w:tcPr>
            <w:tcW w:w="1058" w:type="dxa"/>
            <w:shd w:val="clear" w:color="auto" w:fill="auto"/>
            <w:vAlign w:val="center"/>
          </w:tcPr>
          <w:p w14:paraId="5129DFA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4E76D56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3FE4A26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15 000,00 </w:t>
            </w:r>
          </w:p>
        </w:tc>
        <w:tc>
          <w:tcPr>
            <w:tcW w:w="1364" w:type="dxa"/>
            <w:shd w:val="clear" w:color="auto" w:fill="auto"/>
          </w:tcPr>
          <w:p w14:paraId="41385F0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2AA18BA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127804F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009DDAED" w14:textId="77777777" w:rsidTr="00F30E80">
        <w:trPr>
          <w:trHeight w:val="300"/>
          <w:jc w:val="center"/>
        </w:trPr>
        <w:tc>
          <w:tcPr>
            <w:tcW w:w="1805" w:type="dxa"/>
            <w:shd w:val="clear" w:color="auto" w:fill="auto"/>
            <w:vAlign w:val="center"/>
          </w:tcPr>
          <w:p w14:paraId="6260D287"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3.3</w:t>
            </w:r>
          </w:p>
        </w:tc>
        <w:tc>
          <w:tcPr>
            <w:tcW w:w="1207" w:type="dxa"/>
            <w:shd w:val="clear" w:color="auto" w:fill="auto"/>
            <w:vAlign w:val="center"/>
          </w:tcPr>
          <w:p w14:paraId="377968D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724 200,00 </w:t>
            </w:r>
          </w:p>
        </w:tc>
        <w:tc>
          <w:tcPr>
            <w:tcW w:w="1058" w:type="dxa"/>
            <w:shd w:val="clear" w:color="auto" w:fill="auto"/>
            <w:vAlign w:val="center"/>
          </w:tcPr>
          <w:p w14:paraId="47B8249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7E5FE9C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409850F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724 200,00 </w:t>
            </w:r>
          </w:p>
        </w:tc>
        <w:tc>
          <w:tcPr>
            <w:tcW w:w="1364" w:type="dxa"/>
            <w:shd w:val="clear" w:color="auto" w:fill="auto"/>
          </w:tcPr>
          <w:p w14:paraId="2E67975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572666A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773D2AB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0A3B87B2" w14:textId="77777777" w:rsidTr="00F30E80">
        <w:trPr>
          <w:trHeight w:val="300"/>
          <w:jc w:val="center"/>
        </w:trPr>
        <w:tc>
          <w:tcPr>
            <w:tcW w:w="1805" w:type="dxa"/>
            <w:shd w:val="clear" w:color="auto" w:fill="auto"/>
            <w:vAlign w:val="center"/>
          </w:tcPr>
          <w:p w14:paraId="42E45B30"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3.4</w:t>
            </w:r>
          </w:p>
        </w:tc>
        <w:tc>
          <w:tcPr>
            <w:tcW w:w="1207" w:type="dxa"/>
            <w:shd w:val="clear" w:color="auto" w:fill="auto"/>
            <w:vAlign w:val="center"/>
          </w:tcPr>
          <w:p w14:paraId="4D8B16E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2 257 500,00 </w:t>
            </w:r>
          </w:p>
        </w:tc>
        <w:tc>
          <w:tcPr>
            <w:tcW w:w="1058" w:type="dxa"/>
            <w:shd w:val="clear" w:color="auto" w:fill="auto"/>
            <w:vAlign w:val="center"/>
          </w:tcPr>
          <w:p w14:paraId="6BFA98B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07C2C8C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569C673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2 257 500,00 </w:t>
            </w:r>
          </w:p>
        </w:tc>
        <w:tc>
          <w:tcPr>
            <w:tcW w:w="1364" w:type="dxa"/>
            <w:shd w:val="clear" w:color="auto" w:fill="auto"/>
            <w:vAlign w:val="center"/>
          </w:tcPr>
          <w:p w14:paraId="493046F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29" w:type="dxa"/>
            <w:vAlign w:val="center"/>
          </w:tcPr>
          <w:p w14:paraId="5C1ECB4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2469CF1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5BABA64A" w14:textId="77777777" w:rsidTr="00F30E80">
        <w:trPr>
          <w:trHeight w:val="300"/>
          <w:jc w:val="center"/>
        </w:trPr>
        <w:tc>
          <w:tcPr>
            <w:tcW w:w="1805" w:type="dxa"/>
            <w:shd w:val="clear" w:color="auto" w:fill="auto"/>
            <w:vAlign w:val="center"/>
          </w:tcPr>
          <w:p w14:paraId="28D16A51"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3.5</w:t>
            </w:r>
          </w:p>
        </w:tc>
        <w:tc>
          <w:tcPr>
            <w:tcW w:w="1207" w:type="dxa"/>
            <w:shd w:val="clear" w:color="auto" w:fill="auto"/>
            <w:vAlign w:val="center"/>
          </w:tcPr>
          <w:p w14:paraId="04E8772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55 000,00 </w:t>
            </w:r>
          </w:p>
        </w:tc>
        <w:tc>
          <w:tcPr>
            <w:tcW w:w="1058" w:type="dxa"/>
            <w:shd w:val="clear" w:color="auto" w:fill="auto"/>
            <w:vAlign w:val="center"/>
          </w:tcPr>
          <w:p w14:paraId="6530B35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185D011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42FF020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55 000,00 </w:t>
            </w:r>
          </w:p>
        </w:tc>
        <w:tc>
          <w:tcPr>
            <w:tcW w:w="1364" w:type="dxa"/>
            <w:shd w:val="clear" w:color="auto" w:fill="auto"/>
            <w:vAlign w:val="center"/>
          </w:tcPr>
          <w:p w14:paraId="4BFDB55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29" w:type="dxa"/>
            <w:vAlign w:val="center"/>
          </w:tcPr>
          <w:p w14:paraId="5F237D1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6F81A53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0162D1FC" w14:textId="77777777" w:rsidTr="00F30E80">
        <w:trPr>
          <w:trHeight w:val="300"/>
          <w:jc w:val="center"/>
        </w:trPr>
        <w:tc>
          <w:tcPr>
            <w:tcW w:w="1805" w:type="dxa"/>
            <w:shd w:val="clear" w:color="auto" w:fill="auto"/>
            <w:vAlign w:val="center"/>
          </w:tcPr>
          <w:p w14:paraId="63173C06"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3.6</w:t>
            </w:r>
          </w:p>
        </w:tc>
        <w:tc>
          <w:tcPr>
            <w:tcW w:w="1207" w:type="dxa"/>
            <w:shd w:val="clear" w:color="auto" w:fill="auto"/>
            <w:vAlign w:val="center"/>
          </w:tcPr>
          <w:p w14:paraId="0D66958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280 000,00 </w:t>
            </w:r>
          </w:p>
        </w:tc>
        <w:tc>
          <w:tcPr>
            <w:tcW w:w="1058" w:type="dxa"/>
            <w:shd w:val="clear" w:color="auto" w:fill="auto"/>
            <w:vAlign w:val="center"/>
          </w:tcPr>
          <w:p w14:paraId="33837D1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5661B5E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7D8CA97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280 000,00 </w:t>
            </w:r>
          </w:p>
        </w:tc>
        <w:tc>
          <w:tcPr>
            <w:tcW w:w="1364" w:type="dxa"/>
            <w:shd w:val="clear" w:color="auto" w:fill="auto"/>
            <w:vAlign w:val="center"/>
          </w:tcPr>
          <w:p w14:paraId="184D79A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6F4072E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1684D81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59E4BA79" w14:textId="77777777" w:rsidTr="00F30E80">
        <w:trPr>
          <w:trHeight w:val="300"/>
          <w:jc w:val="center"/>
        </w:trPr>
        <w:tc>
          <w:tcPr>
            <w:tcW w:w="1805" w:type="dxa"/>
            <w:shd w:val="clear" w:color="auto" w:fill="auto"/>
            <w:vAlign w:val="center"/>
          </w:tcPr>
          <w:p w14:paraId="471E6C0A"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3.7 : Ressources humaines et moyens dédiés</w:t>
            </w:r>
          </w:p>
        </w:tc>
        <w:tc>
          <w:tcPr>
            <w:tcW w:w="1207" w:type="dxa"/>
            <w:shd w:val="clear" w:color="auto" w:fill="auto"/>
            <w:vAlign w:val="center"/>
          </w:tcPr>
          <w:p w14:paraId="75239E0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598 560,00 </w:t>
            </w:r>
          </w:p>
        </w:tc>
        <w:tc>
          <w:tcPr>
            <w:tcW w:w="1058" w:type="dxa"/>
            <w:shd w:val="clear" w:color="auto" w:fill="auto"/>
            <w:vAlign w:val="center"/>
          </w:tcPr>
          <w:p w14:paraId="7271D15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30 360,00 </w:t>
            </w:r>
          </w:p>
        </w:tc>
        <w:tc>
          <w:tcPr>
            <w:tcW w:w="1312" w:type="dxa"/>
            <w:shd w:val="clear" w:color="auto" w:fill="auto"/>
            <w:vAlign w:val="center"/>
          </w:tcPr>
          <w:p w14:paraId="137931B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43 181,54 </w:t>
            </w:r>
          </w:p>
        </w:tc>
        <w:tc>
          <w:tcPr>
            <w:tcW w:w="1134" w:type="dxa"/>
            <w:shd w:val="clear" w:color="auto" w:fill="auto"/>
            <w:vAlign w:val="center"/>
          </w:tcPr>
          <w:p w14:paraId="2B748F4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555 378,46 </w:t>
            </w:r>
          </w:p>
        </w:tc>
        <w:tc>
          <w:tcPr>
            <w:tcW w:w="1364" w:type="dxa"/>
            <w:shd w:val="clear" w:color="auto" w:fill="auto"/>
            <w:vAlign w:val="center"/>
          </w:tcPr>
          <w:p w14:paraId="31AA265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142,2%</w:t>
            </w:r>
          </w:p>
        </w:tc>
        <w:tc>
          <w:tcPr>
            <w:tcW w:w="1329" w:type="dxa"/>
            <w:vAlign w:val="center"/>
          </w:tcPr>
          <w:p w14:paraId="678D6EE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7,2%</w:t>
            </w:r>
          </w:p>
        </w:tc>
        <w:tc>
          <w:tcPr>
            <w:tcW w:w="897" w:type="dxa"/>
            <w:vAlign w:val="center"/>
          </w:tcPr>
          <w:p w14:paraId="37E4A6E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6BF63B4F" w14:textId="77777777" w:rsidTr="00F30E80">
        <w:trPr>
          <w:trHeight w:val="300"/>
          <w:jc w:val="center"/>
        </w:trPr>
        <w:tc>
          <w:tcPr>
            <w:tcW w:w="1805" w:type="dxa"/>
            <w:shd w:val="clear" w:color="auto" w:fill="auto"/>
            <w:vAlign w:val="center"/>
          </w:tcPr>
          <w:p w14:paraId="36D28EC5"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Effet 4</w:t>
            </w:r>
          </w:p>
        </w:tc>
        <w:tc>
          <w:tcPr>
            <w:tcW w:w="1207" w:type="dxa"/>
            <w:shd w:val="clear" w:color="auto" w:fill="auto"/>
            <w:vAlign w:val="center"/>
          </w:tcPr>
          <w:p w14:paraId="46BBFB1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4 794 000 </w:t>
            </w:r>
          </w:p>
        </w:tc>
        <w:tc>
          <w:tcPr>
            <w:tcW w:w="1058" w:type="dxa"/>
            <w:shd w:val="clear" w:color="auto" w:fill="auto"/>
            <w:vAlign w:val="center"/>
          </w:tcPr>
          <w:p w14:paraId="349CDEA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122 100 </w:t>
            </w:r>
          </w:p>
        </w:tc>
        <w:tc>
          <w:tcPr>
            <w:tcW w:w="1312" w:type="dxa"/>
            <w:shd w:val="clear" w:color="auto" w:fill="auto"/>
            <w:vAlign w:val="center"/>
          </w:tcPr>
          <w:p w14:paraId="0115733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12 260</w:t>
            </w:r>
            <w:r>
              <w:rPr>
                <w:rFonts w:ascii="Avenir" w:eastAsia="Avenir" w:hAnsi="Avenir" w:cs="Avenir"/>
                <w:sz w:val="16"/>
                <w:szCs w:val="16"/>
              </w:rPr>
              <w:t>,22</w:t>
            </w:r>
            <w:r w:rsidRPr="00DB6E6D">
              <w:rPr>
                <w:rFonts w:ascii="Avenir" w:eastAsia="Avenir" w:hAnsi="Avenir" w:cs="Avenir"/>
                <w:sz w:val="16"/>
                <w:szCs w:val="16"/>
              </w:rPr>
              <w:t xml:space="preserve"> </w:t>
            </w:r>
          </w:p>
        </w:tc>
        <w:tc>
          <w:tcPr>
            <w:tcW w:w="1134" w:type="dxa"/>
            <w:shd w:val="clear" w:color="auto" w:fill="auto"/>
            <w:vAlign w:val="center"/>
          </w:tcPr>
          <w:p w14:paraId="2EF2160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4 781 7</w:t>
            </w:r>
            <w:r>
              <w:rPr>
                <w:rFonts w:ascii="Avenir" w:eastAsia="Avenir" w:hAnsi="Avenir" w:cs="Avenir"/>
                <w:sz w:val="16"/>
                <w:szCs w:val="16"/>
              </w:rPr>
              <w:t>39,78</w:t>
            </w:r>
            <w:r w:rsidRPr="00DB6E6D">
              <w:rPr>
                <w:rFonts w:ascii="Avenir" w:eastAsia="Avenir" w:hAnsi="Avenir" w:cs="Avenir"/>
                <w:sz w:val="16"/>
                <w:szCs w:val="16"/>
              </w:rPr>
              <w:t xml:space="preserve"> </w:t>
            </w:r>
          </w:p>
        </w:tc>
        <w:tc>
          <w:tcPr>
            <w:tcW w:w="1364" w:type="dxa"/>
            <w:shd w:val="clear" w:color="auto" w:fill="auto"/>
            <w:vAlign w:val="center"/>
          </w:tcPr>
          <w:p w14:paraId="184470A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10,0%</w:t>
            </w:r>
          </w:p>
        </w:tc>
        <w:tc>
          <w:tcPr>
            <w:tcW w:w="1329" w:type="dxa"/>
            <w:vAlign w:val="center"/>
          </w:tcPr>
          <w:p w14:paraId="14A26EA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0,3%</w:t>
            </w:r>
          </w:p>
        </w:tc>
        <w:tc>
          <w:tcPr>
            <w:tcW w:w="897" w:type="dxa"/>
            <w:vAlign w:val="center"/>
          </w:tcPr>
          <w:p w14:paraId="367CC74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2A401815" w14:textId="77777777" w:rsidTr="00F30E80">
        <w:trPr>
          <w:trHeight w:val="300"/>
          <w:jc w:val="center"/>
        </w:trPr>
        <w:tc>
          <w:tcPr>
            <w:tcW w:w="1805" w:type="dxa"/>
            <w:shd w:val="clear" w:color="auto" w:fill="auto"/>
            <w:vAlign w:val="center"/>
          </w:tcPr>
          <w:p w14:paraId="604E2A8D"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4.1</w:t>
            </w:r>
          </w:p>
        </w:tc>
        <w:tc>
          <w:tcPr>
            <w:tcW w:w="1207" w:type="dxa"/>
            <w:shd w:val="clear" w:color="auto" w:fill="auto"/>
            <w:vAlign w:val="center"/>
          </w:tcPr>
          <w:p w14:paraId="31C34FF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2 295 000,00 </w:t>
            </w:r>
          </w:p>
        </w:tc>
        <w:tc>
          <w:tcPr>
            <w:tcW w:w="1058" w:type="dxa"/>
            <w:shd w:val="clear" w:color="auto" w:fill="auto"/>
            <w:vAlign w:val="center"/>
          </w:tcPr>
          <w:p w14:paraId="2CDEBFE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78748AE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2A00E00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2 295 000,00 </w:t>
            </w:r>
          </w:p>
        </w:tc>
        <w:tc>
          <w:tcPr>
            <w:tcW w:w="1364" w:type="dxa"/>
            <w:shd w:val="clear" w:color="auto" w:fill="auto"/>
          </w:tcPr>
          <w:p w14:paraId="7E9E99B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257D193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4B3E25E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6D7C35E7" w14:textId="77777777" w:rsidTr="00F30E80">
        <w:trPr>
          <w:trHeight w:val="300"/>
          <w:jc w:val="center"/>
        </w:trPr>
        <w:tc>
          <w:tcPr>
            <w:tcW w:w="1805" w:type="dxa"/>
            <w:shd w:val="clear" w:color="auto" w:fill="auto"/>
            <w:vAlign w:val="center"/>
          </w:tcPr>
          <w:p w14:paraId="77E8B451"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4.2</w:t>
            </w:r>
          </w:p>
        </w:tc>
        <w:tc>
          <w:tcPr>
            <w:tcW w:w="1207" w:type="dxa"/>
            <w:shd w:val="clear" w:color="auto" w:fill="auto"/>
            <w:vAlign w:val="center"/>
          </w:tcPr>
          <w:p w14:paraId="355A8DB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250 000,00 </w:t>
            </w:r>
          </w:p>
        </w:tc>
        <w:tc>
          <w:tcPr>
            <w:tcW w:w="1058" w:type="dxa"/>
            <w:shd w:val="clear" w:color="auto" w:fill="auto"/>
            <w:vAlign w:val="center"/>
          </w:tcPr>
          <w:p w14:paraId="6DFAD2A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4A71686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7BC00A5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250 000,00 </w:t>
            </w:r>
          </w:p>
        </w:tc>
        <w:tc>
          <w:tcPr>
            <w:tcW w:w="1364" w:type="dxa"/>
            <w:shd w:val="clear" w:color="auto" w:fill="auto"/>
          </w:tcPr>
          <w:p w14:paraId="1158B4C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131BC06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2AB143A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617994C4" w14:textId="77777777" w:rsidTr="00F30E80">
        <w:trPr>
          <w:trHeight w:val="300"/>
          <w:jc w:val="center"/>
        </w:trPr>
        <w:tc>
          <w:tcPr>
            <w:tcW w:w="1805" w:type="dxa"/>
            <w:shd w:val="clear" w:color="auto" w:fill="auto"/>
            <w:vAlign w:val="center"/>
          </w:tcPr>
          <w:p w14:paraId="512CC485"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4.3</w:t>
            </w:r>
          </w:p>
        </w:tc>
        <w:tc>
          <w:tcPr>
            <w:tcW w:w="1207" w:type="dxa"/>
            <w:shd w:val="clear" w:color="auto" w:fill="auto"/>
            <w:vAlign w:val="center"/>
          </w:tcPr>
          <w:p w14:paraId="3D7C07D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275 000,00 </w:t>
            </w:r>
          </w:p>
        </w:tc>
        <w:tc>
          <w:tcPr>
            <w:tcW w:w="1058" w:type="dxa"/>
            <w:shd w:val="clear" w:color="auto" w:fill="auto"/>
            <w:vAlign w:val="center"/>
          </w:tcPr>
          <w:p w14:paraId="5A45C80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312" w:type="dxa"/>
            <w:shd w:val="clear" w:color="auto" w:fill="auto"/>
            <w:vAlign w:val="center"/>
          </w:tcPr>
          <w:p w14:paraId="4217973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1E11480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275 000,00 </w:t>
            </w:r>
          </w:p>
        </w:tc>
        <w:tc>
          <w:tcPr>
            <w:tcW w:w="1364" w:type="dxa"/>
            <w:shd w:val="clear" w:color="auto" w:fill="auto"/>
          </w:tcPr>
          <w:p w14:paraId="180480E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7FD28B7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4B3C403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38CDE662" w14:textId="77777777" w:rsidTr="00F30E80">
        <w:trPr>
          <w:trHeight w:val="300"/>
          <w:jc w:val="center"/>
        </w:trPr>
        <w:tc>
          <w:tcPr>
            <w:tcW w:w="1805" w:type="dxa"/>
            <w:shd w:val="clear" w:color="auto" w:fill="auto"/>
            <w:vAlign w:val="center"/>
          </w:tcPr>
          <w:p w14:paraId="104D01EA"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4.4</w:t>
            </w:r>
          </w:p>
        </w:tc>
        <w:tc>
          <w:tcPr>
            <w:tcW w:w="1207" w:type="dxa"/>
            <w:shd w:val="clear" w:color="auto" w:fill="auto"/>
            <w:vAlign w:val="center"/>
          </w:tcPr>
          <w:p w14:paraId="754F384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160 000,00 </w:t>
            </w:r>
          </w:p>
        </w:tc>
        <w:tc>
          <w:tcPr>
            <w:tcW w:w="1058" w:type="dxa"/>
            <w:shd w:val="clear" w:color="auto" w:fill="auto"/>
            <w:vAlign w:val="center"/>
          </w:tcPr>
          <w:p w14:paraId="7B2E3C6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1 000,00 </w:t>
            </w:r>
          </w:p>
        </w:tc>
        <w:tc>
          <w:tcPr>
            <w:tcW w:w="1312" w:type="dxa"/>
            <w:shd w:val="clear" w:color="auto" w:fill="auto"/>
            <w:vAlign w:val="center"/>
          </w:tcPr>
          <w:p w14:paraId="37D0222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vAlign w:val="center"/>
          </w:tcPr>
          <w:p w14:paraId="46BAC07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160 000,00 </w:t>
            </w:r>
          </w:p>
        </w:tc>
        <w:tc>
          <w:tcPr>
            <w:tcW w:w="1364" w:type="dxa"/>
            <w:shd w:val="clear" w:color="auto" w:fill="auto"/>
            <w:vAlign w:val="center"/>
          </w:tcPr>
          <w:p w14:paraId="0576FCC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40CB82A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5A603B4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3D0E7FD7" w14:textId="77777777" w:rsidTr="00F30E80">
        <w:trPr>
          <w:trHeight w:val="300"/>
          <w:jc w:val="center"/>
        </w:trPr>
        <w:tc>
          <w:tcPr>
            <w:tcW w:w="1805" w:type="dxa"/>
            <w:shd w:val="clear" w:color="auto" w:fill="auto"/>
            <w:vAlign w:val="center"/>
          </w:tcPr>
          <w:p w14:paraId="4E0C192A"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4.5 : Ressources humaines et moyens dédiés</w:t>
            </w:r>
          </w:p>
        </w:tc>
        <w:tc>
          <w:tcPr>
            <w:tcW w:w="1207" w:type="dxa"/>
            <w:shd w:val="clear" w:color="auto" w:fill="auto"/>
            <w:vAlign w:val="center"/>
          </w:tcPr>
          <w:p w14:paraId="412E38C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1 814 000,00 </w:t>
            </w:r>
          </w:p>
        </w:tc>
        <w:tc>
          <w:tcPr>
            <w:tcW w:w="1058" w:type="dxa"/>
            <w:shd w:val="clear" w:color="auto" w:fill="auto"/>
            <w:vAlign w:val="center"/>
          </w:tcPr>
          <w:p w14:paraId="2543E51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121 100,00 </w:t>
            </w:r>
          </w:p>
        </w:tc>
        <w:tc>
          <w:tcPr>
            <w:tcW w:w="1312" w:type="dxa"/>
            <w:shd w:val="clear" w:color="auto" w:fill="auto"/>
            <w:vAlign w:val="center"/>
          </w:tcPr>
          <w:p w14:paraId="38B82D7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12 260,22 </w:t>
            </w:r>
          </w:p>
        </w:tc>
        <w:tc>
          <w:tcPr>
            <w:tcW w:w="1134" w:type="dxa"/>
            <w:shd w:val="clear" w:color="auto" w:fill="auto"/>
            <w:vAlign w:val="center"/>
          </w:tcPr>
          <w:p w14:paraId="0CB5427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1 801 739,78 </w:t>
            </w:r>
          </w:p>
        </w:tc>
        <w:tc>
          <w:tcPr>
            <w:tcW w:w="1364" w:type="dxa"/>
            <w:shd w:val="clear" w:color="auto" w:fill="auto"/>
            <w:vAlign w:val="center"/>
          </w:tcPr>
          <w:p w14:paraId="20C2A77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1</w:t>
            </w:r>
            <w:r w:rsidRPr="00DB6E6D">
              <w:rPr>
                <w:rFonts w:ascii="Avenir" w:eastAsia="Avenir" w:hAnsi="Avenir" w:cs="Avenir"/>
                <w:sz w:val="16"/>
                <w:szCs w:val="16"/>
              </w:rPr>
              <w:t>0,</w:t>
            </w:r>
            <w:r>
              <w:rPr>
                <w:rFonts w:ascii="Avenir" w:eastAsia="Avenir" w:hAnsi="Avenir" w:cs="Avenir"/>
                <w:sz w:val="16"/>
                <w:szCs w:val="16"/>
              </w:rPr>
              <w:t>1</w:t>
            </w:r>
            <w:r w:rsidRPr="00DB6E6D">
              <w:rPr>
                <w:rFonts w:ascii="Avenir" w:eastAsia="Avenir" w:hAnsi="Avenir" w:cs="Avenir"/>
                <w:sz w:val="16"/>
                <w:szCs w:val="16"/>
              </w:rPr>
              <w:t>%</w:t>
            </w:r>
          </w:p>
        </w:tc>
        <w:tc>
          <w:tcPr>
            <w:tcW w:w="1329" w:type="dxa"/>
            <w:vAlign w:val="center"/>
          </w:tcPr>
          <w:p w14:paraId="669F65D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0,7%</w:t>
            </w:r>
          </w:p>
        </w:tc>
        <w:tc>
          <w:tcPr>
            <w:tcW w:w="897" w:type="dxa"/>
            <w:vAlign w:val="center"/>
          </w:tcPr>
          <w:p w14:paraId="0C1281E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72F72CC3" w14:textId="77777777" w:rsidTr="00F30E80">
        <w:trPr>
          <w:trHeight w:val="300"/>
          <w:jc w:val="center"/>
        </w:trPr>
        <w:tc>
          <w:tcPr>
            <w:tcW w:w="1805" w:type="dxa"/>
            <w:shd w:val="clear" w:color="auto" w:fill="B3DDF2" w:themeFill="background2" w:themeFillShade="E6"/>
            <w:vAlign w:val="center"/>
          </w:tcPr>
          <w:p w14:paraId="704B3DC9" w14:textId="77777777" w:rsidR="00D6016E" w:rsidRPr="00DB6E6D" w:rsidRDefault="00D6016E" w:rsidP="00F30E80">
            <w:pPr>
              <w:spacing w:after="0" w:line="240" w:lineRule="auto"/>
              <w:ind w:left="0" w:right="0" w:firstLine="0"/>
              <w:rPr>
                <w:rFonts w:ascii="Avenir" w:eastAsia="Avenir" w:hAnsi="Avenir" w:cs="Avenir"/>
                <w:b/>
                <w:sz w:val="16"/>
                <w:szCs w:val="16"/>
              </w:rPr>
            </w:pPr>
            <w:r w:rsidRPr="00DB6E6D">
              <w:rPr>
                <w:rFonts w:ascii="Avenir" w:eastAsia="Avenir" w:hAnsi="Avenir" w:cs="Avenir"/>
                <w:b/>
                <w:sz w:val="16"/>
                <w:szCs w:val="16"/>
              </w:rPr>
              <w:lastRenderedPageBreak/>
              <w:t>B. Coûts des produits du projet - province de la Lomami</w:t>
            </w:r>
          </w:p>
        </w:tc>
        <w:tc>
          <w:tcPr>
            <w:tcW w:w="1207" w:type="dxa"/>
            <w:shd w:val="clear" w:color="auto" w:fill="B3DDF2" w:themeFill="background2" w:themeFillShade="E6"/>
            <w:vAlign w:val="center"/>
          </w:tcPr>
          <w:p w14:paraId="118E2A54" w14:textId="77777777" w:rsidR="00D6016E" w:rsidRPr="00DB6E6D" w:rsidRDefault="00D6016E" w:rsidP="00F30E80">
            <w:pPr>
              <w:spacing w:after="0" w:line="240" w:lineRule="auto"/>
              <w:ind w:left="0" w:right="0" w:firstLine="0"/>
              <w:rPr>
                <w:rFonts w:ascii="Avenir" w:eastAsia="Avenir" w:hAnsi="Avenir" w:cs="Avenir"/>
                <w:b/>
                <w:bCs/>
                <w:sz w:val="16"/>
                <w:szCs w:val="16"/>
              </w:rPr>
            </w:pPr>
            <w:r w:rsidRPr="00DB6E6D">
              <w:rPr>
                <w:rFonts w:ascii="Avenir" w:eastAsia="Avenir" w:hAnsi="Avenir" w:cs="Avenir"/>
                <w:b/>
                <w:bCs/>
                <w:sz w:val="16"/>
                <w:szCs w:val="16"/>
              </w:rPr>
              <w:t xml:space="preserve"> 13 760 427 </w:t>
            </w:r>
          </w:p>
        </w:tc>
        <w:tc>
          <w:tcPr>
            <w:tcW w:w="1058" w:type="dxa"/>
            <w:shd w:val="clear" w:color="auto" w:fill="B3DDF2" w:themeFill="background2" w:themeFillShade="E6"/>
            <w:vAlign w:val="center"/>
          </w:tcPr>
          <w:p w14:paraId="15FA97FC" w14:textId="77777777" w:rsidR="00D6016E" w:rsidRPr="00DB6E6D" w:rsidRDefault="00D6016E" w:rsidP="00F30E80">
            <w:pPr>
              <w:spacing w:after="0" w:line="240" w:lineRule="auto"/>
              <w:ind w:left="0" w:right="0" w:firstLine="0"/>
              <w:rPr>
                <w:rFonts w:ascii="Avenir" w:eastAsia="Avenir" w:hAnsi="Avenir" w:cs="Avenir"/>
                <w:b/>
                <w:bCs/>
                <w:sz w:val="16"/>
                <w:szCs w:val="16"/>
              </w:rPr>
            </w:pPr>
            <w:r w:rsidRPr="00DB6E6D">
              <w:rPr>
                <w:rFonts w:ascii="Avenir" w:eastAsia="Avenir" w:hAnsi="Avenir" w:cs="Avenir"/>
                <w:b/>
                <w:bCs/>
                <w:sz w:val="16"/>
                <w:szCs w:val="16"/>
              </w:rPr>
              <w:t xml:space="preserve"> 189 910 </w:t>
            </w:r>
          </w:p>
        </w:tc>
        <w:tc>
          <w:tcPr>
            <w:tcW w:w="1312" w:type="dxa"/>
            <w:shd w:val="clear" w:color="auto" w:fill="B3DDF2" w:themeFill="background2" w:themeFillShade="E6"/>
            <w:vAlign w:val="center"/>
          </w:tcPr>
          <w:p w14:paraId="49A54C41" w14:textId="77777777" w:rsidR="00D6016E" w:rsidRPr="00DB6E6D" w:rsidRDefault="00D6016E" w:rsidP="00F30E80">
            <w:pPr>
              <w:spacing w:after="0" w:line="240" w:lineRule="auto"/>
              <w:ind w:left="0" w:right="0" w:firstLine="0"/>
              <w:rPr>
                <w:rFonts w:ascii="Avenir" w:eastAsia="Avenir" w:hAnsi="Avenir" w:cs="Avenir"/>
                <w:b/>
                <w:bCs/>
                <w:sz w:val="16"/>
                <w:szCs w:val="16"/>
              </w:rPr>
            </w:pPr>
            <w:r w:rsidRPr="00DB6E6D">
              <w:rPr>
                <w:rFonts w:ascii="Avenir" w:eastAsia="Avenir" w:hAnsi="Avenir" w:cs="Avenir"/>
                <w:b/>
                <w:bCs/>
                <w:sz w:val="16"/>
                <w:szCs w:val="16"/>
              </w:rPr>
              <w:t xml:space="preserve"> 3</w:t>
            </w:r>
            <w:r>
              <w:rPr>
                <w:rFonts w:ascii="Avenir" w:eastAsia="Avenir" w:hAnsi="Avenir" w:cs="Avenir"/>
                <w:b/>
                <w:bCs/>
                <w:sz w:val="16"/>
                <w:szCs w:val="16"/>
              </w:rPr>
              <w:t>3</w:t>
            </w:r>
            <w:r w:rsidRPr="00DB6E6D">
              <w:rPr>
                <w:rFonts w:ascii="Avenir" w:eastAsia="Avenir" w:hAnsi="Avenir" w:cs="Avenir"/>
                <w:b/>
                <w:bCs/>
                <w:sz w:val="16"/>
                <w:szCs w:val="16"/>
              </w:rPr>
              <w:t xml:space="preserve"> </w:t>
            </w:r>
            <w:r>
              <w:rPr>
                <w:rFonts w:ascii="Avenir" w:eastAsia="Avenir" w:hAnsi="Avenir" w:cs="Avenir"/>
                <w:b/>
                <w:bCs/>
                <w:sz w:val="16"/>
                <w:szCs w:val="16"/>
              </w:rPr>
              <w:t>328,58</w:t>
            </w:r>
            <w:r w:rsidRPr="00DB6E6D">
              <w:rPr>
                <w:rFonts w:ascii="Avenir" w:eastAsia="Avenir" w:hAnsi="Avenir" w:cs="Avenir"/>
                <w:b/>
                <w:bCs/>
                <w:sz w:val="16"/>
                <w:szCs w:val="16"/>
              </w:rPr>
              <w:t xml:space="preserve"> </w:t>
            </w:r>
          </w:p>
        </w:tc>
        <w:tc>
          <w:tcPr>
            <w:tcW w:w="1134" w:type="dxa"/>
            <w:shd w:val="clear" w:color="auto" w:fill="B3DDF2" w:themeFill="background2" w:themeFillShade="E6"/>
            <w:vAlign w:val="center"/>
          </w:tcPr>
          <w:p w14:paraId="656B2BCF" w14:textId="77777777" w:rsidR="00D6016E" w:rsidRPr="00DB6E6D" w:rsidRDefault="00D6016E" w:rsidP="00F30E80">
            <w:pPr>
              <w:spacing w:after="0" w:line="240" w:lineRule="auto"/>
              <w:ind w:left="0" w:right="0" w:firstLine="0"/>
              <w:rPr>
                <w:rFonts w:ascii="Avenir" w:eastAsia="Avenir" w:hAnsi="Avenir" w:cs="Avenir"/>
                <w:b/>
                <w:bCs/>
                <w:sz w:val="16"/>
                <w:szCs w:val="16"/>
              </w:rPr>
            </w:pPr>
            <w:r w:rsidRPr="00DB6E6D">
              <w:rPr>
                <w:rFonts w:ascii="Avenir" w:eastAsia="Avenir" w:hAnsi="Avenir" w:cs="Avenir"/>
                <w:b/>
                <w:bCs/>
                <w:sz w:val="16"/>
                <w:szCs w:val="16"/>
              </w:rPr>
              <w:t xml:space="preserve"> 13 7</w:t>
            </w:r>
            <w:r>
              <w:rPr>
                <w:rFonts w:ascii="Avenir" w:eastAsia="Avenir" w:hAnsi="Avenir" w:cs="Avenir"/>
                <w:b/>
                <w:bCs/>
                <w:sz w:val="16"/>
                <w:szCs w:val="16"/>
              </w:rPr>
              <w:t>27</w:t>
            </w:r>
            <w:r w:rsidRPr="00DB6E6D">
              <w:rPr>
                <w:rFonts w:ascii="Avenir" w:eastAsia="Avenir" w:hAnsi="Avenir" w:cs="Avenir"/>
                <w:b/>
                <w:bCs/>
                <w:sz w:val="16"/>
                <w:szCs w:val="16"/>
              </w:rPr>
              <w:t xml:space="preserve"> </w:t>
            </w:r>
            <w:r>
              <w:rPr>
                <w:rFonts w:ascii="Avenir" w:eastAsia="Avenir" w:hAnsi="Avenir" w:cs="Avenir"/>
                <w:b/>
                <w:bCs/>
                <w:sz w:val="16"/>
                <w:szCs w:val="16"/>
              </w:rPr>
              <w:t>098,82</w:t>
            </w:r>
            <w:r w:rsidRPr="00DB6E6D">
              <w:rPr>
                <w:rFonts w:ascii="Avenir" w:eastAsia="Avenir" w:hAnsi="Avenir" w:cs="Avenir"/>
                <w:b/>
                <w:bCs/>
                <w:sz w:val="16"/>
                <w:szCs w:val="16"/>
              </w:rPr>
              <w:t xml:space="preserve"> </w:t>
            </w:r>
          </w:p>
        </w:tc>
        <w:tc>
          <w:tcPr>
            <w:tcW w:w="1364" w:type="dxa"/>
            <w:shd w:val="clear" w:color="auto" w:fill="B3DDF2" w:themeFill="background2" w:themeFillShade="E6"/>
            <w:vAlign w:val="center"/>
          </w:tcPr>
          <w:p w14:paraId="5B7C8801" w14:textId="77777777" w:rsidR="00D6016E" w:rsidRPr="00DB6E6D" w:rsidRDefault="00D6016E" w:rsidP="00F30E80">
            <w:pPr>
              <w:spacing w:after="0" w:line="240" w:lineRule="auto"/>
              <w:ind w:left="0" w:right="0" w:firstLine="0"/>
              <w:rPr>
                <w:rFonts w:ascii="Avenir" w:eastAsia="Avenir" w:hAnsi="Avenir" w:cs="Avenir"/>
                <w:b/>
                <w:bCs/>
                <w:sz w:val="16"/>
                <w:szCs w:val="16"/>
              </w:rPr>
            </w:pPr>
            <w:r w:rsidRPr="00DB6E6D">
              <w:rPr>
                <w:rFonts w:ascii="Avenir" w:eastAsia="Avenir" w:hAnsi="Avenir" w:cs="Avenir"/>
                <w:b/>
                <w:bCs/>
                <w:sz w:val="16"/>
                <w:szCs w:val="16"/>
              </w:rPr>
              <w:t>1</w:t>
            </w:r>
            <w:r>
              <w:rPr>
                <w:rFonts w:ascii="Avenir" w:eastAsia="Avenir" w:hAnsi="Avenir" w:cs="Avenir"/>
                <w:b/>
                <w:bCs/>
                <w:sz w:val="16"/>
                <w:szCs w:val="16"/>
              </w:rPr>
              <w:t>7</w:t>
            </w:r>
            <w:r w:rsidRPr="00DB6E6D">
              <w:rPr>
                <w:rFonts w:ascii="Avenir" w:eastAsia="Avenir" w:hAnsi="Avenir" w:cs="Avenir"/>
                <w:b/>
                <w:bCs/>
                <w:sz w:val="16"/>
                <w:szCs w:val="16"/>
              </w:rPr>
              <w:t>,</w:t>
            </w:r>
            <w:r>
              <w:rPr>
                <w:rFonts w:ascii="Avenir" w:eastAsia="Avenir" w:hAnsi="Avenir" w:cs="Avenir"/>
                <w:b/>
                <w:bCs/>
                <w:sz w:val="16"/>
                <w:szCs w:val="16"/>
              </w:rPr>
              <w:t>55</w:t>
            </w:r>
            <w:r w:rsidRPr="00DB6E6D">
              <w:rPr>
                <w:rFonts w:ascii="Avenir" w:eastAsia="Avenir" w:hAnsi="Avenir" w:cs="Avenir"/>
                <w:b/>
                <w:bCs/>
                <w:sz w:val="16"/>
                <w:szCs w:val="16"/>
              </w:rPr>
              <w:t>%</w:t>
            </w:r>
          </w:p>
        </w:tc>
        <w:tc>
          <w:tcPr>
            <w:tcW w:w="1329" w:type="dxa"/>
            <w:shd w:val="clear" w:color="auto" w:fill="B3DDF2" w:themeFill="background2" w:themeFillShade="E6"/>
            <w:vAlign w:val="center"/>
          </w:tcPr>
          <w:p w14:paraId="537A661A" w14:textId="77777777" w:rsidR="00D6016E" w:rsidRPr="00DB6E6D" w:rsidRDefault="00D6016E" w:rsidP="00F30E80">
            <w:pPr>
              <w:spacing w:after="0" w:line="240" w:lineRule="auto"/>
              <w:ind w:left="0" w:right="0" w:firstLine="0"/>
              <w:rPr>
                <w:rFonts w:ascii="Avenir" w:eastAsia="Avenir" w:hAnsi="Avenir" w:cs="Avenir"/>
                <w:b/>
                <w:bCs/>
                <w:sz w:val="16"/>
                <w:szCs w:val="16"/>
              </w:rPr>
            </w:pPr>
            <w:r w:rsidRPr="00DB6E6D">
              <w:rPr>
                <w:rFonts w:ascii="Avenir" w:eastAsia="Avenir" w:hAnsi="Avenir" w:cs="Avenir"/>
                <w:b/>
                <w:bCs/>
                <w:sz w:val="16"/>
                <w:szCs w:val="16"/>
              </w:rPr>
              <w:t>0,2</w:t>
            </w:r>
            <w:r>
              <w:rPr>
                <w:rFonts w:ascii="Avenir" w:eastAsia="Avenir" w:hAnsi="Avenir" w:cs="Avenir"/>
                <w:b/>
                <w:bCs/>
                <w:sz w:val="16"/>
                <w:szCs w:val="16"/>
              </w:rPr>
              <w:t>4</w:t>
            </w:r>
            <w:r w:rsidRPr="00DB6E6D">
              <w:rPr>
                <w:rFonts w:ascii="Avenir" w:eastAsia="Avenir" w:hAnsi="Avenir" w:cs="Avenir"/>
                <w:b/>
                <w:bCs/>
                <w:sz w:val="16"/>
                <w:szCs w:val="16"/>
              </w:rPr>
              <w:t>%</w:t>
            </w:r>
          </w:p>
        </w:tc>
        <w:tc>
          <w:tcPr>
            <w:tcW w:w="897" w:type="dxa"/>
            <w:shd w:val="clear" w:color="auto" w:fill="B3DDF2" w:themeFill="background2" w:themeFillShade="E6"/>
            <w:vAlign w:val="center"/>
          </w:tcPr>
          <w:p w14:paraId="19ABE830" w14:textId="77777777" w:rsidR="00D6016E" w:rsidRPr="00DB6E6D" w:rsidRDefault="00D6016E" w:rsidP="00F30E80">
            <w:pPr>
              <w:spacing w:after="0" w:line="240" w:lineRule="auto"/>
              <w:ind w:left="0" w:right="0" w:firstLine="0"/>
              <w:rPr>
                <w:rFonts w:ascii="Avenir" w:eastAsia="Avenir" w:hAnsi="Avenir" w:cs="Avenir"/>
                <w:sz w:val="16"/>
                <w:szCs w:val="16"/>
              </w:rPr>
            </w:pPr>
          </w:p>
        </w:tc>
      </w:tr>
      <w:tr w:rsidR="00D6016E" w:rsidRPr="00DB6E6D" w14:paraId="035099FD" w14:textId="77777777" w:rsidTr="00F30E80">
        <w:trPr>
          <w:trHeight w:val="300"/>
          <w:jc w:val="center"/>
        </w:trPr>
        <w:tc>
          <w:tcPr>
            <w:tcW w:w="1805" w:type="dxa"/>
            <w:shd w:val="clear" w:color="auto" w:fill="auto"/>
            <w:vAlign w:val="center"/>
          </w:tcPr>
          <w:p w14:paraId="0F7D1EF1"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Effet 1</w:t>
            </w:r>
          </w:p>
        </w:tc>
        <w:tc>
          <w:tcPr>
            <w:tcW w:w="1207" w:type="dxa"/>
            <w:shd w:val="clear" w:color="auto" w:fill="auto"/>
            <w:vAlign w:val="center"/>
          </w:tcPr>
          <w:p w14:paraId="4E18BED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2 118 000 </w:t>
            </w:r>
          </w:p>
        </w:tc>
        <w:tc>
          <w:tcPr>
            <w:tcW w:w="1058" w:type="dxa"/>
            <w:shd w:val="clear" w:color="auto" w:fill="auto"/>
            <w:vAlign w:val="center"/>
          </w:tcPr>
          <w:p w14:paraId="265D4BC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23 600 </w:t>
            </w:r>
          </w:p>
        </w:tc>
        <w:tc>
          <w:tcPr>
            <w:tcW w:w="1312" w:type="dxa"/>
            <w:shd w:val="clear" w:color="auto" w:fill="auto"/>
            <w:vAlign w:val="center"/>
          </w:tcPr>
          <w:p w14:paraId="643070F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316BDBD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2 118 000 </w:t>
            </w:r>
          </w:p>
        </w:tc>
        <w:tc>
          <w:tcPr>
            <w:tcW w:w="1364" w:type="dxa"/>
            <w:shd w:val="clear" w:color="auto" w:fill="auto"/>
            <w:vAlign w:val="center"/>
          </w:tcPr>
          <w:p w14:paraId="11DD0AC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67F3B8C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0C03A7F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6FDE614E" w14:textId="77777777" w:rsidTr="00F30E80">
        <w:trPr>
          <w:trHeight w:val="300"/>
          <w:jc w:val="center"/>
        </w:trPr>
        <w:tc>
          <w:tcPr>
            <w:tcW w:w="1805" w:type="dxa"/>
            <w:shd w:val="clear" w:color="auto" w:fill="auto"/>
            <w:vAlign w:val="center"/>
          </w:tcPr>
          <w:p w14:paraId="463022CD"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 xml:space="preserve">Produit 1.1. </w:t>
            </w:r>
          </w:p>
        </w:tc>
        <w:tc>
          <w:tcPr>
            <w:tcW w:w="1207" w:type="dxa"/>
            <w:shd w:val="clear" w:color="auto" w:fill="auto"/>
            <w:vAlign w:val="center"/>
          </w:tcPr>
          <w:p w14:paraId="3FB3EC8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1 123 000,00 </w:t>
            </w:r>
          </w:p>
        </w:tc>
        <w:tc>
          <w:tcPr>
            <w:tcW w:w="1058" w:type="dxa"/>
            <w:shd w:val="clear" w:color="auto" w:fill="auto"/>
            <w:vAlign w:val="center"/>
          </w:tcPr>
          <w:p w14:paraId="7486415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18 000,00 </w:t>
            </w:r>
          </w:p>
        </w:tc>
        <w:tc>
          <w:tcPr>
            <w:tcW w:w="1312" w:type="dxa"/>
            <w:shd w:val="clear" w:color="auto" w:fill="auto"/>
            <w:vAlign w:val="center"/>
          </w:tcPr>
          <w:p w14:paraId="5D85DDA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7395464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1 123 000,00 </w:t>
            </w:r>
          </w:p>
        </w:tc>
        <w:tc>
          <w:tcPr>
            <w:tcW w:w="1364" w:type="dxa"/>
            <w:shd w:val="clear" w:color="auto" w:fill="auto"/>
            <w:vAlign w:val="center"/>
          </w:tcPr>
          <w:p w14:paraId="40B6003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2133F41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6128A8B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32862149" w14:textId="77777777" w:rsidTr="00F30E80">
        <w:trPr>
          <w:trHeight w:val="300"/>
          <w:jc w:val="center"/>
        </w:trPr>
        <w:tc>
          <w:tcPr>
            <w:tcW w:w="1805" w:type="dxa"/>
            <w:shd w:val="clear" w:color="auto" w:fill="auto"/>
            <w:vAlign w:val="center"/>
          </w:tcPr>
          <w:p w14:paraId="4147D6D6"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 xml:space="preserve">Produit 1.2. </w:t>
            </w:r>
          </w:p>
        </w:tc>
        <w:tc>
          <w:tcPr>
            <w:tcW w:w="1207" w:type="dxa"/>
            <w:shd w:val="clear" w:color="auto" w:fill="auto"/>
            <w:vAlign w:val="center"/>
          </w:tcPr>
          <w:p w14:paraId="7C099FF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377 000,00 </w:t>
            </w:r>
          </w:p>
        </w:tc>
        <w:tc>
          <w:tcPr>
            <w:tcW w:w="1058" w:type="dxa"/>
            <w:shd w:val="clear" w:color="auto" w:fill="auto"/>
            <w:vAlign w:val="center"/>
          </w:tcPr>
          <w:p w14:paraId="184B9B5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2793C20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6A86994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377 000,00 </w:t>
            </w:r>
          </w:p>
        </w:tc>
        <w:tc>
          <w:tcPr>
            <w:tcW w:w="1364" w:type="dxa"/>
            <w:shd w:val="clear" w:color="auto" w:fill="auto"/>
            <w:vAlign w:val="center"/>
          </w:tcPr>
          <w:p w14:paraId="48B3D8E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29" w:type="dxa"/>
            <w:vAlign w:val="center"/>
          </w:tcPr>
          <w:p w14:paraId="36948C5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7BD842C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72EA47F8" w14:textId="77777777" w:rsidTr="00F30E80">
        <w:trPr>
          <w:trHeight w:val="300"/>
          <w:jc w:val="center"/>
        </w:trPr>
        <w:tc>
          <w:tcPr>
            <w:tcW w:w="1805" w:type="dxa"/>
            <w:shd w:val="clear" w:color="auto" w:fill="auto"/>
            <w:vAlign w:val="center"/>
          </w:tcPr>
          <w:p w14:paraId="5EB7BD77"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 xml:space="preserve">Produit 1.3. </w:t>
            </w:r>
          </w:p>
        </w:tc>
        <w:tc>
          <w:tcPr>
            <w:tcW w:w="1207" w:type="dxa"/>
            <w:shd w:val="clear" w:color="auto" w:fill="auto"/>
            <w:vAlign w:val="center"/>
          </w:tcPr>
          <w:p w14:paraId="49EC772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478 000,00 </w:t>
            </w:r>
          </w:p>
        </w:tc>
        <w:tc>
          <w:tcPr>
            <w:tcW w:w="1058" w:type="dxa"/>
            <w:shd w:val="clear" w:color="auto" w:fill="auto"/>
            <w:vAlign w:val="center"/>
          </w:tcPr>
          <w:p w14:paraId="0FA4668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30FEA5A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3425081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478 000,00 </w:t>
            </w:r>
          </w:p>
        </w:tc>
        <w:tc>
          <w:tcPr>
            <w:tcW w:w="1364" w:type="dxa"/>
            <w:shd w:val="clear" w:color="auto" w:fill="auto"/>
            <w:vAlign w:val="center"/>
          </w:tcPr>
          <w:p w14:paraId="0BB4958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29D92BD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0B73C21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14D04C2B" w14:textId="77777777" w:rsidTr="00F30E80">
        <w:trPr>
          <w:trHeight w:val="300"/>
          <w:jc w:val="center"/>
        </w:trPr>
        <w:tc>
          <w:tcPr>
            <w:tcW w:w="1805" w:type="dxa"/>
            <w:shd w:val="clear" w:color="auto" w:fill="auto"/>
            <w:vAlign w:val="center"/>
          </w:tcPr>
          <w:p w14:paraId="20D7DDD9"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1.4 : Ressources humaines</w:t>
            </w:r>
          </w:p>
        </w:tc>
        <w:tc>
          <w:tcPr>
            <w:tcW w:w="1207" w:type="dxa"/>
            <w:shd w:val="clear" w:color="auto" w:fill="auto"/>
            <w:vAlign w:val="center"/>
          </w:tcPr>
          <w:p w14:paraId="14667EE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140 000,00 </w:t>
            </w:r>
          </w:p>
        </w:tc>
        <w:tc>
          <w:tcPr>
            <w:tcW w:w="1058" w:type="dxa"/>
            <w:shd w:val="clear" w:color="auto" w:fill="auto"/>
            <w:vAlign w:val="center"/>
          </w:tcPr>
          <w:p w14:paraId="3B1F898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5 600,00 </w:t>
            </w:r>
          </w:p>
        </w:tc>
        <w:tc>
          <w:tcPr>
            <w:tcW w:w="1312" w:type="dxa"/>
            <w:shd w:val="clear" w:color="auto" w:fill="auto"/>
            <w:vAlign w:val="center"/>
          </w:tcPr>
          <w:p w14:paraId="43EB2A6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2FC673A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140 000,00 </w:t>
            </w:r>
          </w:p>
        </w:tc>
        <w:tc>
          <w:tcPr>
            <w:tcW w:w="1364" w:type="dxa"/>
            <w:shd w:val="clear" w:color="auto" w:fill="auto"/>
            <w:vAlign w:val="center"/>
          </w:tcPr>
          <w:p w14:paraId="6B4FBD6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6D21522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3258D42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2C6EE3BF" w14:textId="77777777" w:rsidTr="00F30E80">
        <w:trPr>
          <w:trHeight w:val="300"/>
          <w:jc w:val="center"/>
        </w:trPr>
        <w:tc>
          <w:tcPr>
            <w:tcW w:w="1805" w:type="dxa"/>
            <w:shd w:val="clear" w:color="auto" w:fill="auto"/>
            <w:vAlign w:val="center"/>
          </w:tcPr>
          <w:p w14:paraId="1606B93B"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Effet 2</w:t>
            </w:r>
          </w:p>
        </w:tc>
        <w:tc>
          <w:tcPr>
            <w:tcW w:w="1207" w:type="dxa"/>
            <w:shd w:val="clear" w:color="auto" w:fill="auto"/>
            <w:vAlign w:val="center"/>
          </w:tcPr>
          <w:p w14:paraId="1AFCDB5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1 754 637 </w:t>
            </w:r>
          </w:p>
        </w:tc>
        <w:tc>
          <w:tcPr>
            <w:tcW w:w="1058" w:type="dxa"/>
            <w:shd w:val="clear" w:color="auto" w:fill="auto"/>
            <w:vAlign w:val="center"/>
          </w:tcPr>
          <w:p w14:paraId="71772FF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5 600 </w:t>
            </w:r>
          </w:p>
        </w:tc>
        <w:tc>
          <w:tcPr>
            <w:tcW w:w="1312" w:type="dxa"/>
            <w:shd w:val="clear" w:color="auto" w:fill="auto"/>
            <w:vAlign w:val="center"/>
          </w:tcPr>
          <w:p w14:paraId="0478A3C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2330AD7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1 754 637 </w:t>
            </w:r>
          </w:p>
        </w:tc>
        <w:tc>
          <w:tcPr>
            <w:tcW w:w="1364" w:type="dxa"/>
            <w:shd w:val="clear" w:color="auto" w:fill="auto"/>
            <w:vAlign w:val="center"/>
          </w:tcPr>
          <w:p w14:paraId="1D7A83D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0020CD5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05731EB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4FB10943" w14:textId="77777777" w:rsidTr="00F30E80">
        <w:trPr>
          <w:trHeight w:val="300"/>
          <w:jc w:val="center"/>
        </w:trPr>
        <w:tc>
          <w:tcPr>
            <w:tcW w:w="1805" w:type="dxa"/>
            <w:shd w:val="clear" w:color="auto" w:fill="auto"/>
            <w:vAlign w:val="center"/>
          </w:tcPr>
          <w:p w14:paraId="3523E93F"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2.1</w:t>
            </w:r>
          </w:p>
        </w:tc>
        <w:tc>
          <w:tcPr>
            <w:tcW w:w="1207" w:type="dxa"/>
            <w:shd w:val="clear" w:color="auto" w:fill="auto"/>
            <w:vAlign w:val="center"/>
          </w:tcPr>
          <w:p w14:paraId="3DB7D4C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186 000,00 </w:t>
            </w:r>
          </w:p>
        </w:tc>
        <w:tc>
          <w:tcPr>
            <w:tcW w:w="1058" w:type="dxa"/>
            <w:shd w:val="clear" w:color="auto" w:fill="auto"/>
            <w:vAlign w:val="center"/>
          </w:tcPr>
          <w:p w14:paraId="506B22B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3920644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2AB3094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186 000,00 </w:t>
            </w:r>
          </w:p>
        </w:tc>
        <w:tc>
          <w:tcPr>
            <w:tcW w:w="1364" w:type="dxa"/>
            <w:shd w:val="clear" w:color="auto" w:fill="auto"/>
          </w:tcPr>
          <w:p w14:paraId="31779F5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5528AF6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14DF259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776E55E5" w14:textId="77777777" w:rsidTr="00F30E80">
        <w:trPr>
          <w:trHeight w:val="300"/>
          <w:jc w:val="center"/>
        </w:trPr>
        <w:tc>
          <w:tcPr>
            <w:tcW w:w="1805" w:type="dxa"/>
            <w:shd w:val="clear" w:color="auto" w:fill="auto"/>
            <w:vAlign w:val="center"/>
          </w:tcPr>
          <w:p w14:paraId="55BD2428"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2.2</w:t>
            </w:r>
          </w:p>
        </w:tc>
        <w:tc>
          <w:tcPr>
            <w:tcW w:w="1207" w:type="dxa"/>
            <w:shd w:val="clear" w:color="auto" w:fill="auto"/>
            <w:vAlign w:val="center"/>
          </w:tcPr>
          <w:p w14:paraId="5421040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225 000,00 </w:t>
            </w:r>
          </w:p>
        </w:tc>
        <w:tc>
          <w:tcPr>
            <w:tcW w:w="1058" w:type="dxa"/>
            <w:shd w:val="clear" w:color="auto" w:fill="auto"/>
            <w:vAlign w:val="center"/>
          </w:tcPr>
          <w:p w14:paraId="11A5215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06FBFBE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0BFC118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225 000,00 </w:t>
            </w:r>
          </w:p>
        </w:tc>
        <w:tc>
          <w:tcPr>
            <w:tcW w:w="1364" w:type="dxa"/>
            <w:shd w:val="clear" w:color="auto" w:fill="auto"/>
          </w:tcPr>
          <w:p w14:paraId="603959D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1339236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120F7E5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7E2B4211" w14:textId="77777777" w:rsidTr="00F30E80">
        <w:trPr>
          <w:trHeight w:val="300"/>
          <w:jc w:val="center"/>
        </w:trPr>
        <w:tc>
          <w:tcPr>
            <w:tcW w:w="1805" w:type="dxa"/>
            <w:shd w:val="clear" w:color="auto" w:fill="auto"/>
            <w:vAlign w:val="center"/>
          </w:tcPr>
          <w:p w14:paraId="5EE23C48"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2.3</w:t>
            </w:r>
          </w:p>
        </w:tc>
        <w:tc>
          <w:tcPr>
            <w:tcW w:w="1207" w:type="dxa"/>
            <w:shd w:val="clear" w:color="auto" w:fill="auto"/>
            <w:vAlign w:val="center"/>
          </w:tcPr>
          <w:p w14:paraId="282F8D5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990 836,50 </w:t>
            </w:r>
          </w:p>
        </w:tc>
        <w:tc>
          <w:tcPr>
            <w:tcW w:w="1058" w:type="dxa"/>
            <w:shd w:val="clear" w:color="auto" w:fill="auto"/>
            <w:vAlign w:val="center"/>
          </w:tcPr>
          <w:p w14:paraId="434F289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4ED5E43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7EA1731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990 836,50 </w:t>
            </w:r>
          </w:p>
        </w:tc>
        <w:tc>
          <w:tcPr>
            <w:tcW w:w="1364" w:type="dxa"/>
            <w:shd w:val="clear" w:color="auto" w:fill="auto"/>
          </w:tcPr>
          <w:p w14:paraId="12C81F8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226E5B7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7EB8449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2D72E922" w14:textId="77777777" w:rsidTr="00F30E80">
        <w:trPr>
          <w:trHeight w:val="300"/>
          <w:jc w:val="center"/>
        </w:trPr>
        <w:tc>
          <w:tcPr>
            <w:tcW w:w="1805" w:type="dxa"/>
            <w:shd w:val="clear" w:color="auto" w:fill="auto"/>
            <w:vAlign w:val="center"/>
          </w:tcPr>
          <w:p w14:paraId="5C928CD2"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2.4</w:t>
            </w:r>
          </w:p>
        </w:tc>
        <w:tc>
          <w:tcPr>
            <w:tcW w:w="1207" w:type="dxa"/>
            <w:shd w:val="clear" w:color="auto" w:fill="auto"/>
            <w:vAlign w:val="center"/>
          </w:tcPr>
          <w:p w14:paraId="7D313DD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100 000,00 </w:t>
            </w:r>
          </w:p>
        </w:tc>
        <w:tc>
          <w:tcPr>
            <w:tcW w:w="1058" w:type="dxa"/>
            <w:shd w:val="clear" w:color="auto" w:fill="auto"/>
            <w:vAlign w:val="center"/>
          </w:tcPr>
          <w:p w14:paraId="651F1E8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75E1FED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79F9B4D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100 000,00 </w:t>
            </w:r>
          </w:p>
        </w:tc>
        <w:tc>
          <w:tcPr>
            <w:tcW w:w="1364" w:type="dxa"/>
            <w:shd w:val="clear" w:color="auto" w:fill="auto"/>
          </w:tcPr>
          <w:p w14:paraId="7B9AEA4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011A87B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71D5ADA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076752D0" w14:textId="77777777" w:rsidTr="00F30E80">
        <w:trPr>
          <w:trHeight w:val="300"/>
          <w:jc w:val="center"/>
        </w:trPr>
        <w:tc>
          <w:tcPr>
            <w:tcW w:w="1805" w:type="dxa"/>
            <w:shd w:val="clear" w:color="auto" w:fill="auto"/>
            <w:vAlign w:val="center"/>
          </w:tcPr>
          <w:p w14:paraId="2C669518"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2.5: Ressources humaines</w:t>
            </w:r>
          </w:p>
        </w:tc>
        <w:tc>
          <w:tcPr>
            <w:tcW w:w="1207" w:type="dxa"/>
            <w:shd w:val="clear" w:color="auto" w:fill="auto"/>
            <w:vAlign w:val="center"/>
          </w:tcPr>
          <w:p w14:paraId="7672881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252 800,00 </w:t>
            </w:r>
          </w:p>
        </w:tc>
        <w:tc>
          <w:tcPr>
            <w:tcW w:w="1058" w:type="dxa"/>
            <w:shd w:val="clear" w:color="auto" w:fill="auto"/>
            <w:vAlign w:val="center"/>
          </w:tcPr>
          <w:p w14:paraId="22DBDA6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5 600,00 </w:t>
            </w:r>
          </w:p>
        </w:tc>
        <w:tc>
          <w:tcPr>
            <w:tcW w:w="1312" w:type="dxa"/>
            <w:shd w:val="clear" w:color="auto" w:fill="auto"/>
            <w:vAlign w:val="center"/>
          </w:tcPr>
          <w:p w14:paraId="6756B1F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03F5C63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252 800,00 </w:t>
            </w:r>
          </w:p>
        </w:tc>
        <w:tc>
          <w:tcPr>
            <w:tcW w:w="1364" w:type="dxa"/>
            <w:shd w:val="clear" w:color="auto" w:fill="auto"/>
            <w:vAlign w:val="center"/>
          </w:tcPr>
          <w:p w14:paraId="06C301E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022BE7E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696CA0F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0015C498" w14:textId="77777777" w:rsidTr="00F30E80">
        <w:trPr>
          <w:trHeight w:val="300"/>
          <w:jc w:val="center"/>
        </w:trPr>
        <w:tc>
          <w:tcPr>
            <w:tcW w:w="1805" w:type="dxa"/>
            <w:shd w:val="clear" w:color="auto" w:fill="auto"/>
            <w:vAlign w:val="center"/>
          </w:tcPr>
          <w:p w14:paraId="21E0B973"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Effet 3</w:t>
            </w:r>
          </w:p>
        </w:tc>
        <w:tc>
          <w:tcPr>
            <w:tcW w:w="1207" w:type="dxa"/>
            <w:shd w:val="clear" w:color="auto" w:fill="auto"/>
            <w:vAlign w:val="center"/>
          </w:tcPr>
          <w:p w14:paraId="453739F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3 849 431 </w:t>
            </w:r>
          </w:p>
        </w:tc>
        <w:tc>
          <w:tcPr>
            <w:tcW w:w="1058" w:type="dxa"/>
            <w:shd w:val="clear" w:color="auto" w:fill="auto"/>
            <w:vAlign w:val="center"/>
          </w:tcPr>
          <w:p w14:paraId="72B83DC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31 500 </w:t>
            </w:r>
          </w:p>
        </w:tc>
        <w:tc>
          <w:tcPr>
            <w:tcW w:w="1312" w:type="dxa"/>
            <w:shd w:val="clear" w:color="auto" w:fill="auto"/>
            <w:vAlign w:val="center"/>
          </w:tcPr>
          <w:p w14:paraId="2126F53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16 787,66 </w:t>
            </w:r>
          </w:p>
        </w:tc>
        <w:tc>
          <w:tcPr>
            <w:tcW w:w="1134" w:type="dxa"/>
            <w:shd w:val="clear" w:color="auto" w:fill="auto"/>
            <w:vAlign w:val="center"/>
          </w:tcPr>
          <w:p w14:paraId="6E9993B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3 83</w:t>
            </w:r>
            <w:r>
              <w:rPr>
                <w:rFonts w:ascii="Avenir" w:eastAsia="Avenir" w:hAnsi="Avenir" w:cs="Avenir"/>
                <w:sz w:val="16"/>
                <w:szCs w:val="16"/>
              </w:rPr>
              <w:t>2</w:t>
            </w:r>
            <w:r w:rsidRPr="00DB6E6D">
              <w:rPr>
                <w:rFonts w:ascii="Avenir" w:eastAsia="Avenir" w:hAnsi="Avenir" w:cs="Avenir"/>
                <w:sz w:val="16"/>
                <w:szCs w:val="16"/>
              </w:rPr>
              <w:t xml:space="preserve"> </w:t>
            </w:r>
            <w:r>
              <w:rPr>
                <w:rFonts w:ascii="Avenir" w:eastAsia="Avenir" w:hAnsi="Avenir" w:cs="Avenir"/>
                <w:sz w:val="16"/>
                <w:szCs w:val="16"/>
              </w:rPr>
              <w:t>643,24</w:t>
            </w:r>
            <w:r w:rsidRPr="00DB6E6D">
              <w:rPr>
                <w:rFonts w:ascii="Avenir" w:eastAsia="Avenir" w:hAnsi="Avenir" w:cs="Avenir"/>
                <w:sz w:val="16"/>
                <w:szCs w:val="16"/>
              </w:rPr>
              <w:t xml:space="preserve"> </w:t>
            </w:r>
          </w:p>
        </w:tc>
        <w:tc>
          <w:tcPr>
            <w:tcW w:w="1364" w:type="dxa"/>
            <w:shd w:val="clear" w:color="auto" w:fill="auto"/>
            <w:vAlign w:val="center"/>
          </w:tcPr>
          <w:p w14:paraId="14C5E7A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53,3%</w:t>
            </w:r>
          </w:p>
        </w:tc>
        <w:tc>
          <w:tcPr>
            <w:tcW w:w="1329" w:type="dxa"/>
            <w:vAlign w:val="center"/>
          </w:tcPr>
          <w:p w14:paraId="0754761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0,4</w:t>
            </w:r>
            <w:r>
              <w:rPr>
                <w:rFonts w:ascii="Avenir" w:eastAsia="Avenir" w:hAnsi="Avenir" w:cs="Avenir"/>
                <w:sz w:val="16"/>
                <w:szCs w:val="16"/>
              </w:rPr>
              <w:t>4</w:t>
            </w:r>
            <w:r w:rsidRPr="00DB6E6D">
              <w:rPr>
                <w:rFonts w:ascii="Avenir" w:eastAsia="Avenir" w:hAnsi="Avenir" w:cs="Avenir"/>
                <w:sz w:val="16"/>
                <w:szCs w:val="16"/>
              </w:rPr>
              <w:t>%</w:t>
            </w:r>
          </w:p>
        </w:tc>
        <w:tc>
          <w:tcPr>
            <w:tcW w:w="897" w:type="dxa"/>
            <w:vAlign w:val="center"/>
          </w:tcPr>
          <w:p w14:paraId="4E431F5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4F9841A4" w14:textId="77777777" w:rsidTr="00F30E80">
        <w:trPr>
          <w:trHeight w:val="300"/>
          <w:jc w:val="center"/>
        </w:trPr>
        <w:tc>
          <w:tcPr>
            <w:tcW w:w="1805" w:type="dxa"/>
            <w:shd w:val="clear" w:color="auto" w:fill="auto"/>
            <w:vAlign w:val="center"/>
          </w:tcPr>
          <w:p w14:paraId="5E239DFC"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3.1</w:t>
            </w:r>
          </w:p>
        </w:tc>
        <w:tc>
          <w:tcPr>
            <w:tcW w:w="1207" w:type="dxa"/>
            <w:shd w:val="clear" w:color="auto" w:fill="auto"/>
            <w:vAlign w:val="center"/>
          </w:tcPr>
          <w:p w14:paraId="1770B12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116 000,00 </w:t>
            </w:r>
          </w:p>
        </w:tc>
        <w:tc>
          <w:tcPr>
            <w:tcW w:w="1058" w:type="dxa"/>
            <w:shd w:val="clear" w:color="auto" w:fill="auto"/>
            <w:vAlign w:val="center"/>
          </w:tcPr>
          <w:p w14:paraId="5949F0A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04A2005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6249,79 </w:t>
            </w:r>
          </w:p>
        </w:tc>
        <w:tc>
          <w:tcPr>
            <w:tcW w:w="1134" w:type="dxa"/>
            <w:shd w:val="clear" w:color="auto" w:fill="auto"/>
            <w:vAlign w:val="center"/>
          </w:tcPr>
          <w:p w14:paraId="55F338D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w:t>
            </w:r>
            <w:r>
              <w:rPr>
                <w:rFonts w:ascii="Avenir" w:eastAsia="Avenir" w:hAnsi="Avenir" w:cs="Avenir"/>
                <w:sz w:val="16"/>
                <w:szCs w:val="16"/>
              </w:rPr>
              <w:t>09</w:t>
            </w:r>
            <w:r w:rsidRPr="00DB6E6D">
              <w:rPr>
                <w:rFonts w:ascii="Avenir" w:eastAsia="Avenir" w:hAnsi="Avenir" w:cs="Avenir"/>
                <w:sz w:val="16"/>
                <w:szCs w:val="16"/>
              </w:rPr>
              <w:t xml:space="preserve"> </w:t>
            </w:r>
            <w:r>
              <w:rPr>
                <w:rFonts w:ascii="Avenir" w:eastAsia="Avenir" w:hAnsi="Avenir" w:cs="Avenir"/>
                <w:sz w:val="16"/>
                <w:szCs w:val="16"/>
              </w:rPr>
              <w:t>750</w:t>
            </w:r>
            <w:r w:rsidRPr="00DB6E6D">
              <w:rPr>
                <w:rFonts w:ascii="Avenir" w:eastAsia="Avenir" w:hAnsi="Avenir" w:cs="Avenir"/>
                <w:sz w:val="16"/>
                <w:szCs w:val="16"/>
              </w:rPr>
              <w:t>,</w:t>
            </w:r>
            <w:r>
              <w:rPr>
                <w:rFonts w:ascii="Avenir" w:eastAsia="Avenir" w:hAnsi="Avenir" w:cs="Avenir"/>
                <w:sz w:val="16"/>
                <w:szCs w:val="16"/>
              </w:rPr>
              <w:t>21</w:t>
            </w:r>
            <w:r w:rsidRPr="00DB6E6D">
              <w:rPr>
                <w:rFonts w:ascii="Avenir" w:eastAsia="Avenir" w:hAnsi="Avenir" w:cs="Avenir"/>
                <w:sz w:val="16"/>
                <w:szCs w:val="16"/>
              </w:rPr>
              <w:t xml:space="preserve"> </w:t>
            </w:r>
          </w:p>
        </w:tc>
        <w:tc>
          <w:tcPr>
            <w:tcW w:w="1364" w:type="dxa"/>
            <w:shd w:val="clear" w:color="auto" w:fill="auto"/>
            <w:vAlign w:val="center"/>
          </w:tcPr>
          <w:p w14:paraId="6ED8248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29" w:type="dxa"/>
            <w:vAlign w:val="center"/>
          </w:tcPr>
          <w:p w14:paraId="74FF725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5,4</w:t>
            </w:r>
            <w:r w:rsidRPr="00DB6E6D">
              <w:rPr>
                <w:rFonts w:ascii="Avenir" w:eastAsia="Avenir" w:hAnsi="Avenir" w:cs="Avenir"/>
                <w:sz w:val="16"/>
                <w:szCs w:val="16"/>
              </w:rPr>
              <w:t>%</w:t>
            </w:r>
          </w:p>
        </w:tc>
        <w:tc>
          <w:tcPr>
            <w:tcW w:w="897" w:type="dxa"/>
            <w:vAlign w:val="center"/>
          </w:tcPr>
          <w:p w14:paraId="06D25F2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0FE87EAB" w14:textId="77777777" w:rsidTr="00F30E80">
        <w:trPr>
          <w:trHeight w:val="300"/>
          <w:jc w:val="center"/>
        </w:trPr>
        <w:tc>
          <w:tcPr>
            <w:tcW w:w="1805" w:type="dxa"/>
            <w:shd w:val="clear" w:color="auto" w:fill="auto"/>
            <w:vAlign w:val="center"/>
          </w:tcPr>
          <w:p w14:paraId="1F1B0373"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3.2</w:t>
            </w:r>
          </w:p>
        </w:tc>
        <w:tc>
          <w:tcPr>
            <w:tcW w:w="1207" w:type="dxa"/>
            <w:shd w:val="clear" w:color="auto" w:fill="auto"/>
            <w:vAlign w:val="center"/>
          </w:tcPr>
          <w:p w14:paraId="6A60289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21 630,90 </w:t>
            </w:r>
          </w:p>
        </w:tc>
        <w:tc>
          <w:tcPr>
            <w:tcW w:w="1058" w:type="dxa"/>
            <w:shd w:val="clear" w:color="auto" w:fill="auto"/>
            <w:vAlign w:val="center"/>
          </w:tcPr>
          <w:p w14:paraId="0601420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794FE4D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090A9FB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21 630,90 </w:t>
            </w:r>
          </w:p>
        </w:tc>
        <w:tc>
          <w:tcPr>
            <w:tcW w:w="1364" w:type="dxa"/>
            <w:shd w:val="clear" w:color="auto" w:fill="auto"/>
          </w:tcPr>
          <w:p w14:paraId="779EDFE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2500EE1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2FBA0F4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2489D36B" w14:textId="77777777" w:rsidTr="00F30E80">
        <w:trPr>
          <w:trHeight w:val="300"/>
          <w:jc w:val="center"/>
        </w:trPr>
        <w:tc>
          <w:tcPr>
            <w:tcW w:w="1805" w:type="dxa"/>
            <w:shd w:val="clear" w:color="auto" w:fill="auto"/>
            <w:vAlign w:val="center"/>
          </w:tcPr>
          <w:p w14:paraId="65502D3A"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3.3</w:t>
            </w:r>
          </w:p>
        </w:tc>
        <w:tc>
          <w:tcPr>
            <w:tcW w:w="1207" w:type="dxa"/>
            <w:shd w:val="clear" w:color="auto" w:fill="auto"/>
            <w:vAlign w:val="center"/>
          </w:tcPr>
          <w:p w14:paraId="4FE3F25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1 190 000,00 </w:t>
            </w:r>
          </w:p>
        </w:tc>
        <w:tc>
          <w:tcPr>
            <w:tcW w:w="1058" w:type="dxa"/>
            <w:shd w:val="clear" w:color="auto" w:fill="auto"/>
            <w:vAlign w:val="center"/>
          </w:tcPr>
          <w:p w14:paraId="76D5FA5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09F258B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31422E7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1 190 000,00 </w:t>
            </w:r>
          </w:p>
        </w:tc>
        <w:tc>
          <w:tcPr>
            <w:tcW w:w="1364" w:type="dxa"/>
            <w:shd w:val="clear" w:color="auto" w:fill="auto"/>
          </w:tcPr>
          <w:p w14:paraId="52FC3CE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31B8547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078C183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262AAC68" w14:textId="77777777" w:rsidTr="00F30E80">
        <w:trPr>
          <w:trHeight w:val="300"/>
          <w:jc w:val="center"/>
        </w:trPr>
        <w:tc>
          <w:tcPr>
            <w:tcW w:w="1805" w:type="dxa"/>
            <w:shd w:val="clear" w:color="auto" w:fill="auto"/>
            <w:vAlign w:val="center"/>
          </w:tcPr>
          <w:p w14:paraId="568076C1"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3.4</w:t>
            </w:r>
          </w:p>
        </w:tc>
        <w:tc>
          <w:tcPr>
            <w:tcW w:w="1207" w:type="dxa"/>
            <w:shd w:val="clear" w:color="auto" w:fill="auto"/>
            <w:vAlign w:val="center"/>
          </w:tcPr>
          <w:p w14:paraId="19589D8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1 687 500,00 </w:t>
            </w:r>
          </w:p>
        </w:tc>
        <w:tc>
          <w:tcPr>
            <w:tcW w:w="1058" w:type="dxa"/>
            <w:shd w:val="clear" w:color="auto" w:fill="auto"/>
            <w:vAlign w:val="center"/>
          </w:tcPr>
          <w:p w14:paraId="779F646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38DCD8D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0B781E0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1 687 500,00 </w:t>
            </w:r>
          </w:p>
        </w:tc>
        <w:tc>
          <w:tcPr>
            <w:tcW w:w="1364" w:type="dxa"/>
            <w:shd w:val="clear" w:color="auto" w:fill="auto"/>
            <w:vAlign w:val="center"/>
          </w:tcPr>
          <w:p w14:paraId="1A23DB0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29" w:type="dxa"/>
            <w:vAlign w:val="center"/>
          </w:tcPr>
          <w:p w14:paraId="6C96DDD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72C90DF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2E02657E" w14:textId="77777777" w:rsidTr="00F30E80">
        <w:trPr>
          <w:trHeight w:val="300"/>
          <w:jc w:val="center"/>
        </w:trPr>
        <w:tc>
          <w:tcPr>
            <w:tcW w:w="1805" w:type="dxa"/>
            <w:shd w:val="clear" w:color="auto" w:fill="auto"/>
            <w:vAlign w:val="center"/>
          </w:tcPr>
          <w:p w14:paraId="4E24D13F"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3.5</w:t>
            </w:r>
          </w:p>
        </w:tc>
        <w:tc>
          <w:tcPr>
            <w:tcW w:w="1207" w:type="dxa"/>
            <w:shd w:val="clear" w:color="auto" w:fill="auto"/>
            <w:vAlign w:val="center"/>
          </w:tcPr>
          <w:p w14:paraId="757C31F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55 000,00 </w:t>
            </w:r>
          </w:p>
        </w:tc>
        <w:tc>
          <w:tcPr>
            <w:tcW w:w="1058" w:type="dxa"/>
            <w:shd w:val="clear" w:color="auto" w:fill="auto"/>
            <w:vAlign w:val="center"/>
          </w:tcPr>
          <w:p w14:paraId="3895563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5418C66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5580627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55 000,00 </w:t>
            </w:r>
          </w:p>
        </w:tc>
        <w:tc>
          <w:tcPr>
            <w:tcW w:w="1364" w:type="dxa"/>
            <w:shd w:val="clear" w:color="auto" w:fill="auto"/>
            <w:vAlign w:val="center"/>
          </w:tcPr>
          <w:p w14:paraId="394F460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29" w:type="dxa"/>
            <w:vAlign w:val="center"/>
          </w:tcPr>
          <w:p w14:paraId="313E549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3F40A4E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2A88EF6A" w14:textId="77777777" w:rsidTr="00F30E80">
        <w:trPr>
          <w:trHeight w:val="300"/>
          <w:jc w:val="center"/>
        </w:trPr>
        <w:tc>
          <w:tcPr>
            <w:tcW w:w="1805" w:type="dxa"/>
            <w:shd w:val="clear" w:color="auto" w:fill="auto"/>
            <w:vAlign w:val="center"/>
          </w:tcPr>
          <w:p w14:paraId="2CFC6220"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3.6</w:t>
            </w:r>
          </w:p>
        </w:tc>
        <w:tc>
          <w:tcPr>
            <w:tcW w:w="1207" w:type="dxa"/>
            <w:shd w:val="clear" w:color="auto" w:fill="auto"/>
            <w:vAlign w:val="center"/>
          </w:tcPr>
          <w:p w14:paraId="694D26C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230 000,00 </w:t>
            </w:r>
          </w:p>
        </w:tc>
        <w:tc>
          <w:tcPr>
            <w:tcW w:w="1058" w:type="dxa"/>
            <w:shd w:val="clear" w:color="auto" w:fill="auto"/>
            <w:vAlign w:val="center"/>
          </w:tcPr>
          <w:p w14:paraId="4FD6D47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7FA1264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64465E3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230 000,00 </w:t>
            </w:r>
          </w:p>
        </w:tc>
        <w:tc>
          <w:tcPr>
            <w:tcW w:w="1364" w:type="dxa"/>
            <w:shd w:val="clear" w:color="auto" w:fill="auto"/>
            <w:vAlign w:val="center"/>
          </w:tcPr>
          <w:p w14:paraId="7A99378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62F3FDD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455D6217"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14C7EFDA" w14:textId="77777777" w:rsidTr="00F30E80">
        <w:trPr>
          <w:trHeight w:val="300"/>
          <w:jc w:val="center"/>
        </w:trPr>
        <w:tc>
          <w:tcPr>
            <w:tcW w:w="1805" w:type="dxa"/>
            <w:shd w:val="clear" w:color="auto" w:fill="auto"/>
            <w:vAlign w:val="center"/>
          </w:tcPr>
          <w:p w14:paraId="62556DED"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3.7 : Ressources humaines et moyens dédiés</w:t>
            </w:r>
          </w:p>
        </w:tc>
        <w:tc>
          <w:tcPr>
            <w:tcW w:w="1207" w:type="dxa"/>
            <w:shd w:val="clear" w:color="auto" w:fill="auto"/>
            <w:vAlign w:val="center"/>
          </w:tcPr>
          <w:p w14:paraId="026714B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549 300,00 </w:t>
            </w:r>
          </w:p>
        </w:tc>
        <w:tc>
          <w:tcPr>
            <w:tcW w:w="1058" w:type="dxa"/>
            <w:shd w:val="clear" w:color="auto" w:fill="auto"/>
            <w:vAlign w:val="center"/>
          </w:tcPr>
          <w:p w14:paraId="4791538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31 500,00 </w:t>
            </w:r>
          </w:p>
        </w:tc>
        <w:tc>
          <w:tcPr>
            <w:tcW w:w="1312" w:type="dxa"/>
            <w:shd w:val="clear" w:color="auto" w:fill="auto"/>
            <w:vAlign w:val="center"/>
          </w:tcPr>
          <w:p w14:paraId="2D3DD5E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10 537,87 </w:t>
            </w:r>
          </w:p>
        </w:tc>
        <w:tc>
          <w:tcPr>
            <w:tcW w:w="1134" w:type="dxa"/>
            <w:shd w:val="clear" w:color="auto" w:fill="auto"/>
            <w:vAlign w:val="center"/>
          </w:tcPr>
          <w:p w14:paraId="384405C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538 762,13 </w:t>
            </w:r>
          </w:p>
        </w:tc>
        <w:tc>
          <w:tcPr>
            <w:tcW w:w="1364" w:type="dxa"/>
            <w:shd w:val="clear" w:color="auto" w:fill="auto"/>
            <w:vAlign w:val="center"/>
          </w:tcPr>
          <w:p w14:paraId="249EEE6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33,6%</w:t>
            </w:r>
          </w:p>
        </w:tc>
        <w:tc>
          <w:tcPr>
            <w:tcW w:w="1329" w:type="dxa"/>
            <w:vAlign w:val="center"/>
          </w:tcPr>
          <w:p w14:paraId="002D8F7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2</w:t>
            </w:r>
            <w:r w:rsidRPr="00DB6E6D">
              <w:rPr>
                <w:rFonts w:ascii="Avenir" w:eastAsia="Avenir" w:hAnsi="Avenir" w:cs="Avenir"/>
                <w:sz w:val="16"/>
                <w:szCs w:val="16"/>
              </w:rPr>
              <w:t>%</w:t>
            </w:r>
          </w:p>
        </w:tc>
        <w:tc>
          <w:tcPr>
            <w:tcW w:w="897" w:type="dxa"/>
            <w:vAlign w:val="center"/>
          </w:tcPr>
          <w:p w14:paraId="6EE6514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7B651668" w14:textId="77777777" w:rsidTr="00F30E80">
        <w:trPr>
          <w:trHeight w:val="300"/>
          <w:jc w:val="center"/>
        </w:trPr>
        <w:tc>
          <w:tcPr>
            <w:tcW w:w="1805" w:type="dxa"/>
            <w:shd w:val="clear" w:color="auto" w:fill="auto"/>
            <w:vAlign w:val="center"/>
          </w:tcPr>
          <w:p w14:paraId="554939C3"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Effet 4</w:t>
            </w:r>
          </w:p>
        </w:tc>
        <w:tc>
          <w:tcPr>
            <w:tcW w:w="1207" w:type="dxa"/>
            <w:shd w:val="clear" w:color="auto" w:fill="auto"/>
            <w:vAlign w:val="center"/>
          </w:tcPr>
          <w:p w14:paraId="7539D73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6 038 360 </w:t>
            </w:r>
          </w:p>
        </w:tc>
        <w:tc>
          <w:tcPr>
            <w:tcW w:w="1058" w:type="dxa"/>
            <w:shd w:val="clear" w:color="auto" w:fill="auto"/>
            <w:vAlign w:val="center"/>
          </w:tcPr>
          <w:p w14:paraId="4701351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129 210 </w:t>
            </w:r>
          </w:p>
        </w:tc>
        <w:tc>
          <w:tcPr>
            <w:tcW w:w="1312" w:type="dxa"/>
            <w:shd w:val="clear" w:color="auto" w:fill="auto"/>
            <w:vAlign w:val="center"/>
          </w:tcPr>
          <w:p w14:paraId="145F69F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16 54</w:t>
            </w:r>
            <w:r>
              <w:rPr>
                <w:rFonts w:ascii="Avenir" w:eastAsia="Avenir" w:hAnsi="Avenir" w:cs="Avenir"/>
                <w:sz w:val="16"/>
                <w:szCs w:val="16"/>
              </w:rPr>
              <w:t>0,92</w:t>
            </w:r>
          </w:p>
        </w:tc>
        <w:tc>
          <w:tcPr>
            <w:tcW w:w="1134" w:type="dxa"/>
            <w:shd w:val="clear" w:color="auto" w:fill="auto"/>
            <w:vAlign w:val="center"/>
          </w:tcPr>
          <w:p w14:paraId="2B6FCBD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6 021 819</w:t>
            </w:r>
            <w:r>
              <w:rPr>
                <w:rFonts w:ascii="Avenir" w:eastAsia="Avenir" w:hAnsi="Avenir" w:cs="Avenir"/>
                <w:sz w:val="16"/>
                <w:szCs w:val="16"/>
              </w:rPr>
              <w:t>,08</w:t>
            </w:r>
            <w:r w:rsidRPr="00DB6E6D">
              <w:rPr>
                <w:rFonts w:ascii="Avenir" w:eastAsia="Avenir" w:hAnsi="Avenir" w:cs="Avenir"/>
                <w:sz w:val="16"/>
                <w:szCs w:val="16"/>
              </w:rPr>
              <w:t xml:space="preserve"> </w:t>
            </w:r>
          </w:p>
        </w:tc>
        <w:tc>
          <w:tcPr>
            <w:tcW w:w="1364" w:type="dxa"/>
            <w:shd w:val="clear" w:color="auto" w:fill="auto"/>
            <w:vAlign w:val="center"/>
          </w:tcPr>
          <w:p w14:paraId="7AEBE50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12,8%</w:t>
            </w:r>
          </w:p>
        </w:tc>
        <w:tc>
          <w:tcPr>
            <w:tcW w:w="1329" w:type="dxa"/>
            <w:vAlign w:val="center"/>
          </w:tcPr>
          <w:p w14:paraId="46BE02E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0,3%</w:t>
            </w:r>
          </w:p>
        </w:tc>
        <w:tc>
          <w:tcPr>
            <w:tcW w:w="897" w:type="dxa"/>
            <w:vAlign w:val="center"/>
          </w:tcPr>
          <w:p w14:paraId="02831FB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081600AD" w14:textId="77777777" w:rsidTr="00F30E80">
        <w:trPr>
          <w:trHeight w:val="300"/>
          <w:jc w:val="center"/>
        </w:trPr>
        <w:tc>
          <w:tcPr>
            <w:tcW w:w="1805" w:type="dxa"/>
            <w:shd w:val="clear" w:color="auto" w:fill="auto"/>
            <w:vAlign w:val="center"/>
          </w:tcPr>
          <w:p w14:paraId="70198CF1"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4.1</w:t>
            </w:r>
          </w:p>
        </w:tc>
        <w:tc>
          <w:tcPr>
            <w:tcW w:w="1207" w:type="dxa"/>
            <w:shd w:val="clear" w:color="auto" w:fill="auto"/>
            <w:vAlign w:val="center"/>
          </w:tcPr>
          <w:p w14:paraId="1F40DF6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3 191 000,00 </w:t>
            </w:r>
          </w:p>
        </w:tc>
        <w:tc>
          <w:tcPr>
            <w:tcW w:w="1058" w:type="dxa"/>
            <w:shd w:val="clear" w:color="auto" w:fill="auto"/>
            <w:vAlign w:val="center"/>
          </w:tcPr>
          <w:p w14:paraId="16C6606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536C68C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00FC06E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3 191 000,00 </w:t>
            </w:r>
          </w:p>
        </w:tc>
        <w:tc>
          <w:tcPr>
            <w:tcW w:w="1364" w:type="dxa"/>
            <w:shd w:val="clear" w:color="auto" w:fill="auto"/>
          </w:tcPr>
          <w:p w14:paraId="5FA10A9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401FC0F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1D3B541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6E8A74AE" w14:textId="77777777" w:rsidTr="00F30E80">
        <w:trPr>
          <w:trHeight w:val="300"/>
          <w:jc w:val="center"/>
        </w:trPr>
        <w:tc>
          <w:tcPr>
            <w:tcW w:w="1805" w:type="dxa"/>
            <w:shd w:val="clear" w:color="auto" w:fill="auto"/>
            <w:vAlign w:val="center"/>
          </w:tcPr>
          <w:p w14:paraId="4F24AC29"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4.2</w:t>
            </w:r>
          </w:p>
        </w:tc>
        <w:tc>
          <w:tcPr>
            <w:tcW w:w="1207" w:type="dxa"/>
            <w:shd w:val="clear" w:color="auto" w:fill="auto"/>
            <w:vAlign w:val="center"/>
          </w:tcPr>
          <w:p w14:paraId="4CED8D6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250 000,00 </w:t>
            </w:r>
          </w:p>
        </w:tc>
        <w:tc>
          <w:tcPr>
            <w:tcW w:w="1058" w:type="dxa"/>
            <w:shd w:val="clear" w:color="auto" w:fill="auto"/>
            <w:vAlign w:val="center"/>
          </w:tcPr>
          <w:p w14:paraId="50560FC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10A7B54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0CE183C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250 000,00 </w:t>
            </w:r>
          </w:p>
        </w:tc>
        <w:tc>
          <w:tcPr>
            <w:tcW w:w="1364" w:type="dxa"/>
            <w:shd w:val="clear" w:color="auto" w:fill="auto"/>
          </w:tcPr>
          <w:p w14:paraId="4288A11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0E97B8C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6D97AB1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1F281AB6" w14:textId="77777777" w:rsidTr="00F30E80">
        <w:trPr>
          <w:trHeight w:val="300"/>
          <w:jc w:val="center"/>
        </w:trPr>
        <w:tc>
          <w:tcPr>
            <w:tcW w:w="1805" w:type="dxa"/>
            <w:shd w:val="clear" w:color="auto" w:fill="auto"/>
            <w:vAlign w:val="center"/>
          </w:tcPr>
          <w:p w14:paraId="50AB1864"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4.3</w:t>
            </w:r>
          </w:p>
        </w:tc>
        <w:tc>
          <w:tcPr>
            <w:tcW w:w="1207" w:type="dxa"/>
            <w:shd w:val="clear" w:color="auto" w:fill="auto"/>
            <w:vAlign w:val="center"/>
          </w:tcPr>
          <w:p w14:paraId="4ED3A4C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340 000,00 </w:t>
            </w:r>
          </w:p>
        </w:tc>
        <w:tc>
          <w:tcPr>
            <w:tcW w:w="1058" w:type="dxa"/>
            <w:shd w:val="clear" w:color="auto" w:fill="auto"/>
            <w:vAlign w:val="center"/>
          </w:tcPr>
          <w:p w14:paraId="2865F23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312" w:type="dxa"/>
            <w:shd w:val="clear" w:color="auto" w:fill="auto"/>
            <w:vAlign w:val="center"/>
          </w:tcPr>
          <w:p w14:paraId="6A0AD69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3CD837A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340 000,00 </w:t>
            </w:r>
          </w:p>
        </w:tc>
        <w:tc>
          <w:tcPr>
            <w:tcW w:w="1364" w:type="dxa"/>
            <w:shd w:val="clear" w:color="auto" w:fill="auto"/>
          </w:tcPr>
          <w:p w14:paraId="4DDCBE3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287B148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14D0891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3D94DA78" w14:textId="77777777" w:rsidTr="00F30E80">
        <w:trPr>
          <w:trHeight w:val="300"/>
          <w:jc w:val="center"/>
        </w:trPr>
        <w:tc>
          <w:tcPr>
            <w:tcW w:w="1805" w:type="dxa"/>
            <w:shd w:val="clear" w:color="auto" w:fill="auto"/>
            <w:vAlign w:val="center"/>
          </w:tcPr>
          <w:p w14:paraId="60958C69"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4.4</w:t>
            </w:r>
          </w:p>
        </w:tc>
        <w:tc>
          <w:tcPr>
            <w:tcW w:w="1207" w:type="dxa"/>
            <w:shd w:val="clear" w:color="auto" w:fill="auto"/>
            <w:vAlign w:val="center"/>
          </w:tcPr>
          <w:p w14:paraId="64387F3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260 000,00 </w:t>
            </w:r>
          </w:p>
        </w:tc>
        <w:tc>
          <w:tcPr>
            <w:tcW w:w="1058" w:type="dxa"/>
            <w:shd w:val="clear" w:color="auto" w:fill="auto"/>
            <w:vAlign w:val="center"/>
          </w:tcPr>
          <w:p w14:paraId="66766B5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1 000,00 </w:t>
            </w:r>
          </w:p>
        </w:tc>
        <w:tc>
          <w:tcPr>
            <w:tcW w:w="1312" w:type="dxa"/>
            <w:shd w:val="clear" w:color="auto" w:fill="auto"/>
            <w:vAlign w:val="center"/>
          </w:tcPr>
          <w:p w14:paraId="68004E6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c>
          <w:tcPr>
            <w:tcW w:w="1134" w:type="dxa"/>
            <w:shd w:val="clear" w:color="auto" w:fill="auto"/>
            <w:vAlign w:val="center"/>
          </w:tcPr>
          <w:p w14:paraId="6ECBC96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260 000,00 </w:t>
            </w:r>
          </w:p>
        </w:tc>
        <w:tc>
          <w:tcPr>
            <w:tcW w:w="1364" w:type="dxa"/>
            <w:shd w:val="clear" w:color="auto" w:fill="auto"/>
            <w:vAlign w:val="center"/>
          </w:tcPr>
          <w:p w14:paraId="1AFAA9B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vAlign w:val="center"/>
          </w:tcPr>
          <w:p w14:paraId="1D4ECDB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vAlign w:val="center"/>
          </w:tcPr>
          <w:p w14:paraId="7337C53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5B29E6A3" w14:textId="77777777" w:rsidTr="00F30E80">
        <w:trPr>
          <w:trHeight w:val="300"/>
          <w:jc w:val="center"/>
        </w:trPr>
        <w:tc>
          <w:tcPr>
            <w:tcW w:w="1805" w:type="dxa"/>
            <w:shd w:val="clear" w:color="auto" w:fill="auto"/>
            <w:vAlign w:val="center"/>
          </w:tcPr>
          <w:p w14:paraId="128DF634"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Produit 4.5 : Ressources humaines et moyens dédiés</w:t>
            </w:r>
          </w:p>
        </w:tc>
        <w:tc>
          <w:tcPr>
            <w:tcW w:w="1207" w:type="dxa"/>
            <w:shd w:val="clear" w:color="auto" w:fill="auto"/>
            <w:vAlign w:val="center"/>
          </w:tcPr>
          <w:p w14:paraId="6B2ADCBD"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1 997 360,00 </w:t>
            </w:r>
          </w:p>
        </w:tc>
        <w:tc>
          <w:tcPr>
            <w:tcW w:w="1058" w:type="dxa"/>
            <w:shd w:val="clear" w:color="auto" w:fill="auto"/>
            <w:vAlign w:val="center"/>
          </w:tcPr>
          <w:p w14:paraId="6663332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128 210,00 </w:t>
            </w:r>
          </w:p>
        </w:tc>
        <w:tc>
          <w:tcPr>
            <w:tcW w:w="1312" w:type="dxa"/>
            <w:shd w:val="clear" w:color="auto" w:fill="auto"/>
            <w:vAlign w:val="center"/>
          </w:tcPr>
          <w:p w14:paraId="06AF0A3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16 54</w:t>
            </w:r>
            <w:r>
              <w:rPr>
                <w:rFonts w:ascii="Avenir" w:eastAsia="Avenir" w:hAnsi="Avenir" w:cs="Avenir"/>
                <w:sz w:val="16"/>
                <w:szCs w:val="16"/>
              </w:rPr>
              <w:t>0,92</w:t>
            </w:r>
            <w:r w:rsidRPr="00DB6E6D">
              <w:rPr>
                <w:rFonts w:ascii="Avenir" w:eastAsia="Avenir" w:hAnsi="Avenir" w:cs="Avenir"/>
                <w:sz w:val="16"/>
                <w:szCs w:val="16"/>
              </w:rPr>
              <w:t xml:space="preserve"> </w:t>
            </w:r>
          </w:p>
        </w:tc>
        <w:tc>
          <w:tcPr>
            <w:tcW w:w="1134" w:type="dxa"/>
            <w:shd w:val="clear" w:color="auto" w:fill="auto"/>
            <w:vAlign w:val="center"/>
          </w:tcPr>
          <w:p w14:paraId="04276A5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1 980 819,08 </w:t>
            </w:r>
          </w:p>
        </w:tc>
        <w:tc>
          <w:tcPr>
            <w:tcW w:w="1364" w:type="dxa"/>
            <w:shd w:val="clear" w:color="auto" w:fill="auto"/>
            <w:vAlign w:val="center"/>
          </w:tcPr>
          <w:p w14:paraId="7726A82C"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Pr>
                <w:rFonts w:ascii="Avenir" w:eastAsia="Avenir" w:hAnsi="Avenir" w:cs="Avenir"/>
                <w:sz w:val="16"/>
                <w:szCs w:val="16"/>
              </w:rPr>
              <w:t>12,9%</w:t>
            </w:r>
          </w:p>
        </w:tc>
        <w:tc>
          <w:tcPr>
            <w:tcW w:w="1329" w:type="dxa"/>
            <w:vAlign w:val="center"/>
          </w:tcPr>
          <w:p w14:paraId="210E9EC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0,8%</w:t>
            </w:r>
          </w:p>
        </w:tc>
        <w:tc>
          <w:tcPr>
            <w:tcW w:w="897" w:type="dxa"/>
            <w:vAlign w:val="center"/>
          </w:tcPr>
          <w:p w14:paraId="48ED859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p>
        </w:tc>
      </w:tr>
      <w:tr w:rsidR="00D6016E" w:rsidRPr="00DB6E6D" w14:paraId="0F66C143" w14:textId="77777777" w:rsidTr="00F30E80">
        <w:trPr>
          <w:trHeight w:val="300"/>
          <w:jc w:val="center"/>
        </w:trPr>
        <w:tc>
          <w:tcPr>
            <w:tcW w:w="1805" w:type="dxa"/>
            <w:shd w:val="clear" w:color="auto" w:fill="auto"/>
          </w:tcPr>
          <w:p w14:paraId="7181E8AF"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Z 1 : Frais de personnel</w:t>
            </w:r>
          </w:p>
        </w:tc>
        <w:tc>
          <w:tcPr>
            <w:tcW w:w="1207" w:type="dxa"/>
            <w:shd w:val="clear" w:color="auto" w:fill="auto"/>
          </w:tcPr>
          <w:p w14:paraId="1FC869E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2 643 850,00 </w:t>
            </w:r>
          </w:p>
        </w:tc>
        <w:tc>
          <w:tcPr>
            <w:tcW w:w="1058" w:type="dxa"/>
            <w:shd w:val="clear" w:color="auto" w:fill="auto"/>
          </w:tcPr>
          <w:p w14:paraId="66928A3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90 445,00 </w:t>
            </w:r>
          </w:p>
        </w:tc>
        <w:tc>
          <w:tcPr>
            <w:tcW w:w="1312" w:type="dxa"/>
            <w:shd w:val="clear" w:color="auto" w:fill="auto"/>
          </w:tcPr>
          <w:p w14:paraId="1ECD6A0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42 694,51 </w:t>
            </w:r>
          </w:p>
        </w:tc>
        <w:tc>
          <w:tcPr>
            <w:tcW w:w="1134" w:type="dxa"/>
            <w:shd w:val="clear" w:color="auto" w:fill="auto"/>
          </w:tcPr>
          <w:p w14:paraId="49684BC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2 601 155,49 </w:t>
            </w:r>
          </w:p>
        </w:tc>
        <w:tc>
          <w:tcPr>
            <w:tcW w:w="1364" w:type="dxa"/>
            <w:shd w:val="clear" w:color="auto" w:fill="auto"/>
          </w:tcPr>
          <w:p w14:paraId="4130F474"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47,2%</w:t>
            </w:r>
          </w:p>
        </w:tc>
        <w:tc>
          <w:tcPr>
            <w:tcW w:w="1329" w:type="dxa"/>
            <w:shd w:val="clear" w:color="auto" w:fill="auto"/>
            <w:vAlign w:val="center"/>
          </w:tcPr>
          <w:p w14:paraId="0E1EDF15"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1,6%</w:t>
            </w:r>
          </w:p>
        </w:tc>
        <w:tc>
          <w:tcPr>
            <w:tcW w:w="897" w:type="dxa"/>
            <w:shd w:val="clear" w:color="auto" w:fill="auto"/>
          </w:tcPr>
          <w:p w14:paraId="5160F368"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p>
        </w:tc>
      </w:tr>
      <w:tr w:rsidR="00D6016E" w:rsidRPr="00DB6E6D" w14:paraId="45CBF3D9" w14:textId="77777777" w:rsidTr="00F30E80">
        <w:trPr>
          <w:trHeight w:val="300"/>
          <w:jc w:val="center"/>
        </w:trPr>
        <w:tc>
          <w:tcPr>
            <w:tcW w:w="1805" w:type="dxa"/>
            <w:shd w:val="clear" w:color="auto" w:fill="auto"/>
          </w:tcPr>
          <w:p w14:paraId="7410F111"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Z 2 : Investissements</w:t>
            </w:r>
          </w:p>
        </w:tc>
        <w:tc>
          <w:tcPr>
            <w:tcW w:w="1207" w:type="dxa"/>
            <w:shd w:val="clear" w:color="auto" w:fill="auto"/>
          </w:tcPr>
          <w:p w14:paraId="48FD0F3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529 000,00 </w:t>
            </w:r>
          </w:p>
        </w:tc>
        <w:tc>
          <w:tcPr>
            <w:tcW w:w="1058" w:type="dxa"/>
            <w:shd w:val="clear" w:color="auto" w:fill="auto"/>
          </w:tcPr>
          <w:p w14:paraId="2F3C819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520 000,00 </w:t>
            </w:r>
          </w:p>
        </w:tc>
        <w:tc>
          <w:tcPr>
            <w:tcW w:w="1312" w:type="dxa"/>
            <w:shd w:val="clear" w:color="auto" w:fill="auto"/>
          </w:tcPr>
          <w:p w14:paraId="3F43B5C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w:t>
            </w:r>
            <w:r>
              <w:rPr>
                <w:rFonts w:ascii="Avenir" w:eastAsia="Avenir" w:hAnsi="Avenir" w:cs="Avenir"/>
                <w:sz w:val="16"/>
                <w:szCs w:val="16"/>
              </w:rPr>
              <w:t>29</w:t>
            </w:r>
            <w:r w:rsidRPr="00DB6E6D">
              <w:rPr>
                <w:rFonts w:ascii="Avenir" w:eastAsia="Avenir" w:hAnsi="Avenir" w:cs="Avenir"/>
                <w:sz w:val="16"/>
                <w:szCs w:val="16"/>
              </w:rPr>
              <w:t xml:space="preserve">0,00 </w:t>
            </w:r>
          </w:p>
        </w:tc>
        <w:tc>
          <w:tcPr>
            <w:tcW w:w="1134" w:type="dxa"/>
            <w:shd w:val="clear" w:color="auto" w:fill="auto"/>
          </w:tcPr>
          <w:p w14:paraId="23A150D0"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528 </w:t>
            </w:r>
            <w:r>
              <w:rPr>
                <w:rFonts w:ascii="Avenir" w:eastAsia="Avenir" w:hAnsi="Avenir" w:cs="Avenir"/>
                <w:sz w:val="16"/>
                <w:szCs w:val="16"/>
              </w:rPr>
              <w:t>71</w:t>
            </w:r>
            <w:r w:rsidRPr="00DB6E6D">
              <w:rPr>
                <w:rFonts w:ascii="Avenir" w:eastAsia="Avenir" w:hAnsi="Avenir" w:cs="Avenir"/>
                <w:sz w:val="16"/>
                <w:szCs w:val="16"/>
              </w:rPr>
              <w:t xml:space="preserve">0,00 </w:t>
            </w:r>
          </w:p>
        </w:tc>
        <w:tc>
          <w:tcPr>
            <w:tcW w:w="1364" w:type="dxa"/>
            <w:shd w:val="clear" w:color="auto" w:fill="auto"/>
          </w:tcPr>
          <w:p w14:paraId="7EA5F3E8"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r>
              <w:rPr>
                <w:rFonts w:ascii="Avenir" w:eastAsia="Avenir" w:hAnsi="Avenir" w:cs="Avenir"/>
                <w:sz w:val="16"/>
                <w:szCs w:val="16"/>
              </w:rPr>
              <w:t>6</w:t>
            </w:r>
            <w:r w:rsidRPr="00DB6E6D">
              <w:rPr>
                <w:rFonts w:ascii="Avenir" w:eastAsia="Avenir" w:hAnsi="Avenir" w:cs="Avenir"/>
                <w:sz w:val="16"/>
                <w:szCs w:val="16"/>
              </w:rPr>
              <w:t>%</w:t>
            </w:r>
          </w:p>
        </w:tc>
        <w:tc>
          <w:tcPr>
            <w:tcW w:w="1329" w:type="dxa"/>
            <w:shd w:val="clear" w:color="auto" w:fill="auto"/>
            <w:vAlign w:val="center"/>
          </w:tcPr>
          <w:p w14:paraId="3F8AFBE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w:t>
            </w:r>
            <w:r>
              <w:rPr>
                <w:rFonts w:ascii="Avenir" w:eastAsia="Avenir" w:hAnsi="Avenir" w:cs="Avenir"/>
                <w:sz w:val="16"/>
                <w:szCs w:val="16"/>
              </w:rPr>
              <w:t>05</w:t>
            </w:r>
            <w:r w:rsidRPr="00DB6E6D">
              <w:rPr>
                <w:rFonts w:ascii="Avenir" w:eastAsia="Avenir" w:hAnsi="Avenir" w:cs="Avenir"/>
                <w:sz w:val="16"/>
                <w:szCs w:val="16"/>
              </w:rPr>
              <w:t>%</w:t>
            </w:r>
          </w:p>
        </w:tc>
        <w:tc>
          <w:tcPr>
            <w:tcW w:w="897" w:type="dxa"/>
            <w:shd w:val="clear" w:color="auto" w:fill="auto"/>
          </w:tcPr>
          <w:p w14:paraId="51EE80B1"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p>
        </w:tc>
      </w:tr>
      <w:tr w:rsidR="00D6016E" w:rsidRPr="00DB6E6D" w14:paraId="671B376F" w14:textId="77777777" w:rsidTr="00F30E80">
        <w:trPr>
          <w:trHeight w:val="300"/>
          <w:jc w:val="center"/>
        </w:trPr>
        <w:tc>
          <w:tcPr>
            <w:tcW w:w="1805" w:type="dxa"/>
            <w:shd w:val="clear" w:color="auto" w:fill="auto"/>
          </w:tcPr>
          <w:p w14:paraId="3C5694BD"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Z 3 : Frais de fonctionnement</w:t>
            </w:r>
          </w:p>
        </w:tc>
        <w:tc>
          <w:tcPr>
            <w:tcW w:w="1207" w:type="dxa"/>
            <w:shd w:val="clear" w:color="auto" w:fill="auto"/>
          </w:tcPr>
          <w:p w14:paraId="6094E66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2 990 375,20 </w:t>
            </w:r>
          </w:p>
        </w:tc>
        <w:tc>
          <w:tcPr>
            <w:tcW w:w="1058" w:type="dxa"/>
            <w:shd w:val="clear" w:color="auto" w:fill="auto"/>
          </w:tcPr>
          <w:p w14:paraId="4B5721A1"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172 225,01 </w:t>
            </w:r>
          </w:p>
        </w:tc>
        <w:tc>
          <w:tcPr>
            <w:tcW w:w="1312" w:type="dxa"/>
            <w:shd w:val="clear" w:color="auto" w:fill="auto"/>
          </w:tcPr>
          <w:p w14:paraId="68B20A2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2</w:t>
            </w:r>
            <w:r>
              <w:rPr>
                <w:rFonts w:ascii="Avenir" w:eastAsia="Avenir" w:hAnsi="Avenir" w:cs="Avenir"/>
                <w:sz w:val="16"/>
                <w:szCs w:val="16"/>
              </w:rPr>
              <w:t>5</w:t>
            </w:r>
            <w:r w:rsidRPr="00DB6E6D">
              <w:rPr>
                <w:rFonts w:ascii="Avenir" w:eastAsia="Avenir" w:hAnsi="Avenir" w:cs="Avenir"/>
                <w:sz w:val="16"/>
                <w:szCs w:val="16"/>
              </w:rPr>
              <w:t xml:space="preserve"> </w:t>
            </w:r>
            <w:r>
              <w:rPr>
                <w:rFonts w:ascii="Avenir" w:eastAsia="Avenir" w:hAnsi="Avenir" w:cs="Avenir"/>
                <w:sz w:val="16"/>
                <w:szCs w:val="16"/>
              </w:rPr>
              <w:t>978,69</w:t>
            </w:r>
            <w:r w:rsidRPr="00DB6E6D">
              <w:rPr>
                <w:rFonts w:ascii="Avenir" w:eastAsia="Avenir" w:hAnsi="Avenir" w:cs="Avenir"/>
                <w:sz w:val="16"/>
                <w:szCs w:val="16"/>
              </w:rPr>
              <w:t xml:space="preserve"> </w:t>
            </w:r>
          </w:p>
        </w:tc>
        <w:tc>
          <w:tcPr>
            <w:tcW w:w="1134" w:type="dxa"/>
            <w:shd w:val="clear" w:color="auto" w:fill="auto"/>
          </w:tcPr>
          <w:p w14:paraId="113BA2B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2 96</w:t>
            </w:r>
            <w:r>
              <w:rPr>
                <w:rFonts w:ascii="Avenir" w:eastAsia="Avenir" w:hAnsi="Avenir" w:cs="Avenir"/>
                <w:sz w:val="16"/>
                <w:szCs w:val="16"/>
              </w:rPr>
              <w:t>4</w:t>
            </w:r>
            <w:r w:rsidRPr="00DB6E6D">
              <w:rPr>
                <w:rFonts w:ascii="Avenir" w:eastAsia="Avenir" w:hAnsi="Avenir" w:cs="Avenir"/>
                <w:sz w:val="16"/>
                <w:szCs w:val="16"/>
              </w:rPr>
              <w:t xml:space="preserve"> 3</w:t>
            </w:r>
            <w:r>
              <w:rPr>
                <w:rFonts w:ascii="Avenir" w:eastAsia="Avenir" w:hAnsi="Avenir" w:cs="Avenir"/>
                <w:sz w:val="16"/>
                <w:szCs w:val="16"/>
              </w:rPr>
              <w:t>96</w:t>
            </w:r>
            <w:r w:rsidRPr="00DB6E6D">
              <w:rPr>
                <w:rFonts w:ascii="Avenir" w:eastAsia="Avenir" w:hAnsi="Avenir" w:cs="Avenir"/>
                <w:sz w:val="16"/>
                <w:szCs w:val="16"/>
              </w:rPr>
              <w:t>,</w:t>
            </w:r>
            <w:r>
              <w:rPr>
                <w:rFonts w:ascii="Avenir" w:eastAsia="Avenir" w:hAnsi="Avenir" w:cs="Avenir"/>
                <w:sz w:val="16"/>
                <w:szCs w:val="16"/>
              </w:rPr>
              <w:t>51</w:t>
            </w:r>
            <w:r w:rsidRPr="00DB6E6D">
              <w:rPr>
                <w:rFonts w:ascii="Avenir" w:eastAsia="Avenir" w:hAnsi="Avenir" w:cs="Avenir"/>
                <w:sz w:val="16"/>
                <w:szCs w:val="16"/>
              </w:rPr>
              <w:t xml:space="preserve"> </w:t>
            </w:r>
          </w:p>
        </w:tc>
        <w:tc>
          <w:tcPr>
            <w:tcW w:w="1364" w:type="dxa"/>
            <w:shd w:val="clear" w:color="auto" w:fill="auto"/>
          </w:tcPr>
          <w:p w14:paraId="37DE946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1</w:t>
            </w:r>
            <w:r>
              <w:rPr>
                <w:rFonts w:ascii="Avenir" w:eastAsia="Avenir" w:hAnsi="Avenir" w:cs="Avenir"/>
                <w:sz w:val="16"/>
                <w:szCs w:val="16"/>
              </w:rPr>
              <w:t>5</w:t>
            </w:r>
            <w:r w:rsidRPr="00DB6E6D">
              <w:rPr>
                <w:rFonts w:ascii="Avenir" w:eastAsia="Avenir" w:hAnsi="Avenir" w:cs="Avenir"/>
                <w:sz w:val="16"/>
                <w:szCs w:val="16"/>
              </w:rPr>
              <w:t>,</w:t>
            </w:r>
            <w:r>
              <w:rPr>
                <w:rFonts w:ascii="Avenir" w:eastAsia="Avenir" w:hAnsi="Avenir" w:cs="Avenir"/>
                <w:sz w:val="16"/>
                <w:szCs w:val="16"/>
              </w:rPr>
              <w:t>1</w:t>
            </w:r>
            <w:r w:rsidRPr="00DB6E6D">
              <w:rPr>
                <w:rFonts w:ascii="Avenir" w:eastAsia="Avenir" w:hAnsi="Avenir" w:cs="Avenir"/>
                <w:sz w:val="16"/>
                <w:szCs w:val="16"/>
              </w:rPr>
              <w:t>%</w:t>
            </w:r>
          </w:p>
        </w:tc>
        <w:tc>
          <w:tcPr>
            <w:tcW w:w="1329" w:type="dxa"/>
            <w:shd w:val="clear" w:color="auto" w:fill="auto"/>
            <w:vAlign w:val="center"/>
          </w:tcPr>
          <w:p w14:paraId="70EF5322"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w:t>
            </w:r>
            <w:r>
              <w:rPr>
                <w:rFonts w:ascii="Avenir" w:eastAsia="Avenir" w:hAnsi="Avenir" w:cs="Avenir"/>
                <w:sz w:val="16"/>
                <w:szCs w:val="16"/>
              </w:rPr>
              <w:t>9</w:t>
            </w:r>
            <w:r w:rsidRPr="00DB6E6D">
              <w:rPr>
                <w:rFonts w:ascii="Avenir" w:eastAsia="Avenir" w:hAnsi="Avenir" w:cs="Avenir"/>
                <w:sz w:val="16"/>
                <w:szCs w:val="16"/>
              </w:rPr>
              <w:t xml:space="preserve">% </w:t>
            </w:r>
          </w:p>
        </w:tc>
        <w:tc>
          <w:tcPr>
            <w:tcW w:w="897" w:type="dxa"/>
            <w:shd w:val="clear" w:color="auto" w:fill="auto"/>
          </w:tcPr>
          <w:p w14:paraId="28552FE5"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p>
        </w:tc>
      </w:tr>
      <w:tr w:rsidR="00D6016E" w:rsidRPr="00DB6E6D" w14:paraId="53DB2F66" w14:textId="77777777" w:rsidTr="00F30E80">
        <w:trPr>
          <w:trHeight w:val="300"/>
          <w:jc w:val="center"/>
        </w:trPr>
        <w:tc>
          <w:tcPr>
            <w:tcW w:w="1805" w:type="dxa"/>
            <w:shd w:val="clear" w:color="auto" w:fill="auto"/>
          </w:tcPr>
          <w:p w14:paraId="1A2A95F6"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Z 4 : Audit, M&amp;E et appui</w:t>
            </w:r>
          </w:p>
        </w:tc>
        <w:tc>
          <w:tcPr>
            <w:tcW w:w="1207" w:type="dxa"/>
            <w:shd w:val="clear" w:color="auto" w:fill="auto"/>
          </w:tcPr>
          <w:p w14:paraId="6EC7C2C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550 000,00 </w:t>
            </w:r>
          </w:p>
        </w:tc>
        <w:tc>
          <w:tcPr>
            <w:tcW w:w="1058" w:type="dxa"/>
            <w:shd w:val="clear" w:color="auto" w:fill="auto"/>
          </w:tcPr>
          <w:p w14:paraId="00881FE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32 500,00 </w:t>
            </w:r>
          </w:p>
        </w:tc>
        <w:tc>
          <w:tcPr>
            <w:tcW w:w="1312" w:type="dxa"/>
            <w:shd w:val="clear" w:color="auto" w:fill="auto"/>
          </w:tcPr>
          <w:p w14:paraId="013D22C3"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   </w:t>
            </w:r>
          </w:p>
        </w:tc>
        <w:tc>
          <w:tcPr>
            <w:tcW w:w="1134" w:type="dxa"/>
            <w:shd w:val="clear" w:color="auto" w:fill="auto"/>
          </w:tcPr>
          <w:p w14:paraId="216B42A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550 000,00 </w:t>
            </w:r>
          </w:p>
        </w:tc>
        <w:tc>
          <w:tcPr>
            <w:tcW w:w="1364" w:type="dxa"/>
            <w:shd w:val="clear" w:color="auto" w:fill="auto"/>
          </w:tcPr>
          <w:p w14:paraId="2AE894E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1329" w:type="dxa"/>
            <w:shd w:val="clear" w:color="auto" w:fill="auto"/>
            <w:vAlign w:val="center"/>
          </w:tcPr>
          <w:p w14:paraId="37A66FFA"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0,0%</w:t>
            </w:r>
          </w:p>
        </w:tc>
        <w:tc>
          <w:tcPr>
            <w:tcW w:w="897" w:type="dxa"/>
            <w:shd w:val="clear" w:color="auto" w:fill="auto"/>
          </w:tcPr>
          <w:p w14:paraId="07228F2C"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p>
        </w:tc>
      </w:tr>
      <w:tr w:rsidR="00D6016E" w:rsidRPr="00DB6E6D" w14:paraId="734058BC" w14:textId="77777777" w:rsidTr="00F30E80">
        <w:trPr>
          <w:trHeight w:val="300"/>
          <w:jc w:val="center"/>
        </w:trPr>
        <w:tc>
          <w:tcPr>
            <w:tcW w:w="1805" w:type="dxa"/>
            <w:shd w:val="clear" w:color="auto" w:fill="auto"/>
          </w:tcPr>
          <w:p w14:paraId="1AB64089" w14:textId="77777777" w:rsidR="00D6016E" w:rsidRPr="00DB6E6D" w:rsidRDefault="00D6016E" w:rsidP="00F30E80">
            <w:pPr>
              <w:spacing w:after="0" w:line="240" w:lineRule="auto"/>
              <w:ind w:left="0" w:right="0" w:firstLine="0"/>
              <w:jc w:val="left"/>
              <w:rPr>
                <w:rFonts w:ascii="Avenir" w:eastAsia="Avenir" w:hAnsi="Avenir" w:cs="Avenir"/>
                <w:sz w:val="16"/>
                <w:szCs w:val="16"/>
              </w:rPr>
            </w:pPr>
            <w:r w:rsidRPr="00DB6E6D">
              <w:rPr>
                <w:rFonts w:ascii="Avenir" w:eastAsia="Avenir" w:hAnsi="Avenir" w:cs="Avenir"/>
                <w:sz w:val="16"/>
                <w:szCs w:val="16"/>
              </w:rPr>
              <w:t>Z 5 : Communication</w:t>
            </w:r>
          </w:p>
        </w:tc>
        <w:tc>
          <w:tcPr>
            <w:tcW w:w="1207" w:type="dxa"/>
            <w:shd w:val="clear" w:color="auto" w:fill="auto"/>
          </w:tcPr>
          <w:p w14:paraId="5CD6917F"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200 000,00 </w:t>
            </w:r>
          </w:p>
        </w:tc>
        <w:tc>
          <w:tcPr>
            <w:tcW w:w="1058" w:type="dxa"/>
            <w:shd w:val="clear" w:color="auto" w:fill="auto"/>
          </w:tcPr>
          <w:p w14:paraId="2E98AB26"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11 000,00 </w:t>
            </w:r>
          </w:p>
        </w:tc>
        <w:tc>
          <w:tcPr>
            <w:tcW w:w="1312" w:type="dxa"/>
            <w:shd w:val="clear" w:color="auto" w:fill="auto"/>
          </w:tcPr>
          <w:p w14:paraId="31EAADD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1 250   </w:t>
            </w:r>
          </w:p>
        </w:tc>
        <w:tc>
          <w:tcPr>
            <w:tcW w:w="1134" w:type="dxa"/>
            <w:shd w:val="clear" w:color="auto" w:fill="auto"/>
          </w:tcPr>
          <w:p w14:paraId="131CE80E"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 </w:t>
            </w:r>
            <w:r>
              <w:rPr>
                <w:rFonts w:ascii="Avenir" w:eastAsia="Avenir" w:hAnsi="Avenir" w:cs="Avenir"/>
                <w:sz w:val="16"/>
                <w:szCs w:val="16"/>
              </w:rPr>
              <w:t>198</w:t>
            </w:r>
            <w:r w:rsidRPr="00DB6E6D">
              <w:rPr>
                <w:rFonts w:ascii="Avenir" w:eastAsia="Avenir" w:hAnsi="Avenir" w:cs="Avenir"/>
                <w:sz w:val="16"/>
                <w:szCs w:val="16"/>
              </w:rPr>
              <w:t xml:space="preserve"> </w:t>
            </w:r>
            <w:r>
              <w:rPr>
                <w:rFonts w:ascii="Avenir" w:eastAsia="Avenir" w:hAnsi="Avenir" w:cs="Avenir"/>
                <w:sz w:val="16"/>
                <w:szCs w:val="16"/>
              </w:rPr>
              <w:t>75</w:t>
            </w:r>
            <w:r w:rsidRPr="00DB6E6D">
              <w:rPr>
                <w:rFonts w:ascii="Avenir" w:eastAsia="Avenir" w:hAnsi="Avenir" w:cs="Avenir"/>
                <w:sz w:val="16"/>
                <w:szCs w:val="16"/>
              </w:rPr>
              <w:t xml:space="preserve">0,00 </w:t>
            </w:r>
          </w:p>
        </w:tc>
        <w:tc>
          <w:tcPr>
            <w:tcW w:w="1364" w:type="dxa"/>
            <w:shd w:val="clear" w:color="auto" w:fill="auto"/>
          </w:tcPr>
          <w:p w14:paraId="56FF22B9"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11,36%</w:t>
            </w:r>
          </w:p>
        </w:tc>
        <w:tc>
          <w:tcPr>
            <w:tcW w:w="1329" w:type="dxa"/>
            <w:shd w:val="clear" w:color="auto" w:fill="auto"/>
            <w:vAlign w:val="center"/>
          </w:tcPr>
          <w:p w14:paraId="14E3F18B" w14:textId="77777777" w:rsidR="00D6016E" w:rsidRPr="00DB6E6D" w:rsidRDefault="00D6016E" w:rsidP="00F30E80">
            <w:pPr>
              <w:spacing w:after="0" w:line="240" w:lineRule="auto"/>
              <w:ind w:left="0" w:right="0" w:firstLine="0"/>
              <w:jc w:val="center"/>
              <w:rPr>
                <w:rFonts w:ascii="Avenir" w:eastAsia="Avenir" w:hAnsi="Avenir" w:cs="Avenir"/>
                <w:sz w:val="16"/>
                <w:szCs w:val="16"/>
              </w:rPr>
            </w:pPr>
            <w:r w:rsidRPr="00DB6E6D">
              <w:rPr>
                <w:rFonts w:ascii="Avenir" w:eastAsia="Avenir" w:hAnsi="Avenir" w:cs="Avenir"/>
                <w:sz w:val="16"/>
                <w:szCs w:val="16"/>
              </w:rPr>
              <w:t xml:space="preserve">0,6% </w:t>
            </w:r>
          </w:p>
        </w:tc>
        <w:tc>
          <w:tcPr>
            <w:tcW w:w="897" w:type="dxa"/>
            <w:shd w:val="clear" w:color="auto" w:fill="auto"/>
          </w:tcPr>
          <w:p w14:paraId="07B62F47"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p>
        </w:tc>
      </w:tr>
      <w:tr w:rsidR="00D6016E" w:rsidRPr="00DB6E6D" w14:paraId="7CC292E1" w14:textId="77777777" w:rsidTr="00F30E80">
        <w:trPr>
          <w:trHeight w:val="300"/>
          <w:jc w:val="center"/>
        </w:trPr>
        <w:tc>
          <w:tcPr>
            <w:tcW w:w="1805" w:type="dxa"/>
            <w:shd w:val="clear" w:color="auto" w:fill="C7E2FA"/>
          </w:tcPr>
          <w:p w14:paraId="06990901" w14:textId="77777777" w:rsidR="00D6016E" w:rsidRPr="00DB6E6D" w:rsidRDefault="00D6016E" w:rsidP="00F30E80">
            <w:pPr>
              <w:spacing w:after="0" w:line="240" w:lineRule="auto"/>
              <w:ind w:left="0" w:right="0" w:firstLine="0"/>
              <w:jc w:val="left"/>
              <w:rPr>
                <w:rFonts w:ascii="Avenir" w:eastAsia="Avenir" w:hAnsi="Avenir" w:cs="Avenir"/>
                <w:b/>
                <w:sz w:val="16"/>
                <w:szCs w:val="16"/>
              </w:rPr>
            </w:pPr>
            <w:r w:rsidRPr="00DB6E6D">
              <w:rPr>
                <w:rFonts w:ascii="Avenir" w:eastAsia="Avenir" w:hAnsi="Avenir" w:cs="Avenir"/>
                <w:b/>
                <w:sz w:val="16"/>
                <w:szCs w:val="16"/>
              </w:rPr>
              <w:t>Total coûts de gestion</w:t>
            </w:r>
          </w:p>
        </w:tc>
        <w:tc>
          <w:tcPr>
            <w:tcW w:w="1207" w:type="dxa"/>
            <w:shd w:val="clear" w:color="auto" w:fill="C7E2FA"/>
          </w:tcPr>
          <w:p w14:paraId="37FB23A3"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6 913 225 </w:t>
            </w:r>
          </w:p>
        </w:tc>
        <w:tc>
          <w:tcPr>
            <w:tcW w:w="1058" w:type="dxa"/>
            <w:shd w:val="clear" w:color="auto" w:fill="C7E2FA"/>
          </w:tcPr>
          <w:p w14:paraId="3892E780"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826 170 </w:t>
            </w:r>
          </w:p>
        </w:tc>
        <w:tc>
          <w:tcPr>
            <w:tcW w:w="1312" w:type="dxa"/>
            <w:shd w:val="clear" w:color="auto" w:fill="C7E2FA"/>
          </w:tcPr>
          <w:p w14:paraId="76C7F7AF"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Pr>
                <w:rFonts w:ascii="Avenir" w:eastAsia="Avenir" w:hAnsi="Avenir" w:cs="Avenir"/>
                <w:b/>
                <w:bCs/>
                <w:sz w:val="16"/>
                <w:szCs w:val="16"/>
              </w:rPr>
              <w:t>70</w:t>
            </w:r>
            <w:r w:rsidRPr="00DB6E6D">
              <w:rPr>
                <w:rFonts w:ascii="Avenir" w:eastAsia="Avenir" w:hAnsi="Avenir" w:cs="Avenir"/>
                <w:b/>
                <w:bCs/>
                <w:sz w:val="16"/>
                <w:szCs w:val="16"/>
              </w:rPr>
              <w:t xml:space="preserve"> </w:t>
            </w:r>
            <w:r>
              <w:rPr>
                <w:rFonts w:ascii="Avenir" w:eastAsia="Avenir" w:hAnsi="Avenir" w:cs="Avenir"/>
                <w:b/>
                <w:bCs/>
                <w:sz w:val="16"/>
                <w:szCs w:val="16"/>
              </w:rPr>
              <w:t>213</w:t>
            </w:r>
            <w:r w:rsidRPr="00DB6E6D">
              <w:rPr>
                <w:rFonts w:ascii="Avenir" w:eastAsia="Avenir" w:hAnsi="Avenir" w:cs="Avenir"/>
                <w:b/>
                <w:bCs/>
                <w:sz w:val="16"/>
                <w:szCs w:val="16"/>
              </w:rPr>
              <w:t>,</w:t>
            </w:r>
            <w:r>
              <w:rPr>
                <w:rFonts w:ascii="Avenir" w:eastAsia="Avenir" w:hAnsi="Avenir" w:cs="Avenir"/>
                <w:b/>
                <w:bCs/>
                <w:sz w:val="16"/>
                <w:szCs w:val="16"/>
              </w:rPr>
              <w:t>19</w:t>
            </w:r>
            <w:r w:rsidRPr="00DB6E6D">
              <w:rPr>
                <w:rFonts w:ascii="Avenir" w:eastAsia="Avenir" w:hAnsi="Avenir" w:cs="Avenir"/>
                <w:b/>
                <w:bCs/>
                <w:sz w:val="16"/>
                <w:szCs w:val="16"/>
              </w:rPr>
              <w:t xml:space="preserve"> </w:t>
            </w:r>
          </w:p>
        </w:tc>
        <w:tc>
          <w:tcPr>
            <w:tcW w:w="1134" w:type="dxa"/>
            <w:shd w:val="clear" w:color="auto" w:fill="C7E2FA"/>
          </w:tcPr>
          <w:p w14:paraId="7075DAC6"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6 84</w:t>
            </w:r>
            <w:r>
              <w:rPr>
                <w:rFonts w:ascii="Avenir" w:eastAsia="Avenir" w:hAnsi="Avenir" w:cs="Avenir"/>
                <w:b/>
                <w:bCs/>
                <w:sz w:val="16"/>
                <w:szCs w:val="16"/>
              </w:rPr>
              <w:t>3</w:t>
            </w:r>
            <w:r w:rsidRPr="00DB6E6D">
              <w:rPr>
                <w:rFonts w:ascii="Avenir" w:eastAsia="Avenir" w:hAnsi="Avenir" w:cs="Avenir"/>
                <w:b/>
                <w:bCs/>
                <w:sz w:val="16"/>
                <w:szCs w:val="16"/>
              </w:rPr>
              <w:t xml:space="preserve"> </w:t>
            </w:r>
            <w:r>
              <w:rPr>
                <w:rFonts w:ascii="Avenir" w:eastAsia="Avenir" w:hAnsi="Avenir" w:cs="Avenir"/>
                <w:b/>
                <w:bCs/>
                <w:sz w:val="16"/>
                <w:szCs w:val="16"/>
              </w:rPr>
              <w:t>012,01</w:t>
            </w:r>
            <w:r w:rsidRPr="00DB6E6D">
              <w:rPr>
                <w:rFonts w:ascii="Avenir" w:eastAsia="Avenir" w:hAnsi="Avenir" w:cs="Avenir"/>
                <w:b/>
                <w:bCs/>
                <w:sz w:val="16"/>
                <w:szCs w:val="16"/>
              </w:rPr>
              <w:t xml:space="preserve"> </w:t>
            </w:r>
          </w:p>
        </w:tc>
        <w:tc>
          <w:tcPr>
            <w:tcW w:w="1364" w:type="dxa"/>
            <w:shd w:val="clear" w:color="auto" w:fill="C7E2FA"/>
          </w:tcPr>
          <w:p w14:paraId="7456D4D7"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8,</w:t>
            </w:r>
            <w:r>
              <w:rPr>
                <w:rFonts w:ascii="Avenir" w:eastAsia="Avenir" w:hAnsi="Avenir" w:cs="Avenir"/>
                <w:b/>
                <w:bCs/>
                <w:sz w:val="16"/>
                <w:szCs w:val="16"/>
              </w:rPr>
              <w:t>5</w:t>
            </w:r>
            <w:r w:rsidRPr="00DB6E6D">
              <w:rPr>
                <w:rFonts w:ascii="Avenir" w:eastAsia="Avenir" w:hAnsi="Avenir" w:cs="Avenir"/>
                <w:b/>
                <w:bCs/>
                <w:sz w:val="16"/>
                <w:szCs w:val="16"/>
              </w:rPr>
              <w:t>%</w:t>
            </w:r>
          </w:p>
        </w:tc>
        <w:tc>
          <w:tcPr>
            <w:tcW w:w="1329" w:type="dxa"/>
            <w:shd w:val="clear" w:color="auto" w:fill="C7E2FA"/>
            <w:vAlign w:val="center"/>
          </w:tcPr>
          <w:p w14:paraId="42302023"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1,0</w:t>
            </w:r>
            <w:r>
              <w:rPr>
                <w:rFonts w:ascii="Avenir" w:eastAsia="Avenir" w:hAnsi="Avenir" w:cs="Avenir"/>
                <w:b/>
                <w:bCs/>
                <w:sz w:val="16"/>
                <w:szCs w:val="16"/>
              </w:rPr>
              <w:t>2</w:t>
            </w:r>
            <w:r w:rsidRPr="00DB6E6D">
              <w:rPr>
                <w:rFonts w:ascii="Avenir" w:eastAsia="Avenir" w:hAnsi="Avenir" w:cs="Avenir"/>
                <w:b/>
                <w:bCs/>
                <w:sz w:val="16"/>
                <w:szCs w:val="16"/>
              </w:rPr>
              <w:t>%</w:t>
            </w:r>
          </w:p>
        </w:tc>
        <w:tc>
          <w:tcPr>
            <w:tcW w:w="897" w:type="dxa"/>
            <w:shd w:val="clear" w:color="auto" w:fill="C7E2FA"/>
          </w:tcPr>
          <w:p w14:paraId="4B4DA512"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p>
        </w:tc>
      </w:tr>
      <w:tr w:rsidR="00D6016E" w:rsidRPr="00DB6E6D" w14:paraId="16EC0E68" w14:textId="77777777" w:rsidTr="00F30E80">
        <w:trPr>
          <w:trHeight w:val="300"/>
          <w:jc w:val="center"/>
        </w:trPr>
        <w:tc>
          <w:tcPr>
            <w:tcW w:w="1805" w:type="dxa"/>
            <w:shd w:val="clear" w:color="auto" w:fill="C7E2FA"/>
          </w:tcPr>
          <w:p w14:paraId="4F89BECB" w14:textId="77777777" w:rsidR="00D6016E" w:rsidRPr="00DB6E6D" w:rsidRDefault="00D6016E" w:rsidP="00F30E80">
            <w:pPr>
              <w:spacing w:after="0" w:line="240" w:lineRule="auto"/>
              <w:ind w:left="0" w:right="0" w:firstLine="0"/>
              <w:jc w:val="left"/>
              <w:rPr>
                <w:rFonts w:ascii="Avenir" w:eastAsia="Avenir" w:hAnsi="Avenir" w:cs="Avenir"/>
                <w:b/>
                <w:sz w:val="16"/>
                <w:szCs w:val="16"/>
              </w:rPr>
            </w:pPr>
            <w:r w:rsidRPr="00DB6E6D">
              <w:rPr>
                <w:rFonts w:ascii="Avenir" w:eastAsia="Avenir" w:hAnsi="Avenir" w:cs="Avenir"/>
                <w:b/>
                <w:sz w:val="16"/>
                <w:szCs w:val="16"/>
              </w:rPr>
              <w:t>Total coûts directs (résultats + gestion)</w:t>
            </w:r>
          </w:p>
        </w:tc>
        <w:tc>
          <w:tcPr>
            <w:tcW w:w="1207" w:type="dxa"/>
            <w:shd w:val="clear" w:color="auto" w:fill="C7E2FA"/>
          </w:tcPr>
          <w:p w14:paraId="726951BA"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32 710 281 </w:t>
            </w:r>
          </w:p>
        </w:tc>
        <w:tc>
          <w:tcPr>
            <w:tcW w:w="1058" w:type="dxa"/>
            <w:shd w:val="clear" w:color="auto" w:fill="C7E2FA"/>
          </w:tcPr>
          <w:p w14:paraId="4D71408F"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1 199 740 </w:t>
            </w:r>
          </w:p>
        </w:tc>
        <w:tc>
          <w:tcPr>
            <w:tcW w:w="1312" w:type="dxa"/>
            <w:shd w:val="clear" w:color="auto" w:fill="C7E2FA"/>
          </w:tcPr>
          <w:p w14:paraId="0CC68EAF"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15</w:t>
            </w:r>
            <w:r>
              <w:rPr>
                <w:rFonts w:ascii="Avenir" w:eastAsia="Avenir" w:hAnsi="Avenir" w:cs="Avenir"/>
                <w:b/>
                <w:bCs/>
                <w:sz w:val="16"/>
                <w:szCs w:val="16"/>
              </w:rPr>
              <w:t>9</w:t>
            </w:r>
            <w:r w:rsidRPr="00DB6E6D">
              <w:rPr>
                <w:rFonts w:ascii="Avenir" w:eastAsia="Avenir" w:hAnsi="Avenir" w:cs="Avenir"/>
                <w:b/>
                <w:bCs/>
                <w:sz w:val="16"/>
                <w:szCs w:val="16"/>
              </w:rPr>
              <w:t xml:space="preserve"> </w:t>
            </w:r>
            <w:r>
              <w:rPr>
                <w:rFonts w:ascii="Avenir" w:eastAsia="Avenir" w:hAnsi="Avenir" w:cs="Avenir"/>
                <w:b/>
                <w:bCs/>
                <w:sz w:val="16"/>
                <w:szCs w:val="16"/>
              </w:rPr>
              <w:t>426</w:t>
            </w:r>
            <w:r w:rsidRPr="00DB6E6D">
              <w:rPr>
                <w:rFonts w:ascii="Avenir" w:eastAsia="Avenir" w:hAnsi="Avenir" w:cs="Avenir"/>
                <w:b/>
                <w:bCs/>
                <w:sz w:val="16"/>
                <w:szCs w:val="16"/>
              </w:rPr>
              <w:t>,</w:t>
            </w:r>
            <w:r>
              <w:rPr>
                <w:rFonts w:ascii="Avenir" w:eastAsia="Avenir" w:hAnsi="Avenir" w:cs="Avenir"/>
                <w:b/>
                <w:bCs/>
                <w:sz w:val="16"/>
                <w:szCs w:val="16"/>
              </w:rPr>
              <w:t>54</w:t>
            </w:r>
            <w:r w:rsidRPr="00DB6E6D">
              <w:rPr>
                <w:rFonts w:ascii="Avenir" w:eastAsia="Avenir" w:hAnsi="Avenir" w:cs="Avenir"/>
                <w:b/>
                <w:bCs/>
                <w:sz w:val="16"/>
                <w:szCs w:val="16"/>
              </w:rPr>
              <w:t xml:space="preserve"> </w:t>
            </w:r>
          </w:p>
        </w:tc>
        <w:tc>
          <w:tcPr>
            <w:tcW w:w="1134" w:type="dxa"/>
            <w:shd w:val="clear" w:color="auto" w:fill="C7E2FA"/>
          </w:tcPr>
          <w:p w14:paraId="385C9628"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32 55</w:t>
            </w:r>
            <w:r>
              <w:rPr>
                <w:rFonts w:ascii="Avenir" w:eastAsia="Avenir" w:hAnsi="Avenir" w:cs="Avenir"/>
                <w:b/>
                <w:bCs/>
                <w:sz w:val="16"/>
                <w:szCs w:val="16"/>
              </w:rPr>
              <w:t>0</w:t>
            </w:r>
            <w:r w:rsidRPr="00DB6E6D">
              <w:rPr>
                <w:rFonts w:ascii="Avenir" w:eastAsia="Avenir" w:hAnsi="Avenir" w:cs="Avenir"/>
                <w:b/>
                <w:bCs/>
                <w:sz w:val="16"/>
                <w:szCs w:val="16"/>
              </w:rPr>
              <w:t xml:space="preserve"> 8</w:t>
            </w:r>
            <w:r>
              <w:rPr>
                <w:rFonts w:ascii="Avenir" w:eastAsia="Avenir" w:hAnsi="Avenir" w:cs="Avenir"/>
                <w:b/>
                <w:bCs/>
                <w:sz w:val="16"/>
                <w:szCs w:val="16"/>
              </w:rPr>
              <w:t>54,06</w:t>
            </w:r>
            <w:r w:rsidRPr="00DB6E6D">
              <w:rPr>
                <w:rFonts w:ascii="Avenir" w:eastAsia="Avenir" w:hAnsi="Avenir" w:cs="Avenir"/>
                <w:b/>
                <w:bCs/>
                <w:sz w:val="16"/>
                <w:szCs w:val="16"/>
              </w:rPr>
              <w:t xml:space="preserve"> </w:t>
            </w:r>
          </w:p>
        </w:tc>
        <w:tc>
          <w:tcPr>
            <w:tcW w:w="1364" w:type="dxa"/>
            <w:shd w:val="clear" w:color="auto" w:fill="C7E2FA"/>
          </w:tcPr>
          <w:p w14:paraId="52F95A6A"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13,</w:t>
            </w:r>
            <w:r>
              <w:rPr>
                <w:rFonts w:ascii="Avenir" w:eastAsia="Avenir" w:hAnsi="Avenir" w:cs="Avenir"/>
                <w:b/>
                <w:bCs/>
                <w:sz w:val="16"/>
                <w:szCs w:val="16"/>
              </w:rPr>
              <w:t>3</w:t>
            </w:r>
            <w:r w:rsidRPr="00DB6E6D">
              <w:rPr>
                <w:rFonts w:ascii="Avenir" w:eastAsia="Avenir" w:hAnsi="Avenir" w:cs="Avenir"/>
                <w:b/>
                <w:bCs/>
                <w:sz w:val="16"/>
                <w:szCs w:val="16"/>
              </w:rPr>
              <w:t>%</w:t>
            </w:r>
          </w:p>
        </w:tc>
        <w:tc>
          <w:tcPr>
            <w:tcW w:w="1329" w:type="dxa"/>
            <w:shd w:val="clear" w:color="auto" w:fill="C7E2FA"/>
            <w:vAlign w:val="center"/>
          </w:tcPr>
          <w:p w14:paraId="430E8533"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0,5%</w:t>
            </w:r>
          </w:p>
        </w:tc>
        <w:tc>
          <w:tcPr>
            <w:tcW w:w="897" w:type="dxa"/>
            <w:shd w:val="clear" w:color="auto" w:fill="C7E2FA"/>
          </w:tcPr>
          <w:p w14:paraId="1F18D690"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p>
        </w:tc>
      </w:tr>
      <w:tr w:rsidR="00D6016E" w:rsidRPr="00DB6E6D" w14:paraId="2FBAD2DA" w14:textId="77777777" w:rsidTr="00F30E80">
        <w:trPr>
          <w:trHeight w:val="300"/>
          <w:jc w:val="center"/>
        </w:trPr>
        <w:tc>
          <w:tcPr>
            <w:tcW w:w="1805" w:type="dxa"/>
            <w:shd w:val="clear" w:color="auto" w:fill="C7E2FA"/>
            <w:vAlign w:val="center"/>
          </w:tcPr>
          <w:p w14:paraId="78F1792E"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r w:rsidRPr="00DB6E6D">
              <w:rPr>
                <w:rFonts w:ascii="Avenir" w:eastAsia="Avenir" w:hAnsi="Avenir" w:cs="Avenir"/>
                <w:b/>
                <w:sz w:val="16"/>
                <w:szCs w:val="16"/>
              </w:rPr>
              <w:t>Total Coûts Indirects</w:t>
            </w:r>
          </w:p>
        </w:tc>
        <w:tc>
          <w:tcPr>
            <w:tcW w:w="1207" w:type="dxa"/>
            <w:shd w:val="clear" w:color="auto" w:fill="C7E2FA"/>
          </w:tcPr>
          <w:p w14:paraId="62C2CBE6"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2 289 720 </w:t>
            </w:r>
          </w:p>
        </w:tc>
        <w:tc>
          <w:tcPr>
            <w:tcW w:w="1058" w:type="dxa"/>
            <w:shd w:val="clear" w:color="auto" w:fill="C7E2FA"/>
          </w:tcPr>
          <w:p w14:paraId="66152FDD"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83 982 </w:t>
            </w:r>
          </w:p>
        </w:tc>
        <w:tc>
          <w:tcPr>
            <w:tcW w:w="1312" w:type="dxa"/>
            <w:shd w:val="clear" w:color="auto" w:fill="C7E2FA"/>
          </w:tcPr>
          <w:p w14:paraId="55DA0E0C"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11 </w:t>
            </w:r>
            <w:r>
              <w:rPr>
                <w:rFonts w:ascii="Avenir" w:eastAsia="Avenir" w:hAnsi="Avenir" w:cs="Avenir"/>
                <w:b/>
                <w:bCs/>
                <w:sz w:val="16"/>
                <w:szCs w:val="16"/>
              </w:rPr>
              <w:t>159</w:t>
            </w:r>
            <w:r w:rsidRPr="00DB6E6D">
              <w:rPr>
                <w:rFonts w:ascii="Avenir" w:eastAsia="Avenir" w:hAnsi="Avenir" w:cs="Avenir"/>
                <w:b/>
                <w:bCs/>
                <w:sz w:val="16"/>
                <w:szCs w:val="16"/>
              </w:rPr>
              <w:t>,</w:t>
            </w:r>
            <w:r>
              <w:rPr>
                <w:rFonts w:ascii="Avenir" w:eastAsia="Avenir" w:hAnsi="Avenir" w:cs="Avenir"/>
                <w:b/>
                <w:bCs/>
                <w:sz w:val="16"/>
                <w:szCs w:val="16"/>
              </w:rPr>
              <w:t>86</w:t>
            </w:r>
            <w:r w:rsidRPr="00DB6E6D">
              <w:rPr>
                <w:rFonts w:ascii="Avenir" w:eastAsia="Avenir" w:hAnsi="Avenir" w:cs="Avenir"/>
                <w:b/>
                <w:bCs/>
                <w:sz w:val="16"/>
                <w:szCs w:val="16"/>
              </w:rPr>
              <w:t xml:space="preserve"> </w:t>
            </w:r>
          </w:p>
        </w:tc>
        <w:tc>
          <w:tcPr>
            <w:tcW w:w="1134" w:type="dxa"/>
            <w:shd w:val="clear" w:color="auto" w:fill="C7E2FA"/>
          </w:tcPr>
          <w:p w14:paraId="2959B741"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2 27</w:t>
            </w:r>
            <w:r>
              <w:rPr>
                <w:rFonts w:ascii="Avenir" w:eastAsia="Avenir" w:hAnsi="Avenir" w:cs="Avenir"/>
                <w:b/>
                <w:bCs/>
                <w:sz w:val="16"/>
                <w:szCs w:val="16"/>
              </w:rPr>
              <w:t>8</w:t>
            </w:r>
            <w:r w:rsidRPr="00DB6E6D">
              <w:rPr>
                <w:rFonts w:ascii="Avenir" w:eastAsia="Avenir" w:hAnsi="Avenir" w:cs="Avenir"/>
                <w:b/>
                <w:bCs/>
                <w:sz w:val="16"/>
                <w:szCs w:val="16"/>
              </w:rPr>
              <w:t xml:space="preserve"> </w:t>
            </w:r>
            <w:r>
              <w:rPr>
                <w:rFonts w:ascii="Avenir" w:eastAsia="Avenir" w:hAnsi="Avenir" w:cs="Avenir"/>
                <w:b/>
                <w:bCs/>
                <w:sz w:val="16"/>
                <w:szCs w:val="16"/>
              </w:rPr>
              <w:t>559,78</w:t>
            </w:r>
            <w:r w:rsidRPr="00DB6E6D">
              <w:rPr>
                <w:rFonts w:ascii="Avenir" w:eastAsia="Avenir" w:hAnsi="Avenir" w:cs="Avenir"/>
                <w:b/>
                <w:bCs/>
                <w:sz w:val="16"/>
                <w:szCs w:val="16"/>
              </w:rPr>
              <w:t xml:space="preserve"> </w:t>
            </w:r>
          </w:p>
        </w:tc>
        <w:tc>
          <w:tcPr>
            <w:tcW w:w="1364" w:type="dxa"/>
            <w:shd w:val="clear" w:color="auto" w:fill="C7E2FA"/>
          </w:tcPr>
          <w:p w14:paraId="71D80ABB"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13,</w:t>
            </w:r>
            <w:r>
              <w:rPr>
                <w:rFonts w:ascii="Avenir" w:eastAsia="Avenir" w:hAnsi="Avenir" w:cs="Avenir"/>
                <w:b/>
                <w:bCs/>
                <w:sz w:val="16"/>
                <w:szCs w:val="16"/>
              </w:rPr>
              <w:t>3</w:t>
            </w:r>
            <w:r w:rsidRPr="00DB6E6D">
              <w:rPr>
                <w:rFonts w:ascii="Avenir" w:eastAsia="Avenir" w:hAnsi="Avenir" w:cs="Avenir"/>
                <w:b/>
                <w:bCs/>
                <w:sz w:val="16"/>
                <w:szCs w:val="16"/>
              </w:rPr>
              <w:t>%</w:t>
            </w:r>
          </w:p>
        </w:tc>
        <w:tc>
          <w:tcPr>
            <w:tcW w:w="1329" w:type="dxa"/>
            <w:shd w:val="clear" w:color="auto" w:fill="C7E2FA"/>
            <w:vAlign w:val="center"/>
          </w:tcPr>
          <w:p w14:paraId="0820AB23"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0,5%</w:t>
            </w:r>
          </w:p>
        </w:tc>
        <w:tc>
          <w:tcPr>
            <w:tcW w:w="897" w:type="dxa"/>
            <w:shd w:val="clear" w:color="auto" w:fill="C7E2FA"/>
          </w:tcPr>
          <w:p w14:paraId="68521349"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p>
        </w:tc>
      </w:tr>
      <w:tr w:rsidR="00D6016E" w:rsidRPr="00DB6E6D" w14:paraId="1253971C" w14:textId="77777777" w:rsidTr="00F30E80">
        <w:trPr>
          <w:trHeight w:val="300"/>
          <w:jc w:val="center"/>
        </w:trPr>
        <w:tc>
          <w:tcPr>
            <w:tcW w:w="1805" w:type="dxa"/>
            <w:shd w:val="clear" w:color="auto" w:fill="C7E2FA"/>
            <w:vAlign w:val="center"/>
          </w:tcPr>
          <w:p w14:paraId="2D37CE49"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r w:rsidRPr="00DB6E6D">
              <w:rPr>
                <w:rFonts w:ascii="Avenir" w:eastAsia="Avenir" w:hAnsi="Avenir" w:cs="Avenir"/>
                <w:b/>
                <w:sz w:val="16"/>
                <w:szCs w:val="16"/>
              </w:rPr>
              <w:t xml:space="preserve">Total </w:t>
            </w:r>
          </w:p>
        </w:tc>
        <w:tc>
          <w:tcPr>
            <w:tcW w:w="1207" w:type="dxa"/>
            <w:shd w:val="clear" w:color="auto" w:fill="C7E2FA"/>
          </w:tcPr>
          <w:p w14:paraId="50F19F3C"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35 000 000 </w:t>
            </w:r>
          </w:p>
        </w:tc>
        <w:tc>
          <w:tcPr>
            <w:tcW w:w="1058" w:type="dxa"/>
            <w:shd w:val="clear" w:color="auto" w:fill="C7E2FA"/>
          </w:tcPr>
          <w:p w14:paraId="60769D08"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1 283 722 </w:t>
            </w:r>
          </w:p>
        </w:tc>
        <w:tc>
          <w:tcPr>
            <w:tcW w:w="1312" w:type="dxa"/>
            <w:shd w:val="clear" w:color="auto" w:fill="C7E2FA"/>
          </w:tcPr>
          <w:p w14:paraId="41732CC0"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1</w:t>
            </w:r>
            <w:r>
              <w:rPr>
                <w:rFonts w:ascii="Avenir" w:eastAsia="Avenir" w:hAnsi="Avenir" w:cs="Avenir"/>
                <w:b/>
                <w:bCs/>
                <w:sz w:val="16"/>
                <w:szCs w:val="16"/>
              </w:rPr>
              <w:t>70</w:t>
            </w:r>
            <w:r w:rsidRPr="00DB6E6D">
              <w:rPr>
                <w:rFonts w:ascii="Avenir" w:eastAsia="Avenir" w:hAnsi="Avenir" w:cs="Avenir"/>
                <w:b/>
                <w:bCs/>
                <w:sz w:val="16"/>
                <w:szCs w:val="16"/>
              </w:rPr>
              <w:t xml:space="preserve"> </w:t>
            </w:r>
            <w:r>
              <w:rPr>
                <w:rFonts w:ascii="Avenir" w:eastAsia="Avenir" w:hAnsi="Avenir" w:cs="Avenir"/>
                <w:b/>
                <w:bCs/>
                <w:sz w:val="16"/>
                <w:szCs w:val="16"/>
              </w:rPr>
              <w:t>586</w:t>
            </w:r>
            <w:r w:rsidRPr="00DB6E6D">
              <w:rPr>
                <w:rFonts w:ascii="Avenir" w:eastAsia="Avenir" w:hAnsi="Avenir" w:cs="Avenir"/>
                <w:b/>
                <w:bCs/>
                <w:sz w:val="16"/>
                <w:szCs w:val="16"/>
              </w:rPr>
              <w:t>,</w:t>
            </w:r>
            <w:r>
              <w:rPr>
                <w:rFonts w:ascii="Avenir" w:eastAsia="Avenir" w:hAnsi="Avenir" w:cs="Avenir"/>
                <w:b/>
                <w:bCs/>
                <w:sz w:val="16"/>
                <w:szCs w:val="16"/>
              </w:rPr>
              <w:t>39</w:t>
            </w:r>
            <w:r w:rsidRPr="00DB6E6D">
              <w:rPr>
                <w:rFonts w:ascii="Avenir" w:eastAsia="Avenir" w:hAnsi="Avenir" w:cs="Avenir"/>
                <w:b/>
                <w:bCs/>
                <w:sz w:val="16"/>
                <w:szCs w:val="16"/>
              </w:rPr>
              <w:t xml:space="preserve"> </w:t>
            </w:r>
          </w:p>
        </w:tc>
        <w:tc>
          <w:tcPr>
            <w:tcW w:w="1134" w:type="dxa"/>
            <w:shd w:val="clear" w:color="auto" w:fill="C7E2FA"/>
          </w:tcPr>
          <w:p w14:paraId="7A888A5A"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 xml:space="preserve"> 34 8</w:t>
            </w:r>
            <w:r>
              <w:rPr>
                <w:rFonts w:ascii="Avenir" w:eastAsia="Avenir" w:hAnsi="Avenir" w:cs="Avenir"/>
                <w:b/>
                <w:bCs/>
                <w:sz w:val="16"/>
                <w:szCs w:val="16"/>
              </w:rPr>
              <w:t>29</w:t>
            </w:r>
            <w:r w:rsidRPr="00DB6E6D">
              <w:rPr>
                <w:rFonts w:ascii="Avenir" w:eastAsia="Avenir" w:hAnsi="Avenir" w:cs="Avenir"/>
                <w:b/>
                <w:bCs/>
                <w:sz w:val="16"/>
                <w:szCs w:val="16"/>
              </w:rPr>
              <w:t xml:space="preserve"> </w:t>
            </w:r>
            <w:r>
              <w:rPr>
                <w:rFonts w:ascii="Avenir" w:eastAsia="Avenir" w:hAnsi="Avenir" w:cs="Avenir"/>
                <w:b/>
                <w:bCs/>
                <w:sz w:val="16"/>
                <w:szCs w:val="16"/>
              </w:rPr>
              <w:t>413,85</w:t>
            </w:r>
            <w:r w:rsidRPr="00DB6E6D">
              <w:rPr>
                <w:rFonts w:ascii="Avenir" w:eastAsia="Avenir" w:hAnsi="Avenir" w:cs="Avenir"/>
                <w:b/>
                <w:bCs/>
                <w:sz w:val="16"/>
                <w:szCs w:val="16"/>
              </w:rPr>
              <w:t xml:space="preserve"> </w:t>
            </w:r>
          </w:p>
        </w:tc>
        <w:tc>
          <w:tcPr>
            <w:tcW w:w="1364" w:type="dxa"/>
            <w:shd w:val="clear" w:color="auto" w:fill="C7E2FA"/>
          </w:tcPr>
          <w:p w14:paraId="63309F45"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13,</w:t>
            </w:r>
            <w:r>
              <w:rPr>
                <w:rFonts w:ascii="Avenir" w:eastAsia="Avenir" w:hAnsi="Avenir" w:cs="Avenir"/>
                <w:b/>
                <w:bCs/>
                <w:sz w:val="16"/>
                <w:szCs w:val="16"/>
              </w:rPr>
              <w:t>3</w:t>
            </w:r>
            <w:r w:rsidRPr="00DB6E6D">
              <w:rPr>
                <w:rFonts w:ascii="Avenir" w:eastAsia="Avenir" w:hAnsi="Avenir" w:cs="Avenir"/>
                <w:b/>
                <w:bCs/>
                <w:sz w:val="16"/>
                <w:szCs w:val="16"/>
              </w:rPr>
              <w:t>%</w:t>
            </w:r>
          </w:p>
        </w:tc>
        <w:tc>
          <w:tcPr>
            <w:tcW w:w="1329" w:type="dxa"/>
            <w:shd w:val="clear" w:color="auto" w:fill="C7E2FA"/>
            <w:vAlign w:val="center"/>
          </w:tcPr>
          <w:p w14:paraId="5B5B0E94" w14:textId="77777777" w:rsidR="00D6016E" w:rsidRPr="00DB6E6D" w:rsidRDefault="00D6016E" w:rsidP="00F30E80">
            <w:pPr>
              <w:spacing w:after="0" w:line="240" w:lineRule="auto"/>
              <w:ind w:left="0" w:right="0" w:firstLine="0"/>
              <w:jc w:val="center"/>
              <w:rPr>
                <w:rFonts w:ascii="Avenir" w:eastAsia="Avenir" w:hAnsi="Avenir" w:cs="Avenir"/>
                <w:b/>
                <w:bCs/>
                <w:sz w:val="16"/>
                <w:szCs w:val="16"/>
              </w:rPr>
            </w:pPr>
            <w:r w:rsidRPr="00DB6E6D">
              <w:rPr>
                <w:rFonts w:ascii="Avenir" w:eastAsia="Avenir" w:hAnsi="Avenir" w:cs="Avenir"/>
                <w:b/>
                <w:bCs/>
                <w:sz w:val="16"/>
                <w:szCs w:val="16"/>
              </w:rPr>
              <w:t>0,5%</w:t>
            </w:r>
          </w:p>
        </w:tc>
        <w:tc>
          <w:tcPr>
            <w:tcW w:w="897" w:type="dxa"/>
            <w:shd w:val="clear" w:color="auto" w:fill="C7E2FA"/>
          </w:tcPr>
          <w:p w14:paraId="4F4B2EEA" w14:textId="77777777" w:rsidR="00D6016E" w:rsidRPr="00DB6E6D" w:rsidRDefault="00D6016E" w:rsidP="00F30E80">
            <w:pPr>
              <w:spacing w:after="0" w:line="240" w:lineRule="auto"/>
              <w:ind w:left="0" w:right="0" w:firstLine="0"/>
              <w:jc w:val="center"/>
              <w:rPr>
                <w:rFonts w:ascii="Avenir" w:eastAsia="Avenir" w:hAnsi="Avenir" w:cs="Avenir"/>
                <w:b/>
                <w:sz w:val="16"/>
                <w:szCs w:val="16"/>
              </w:rPr>
            </w:pPr>
          </w:p>
        </w:tc>
      </w:tr>
    </w:tbl>
    <w:p w14:paraId="5637F452" w14:textId="77777777" w:rsidR="00FC75A8" w:rsidRDefault="00FC75A8">
      <w:pPr>
        <w:spacing w:after="8" w:line="259" w:lineRule="auto"/>
        <w:ind w:right="0"/>
        <w:jc w:val="left"/>
        <w:rPr>
          <w:rFonts w:ascii="Avenir" w:eastAsia="Avenir" w:hAnsi="Avenir" w:cs="Avenir"/>
          <w:b/>
          <w:i/>
          <w:sz w:val="8"/>
          <w:szCs w:val="8"/>
        </w:rPr>
      </w:pPr>
    </w:p>
    <w:p w14:paraId="5637F453" w14:textId="77777777" w:rsidR="00FC75A8" w:rsidRDefault="00FC75A8">
      <w:pPr>
        <w:spacing w:after="8" w:line="259" w:lineRule="auto"/>
        <w:ind w:right="0"/>
        <w:jc w:val="left"/>
        <w:rPr>
          <w:rFonts w:ascii="Avenir" w:eastAsia="Avenir" w:hAnsi="Avenir" w:cs="Avenir"/>
          <w:sz w:val="20"/>
          <w:szCs w:val="20"/>
        </w:rPr>
      </w:pPr>
    </w:p>
    <w:p w14:paraId="67C6D309" w14:textId="77777777" w:rsidR="007B524A" w:rsidRDefault="007B524A">
      <w:pPr>
        <w:spacing w:after="8" w:line="259" w:lineRule="auto"/>
        <w:ind w:right="0"/>
        <w:jc w:val="left"/>
        <w:rPr>
          <w:rFonts w:ascii="Avenir" w:eastAsia="Avenir" w:hAnsi="Avenir" w:cs="Avenir"/>
          <w:sz w:val="20"/>
          <w:szCs w:val="20"/>
        </w:rPr>
      </w:pPr>
    </w:p>
    <w:p w14:paraId="4211F7C4" w14:textId="77777777" w:rsidR="007B524A" w:rsidRDefault="007B524A">
      <w:pPr>
        <w:spacing w:after="8" w:line="259" w:lineRule="auto"/>
        <w:ind w:right="0"/>
        <w:jc w:val="left"/>
        <w:rPr>
          <w:rFonts w:ascii="Avenir" w:eastAsia="Avenir" w:hAnsi="Avenir" w:cs="Avenir"/>
          <w:sz w:val="20"/>
          <w:szCs w:val="20"/>
        </w:rPr>
      </w:pPr>
    </w:p>
    <w:p w14:paraId="5637F454" w14:textId="77777777" w:rsidR="00FC75A8" w:rsidRDefault="00000000">
      <w:pPr>
        <w:numPr>
          <w:ilvl w:val="0"/>
          <w:numId w:val="2"/>
        </w:numPr>
        <w:pBdr>
          <w:top w:val="nil"/>
          <w:left w:val="nil"/>
          <w:bottom w:val="nil"/>
          <w:right w:val="nil"/>
          <w:between w:val="nil"/>
        </w:pBdr>
        <w:spacing w:after="8" w:line="259" w:lineRule="auto"/>
        <w:ind w:right="0"/>
        <w:jc w:val="left"/>
        <w:rPr>
          <w:rFonts w:ascii="Avenir" w:eastAsia="Avenir" w:hAnsi="Avenir" w:cs="Avenir"/>
          <w:sz w:val="20"/>
          <w:szCs w:val="20"/>
        </w:rPr>
      </w:pPr>
      <w:r>
        <w:rPr>
          <w:rFonts w:ascii="Avenir" w:eastAsia="Avenir" w:hAnsi="Avenir" w:cs="Avenir"/>
          <w:sz w:val="20"/>
          <w:szCs w:val="20"/>
        </w:rPr>
        <w:lastRenderedPageBreak/>
        <w:t xml:space="preserve">Tableau 8.2 </w:t>
      </w:r>
    </w:p>
    <w:p w14:paraId="5637F455" w14:textId="77777777" w:rsidR="00FC75A8" w:rsidRDefault="00FC75A8">
      <w:pPr>
        <w:spacing w:after="8" w:line="259" w:lineRule="auto"/>
        <w:ind w:left="10" w:right="0" w:firstLine="10"/>
        <w:jc w:val="left"/>
        <w:rPr>
          <w:rFonts w:ascii="Avenir" w:eastAsia="Avenir" w:hAnsi="Avenir" w:cs="Avenir"/>
          <w:sz w:val="20"/>
          <w:szCs w:val="20"/>
        </w:rPr>
      </w:pPr>
    </w:p>
    <w:p w14:paraId="30835448" w14:textId="22CC6C34" w:rsidR="00D6016E" w:rsidRPr="00FC7DF7" w:rsidRDefault="00D6016E" w:rsidP="00D6016E">
      <w:pPr>
        <w:pStyle w:val="Paragraphedeliste"/>
        <w:numPr>
          <w:ilvl w:val="0"/>
          <w:numId w:val="41"/>
        </w:numPr>
        <w:spacing w:after="8" w:line="259" w:lineRule="auto"/>
        <w:ind w:right="0"/>
        <w:jc w:val="left"/>
        <w:rPr>
          <w:rFonts w:ascii="Avenir" w:eastAsia="Avenir" w:hAnsi="Avenir" w:cs="Avenir"/>
          <w:color w:val="auto"/>
          <w:sz w:val="20"/>
          <w:szCs w:val="20"/>
        </w:rPr>
      </w:pPr>
      <w:r w:rsidRPr="00DB6E6D">
        <w:rPr>
          <w:rFonts w:ascii="Avenir" w:eastAsia="Avenir" w:hAnsi="Avenir" w:cs="Avenir"/>
          <w:color w:val="auto"/>
          <w:sz w:val="20"/>
          <w:szCs w:val="20"/>
        </w:rPr>
        <w:t>Le tableau 8.2</w:t>
      </w:r>
      <w:r w:rsidR="00E212BF">
        <w:rPr>
          <w:rFonts w:ascii="Avenir" w:eastAsia="Avenir" w:hAnsi="Avenir" w:cs="Avenir"/>
          <w:color w:val="auto"/>
          <w:sz w:val="20"/>
          <w:szCs w:val="20"/>
        </w:rPr>
        <w:t xml:space="preserve"> contenant les i</w:t>
      </w:r>
      <w:r w:rsidR="00E212BF" w:rsidRPr="00E212BF">
        <w:rPr>
          <w:rFonts w:ascii="Avenir" w:eastAsia="Avenir" w:hAnsi="Avenir" w:cs="Avenir"/>
          <w:color w:val="auto"/>
          <w:sz w:val="20"/>
          <w:szCs w:val="20"/>
        </w:rPr>
        <w:t>nformations financi</w:t>
      </w:r>
      <w:r w:rsidR="00E212BF">
        <w:rPr>
          <w:rFonts w:ascii="Avenir" w:eastAsia="Avenir" w:hAnsi="Avenir" w:cs="Avenir"/>
          <w:color w:val="auto"/>
          <w:sz w:val="20"/>
          <w:szCs w:val="20"/>
        </w:rPr>
        <w:t>è</w:t>
      </w:r>
      <w:r w:rsidR="00E212BF" w:rsidRPr="00E212BF">
        <w:rPr>
          <w:rFonts w:ascii="Avenir" w:eastAsia="Avenir" w:hAnsi="Avenir" w:cs="Avenir"/>
          <w:color w:val="auto"/>
          <w:sz w:val="20"/>
          <w:szCs w:val="20"/>
        </w:rPr>
        <w:t>res dans l</w:t>
      </w:r>
      <w:r w:rsidR="00E212BF">
        <w:rPr>
          <w:rFonts w:ascii="Avenir" w:eastAsia="Avenir" w:hAnsi="Avenir" w:cs="Avenir"/>
          <w:color w:val="auto"/>
          <w:sz w:val="20"/>
          <w:szCs w:val="20"/>
        </w:rPr>
        <w:t>e</w:t>
      </w:r>
      <w:r w:rsidR="00E212BF" w:rsidRPr="00E212BF">
        <w:rPr>
          <w:rFonts w:ascii="Avenir" w:eastAsia="Avenir" w:hAnsi="Avenir" w:cs="Avenir"/>
          <w:color w:val="auto"/>
          <w:sz w:val="20"/>
          <w:szCs w:val="20"/>
        </w:rPr>
        <w:t xml:space="preserve"> rapport narratif</w:t>
      </w:r>
      <w:r w:rsidR="00E212BF">
        <w:rPr>
          <w:rFonts w:ascii="Avenir" w:eastAsia="Avenir" w:hAnsi="Avenir" w:cs="Avenir"/>
          <w:color w:val="auto"/>
          <w:sz w:val="20"/>
          <w:szCs w:val="20"/>
        </w:rPr>
        <w:t xml:space="preserve"> du projet </w:t>
      </w:r>
      <w:r w:rsidR="00E212BF" w:rsidRPr="00E212BF">
        <w:rPr>
          <w:rFonts w:ascii="Avenir" w:eastAsia="Avenir" w:hAnsi="Avenir" w:cs="Avenir"/>
          <w:color w:val="auto"/>
          <w:sz w:val="20"/>
          <w:szCs w:val="20"/>
        </w:rPr>
        <w:t>PIREDD KORLOM</w:t>
      </w:r>
      <w:r w:rsidR="00E212BF">
        <w:rPr>
          <w:rFonts w:ascii="Avenir" w:eastAsia="Avenir" w:hAnsi="Avenir" w:cs="Avenir"/>
          <w:color w:val="auto"/>
          <w:sz w:val="20"/>
          <w:szCs w:val="20"/>
        </w:rPr>
        <w:t>,</w:t>
      </w:r>
      <w:r w:rsidRPr="00DB6E6D">
        <w:rPr>
          <w:rFonts w:ascii="Avenir" w:eastAsia="Avenir" w:hAnsi="Avenir" w:cs="Avenir"/>
          <w:color w:val="auto"/>
          <w:sz w:val="20"/>
          <w:szCs w:val="20"/>
        </w:rPr>
        <w:t xml:space="preserve"> a été renseigné et est accessible à </w:t>
      </w:r>
      <w:r w:rsidRPr="00E212BF">
        <w:rPr>
          <w:rFonts w:ascii="Avenir" w:eastAsia="Avenir" w:hAnsi="Avenir" w:cs="Avenir"/>
          <w:color w:val="auto"/>
          <w:sz w:val="20"/>
          <w:szCs w:val="20"/>
        </w:rPr>
        <w:t xml:space="preserve">travers ce lien : </w:t>
      </w:r>
      <w:hyperlink r:id="rId20" w:history="1">
        <w:r w:rsidR="00E212BF" w:rsidRPr="00E212BF">
          <w:rPr>
            <w:rStyle w:val="Lienhypertexte"/>
            <w:rFonts w:ascii="Avenir" w:eastAsia="Avenir" w:hAnsi="Avenir" w:cs="Avenir"/>
            <w:sz w:val="20"/>
            <w:szCs w:val="20"/>
          </w:rPr>
          <w:t>Cliquer ici</w:t>
        </w:r>
      </w:hyperlink>
    </w:p>
    <w:p w14:paraId="5637F456" w14:textId="5D12ACFD" w:rsidR="00FC75A8" w:rsidRDefault="00FC75A8">
      <w:pPr>
        <w:spacing w:after="8" w:line="259" w:lineRule="auto"/>
        <w:ind w:left="10" w:right="0" w:firstLine="10"/>
        <w:jc w:val="left"/>
        <w:rPr>
          <w:rFonts w:ascii="Avenir" w:eastAsia="Avenir" w:hAnsi="Avenir" w:cs="Avenir"/>
          <w:sz w:val="20"/>
          <w:szCs w:val="20"/>
        </w:rPr>
      </w:pPr>
    </w:p>
    <w:p w14:paraId="5637F457" w14:textId="7DD310C1" w:rsidR="00FC75A8" w:rsidRPr="00E212BF" w:rsidRDefault="00D6016E" w:rsidP="00D6016E">
      <w:pPr>
        <w:spacing w:after="8" w:line="259" w:lineRule="auto"/>
        <w:ind w:right="0"/>
        <w:jc w:val="center"/>
        <w:rPr>
          <w:rFonts w:ascii="Avenir" w:eastAsia="Avenir" w:hAnsi="Avenir" w:cs="Avenir"/>
          <w:bCs/>
          <w:iCs/>
          <w:sz w:val="20"/>
          <w:szCs w:val="20"/>
        </w:rPr>
      </w:pPr>
      <w:r w:rsidRPr="00E212BF">
        <w:rPr>
          <w:rFonts w:ascii="Avenir" w:eastAsia="Avenir" w:hAnsi="Avenir" w:cs="Avenir"/>
          <w:bCs/>
          <w:iCs/>
          <w:sz w:val="20"/>
          <w:szCs w:val="20"/>
        </w:rPr>
        <w:t>Tableau des dépenses suivant les catégories UNDG</w:t>
      </w:r>
    </w:p>
    <w:tbl>
      <w:tblPr>
        <w:tblW w:w="5000" w:type="pct"/>
        <w:jc w:val="center"/>
        <w:tblCellMar>
          <w:left w:w="0" w:type="dxa"/>
          <w:right w:w="0" w:type="dxa"/>
        </w:tblCellMar>
        <w:tblLook w:val="04A0" w:firstRow="1" w:lastRow="0" w:firstColumn="1" w:lastColumn="0" w:noHBand="0" w:noVBand="1"/>
      </w:tblPr>
      <w:tblGrid>
        <w:gridCol w:w="4247"/>
        <w:gridCol w:w="1612"/>
        <w:gridCol w:w="1640"/>
        <w:gridCol w:w="1249"/>
      </w:tblGrid>
      <w:tr w:rsidR="00D6016E" w:rsidRPr="00DE1E16" w14:paraId="6B33BDEF" w14:textId="77777777" w:rsidTr="00DE1E16">
        <w:trPr>
          <w:trHeight w:val="591"/>
          <w:jc w:val="center"/>
        </w:trPr>
        <w:tc>
          <w:tcPr>
            <w:tcW w:w="2427" w:type="pct"/>
            <w:vMerge w:val="restart"/>
            <w:tcBorders>
              <w:top w:val="single" w:sz="6" w:space="0" w:color="B4C6E7"/>
              <w:left w:val="single" w:sz="6" w:space="0" w:color="B4C6E7"/>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137EFF17" w14:textId="77777777" w:rsidR="00D6016E" w:rsidRPr="00DE1E16" w:rsidRDefault="00D6016E" w:rsidP="00F30E80">
            <w:pPr>
              <w:spacing w:after="0" w:line="259" w:lineRule="auto"/>
              <w:rPr>
                <w:rFonts w:ascii="Avenir" w:hAnsi="Avenir"/>
                <w:b/>
                <w:bCs/>
                <w:sz w:val="20"/>
                <w:szCs w:val="20"/>
              </w:rPr>
            </w:pPr>
            <w:r w:rsidRPr="00DE1E16">
              <w:rPr>
                <w:rFonts w:ascii="Avenir" w:hAnsi="Avenir"/>
                <w:b/>
                <w:bCs/>
                <w:sz w:val="20"/>
                <w:szCs w:val="20"/>
              </w:rPr>
              <w:t xml:space="preserve">CATEGORIES DE BUDGET UNDG </w:t>
            </w:r>
          </w:p>
        </w:tc>
        <w:tc>
          <w:tcPr>
            <w:tcW w:w="921" w:type="pct"/>
            <w:vMerge w:val="restart"/>
            <w:tcBorders>
              <w:top w:val="single" w:sz="6" w:space="0" w:color="B4C6E7"/>
              <w:left w:val="single" w:sz="6" w:space="0" w:color="CCCCCC"/>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0A0CC829" w14:textId="4C91425A" w:rsidR="00D6016E" w:rsidRPr="00DE1E16" w:rsidRDefault="00D6016E" w:rsidP="00F30E80">
            <w:pPr>
              <w:spacing w:after="0" w:line="259" w:lineRule="auto"/>
              <w:jc w:val="left"/>
              <w:rPr>
                <w:rFonts w:ascii="Avenir" w:hAnsi="Avenir"/>
                <w:b/>
                <w:bCs/>
                <w:sz w:val="20"/>
                <w:szCs w:val="20"/>
              </w:rPr>
            </w:pPr>
            <w:r w:rsidRPr="00DE1E16">
              <w:rPr>
                <w:rFonts w:ascii="Avenir" w:hAnsi="Avenir"/>
                <w:b/>
                <w:bCs/>
                <w:sz w:val="20"/>
                <w:szCs w:val="20"/>
              </w:rPr>
              <w:t>Budget</w:t>
            </w:r>
          </w:p>
        </w:tc>
        <w:tc>
          <w:tcPr>
            <w:tcW w:w="937" w:type="pct"/>
            <w:vMerge w:val="restart"/>
            <w:tcBorders>
              <w:top w:val="single" w:sz="6" w:space="0" w:color="B4C6E7"/>
              <w:left w:val="single" w:sz="6" w:space="0" w:color="CCCCCC"/>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27678637" w14:textId="77777777" w:rsidR="00D6016E" w:rsidRPr="00DE1E16" w:rsidRDefault="00D6016E" w:rsidP="00F30E80">
            <w:pPr>
              <w:spacing w:after="0" w:line="259" w:lineRule="auto"/>
              <w:jc w:val="left"/>
              <w:rPr>
                <w:rFonts w:ascii="Avenir" w:hAnsi="Avenir"/>
                <w:b/>
                <w:bCs/>
                <w:sz w:val="20"/>
                <w:szCs w:val="20"/>
              </w:rPr>
            </w:pPr>
            <w:r w:rsidRPr="00DE1E16">
              <w:rPr>
                <w:rFonts w:ascii="Avenir" w:hAnsi="Avenir"/>
                <w:b/>
                <w:bCs/>
                <w:sz w:val="20"/>
                <w:szCs w:val="20"/>
              </w:rPr>
              <w:t xml:space="preserve">Dépenses </w:t>
            </w:r>
          </w:p>
        </w:tc>
        <w:tc>
          <w:tcPr>
            <w:tcW w:w="714" w:type="pct"/>
            <w:vMerge w:val="restart"/>
            <w:tcBorders>
              <w:top w:val="single" w:sz="6" w:space="0" w:color="B4C6E7"/>
              <w:left w:val="single" w:sz="6" w:space="0" w:color="CCCCCC"/>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4994C419" w14:textId="77777777" w:rsidR="00D6016E" w:rsidRPr="00DE1E16" w:rsidRDefault="00D6016E" w:rsidP="00F30E80">
            <w:pPr>
              <w:spacing w:after="0" w:line="259" w:lineRule="auto"/>
              <w:jc w:val="left"/>
              <w:rPr>
                <w:rFonts w:ascii="Avenir" w:hAnsi="Avenir"/>
                <w:b/>
                <w:bCs/>
                <w:sz w:val="20"/>
                <w:szCs w:val="20"/>
              </w:rPr>
            </w:pPr>
            <w:r w:rsidRPr="00DE1E16">
              <w:rPr>
                <w:rFonts w:ascii="Avenir" w:hAnsi="Avenir"/>
                <w:b/>
                <w:bCs/>
                <w:sz w:val="20"/>
                <w:szCs w:val="20"/>
              </w:rPr>
              <w:t>%</w:t>
            </w:r>
          </w:p>
        </w:tc>
      </w:tr>
      <w:tr w:rsidR="00D6016E" w:rsidRPr="00DE1E16" w14:paraId="51EA569B" w14:textId="77777777" w:rsidTr="00DE1E16">
        <w:trPr>
          <w:trHeight w:val="294"/>
          <w:jc w:val="center"/>
        </w:trPr>
        <w:tc>
          <w:tcPr>
            <w:tcW w:w="2427" w:type="pct"/>
            <w:vMerge/>
            <w:tcBorders>
              <w:top w:val="single" w:sz="6" w:space="0" w:color="B4C6E7"/>
              <w:left w:val="single" w:sz="6" w:space="0" w:color="B4C6E7"/>
              <w:bottom w:val="single" w:sz="6" w:space="0" w:color="B4C6E7"/>
              <w:right w:val="single" w:sz="6" w:space="0" w:color="B4C6E7"/>
            </w:tcBorders>
            <w:shd w:val="clear" w:color="auto" w:fill="92D050"/>
            <w:vAlign w:val="center"/>
            <w:hideMark/>
          </w:tcPr>
          <w:p w14:paraId="3B0A6546" w14:textId="77777777" w:rsidR="00D6016E" w:rsidRPr="00DE1E16" w:rsidRDefault="00D6016E" w:rsidP="00F30E80">
            <w:pPr>
              <w:spacing w:after="0" w:line="259" w:lineRule="auto"/>
              <w:rPr>
                <w:rFonts w:ascii="Avenir" w:hAnsi="Avenir"/>
                <w:b/>
                <w:bCs/>
                <w:sz w:val="20"/>
                <w:szCs w:val="20"/>
              </w:rPr>
            </w:pPr>
          </w:p>
        </w:tc>
        <w:tc>
          <w:tcPr>
            <w:tcW w:w="921" w:type="pct"/>
            <w:vMerge/>
            <w:tcBorders>
              <w:top w:val="single" w:sz="6" w:space="0" w:color="B4C6E7"/>
              <w:left w:val="single" w:sz="6" w:space="0" w:color="CCCCCC"/>
              <w:bottom w:val="single" w:sz="6" w:space="0" w:color="B4C6E7"/>
              <w:right w:val="single" w:sz="6" w:space="0" w:color="B4C6E7"/>
            </w:tcBorders>
            <w:shd w:val="clear" w:color="auto" w:fill="92D050"/>
            <w:vAlign w:val="center"/>
            <w:hideMark/>
          </w:tcPr>
          <w:p w14:paraId="18DBF431" w14:textId="77777777" w:rsidR="00D6016E" w:rsidRPr="00DE1E16" w:rsidRDefault="00D6016E" w:rsidP="00F30E80">
            <w:pPr>
              <w:spacing w:after="0" w:line="259" w:lineRule="auto"/>
              <w:rPr>
                <w:rFonts w:ascii="Avenir" w:hAnsi="Avenir"/>
                <w:b/>
                <w:bCs/>
                <w:sz w:val="20"/>
                <w:szCs w:val="20"/>
              </w:rPr>
            </w:pPr>
          </w:p>
        </w:tc>
        <w:tc>
          <w:tcPr>
            <w:tcW w:w="937" w:type="pct"/>
            <w:vMerge/>
            <w:tcBorders>
              <w:top w:val="single" w:sz="6" w:space="0" w:color="B4C6E7"/>
              <w:left w:val="single" w:sz="6" w:space="0" w:color="CCCCCC"/>
              <w:bottom w:val="single" w:sz="6" w:space="0" w:color="B4C6E7"/>
              <w:right w:val="single" w:sz="6" w:space="0" w:color="B4C6E7"/>
            </w:tcBorders>
            <w:shd w:val="clear" w:color="auto" w:fill="92D050"/>
            <w:vAlign w:val="center"/>
            <w:hideMark/>
          </w:tcPr>
          <w:p w14:paraId="4933B366" w14:textId="77777777" w:rsidR="00D6016E" w:rsidRPr="00DE1E16" w:rsidRDefault="00D6016E" w:rsidP="00F30E80">
            <w:pPr>
              <w:spacing w:after="0" w:line="259" w:lineRule="auto"/>
              <w:rPr>
                <w:rFonts w:ascii="Avenir" w:hAnsi="Avenir"/>
                <w:b/>
                <w:bCs/>
                <w:sz w:val="20"/>
                <w:szCs w:val="20"/>
              </w:rPr>
            </w:pPr>
          </w:p>
        </w:tc>
        <w:tc>
          <w:tcPr>
            <w:tcW w:w="714" w:type="pct"/>
            <w:vMerge/>
            <w:tcBorders>
              <w:top w:val="single" w:sz="6" w:space="0" w:color="B4C6E7"/>
              <w:left w:val="single" w:sz="6" w:space="0" w:color="CCCCCC"/>
              <w:bottom w:val="single" w:sz="6" w:space="0" w:color="B4C6E7"/>
              <w:right w:val="single" w:sz="6" w:space="0" w:color="B4C6E7"/>
            </w:tcBorders>
            <w:shd w:val="clear" w:color="auto" w:fill="92D050"/>
            <w:vAlign w:val="center"/>
            <w:hideMark/>
          </w:tcPr>
          <w:p w14:paraId="5F76215A" w14:textId="77777777" w:rsidR="00D6016E" w:rsidRPr="00DE1E16" w:rsidRDefault="00D6016E" w:rsidP="00F30E80">
            <w:pPr>
              <w:spacing w:after="0" w:line="259" w:lineRule="auto"/>
              <w:rPr>
                <w:rFonts w:ascii="Avenir" w:hAnsi="Avenir"/>
                <w:b/>
                <w:bCs/>
                <w:sz w:val="20"/>
                <w:szCs w:val="20"/>
              </w:rPr>
            </w:pPr>
          </w:p>
        </w:tc>
      </w:tr>
      <w:tr w:rsidR="00D6016E" w:rsidRPr="00DE1E16" w14:paraId="71229E00" w14:textId="77777777" w:rsidTr="00DE1E16">
        <w:trPr>
          <w:trHeight w:val="432"/>
          <w:jc w:val="center"/>
        </w:trPr>
        <w:tc>
          <w:tcPr>
            <w:tcW w:w="2427" w:type="pct"/>
            <w:tcBorders>
              <w:top w:val="single" w:sz="6" w:space="0" w:color="CCCCCC"/>
              <w:left w:val="single" w:sz="6" w:space="0" w:color="B4C6E7"/>
              <w:bottom w:val="single" w:sz="6" w:space="0" w:color="B4C6E7"/>
              <w:right w:val="single" w:sz="6" w:space="0" w:color="B4C6E7"/>
            </w:tcBorders>
            <w:tcMar>
              <w:top w:w="0" w:type="dxa"/>
              <w:left w:w="45" w:type="dxa"/>
              <w:bottom w:w="0" w:type="dxa"/>
              <w:right w:w="45" w:type="dxa"/>
            </w:tcMar>
            <w:vAlign w:val="center"/>
            <w:hideMark/>
          </w:tcPr>
          <w:p w14:paraId="26095B24" w14:textId="77777777" w:rsidR="00D6016E" w:rsidRPr="00DE1E16" w:rsidRDefault="00D6016E" w:rsidP="00F30E80">
            <w:pPr>
              <w:spacing w:after="0" w:line="259" w:lineRule="auto"/>
              <w:rPr>
                <w:rFonts w:ascii="Avenir" w:hAnsi="Avenir"/>
                <w:sz w:val="20"/>
                <w:szCs w:val="20"/>
              </w:rPr>
            </w:pPr>
            <w:r w:rsidRPr="00DE1E16">
              <w:rPr>
                <w:rFonts w:ascii="Avenir" w:hAnsi="Avenir"/>
                <w:sz w:val="20"/>
                <w:szCs w:val="20"/>
              </w:rPr>
              <w:t>1. Personnels</w:t>
            </w:r>
          </w:p>
        </w:tc>
        <w:tc>
          <w:tcPr>
            <w:tcW w:w="921"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4FFA3DF5"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8 347 270</w:t>
            </w:r>
          </w:p>
        </w:tc>
        <w:tc>
          <w:tcPr>
            <w:tcW w:w="937"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4E27BD97"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125 215</w:t>
            </w:r>
          </w:p>
        </w:tc>
        <w:tc>
          <w:tcPr>
            <w:tcW w:w="714"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65A11EAC"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2%</w:t>
            </w:r>
          </w:p>
        </w:tc>
      </w:tr>
      <w:tr w:rsidR="00D6016E" w:rsidRPr="00DE1E16" w14:paraId="39347AB0" w14:textId="77777777" w:rsidTr="00DE1E16">
        <w:trPr>
          <w:trHeight w:val="609"/>
          <w:jc w:val="center"/>
        </w:trPr>
        <w:tc>
          <w:tcPr>
            <w:tcW w:w="2427" w:type="pct"/>
            <w:tcBorders>
              <w:top w:val="single" w:sz="6" w:space="0" w:color="CCCCCC"/>
              <w:left w:val="single" w:sz="6" w:space="0" w:color="B4C6E7"/>
              <w:bottom w:val="single" w:sz="6" w:space="0" w:color="B4C6E7"/>
              <w:right w:val="single" w:sz="6" w:space="0" w:color="B4C6E7"/>
            </w:tcBorders>
            <w:tcMar>
              <w:top w:w="0" w:type="dxa"/>
              <w:left w:w="45" w:type="dxa"/>
              <w:bottom w:w="0" w:type="dxa"/>
              <w:right w:w="45" w:type="dxa"/>
            </w:tcMar>
            <w:vAlign w:val="center"/>
            <w:hideMark/>
          </w:tcPr>
          <w:p w14:paraId="581446F5" w14:textId="77777777" w:rsidR="00D6016E" w:rsidRPr="00DE1E16" w:rsidRDefault="00D6016E" w:rsidP="00F30E80">
            <w:pPr>
              <w:spacing w:after="0" w:line="259" w:lineRule="auto"/>
              <w:rPr>
                <w:rFonts w:ascii="Avenir" w:hAnsi="Avenir"/>
                <w:sz w:val="20"/>
                <w:szCs w:val="20"/>
              </w:rPr>
            </w:pPr>
            <w:r w:rsidRPr="00DE1E16">
              <w:rPr>
                <w:rFonts w:ascii="Avenir" w:hAnsi="Avenir"/>
                <w:sz w:val="20"/>
                <w:szCs w:val="20"/>
              </w:rPr>
              <w:t>2. Fournitures, produits de base, matériaux</w:t>
            </w:r>
          </w:p>
        </w:tc>
        <w:tc>
          <w:tcPr>
            <w:tcW w:w="921"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1CF300A5"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0</w:t>
            </w:r>
          </w:p>
        </w:tc>
        <w:tc>
          <w:tcPr>
            <w:tcW w:w="937"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316C730A"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0</w:t>
            </w:r>
          </w:p>
        </w:tc>
        <w:tc>
          <w:tcPr>
            <w:tcW w:w="714"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288609D8" w14:textId="6B2778F3" w:rsidR="00D6016E" w:rsidRPr="00DE1E16" w:rsidRDefault="007B524A" w:rsidP="00D6016E">
            <w:pPr>
              <w:spacing w:after="0" w:line="259" w:lineRule="auto"/>
              <w:jc w:val="center"/>
              <w:rPr>
                <w:rFonts w:ascii="Avenir" w:hAnsi="Avenir"/>
                <w:sz w:val="20"/>
                <w:szCs w:val="20"/>
              </w:rPr>
            </w:pPr>
            <w:r w:rsidRPr="00DE1E16">
              <w:rPr>
                <w:rFonts w:ascii="Avenir" w:hAnsi="Avenir"/>
                <w:sz w:val="20"/>
                <w:szCs w:val="20"/>
              </w:rPr>
              <w:t>0%</w:t>
            </w:r>
          </w:p>
        </w:tc>
      </w:tr>
      <w:tr w:rsidR="00D6016E" w:rsidRPr="00DE1E16" w14:paraId="33B3B55D" w14:textId="77777777" w:rsidTr="00DE1E16">
        <w:trPr>
          <w:trHeight w:val="664"/>
          <w:jc w:val="center"/>
        </w:trPr>
        <w:tc>
          <w:tcPr>
            <w:tcW w:w="2427" w:type="pct"/>
            <w:tcBorders>
              <w:top w:val="single" w:sz="6" w:space="0" w:color="CCCCCC"/>
              <w:left w:val="single" w:sz="6" w:space="0" w:color="B4C6E7"/>
              <w:bottom w:val="single" w:sz="6" w:space="0" w:color="B4C6E7"/>
              <w:right w:val="single" w:sz="6" w:space="0" w:color="B4C6E7"/>
            </w:tcBorders>
            <w:tcMar>
              <w:top w:w="0" w:type="dxa"/>
              <w:left w:w="45" w:type="dxa"/>
              <w:bottom w:w="0" w:type="dxa"/>
              <w:right w:w="45" w:type="dxa"/>
            </w:tcMar>
            <w:vAlign w:val="center"/>
            <w:hideMark/>
          </w:tcPr>
          <w:p w14:paraId="2D5375E6" w14:textId="77777777" w:rsidR="00D6016E" w:rsidRPr="00DE1E16" w:rsidRDefault="00D6016E" w:rsidP="00F30E80">
            <w:pPr>
              <w:spacing w:after="0" w:line="259" w:lineRule="auto"/>
              <w:rPr>
                <w:rFonts w:ascii="Avenir" w:hAnsi="Avenir"/>
                <w:sz w:val="20"/>
                <w:szCs w:val="20"/>
              </w:rPr>
            </w:pPr>
            <w:r w:rsidRPr="00DE1E16">
              <w:rPr>
                <w:rFonts w:ascii="Avenir" w:hAnsi="Avenir"/>
                <w:sz w:val="20"/>
                <w:szCs w:val="20"/>
              </w:rPr>
              <w:t>3. Equipements, véhicules et mobilier (y compris l'amortissement)</w:t>
            </w:r>
          </w:p>
        </w:tc>
        <w:tc>
          <w:tcPr>
            <w:tcW w:w="921"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75DEC8BA"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2 368 000</w:t>
            </w:r>
          </w:p>
        </w:tc>
        <w:tc>
          <w:tcPr>
            <w:tcW w:w="937"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7EC76F0B"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290</w:t>
            </w:r>
          </w:p>
        </w:tc>
        <w:tc>
          <w:tcPr>
            <w:tcW w:w="714"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43FBF35B" w14:textId="6C9574AC"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0</w:t>
            </w:r>
            <w:r w:rsidR="007B524A" w:rsidRPr="00DE1E16">
              <w:rPr>
                <w:rFonts w:ascii="Avenir" w:hAnsi="Avenir"/>
                <w:sz w:val="20"/>
                <w:szCs w:val="20"/>
              </w:rPr>
              <w:t>,01</w:t>
            </w:r>
            <w:r w:rsidRPr="00DE1E16">
              <w:rPr>
                <w:rFonts w:ascii="Avenir" w:hAnsi="Avenir"/>
                <w:sz w:val="20"/>
                <w:szCs w:val="20"/>
              </w:rPr>
              <w:t>%</w:t>
            </w:r>
          </w:p>
        </w:tc>
      </w:tr>
      <w:tr w:rsidR="00D6016E" w:rsidRPr="00DE1E16" w14:paraId="6D7A8515" w14:textId="77777777" w:rsidTr="00DE1E16">
        <w:trPr>
          <w:trHeight w:val="443"/>
          <w:jc w:val="center"/>
        </w:trPr>
        <w:tc>
          <w:tcPr>
            <w:tcW w:w="2427" w:type="pct"/>
            <w:tcBorders>
              <w:top w:val="single" w:sz="6" w:space="0" w:color="CCCCCC"/>
              <w:left w:val="single" w:sz="6" w:space="0" w:color="B4C6E7"/>
              <w:bottom w:val="single" w:sz="6" w:space="0" w:color="B4C6E7"/>
              <w:right w:val="single" w:sz="6" w:space="0" w:color="B4C6E7"/>
            </w:tcBorders>
            <w:tcMar>
              <w:top w:w="0" w:type="dxa"/>
              <w:left w:w="45" w:type="dxa"/>
              <w:bottom w:w="0" w:type="dxa"/>
              <w:right w:w="45" w:type="dxa"/>
            </w:tcMar>
            <w:vAlign w:val="center"/>
            <w:hideMark/>
          </w:tcPr>
          <w:p w14:paraId="10417952" w14:textId="77777777" w:rsidR="00D6016E" w:rsidRPr="00DE1E16" w:rsidRDefault="00D6016E" w:rsidP="00F30E80">
            <w:pPr>
              <w:spacing w:after="0" w:line="259" w:lineRule="auto"/>
              <w:rPr>
                <w:rFonts w:ascii="Avenir" w:hAnsi="Avenir"/>
                <w:sz w:val="20"/>
                <w:szCs w:val="20"/>
              </w:rPr>
            </w:pPr>
            <w:r w:rsidRPr="00DE1E16">
              <w:rPr>
                <w:rFonts w:ascii="Avenir" w:hAnsi="Avenir"/>
                <w:sz w:val="20"/>
                <w:szCs w:val="20"/>
              </w:rPr>
              <w:t>4. Services contractuels</w:t>
            </w:r>
          </w:p>
        </w:tc>
        <w:tc>
          <w:tcPr>
            <w:tcW w:w="921"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3AD7EBAC"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14 512 631</w:t>
            </w:r>
          </w:p>
        </w:tc>
        <w:tc>
          <w:tcPr>
            <w:tcW w:w="937"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0878F7C2"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7 943</w:t>
            </w:r>
          </w:p>
        </w:tc>
        <w:tc>
          <w:tcPr>
            <w:tcW w:w="714"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23C591E3" w14:textId="1C5CB089"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0</w:t>
            </w:r>
            <w:r w:rsidR="007B524A" w:rsidRPr="00DE1E16">
              <w:rPr>
                <w:rFonts w:ascii="Avenir" w:hAnsi="Avenir"/>
                <w:sz w:val="20"/>
                <w:szCs w:val="20"/>
              </w:rPr>
              <w:t>,05</w:t>
            </w:r>
            <w:r w:rsidRPr="00DE1E16">
              <w:rPr>
                <w:rFonts w:ascii="Avenir" w:hAnsi="Avenir"/>
                <w:sz w:val="20"/>
                <w:szCs w:val="20"/>
              </w:rPr>
              <w:t>%</w:t>
            </w:r>
          </w:p>
        </w:tc>
      </w:tr>
      <w:tr w:rsidR="00D6016E" w:rsidRPr="00DE1E16" w14:paraId="3D4A92ED" w14:textId="77777777" w:rsidTr="00DE1E16">
        <w:trPr>
          <w:trHeight w:val="407"/>
          <w:jc w:val="center"/>
        </w:trPr>
        <w:tc>
          <w:tcPr>
            <w:tcW w:w="2427" w:type="pct"/>
            <w:tcBorders>
              <w:top w:val="single" w:sz="6" w:space="0" w:color="CCCCCC"/>
              <w:left w:val="single" w:sz="6" w:space="0" w:color="B4C6E7"/>
              <w:bottom w:val="single" w:sz="6" w:space="0" w:color="B4C6E7"/>
              <w:right w:val="single" w:sz="6" w:space="0" w:color="B4C6E7"/>
            </w:tcBorders>
            <w:tcMar>
              <w:top w:w="0" w:type="dxa"/>
              <w:left w:w="45" w:type="dxa"/>
              <w:bottom w:w="0" w:type="dxa"/>
              <w:right w:w="45" w:type="dxa"/>
            </w:tcMar>
            <w:vAlign w:val="center"/>
            <w:hideMark/>
          </w:tcPr>
          <w:p w14:paraId="10506BBF" w14:textId="77777777" w:rsidR="00D6016E" w:rsidRPr="00DE1E16" w:rsidRDefault="00D6016E" w:rsidP="00F30E80">
            <w:pPr>
              <w:spacing w:after="0" w:line="259" w:lineRule="auto"/>
              <w:rPr>
                <w:rFonts w:ascii="Avenir" w:hAnsi="Avenir"/>
                <w:sz w:val="20"/>
                <w:szCs w:val="20"/>
              </w:rPr>
            </w:pPr>
            <w:r w:rsidRPr="00DE1E16">
              <w:rPr>
                <w:rFonts w:ascii="Avenir" w:hAnsi="Avenir"/>
                <w:sz w:val="20"/>
                <w:szCs w:val="20"/>
              </w:rPr>
              <w:t xml:space="preserve">5.Voyages </w:t>
            </w:r>
          </w:p>
        </w:tc>
        <w:tc>
          <w:tcPr>
            <w:tcW w:w="921"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78422E43"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302 500</w:t>
            </w:r>
          </w:p>
        </w:tc>
        <w:tc>
          <w:tcPr>
            <w:tcW w:w="937"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1DF5C32B"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14 371</w:t>
            </w:r>
          </w:p>
        </w:tc>
        <w:tc>
          <w:tcPr>
            <w:tcW w:w="714"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784D01CA"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5%</w:t>
            </w:r>
          </w:p>
        </w:tc>
      </w:tr>
      <w:tr w:rsidR="00D6016E" w:rsidRPr="00DE1E16" w14:paraId="512084F2" w14:textId="77777777" w:rsidTr="00DE1E16">
        <w:trPr>
          <w:trHeight w:val="664"/>
          <w:jc w:val="center"/>
        </w:trPr>
        <w:tc>
          <w:tcPr>
            <w:tcW w:w="2427" w:type="pct"/>
            <w:tcBorders>
              <w:top w:val="single" w:sz="6" w:space="0" w:color="CCCCCC"/>
              <w:left w:val="single" w:sz="6" w:space="0" w:color="B4C6E7"/>
              <w:bottom w:val="single" w:sz="6" w:space="0" w:color="B4C6E7"/>
              <w:right w:val="single" w:sz="6" w:space="0" w:color="B4C6E7"/>
            </w:tcBorders>
            <w:tcMar>
              <w:top w:w="0" w:type="dxa"/>
              <w:left w:w="45" w:type="dxa"/>
              <w:bottom w:w="0" w:type="dxa"/>
              <w:right w:w="45" w:type="dxa"/>
            </w:tcMar>
            <w:vAlign w:val="center"/>
            <w:hideMark/>
          </w:tcPr>
          <w:p w14:paraId="70F36157" w14:textId="77777777" w:rsidR="00D6016E" w:rsidRPr="00DE1E16" w:rsidRDefault="00D6016E" w:rsidP="00F30E80">
            <w:pPr>
              <w:spacing w:after="0" w:line="259" w:lineRule="auto"/>
              <w:rPr>
                <w:rFonts w:ascii="Avenir" w:hAnsi="Avenir"/>
                <w:sz w:val="20"/>
                <w:szCs w:val="20"/>
              </w:rPr>
            </w:pPr>
            <w:r w:rsidRPr="00DE1E16">
              <w:rPr>
                <w:rFonts w:ascii="Avenir" w:hAnsi="Avenir"/>
                <w:sz w:val="20"/>
                <w:szCs w:val="20"/>
              </w:rPr>
              <w:t>6. Transferts et subventions aux contreparties</w:t>
            </w:r>
          </w:p>
        </w:tc>
        <w:tc>
          <w:tcPr>
            <w:tcW w:w="921"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43EA3F3D"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4 585 605</w:t>
            </w:r>
          </w:p>
        </w:tc>
        <w:tc>
          <w:tcPr>
            <w:tcW w:w="937"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0C88F216"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0</w:t>
            </w:r>
          </w:p>
        </w:tc>
        <w:tc>
          <w:tcPr>
            <w:tcW w:w="714"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7CBBF12F"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0%</w:t>
            </w:r>
          </w:p>
        </w:tc>
      </w:tr>
      <w:tr w:rsidR="00D6016E" w:rsidRPr="00DE1E16" w14:paraId="7F335C1C" w14:textId="77777777" w:rsidTr="00DE1E16">
        <w:trPr>
          <w:trHeight w:val="664"/>
          <w:jc w:val="center"/>
        </w:trPr>
        <w:tc>
          <w:tcPr>
            <w:tcW w:w="2427" w:type="pct"/>
            <w:tcBorders>
              <w:top w:val="single" w:sz="6" w:space="0" w:color="CCCCCC"/>
              <w:left w:val="single" w:sz="6" w:space="0" w:color="B4C6E7"/>
              <w:bottom w:val="single" w:sz="6" w:space="0" w:color="B4C6E7"/>
              <w:right w:val="single" w:sz="6" w:space="0" w:color="B4C6E7"/>
            </w:tcBorders>
            <w:tcMar>
              <w:top w:w="0" w:type="dxa"/>
              <w:left w:w="45" w:type="dxa"/>
              <w:bottom w:w="0" w:type="dxa"/>
              <w:right w:w="45" w:type="dxa"/>
            </w:tcMar>
            <w:vAlign w:val="center"/>
            <w:hideMark/>
          </w:tcPr>
          <w:p w14:paraId="67990EE7" w14:textId="77777777" w:rsidR="00D6016E" w:rsidRPr="00DE1E16" w:rsidRDefault="00D6016E" w:rsidP="00F30E80">
            <w:pPr>
              <w:spacing w:after="0" w:line="259" w:lineRule="auto"/>
              <w:rPr>
                <w:rFonts w:ascii="Avenir" w:hAnsi="Avenir"/>
                <w:sz w:val="20"/>
                <w:szCs w:val="20"/>
              </w:rPr>
            </w:pPr>
            <w:r w:rsidRPr="00DE1E16">
              <w:rPr>
                <w:rFonts w:ascii="Avenir" w:hAnsi="Avenir"/>
                <w:sz w:val="20"/>
                <w:szCs w:val="20"/>
              </w:rPr>
              <w:t>7. Coûts généraux de fonctionnement et autres coûts directs</w:t>
            </w:r>
          </w:p>
        </w:tc>
        <w:tc>
          <w:tcPr>
            <w:tcW w:w="921"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75DDAFB2"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2 594 275</w:t>
            </w:r>
          </w:p>
        </w:tc>
        <w:tc>
          <w:tcPr>
            <w:tcW w:w="937"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54AA4290"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11 608</w:t>
            </w:r>
          </w:p>
        </w:tc>
        <w:tc>
          <w:tcPr>
            <w:tcW w:w="714"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22C874BE" w14:textId="68C2BE6D"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0</w:t>
            </w:r>
            <w:r w:rsidR="007B524A" w:rsidRPr="00DE1E16">
              <w:rPr>
                <w:rFonts w:ascii="Avenir" w:hAnsi="Avenir"/>
                <w:sz w:val="20"/>
                <w:szCs w:val="20"/>
              </w:rPr>
              <w:t>,45</w:t>
            </w:r>
            <w:r w:rsidRPr="00DE1E16">
              <w:rPr>
                <w:rFonts w:ascii="Avenir" w:hAnsi="Avenir"/>
                <w:sz w:val="20"/>
                <w:szCs w:val="20"/>
              </w:rPr>
              <w:t>%</w:t>
            </w:r>
          </w:p>
        </w:tc>
      </w:tr>
      <w:tr w:rsidR="00D6016E" w:rsidRPr="00DE1E16" w14:paraId="4D7B97F7" w14:textId="77777777" w:rsidTr="00DE1E16">
        <w:trPr>
          <w:trHeight w:val="295"/>
          <w:jc w:val="center"/>
        </w:trPr>
        <w:tc>
          <w:tcPr>
            <w:tcW w:w="2427" w:type="pct"/>
            <w:tcBorders>
              <w:top w:val="single" w:sz="6" w:space="0" w:color="CCCCCC"/>
              <w:left w:val="single" w:sz="6" w:space="0" w:color="B4C6E7"/>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70619C20" w14:textId="77777777" w:rsidR="00D6016E" w:rsidRPr="00DE1E16" w:rsidRDefault="00D6016E" w:rsidP="00F30E80">
            <w:pPr>
              <w:spacing w:after="0" w:line="259" w:lineRule="auto"/>
              <w:rPr>
                <w:rFonts w:ascii="Avenir" w:hAnsi="Avenir"/>
                <w:sz w:val="20"/>
                <w:szCs w:val="20"/>
              </w:rPr>
            </w:pPr>
            <w:r w:rsidRPr="00DE1E16">
              <w:rPr>
                <w:rFonts w:ascii="Avenir" w:hAnsi="Avenir"/>
                <w:sz w:val="20"/>
                <w:szCs w:val="20"/>
              </w:rPr>
              <w:t>Total des Coûts Directs</w:t>
            </w:r>
          </w:p>
        </w:tc>
        <w:tc>
          <w:tcPr>
            <w:tcW w:w="921" w:type="pct"/>
            <w:tcBorders>
              <w:top w:val="single" w:sz="6" w:space="0" w:color="CCCCCC"/>
              <w:left w:val="single" w:sz="6" w:space="0" w:color="CCCCCC"/>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6BAF5E80"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32 710 281</w:t>
            </w:r>
          </w:p>
        </w:tc>
        <w:tc>
          <w:tcPr>
            <w:tcW w:w="937" w:type="pct"/>
            <w:tcBorders>
              <w:top w:val="single" w:sz="6" w:space="0" w:color="CCCCCC"/>
              <w:left w:val="single" w:sz="6" w:space="0" w:color="CCCCCC"/>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41C93D7A"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159 427</w:t>
            </w:r>
          </w:p>
        </w:tc>
        <w:tc>
          <w:tcPr>
            <w:tcW w:w="714" w:type="pct"/>
            <w:tcBorders>
              <w:top w:val="single" w:sz="6" w:space="0" w:color="CCCCCC"/>
              <w:left w:val="single" w:sz="6" w:space="0" w:color="CCCCCC"/>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6048373A"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0,49%</w:t>
            </w:r>
          </w:p>
        </w:tc>
      </w:tr>
      <w:tr w:rsidR="00D6016E" w:rsidRPr="00DE1E16" w14:paraId="24B1062A" w14:textId="77777777" w:rsidTr="00DE1E16">
        <w:trPr>
          <w:trHeight w:val="295"/>
          <w:jc w:val="center"/>
        </w:trPr>
        <w:tc>
          <w:tcPr>
            <w:tcW w:w="2427" w:type="pct"/>
            <w:tcBorders>
              <w:top w:val="single" w:sz="6" w:space="0" w:color="CCCCCC"/>
              <w:left w:val="single" w:sz="6" w:space="0" w:color="B4C6E7"/>
              <w:bottom w:val="single" w:sz="6" w:space="0" w:color="B4C6E7"/>
              <w:right w:val="single" w:sz="6" w:space="0" w:color="B4C6E7"/>
            </w:tcBorders>
            <w:tcMar>
              <w:top w:w="0" w:type="dxa"/>
              <w:left w:w="45" w:type="dxa"/>
              <w:bottom w:w="0" w:type="dxa"/>
              <w:right w:w="45" w:type="dxa"/>
            </w:tcMar>
            <w:vAlign w:val="center"/>
            <w:hideMark/>
          </w:tcPr>
          <w:p w14:paraId="1981CE27" w14:textId="77777777" w:rsidR="00D6016E" w:rsidRPr="00DE1E16" w:rsidRDefault="00D6016E" w:rsidP="00F30E80">
            <w:pPr>
              <w:spacing w:after="0" w:line="259" w:lineRule="auto"/>
              <w:rPr>
                <w:rFonts w:ascii="Avenir" w:hAnsi="Avenir"/>
                <w:sz w:val="20"/>
                <w:szCs w:val="20"/>
              </w:rPr>
            </w:pPr>
            <w:r w:rsidRPr="00DE1E16">
              <w:rPr>
                <w:rFonts w:ascii="Avenir" w:hAnsi="Avenir"/>
                <w:sz w:val="20"/>
                <w:szCs w:val="20"/>
              </w:rPr>
              <w:t xml:space="preserve">8. Coûts de soutien indirects (Max. 7 %) </w:t>
            </w:r>
          </w:p>
        </w:tc>
        <w:tc>
          <w:tcPr>
            <w:tcW w:w="921"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23CE6578"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2 289 720</w:t>
            </w:r>
          </w:p>
        </w:tc>
        <w:tc>
          <w:tcPr>
            <w:tcW w:w="937"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40176205"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11 160</w:t>
            </w:r>
          </w:p>
        </w:tc>
        <w:tc>
          <w:tcPr>
            <w:tcW w:w="714" w:type="pct"/>
            <w:tcBorders>
              <w:top w:val="single" w:sz="6" w:space="0" w:color="CCCCCC"/>
              <w:left w:val="single" w:sz="6" w:space="0" w:color="CCCCCC"/>
              <w:bottom w:val="single" w:sz="6" w:space="0" w:color="B4C6E7"/>
              <w:right w:val="single" w:sz="6" w:space="0" w:color="B4C6E7"/>
            </w:tcBorders>
            <w:tcMar>
              <w:top w:w="0" w:type="dxa"/>
              <w:left w:w="45" w:type="dxa"/>
              <w:bottom w:w="0" w:type="dxa"/>
              <w:right w:w="45" w:type="dxa"/>
            </w:tcMar>
            <w:vAlign w:val="center"/>
            <w:hideMark/>
          </w:tcPr>
          <w:p w14:paraId="5C1820D9"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0,49%</w:t>
            </w:r>
          </w:p>
        </w:tc>
      </w:tr>
      <w:tr w:rsidR="00D6016E" w:rsidRPr="00DE1E16" w14:paraId="5D182CE2" w14:textId="77777777" w:rsidTr="00DE1E16">
        <w:trPr>
          <w:trHeight w:val="265"/>
          <w:jc w:val="center"/>
        </w:trPr>
        <w:tc>
          <w:tcPr>
            <w:tcW w:w="2427" w:type="pct"/>
            <w:tcBorders>
              <w:top w:val="single" w:sz="6" w:space="0" w:color="CCCCCC"/>
              <w:left w:val="single" w:sz="6" w:space="0" w:color="B4C6E7"/>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36465139" w14:textId="77777777" w:rsidR="00D6016E" w:rsidRPr="00DE1E16" w:rsidRDefault="00D6016E" w:rsidP="00F30E80">
            <w:pPr>
              <w:spacing w:after="0" w:line="259" w:lineRule="auto"/>
              <w:rPr>
                <w:rFonts w:ascii="Avenir" w:hAnsi="Avenir"/>
                <w:sz w:val="20"/>
                <w:szCs w:val="20"/>
              </w:rPr>
            </w:pPr>
            <w:r w:rsidRPr="00DE1E16">
              <w:rPr>
                <w:rFonts w:ascii="Avenir" w:hAnsi="Avenir"/>
                <w:sz w:val="20"/>
                <w:szCs w:val="20"/>
              </w:rPr>
              <w:t>TOTAL des Coûts</w:t>
            </w:r>
          </w:p>
        </w:tc>
        <w:tc>
          <w:tcPr>
            <w:tcW w:w="921" w:type="pct"/>
            <w:tcBorders>
              <w:top w:val="single" w:sz="6" w:space="0" w:color="CCCCCC"/>
              <w:left w:val="single" w:sz="6" w:space="0" w:color="CCCCCC"/>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42A6DAFD"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35 000 000</w:t>
            </w:r>
          </w:p>
        </w:tc>
        <w:tc>
          <w:tcPr>
            <w:tcW w:w="937" w:type="pct"/>
            <w:tcBorders>
              <w:top w:val="single" w:sz="6" w:space="0" w:color="CCCCCC"/>
              <w:left w:val="single" w:sz="6" w:space="0" w:color="CCCCCC"/>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162BE93D"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170 586</w:t>
            </w:r>
          </w:p>
        </w:tc>
        <w:tc>
          <w:tcPr>
            <w:tcW w:w="714" w:type="pct"/>
            <w:tcBorders>
              <w:top w:val="single" w:sz="6" w:space="0" w:color="CCCCCC"/>
              <w:left w:val="single" w:sz="6" w:space="0" w:color="CCCCCC"/>
              <w:bottom w:val="single" w:sz="6" w:space="0" w:color="B4C6E7"/>
              <w:right w:val="single" w:sz="6" w:space="0" w:color="B4C6E7"/>
            </w:tcBorders>
            <w:shd w:val="clear" w:color="auto" w:fill="92D050"/>
            <w:tcMar>
              <w:top w:w="0" w:type="dxa"/>
              <w:left w:w="45" w:type="dxa"/>
              <w:bottom w:w="0" w:type="dxa"/>
              <w:right w:w="45" w:type="dxa"/>
            </w:tcMar>
            <w:vAlign w:val="center"/>
            <w:hideMark/>
          </w:tcPr>
          <w:p w14:paraId="2D9F8E05" w14:textId="77777777" w:rsidR="00D6016E" w:rsidRPr="00DE1E16" w:rsidRDefault="00D6016E" w:rsidP="00D6016E">
            <w:pPr>
              <w:spacing w:after="0" w:line="259" w:lineRule="auto"/>
              <w:jc w:val="center"/>
              <w:rPr>
                <w:rFonts w:ascii="Avenir" w:hAnsi="Avenir"/>
                <w:sz w:val="20"/>
                <w:szCs w:val="20"/>
              </w:rPr>
            </w:pPr>
            <w:r w:rsidRPr="00DE1E16">
              <w:rPr>
                <w:rFonts w:ascii="Avenir" w:hAnsi="Avenir"/>
                <w:sz w:val="20"/>
                <w:szCs w:val="20"/>
              </w:rPr>
              <w:t>0,49%</w:t>
            </w:r>
          </w:p>
        </w:tc>
      </w:tr>
    </w:tbl>
    <w:p w14:paraId="5EBDF8D8" w14:textId="77777777" w:rsidR="00D6016E" w:rsidRDefault="00D6016E">
      <w:pPr>
        <w:spacing w:after="8" w:line="259" w:lineRule="auto"/>
        <w:ind w:right="0"/>
        <w:jc w:val="left"/>
        <w:rPr>
          <w:rFonts w:ascii="Avenir" w:eastAsia="Avenir" w:hAnsi="Avenir" w:cs="Avenir"/>
          <w:sz w:val="20"/>
          <w:szCs w:val="20"/>
        </w:rPr>
      </w:pPr>
    </w:p>
    <w:p w14:paraId="5637F458" w14:textId="4D25FC56" w:rsidR="00FC75A8" w:rsidRPr="00515803" w:rsidRDefault="00000000" w:rsidP="00EF6B26">
      <w:pPr>
        <w:pStyle w:val="Paragraphedeliste"/>
        <w:numPr>
          <w:ilvl w:val="0"/>
          <w:numId w:val="41"/>
        </w:numPr>
        <w:spacing w:after="8" w:line="259" w:lineRule="auto"/>
        <w:ind w:right="0"/>
        <w:rPr>
          <w:rFonts w:ascii="Avenir" w:eastAsia="Avenir" w:hAnsi="Avenir" w:cs="Avenir"/>
          <w:sz w:val="20"/>
          <w:szCs w:val="20"/>
        </w:rPr>
      </w:pPr>
      <w:r w:rsidRPr="00515803">
        <w:rPr>
          <w:rFonts w:ascii="Avenir" w:eastAsia="Avenir" w:hAnsi="Avenir" w:cs="Avenir"/>
          <w:sz w:val="20"/>
          <w:szCs w:val="20"/>
        </w:rPr>
        <w:t xml:space="preserve">Le rapport financier certifié sur base des lignes budgétaires UNSDG </w:t>
      </w:r>
      <w:r w:rsidR="00EF6B26" w:rsidRPr="00515803">
        <w:rPr>
          <w:rFonts w:ascii="Avenir" w:eastAsia="Avenir" w:hAnsi="Avenir" w:cs="Avenir"/>
          <w:sz w:val="20"/>
          <w:szCs w:val="20"/>
        </w:rPr>
        <w:t>sera</w:t>
      </w:r>
      <w:r w:rsidRPr="00515803">
        <w:rPr>
          <w:rFonts w:ascii="Avenir" w:eastAsia="Avenir" w:hAnsi="Avenir" w:cs="Avenir"/>
          <w:sz w:val="20"/>
          <w:szCs w:val="20"/>
        </w:rPr>
        <w:t xml:space="preserve"> envoyé directement par les services financiers au MPTF via le système UNEX, avec une copie électronique au Secrétariat de CAFI. </w:t>
      </w:r>
    </w:p>
    <w:p w14:paraId="5637F45B" w14:textId="77777777" w:rsidR="00FC75A8" w:rsidRDefault="00FC75A8">
      <w:pPr>
        <w:spacing w:after="8" w:line="259" w:lineRule="auto"/>
        <w:ind w:right="0"/>
        <w:jc w:val="left"/>
        <w:rPr>
          <w:rFonts w:ascii="Avenir" w:eastAsia="Avenir" w:hAnsi="Avenir" w:cs="Avenir"/>
          <w:sz w:val="20"/>
          <w:szCs w:val="20"/>
        </w:rPr>
      </w:pPr>
    </w:p>
    <w:p w14:paraId="5637F45C" w14:textId="77777777" w:rsidR="00FC75A8" w:rsidRPr="00EF6B26" w:rsidRDefault="00000000">
      <w:pPr>
        <w:keepNext/>
        <w:keepLines/>
        <w:numPr>
          <w:ilvl w:val="0"/>
          <w:numId w:val="2"/>
        </w:numPr>
        <w:pBdr>
          <w:top w:val="nil"/>
          <w:left w:val="nil"/>
          <w:bottom w:val="nil"/>
          <w:right w:val="nil"/>
          <w:between w:val="nil"/>
        </w:pBdr>
        <w:spacing w:after="0" w:line="250" w:lineRule="auto"/>
        <w:ind w:right="0"/>
        <w:rPr>
          <w:rFonts w:ascii="Avenir" w:eastAsia="Avenir" w:hAnsi="Avenir" w:cs="Avenir"/>
          <w:sz w:val="20"/>
          <w:szCs w:val="20"/>
        </w:rPr>
      </w:pPr>
      <w:r>
        <w:rPr>
          <w:rFonts w:ascii="Avenir" w:eastAsia="Avenir" w:hAnsi="Avenir" w:cs="Avenir"/>
          <w:sz w:val="20"/>
          <w:szCs w:val="20"/>
        </w:rPr>
        <w:t xml:space="preserve">Tableau 9 – Coût efficacité : </w:t>
      </w:r>
      <w:r w:rsidRPr="00EF6B26">
        <w:rPr>
          <w:rFonts w:ascii="Avenir" w:eastAsia="Avenir" w:hAnsi="Avenir" w:cs="Avenir"/>
          <w:sz w:val="20"/>
          <w:szCs w:val="20"/>
        </w:rPr>
        <w:t>Tableau des progrès et décaissements par effets et par produits</w:t>
      </w:r>
    </w:p>
    <w:p w14:paraId="5637F45D" w14:textId="25D0BD37" w:rsidR="00FC75A8" w:rsidRPr="00CF6C5C" w:rsidRDefault="00CF6C5C" w:rsidP="00EF6B26">
      <w:pPr>
        <w:pStyle w:val="Paragraphedeliste"/>
        <w:numPr>
          <w:ilvl w:val="0"/>
          <w:numId w:val="41"/>
        </w:numPr>
        <w:spacing w:after="8" w:line="259" w:lineRule="auto"/>
        <w:ind w:right="0"/>
        <w:rPr>
          <w:rFonts w:ascii="Avenir" w:eastAsia="Avenir" w:hAnsi="Avenir" w:cs="Avenir"/>
          <w:iCs/>
          <w:sz w:val="20"/>
          <w:szCs w:val="20"/>
        </w:rPr>
      </w:pPr>
      <w:r w:rsidRPr="00EF6B26">
        <w:rPr>
          <w:rFonts w:ascii="Avenir" w:eastAsia="Avenir" w:hAnsi="Avenir" w:cs="Avenir"/>
          <w:sz w:val="20"/>
          <w:szCs w:val="20"/>
        </w:rPr>
        <w:t>Comme indiqué au paragraphe 1</w:t>
      </w:r>
      <w:r w:rsidR="00EF6B26" w:rsidRPr="00EF6B26">
        <w:rPr>
          <w:rFonts w:ascii="Avenir" w:eastAsia="Avenir" w:hAnsi="Avenir" w:cs="Avenir"/>
          <w:sz w:val="20"/>
          <w:szCs w:val="20"/>
        </w:rPr>
        <w:t>6</w:t>
      </w:r>
      <w:r w:rsidRPr="00EF6B26">
        <w:rPr>
          <w:rFonts w:ascii="Avenir" w:eastAsia="Avenir" w:hAnsi="Avenir" w:cs="Avenir"/>
          <w:sz w:val="20"/>
          <w:szCs w:val="20"/>
        </w:rPr>
        <w:t xml:space="preserve"> de ce rapport, les</w:t>
      </w:r>
      <w:r w:rsidRPr="00DB6E6D">
        <w:rPr>
          <w:rFonts w:ascii="Avenir" w:eastAsia="Avenir" w:hAnsi="Avenir" w:cs="Avenir"/>
          <w:sz w:val="20"/>
          <w:szCs w:val="20"/>
        </w:rPr>
        <w:t xml:space="preserve"> activités qui avaient été prévues pour les deux premiers mois du projet, couvert par ce rapport (à la date du 31 décembre 2024), concernaient essentiellement le recrutement du personnel du projet, l’acquisition des bureaux et équipements. Il n’y a donc pas eu de progrès sur les indicateurs d’effets et de</w:t>
      </w:r>
      <w:r>
        <w:rPr>
          <w:rFonts w:ascii="Avenir" w:eastAsia="Avenir" w:hAnsi="Avenir" w:cs="Avenir"/>
          <w:sz w:val="20"/>
          <w:szCs w:val="20"/>
        </w:rPr>
        <w:t xml:space="preserve"> produits</w:t>
      </w:r>
      <w:r w:rsidRPr="00DB6E6D">
        <w:rPr>
          <w:rFonts w:ascii="Avenir" w:eastAsia="Avenir" w:hAnsi="Avenir" w:cs="Avenir"/>
          <w:sz w:val="20"/>
          <w:szCs w:val="20"/>
        </w:rPr>
        <w:t>.</w:t>
      </w:r>
    </w:p>
    <w:p w14:paraId="5637F45E" w14:textId="77777777" w:rsidR="00FC75A8" w:rsidRPr="00CF6C5C" w:rsidRDefault="00FC75A8">
      <w:pPr>
        <w:keepNext/>
        <w:keepLines/>
        <w:spacing w:after="0" w:line="250" w:lineRule="auto"/>
        <w:ind w:left="-15" w:right="0" w:firstLine="0"/>
        <w:rPr>
          <w:rFonts w:ascii="Avenir" w:eastAsia="Avenir" w:hAnsi="Avenir" w:cs="Avenir"/>
          <w:iCs/>
          <w:sz w:val="20"/>
          <w:szCs w:val="20"/>
        </w:rPr>
      </w:pPr>
    </w:p>
    <w:tbl>
      <w:tblPr>
        <w:tblStyle w:val="a6"/>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825"/>
        <w:gridCol w:w="3330"/>
        <w:gridCol w:w="3330"/>
      </w:tblGrid>
      <w:tr w:rsidR="00FC75A8" w14:paraId="5637F464" w14:textId="77777777">
        <w:trPr>
          <w:trHeight w:val="615"/>
          <w:jc w:val="center"/>
        </w:trPr>
        <w:tc>
          <w:tcPr>
            <w:tcW w:w="1135" w:type="dxa"/>
            <w:shd w:val="clear" w:color="auto" w:fill="DBE6B6"/>
            <w:vAlign w:val="center"/>
          </w:tcPr>
          <w:p w14:paraId="5637F45F" w14:textId="77777777" w:rsidR="00FC75A8" w:rsidRDefault="00000000">
            <w:pPr>
              <w:keepNext/>
              <w:keepLines/>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 xml:space="preserve">Résultats </w:t>
            </w:r>
          </w:p>
          <w:p w14:paraId="5637F460"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sz w:val="16"/>
                <w:szCs w:val="16"/>
              </w:rPr>
              <w:t> </w:t>
            </w:r>
          </w:p>
        </w:tc>
        <w:tc>
          <w:tcPr>
            <w:tcW w:w="1825" w:type="dxa"/>
            <w:shd w:val="clear" w:color="auto" w:fill="DBE6B6"/>
            <w:vAlign w:val="center"/>
          </w:tcPr>
          <w:p w14:paraId="5637F461" w14:textId="77777777" w:rsidR="00FC75A8" w:rsidRDefault="00000000">
            <w:pPr>
              <w:keepNext/>
              <w:keepLines/>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Progrès actuel de l'indicateur</w:t>
            </w:r>
            <w:r>
              <w:rPr>
                <w:rFonts w:ascii="Avenir" w:eastAsia="Avenir" w:hAnsi="Avenir" w:cs="Avenir"/>
                <w:b/>
                <w:i/>
                <w:sz w:val="16"/>
                <w:szCs w:val="16"/>
                <w:vertAlign w:val="superscript"/>
              </w:rPr>
              <w:footnoteReference w:id="4"/>
            </w:r>
          </w:p>
        </w:tc>
        <w:tc>
          <w:tcPr>
            <w:tcW w:w="3330" w:type="dxa"/>
            <w:shd w:val="clear" w:color="auto" w:fill="DBE6B6"/>
            <w:vAlign w:val="center"/>
          </w:tcPr>
          <w:p w14:paraId="5637F462" w14:textId="77777777" w:rsidR="00FC75A8" w:rsidRDefault="00000000">
            <w:pPr>
              <w:keepNext/>
              <w:keepLines/>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 xml:space="preserve">Dépenses cumulatives en US $  </w:t>
            </w:r>
            <w:r>
              <w:rPr>
                <w:rFonts w:ascii="Avenir" w:eastAsia="Avenir" w:hAnsi="Avenir" w:cs="Avenir"/>
                <w:b/>
                <w:i/>
                <w:sz w:val="16"/>
                <w:szCs w:val="16"/>
                <w:vertAlign w:val="superscript"/>
              </w:rPr>
              <w:footnoteReference w:id="5"/>
            </w:r>
          </w:p>
        </w:tc>
        <w:tc>
          <w:tcPr>
            <w:tcW w:w="3330" w:type="dxa"/>
            <w:shd w:val="clear" w:color="auto" w:fill="DBE6B6"/>
            <w:vAlign w:val="center"/>
          </w:tcPr>
          <w:p w14:paraId="5637F463" w14:textId="77777777" w:rsidR="00FC75A8" w:rsidRDefault="00000000">
            <w:pPr>
              <w:widowControl w:val="0"/>
              <w:pBdr>
                <w:top w:val="nil"/>
                <w:left w:val="nil"/>
                <w:bottom w:val="nil"/>
                <w:right w:val="nil"/>
                <w:between w:val="nil"/>
              </w:pBdr>
              <w:spacing w:after="0" w:line="276" w:lineRule="auto"/>
              <w:ind w:left="0" w:right="0" w:firstLine="0"/>
              <w:jc w:val="center"/>
              <w:rPr>
                <w:rFonts w:ascii="Avenir" w:eastAsia="Avenir" w:hAnsi="Avenir" w:cs="Avenir"/>
                <w:b/>
                <w:sz w:val="16"/>
                <w:szCs w:val="16"/>
              </w:rPr>
            </w:pPr>
            <w:r>
              <w:rPr>
                <w:rFonts w:ascii="Avenir" w:eastAsia="Avenir" w:hAnsi="Avenir" w:cs="Avenir"/>
                <w:b/>
                <w:sz w:val="16"/>
                <w:szCs w:val="16"/>
              </w:rPr>
              <w:t>Commentaires</w:t>
            </w:r>
          </w:p>
        </w:tc>
      </w:tr>
      <w:tr w:rsidR="00FC75A8" w14:paraId="5637F469" w14:textId="77777777">
        <w:trPr>
          <w:trHeight w:val="310"/>
          <w:jc w:val="center"/>
        </w:trPr>
        <w:tc>
          <w:tcPr>
            <w:tcW w:w="1135" w:type="dxa"/>
            <w:shd w:val="clear" w:color="auto" w:fill="auto"/>
            <w:vAlign w:val="center"/>
          </w:tcPr>
          <w:p w14:paraId="5637F465"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u w:val="single"/>
              </w:rPr>
              <w:t>Effet 1 :</w:t>
            </w:r>
          </w:p>
        </w:tc>
        <w:tc>
          <w:tcPr>
            <w:tcW w:w="1825" w:type="dxa"/>
            <w:shd w:val="clear" w:color="auto" w:fill="auto"/>
            <w:vAlign w:val="center"/>
          </w:tcPr>
          <w:p w14:paraId="5637F466"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shd w:val="clear" w:color="auto" w:fill="auto"/>
            <w:vAlign w:val="center"/>
          </w:tcPr>
          <w:p w14:paraId="5637F467"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xml:space="preserve"> Obligatoire </w:t>
            </w:r>
            <w:r>
              <w:rPr>
                <w:rFonts w:ascii="Avenir" w:eastAsia="Avenir" w:hAnsi="Avenir" w:cs="Avenir"/>
                <w:i/>
                <w:sz w:val="16"/>
                <w:szCs w:val="16"/>
                <w:vertAlign w:val="superscript"/>
              </w:rPr>
              <w:footnoteReference w:id="6"/>
            </w:r>
          </w:p>
        </w:tc>
        <w:tc>
          <w:tcPr>
            <w:tcW w:w="3330" w:type="dxa"/>
            <w:vAlign w:val="center"/>
          </w:tcPr>
          <w:p w14:paraId="5637F468"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6E" w14:textId="77777777">
        <w:trPr>
          <w:trHeight w:val="310"/>
          <w:jc w:val="center"/>
        </w:trPr>
        <w:tc>
          <w:tcPr>
            <w:tcW w:w="1135" w:type="dxa"/>
            <w:shd w:val="clear" w:color="auto" w:fill="auto"/>
            <w:vAlign w:val="center"/>
          </w:tcPr>
          <w:p w14:paraId="5637F46A"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lastRenderedPageBreak/>
              <w:t>Produit 1.1</w:t>
            </w:r>
          </w:p>
        </w:tc>
        <w:tc>
          <w:tcPr>
            <w:tcW w:w="1825" w:type="dxa"/>
            <w:shd w:val="clear" w:color="auto" w:fill="auto"/>
            <w:vAlign w:val="center"/>
          </w:tcPr>
          <w:p w14:paraId="5637F46B"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shd w:val="clear" w:color="auto" w:fill="auto"/>
            <w:vAlign w:val="center"/>
          </w:tcPr>
          <w:p w14:paraId="5637F46C"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Obligatoire</w:t>
            </w:r>
            <w:r>
              <w:rPr>
                <w:rFonts w:ascii="Avenir" w:eastAsia="Avenir" w:hAnsi="Avenir" w:cs="Avenir"/>
                <w:i/>
                <w:sz w:val="16"/>
                <w:szCs w:val="16"/>
                <w:vertAlign w:val="superscript"/>
              </w:rPr>
              <w:footnoteReference w:id="7"/>
            </w:r>
          </w:p>
        </w:tc>
        <w:tc>
          <w:tcPr>
            <w:tcW w:w="3330" w:type="dxa"/>
            <w:vAlign w:val="center"/>
          </w:tcPr>
          <w:p w14:paraId="5637F46D"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73" w14:textId="77777777">
        <w:trPr>
          <w:trHeight w:val="310"/>
          <w:jc w:val="center"/>
        </w:trPr>
        <w:tc>
          <w:tcPr>
            <w:tcW w:w="1135" w:type="dxa"/>
            <w:shd w:val="clear" w:color="auto" w:fill="auto"/>
            <w:vAlign w:val="center"/>
          </w:tcPr>
          <w:p w14:paraId="5637F46F"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xml:space="preserve">Activité ou </w:t>
            </w:r>
            <w:proofErr w:type="spellStart"/>
            <w:r>
              <w:rPr>
                <w:rFonts w:ascii="Avenir" w:eastAsia="Avenir" w:hAnsi="Avenir" w:cs="Avenir"/>
                <w:sz w:val="16"/>
                <w:szCs w:val="16"/>
              </w:rPr>
              <w:t>sous produit</w:t>
            </w:r>
            <w:proofErr w:type="spellEnd"/>
            <w:r>
              <w:rPr>
                <w:rFonts w:ascii="Avenir" w:eastAsia="Avenir" w:hAnsi="Avenir" w:cs="Avenir"/>
                <w:sz w:val="16"/>
                <w:szCs w:val="16"/>
              </w:rPr>
              <w:t xml:space="preserve"> 1.1.1.</w:t>
            </w:r>
          </w:p>
        </w:tc>
        <w:tc>
          <w:tcPr>
            <w:tcW w:w="1825" w:type="dxa"/>
            <w:shd w:val="clear" w:color="auto" w:fill="auto"/>
            <w:vAlign w:val="center"/>
          </w:tcPr>
          <w:p w14:paraId="5637F470"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w:t>
            </w:r>
          </w:p>
        </w:tc>
        <w:tc>
          <w:tcPr>
            <w:tcW w:w="3330" w:type="dxa"/>
            <w:shd w:val="clear" w:color="auto" w:fill="auto"/>
            <w:vAlign w:val="center"/>
          </w:tcPr>
          <w:p w14:paraId="5637F471"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Recommandé</w:t>
            </w:r>
          </w:p>
        </w:tc>
        <w:tc>
          <w:tcPr>
            <w:tcW w:w="3330" w:type="dxa"/>
            <w:vAlign w:val="center"/>
          </w:tcPr>
          <w:p w14:paraId="5637F472"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78" w14:textId="77777777">
        <w:trPr>
          <w:trHeight w:val="310"/>
          <w:jc w:val="center"/>
        </w:trPr>
        <w:tc>
          <w:tcPr>
            <w:tcW w:w="1135" w:type="dxa"/>
            <w:shd w:val="clear" w:color="auto" w:fill="auto"/>
            <w:vAlign w:val="center"/>
          </w:tcPr>
          <w:p w14:paraId="5637F474"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w:t>
            </w:r>
          </w:p>
        </w:tc>
        <w:tc>
          <w:tcPr>
            <w:tcW w:w="1825" w:type="dxa"/>
            <w:shd w:val="clear" w:color="auto" w:fill="auto"/>
            <w:vAlign w:val="center"/>
          </w:tcPr>
          <w:p w14:paraId="5637F475"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 </w:t>
            </w:r>
          </w:p>
        </w:tc>
        <w:tc>
          <w:tcPr>
            <w:tcW w:w="3330" w:type="dxa"/>
            <w:shd w:val="clear" w:color="auto" w:fill="auto"/>
            <w:vAlign w:val="center"/>
          </w:tcPr>
          <w:p w14:paraId="5637F476"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vAlign w:val="center"/>
          </w:tcPr>
          <w:p w14:paraId="5637F477"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7D" w14:textId="77777777">
        <w:trPr>
          <w:trHeight w:val="310"/>
          <w:jc w:val="center"/>
        </w:trPr>
        <w:tc>
          <w:tcPr>
            <w:tcW w:w="1135" w:type="dxa"/>
            <w:shd w:val="clear" w:color="auto" w:fill="auto"/>
            <w:vAlign w:val="center"/>
          </w:tcPr>
          <w:p w14:paraId="5637F479"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Produit 1.2</w:t>
            </w:r>
          </w:p>
        </w:tc>
        <w:tc>
          <w:tcPr>
            <w:tcW w:w="1825" w:type="dxa"/>
            <w:shd w:val="clear" w:color="auto" w:fill="auto"/>
            <w:vAlign w:val="center"/>
          </w:tcPr>
          <w:p w14:paraId="5637F47A"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shd w:val="clear" w:color="auto" w:fill="auto"/>
            <w:vAlign w:val="center"/>
          </w:tcPr>
          <w:p w14:paraId="5637F47B"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Obligatoire</w:t>
            </w:r>
          </w:p>
        </w:tc>
        <w:tc>
          <w:tcPr>
            <w:tcW w:w="3330" w:type="dxa"/>
            <w:vAlign w:val="center"/>
          </w:tcPr>
          <w:p w14:paraId="5637F47C"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82" w14:textId="77777777">
        <w:trPr>
          <w:trHeight w:val="310"/>
          <w:jc w:val="center"/>
        </w:trPr>
        <w:tc>
          <w:tcPr>
            <w:tcW w:w="1135" w:type="dxa"/>
            <w:shd w:val="clear" w:color="auto" w:fill="auto"/>
            <w:vAlign w:val="center"/>
          </w:tcPr>
          <w:p w14:paraId="5637F47E"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w:t>
            </w:r>
          </w:p>
        </w:tc>
        <w:tc>
          <w:tcPr>
            <w:tcW w:w="1825" w:type="dxa"/>
            <w:shd w:val="clear" w:color="auto" w:fill="auto"/>
            <w:vAlign w:val="center"/>
          </w:tcPr>
          <w:p w14:paraId="5637F47F"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shd w:val="clear" w:color="auto" w:fill="auto"/>
            <w:vAlign w:val="center"/>
          </w:tcPr>
          <w:p w14:paraId="5637F480"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vAlign w:val="center"/>
          </w:tcPr>
          <w:p w14:paraId="5637F481" w14:textId="77777777" w:rsidR="00FC75A8" w:rsidRDefault="00FC75A8">
            <w:pPr>
              <w:spacing w:after="0" w:line="240" w:lineRule="auto"/>
              <w:ind w:left="0" w:right="0" w:firstLine="0"/>
              <w:jc w:val="left"/>
              <w:rPr>
                <w:rFonts w:ascii="Avenir" w:eastAsia="Avenir" w:hAnsi="Avenir" w:cs="Avenir"/>
                <w:sz w:val="16"/>
                <w:szCs w:val="16"/>
              </w:rPr>
            </w:pPr>
          </w:p>
        </w:tc>
      </w:tr>
      <w:tr w:rsidR="00FC75A8" w14:paraId="5637F487" w14:textId="77777777">
        <w:trPr>
          <w:trHeight w:val="310"/>
          <w:jc w:val="center"/>
        </w:trPr>
        <w:tc>
          <w:tcPr>
            <w:tcW w:w="1135" w:type="dxa"/>
            <w:shd w:val="clear" w:color="auto" w:fill="auto"/>
            <w:vAlign w:val="center"/>
          </w:tcPr>
          <w:p w14:paraId="5637F483"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Total</w:t>
            </w:r>
          </w:p>
        </w:tc>
        <w:tc>
          <w:tcPr>
            <w:tcW w:w="1825" w:type="dxa"/>
            <w:shd w:val="clear" w:color="auto" w:fill="auto"/>
            <w:vAlign w:val="center"/>
          </w:tcPr>
          <w:p w14:paraId="5637F484"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shd w:val="clear" w:color="auto" w:fill="auto"/>
            <w:vAlign w:val="center"/>
          </w:tcPr>
          <w:p w14:paraId="5637F485" w14:textId="77777777" w:rsidR="00FC75A8" w:rsidRDefault="00FC75A8">
            <w:pPr>
              <w:spacing w:after="0" w:line="240" w:lineRule="auto"/>
              <w:ind w:left="0" w:right="0" w:firstLine="0"/>
              <w:jc w:val="left"/>
              <w:rPr>
                <w:rFonts w:ascii="Avenir" w:eastAsia="Avenir" w:hAnsi="Avenir" w:cs="Avenir"/>
                <w:sz w:val="16"/>
                <w:szCs w:val="16"/>
              </w:rPr>
            </w:pPr>
          </w:p>
        </w:tc>
        <w:tc>
          <w:tcPr>
            <w:tcW w:w="3330" w:type="dxa"/>
            <w:vAlign w:val="center"/>
          </w:tcPr>
          <w:p w14:paraId="5637F486" w14:textId="77777777" w:rsidR="00FC75A8" w:rsidRDefault="00FC75A8">
            <w:pPr>
              <w:spacing w:after="0" w:line="240" w:lineRule="auto"/>
              <w:ind w:left="0" w:right="0" w:firstLine="0"/>
              <w:jc w:val="left"/>
              <w:rPr>
                <w:rFonts w:ascii="Avenir" w:eastAsia="Avenir" w:hAnsi="Avenir" w:cs="Avenir"/>
                <w:sz w:val="16"/>
                <w:szCs w:val="16"/>
              </w:rPr>
            </w:pPr>
          </w:p>
        </w:tc>
      </w:tr>
    </w:tbl>
    <w:p w14:paraId="5637F488" w14:textId="77777777" w:rsidR="00FC75A8" w:rsidRDefault="00FC75A8">
      <w:pPr>
        <w:spacing w:after="8" w:line="259" w:lineRule="auto"/>
        <w:ind w:right="0"/>
        <w:jc w:val="left"/>
        <w:rPr>
          <w:rFonts w:ascii="Avenir" w:eastAsia="Avenir" w:hAnsi="Avenir" w:cs="Avenir"/>
          <w:b/>
          <w:i/>
          <w:sz w:val="20"/>
          <w:szCs w:val="20"/>
        </w:rPr>
      </w:pPr>
    </w:p>
    <w:p w14:paraId="5637F489" w14:textId="77777777" w:rsidR="00FC75A8" w:rsidRDefault="00FC75A8">
      <w:pPr>
        <w:spacing w:after="8" w:line="259" w:lineRule="auto"/>
        <w:ind w:right="0"/>
        <w:jc w:val="left"/>
        <w:rPr>
          <w:rFonts w:ascii="Avenir" w:eastAsia="Avenir" w:hAnsi="Avenir" w:cs="Avenir"/>
          <w:sz w:val="22"/>
          <w:szCs w:val="22"/>
        </w:rPr>
      </w:pPr>
    </w:p>
    <w:p w14:paraId="5637F48A" w14:textId="77777777" w:rsidR="00FC75A8" w:rsidRDefault="00000000" w:rsidP="00FE70AA">
      <w:pPr>
        <w:pStyle w:val="PIREDD2"/>
      </w:pPr>
      <w:bookmarkStart w:id="21" w:name="_Toc191317686"/>
      <w:r>
        <w:t>6.2 Contrats</w:t>
      </w:r>
      <w:bookmarkEnd w:id="21"/>
    </w:p>
    <w:p w14:paraId="5637F48B" w14:textId="5424FDFA" w:rsidR="00FC75A8" w:rsidRDefault="00394022" w:rsidP="00394022">
      <w:pPr>
        <w:pStyle w:val="Paragraphedeliste"/>
        <w:numPr>
          <w:ilvl w:val="0"/>
          <w:numId w:val="41"/>
        </w:numPr>
        <w:spacing w:after="8" w:line="259" w:lineRule="auto"/>
        <w:ind w:right="0"/>
        <w:jc w:val="left"/>
        <w:rPr>
          <w:rFonts w:ascii="Avenir" w:eastAsia="Avenir" w:hAnsi="Avenir" w:cs="Avenir"/>
          <w:i/>
          <w:sz w:val="20"/>
          <w:szCs w:val="20"/>
        </w:rPr>
      </w:pPr>
      <w:r w:rsidRPr="00DB6E6D">
        <w:rPr>
          <w:rFonts w:ascii="Avenir" w:eastAsia="Avenir" w:hAnsi="Avenir" w:cs="Avenir"/>
          <w:sz w:val="20"/>
          <w:szCs w:val="20"/>
        </w:rPr>
        <w:t>Pour la période couverte par ce rapport, aucun contrat (approvisionnement) ou accord (partenariat) de plus de 100,000 dollars n’a encore été signé.</w:t>
      </w:r>
    </w:p>
    <w:p w14:paraId="5637F48D" w14:textId="77777777" w:rsidR="00FC75A8" w:rsidRDefault="00FC75A8" w:rsidP="008C78EA">
      <w:pPr>
        <w:pBdr>
          <w:top w:val="nil"/>
          <w:left w:val="nil"/>
          <w:bottom w:val="nil"/>
          <w:right w:val="nil"/>
          <w:between w:val="nil"/>
        </w:pBdr>
        <w:ind w:left="0" w:firstLine="0"/>
        <w:rPr>
          <w:rFonts w:ascii="Avenir" w:eastAsia="Avenir" w:hAnsi="Avenir" w:cs="Avenir"/>
          <w:sz w:val="22"/>
          <w:szCs w:val="22"/>
        </w:rPr>
      </w:pPr>
    </w:p>
    <w:p w14:paraId="5637F48E" w14:textId="77777777" w:rsidR="00FC75A8" w:rsidRDefault="00000000">
      <w:pPr>
        <w:rPr>
          <w:rFonts w:ascii="Avenir" w:eastAsia="Avenir" w:hAnsi="Avenir" w:cs="Avenir"/>
          <w:sz w:val="22"/>
          <w:szCs w:val="22"/>
        </w:rPr>
      </w:pPr>
      <w:r>
        <w:rPr>
          <w:rFonts w:ascii="Avenir" w:eastAsia="Avenir" w:hAnsi="Avenir" w:cs="Avenir"/>
          <w:sz w:val="22"/>
          <w:szCs w:val="22"/>
        </w:rPr>
        <w:t xml:space="preserve">Tableau 10 - Suivi des contrats </w:t>
      </w:r>
    </w:p>
    <w:p w14:paraId="5637F48F" w14:textId="77777777" w:rsidR="00FC75A8" w:rsidRDefault="00FC75A8">
      <w:pPr>
        <w:rPr>
          <w:rFonts w:ascii="Avenir" w:eastAsia="Avenir" w:hAnsi="Avenir" w:cs="Avenir"/>
          <w:sz w:val="16"/>
          <w:szCs w:val="16"/>
        </w:rPr>
      </w:pPr>
    </w:p>
    <w:tbl>
      <w:tblPr>
        <w:tblStyle w:val="a7"/>
        <w:tblW w:w="9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114"/>
        <w:gridCol w:w="1296"/>
        <w:gridCol w:w="850"/>
        <w:gridCol w:w="851"/>
        <w:gridCol w:w="923"/>
        <w:gridCol w:w="830"/>
        <w:gridCol w:w="798"/>
        <w:gridCol w:w="992"/>
        <w:gridCol w:w="1299"/>
      </w:tblGrid>
      <w:tr w:rsidR="00FC75A8" w14:paraId="5637F49B" w14:textId="77777777">
        <w:trPr>
          <w:trHeight w:val="425"/>
          <w:jc w:val="center"/>
        </w:trPr>
        <w:tc>
          <w:tcPr>
            <w:tcW w:w="846" w:type="dxa"/>
            <w:shd w:val="clear" w:color="auto" w:fill="BDD7EE"/>
            <w:vAlign w:val="center"/>
          </w:tcPr>
          <w:p w14:paraId="5637F490" w14:textId="77777777" w:rsidR="00FC75A8" w:rsidRDefault="00000000">
            <w:pPr>
              <w:spacing w:after="0" w:line="240" w:lineRule="auto"/>
              <w:ind w:left="0" w:right="0" w:firstLine="0"/>
              <w:jc w:val="center"/>
              <w:rPr>
                <w:rFonts w:ascii="Avenir" w:eastAsia="Avenir" w:hAnsi="Avenir" w:cs="Avenir"/>
                <w:b/>
                <w:sz w:val="16"/>
                <w:szCs w:val="16"/>
              </w:rPr>
            </w:pPr>
            <w:r>
              <w:rPr>
                <w:rFonts w:ascii="Avenir" w:eastAsia="Avenir" w:hAnsi="Avenir" w:cs="Avenir"/>
                <w:b/>
                <w:sz w:val="16"/>
                <w:szCs w:val="16"/>
              </w:rPr>
              <w:t>N° du Contrat</w:t>
            </w:r>
          </w:p>
        </w:tc>
        <w:tc>
          <w:tcPr>
            <w:tcW w:w="1114" w:type="dxa"/>
            <w:shd w:val="clear" w:color="auto" w:fill="BDD7EE"/>
            <w:vAlign w:val="center"/>
          </w:tcPr>
          <w:p w14:paraId="5637F491"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Intitulé et thématique</w:t>
            </w:r>
          </w:p>
        </w:tc>
        <w:tc>
          <w:tcPr>
            <w:tcW w:w="1296" w:type="dxa"/>
            <w:shd w:val="clear" w:color="auto" w:fill="BDD7EE"/>
          </w:tcPr>
          <w:p w14:paraId="5637F492"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 xml:space="preserve">Type </w:t>
            </w:r>
          </w:p>
          <w:p w14:paraId="5637F493"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(ONG internationale, ONG nationale, entité publique, secteur privé, autre)</w:t>
            </w:r>
          </w:p>
        </w:tc>
        <w:tc>
          <w:tcPr>
            <w:tcW w:w="850" w:type="dxa"/>
            <w:shd w:val="clear" w:color="auto" w:fill="BDD7EE"/>
          </w:tcPr>
          <w:p w14:paraId="5637F494"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Sous type (voir liste ci-dessous)</w:t>
            </w:r>
          </w:p>
        </w:tc>
        <w:tc>
          <w:tcPr>
            <w:tcW w:w="851" w:type="dxa"/>
            <w:shd w:val="clear" w:color="auto" w:fill="BDD7EE"/>
            <w:vAlign w:val="center"/>
          </w:tcPr>
          <w:p w14:paraId="5637F495"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Montant du contrat</w:t>
            </w:r>
          </w:p>
        </w:tc>
        <w:tc>
          <w:tcPr>
            <w:tcW w:w="923" w:type="dxa"/>
            <w:shd w:val="clear" w:color="auto" w:fill="BDD7EE"/>
            <w:vAlign w:val="center"/>
          </w:tcPr>
          <w:p w14:paraId="5637F496"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Date signature contrat</w:t>
            </w:r>
          </w:p>
        </w:tc>
        <w:tc>
          <w:tcPr>
            <w:tcW w:w="830" w:type="dxa"/>
            <w:shd w:val="clear" w:color="auto" w:fill="BDD7EE"/>
            <w:vAlign w:val="center"/>
          </w:tcPr>
          <w:p w14:paraId="5637F497"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Date début des activités</w:t>
            </w:r>
          </w:p>
        </w:tc>
        <w:tc>
          <w:tcPr>
            <w:tcW w:w="798" w:type="dxa"/>
            <w:shd w:val="clear" w:color="auto" w:fill="BDD7EE"/>
            <w:vAlign w:val="center"/>
          </w:tcPr>
          <w:p w14:paraId="5637F498"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Date fin Contrat</w:t>
            </w:r>
          </w:p>
        </w:tc>
        <w:tc>
          <w:tcPr>
            <w:tcW w:w="992" w:type="dxa"/>
            <w:shd w:val="clear" w:color="auto" w:fill="BDD7EE"/>
            <w:vAlign w:val="center"/>
          </w:tcPr>
          <w:p w14:paraId="5637F499"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Délai Exécution Prévu</w:t>
            </w:r>
          </w:p>
        </w:tc>
        <w:tc>
          <w:tcPr>
            <w:tcW w:w="1299" w:type="dxa"/>
            <w:shd w:val="clear" w:color="auto" w:fill="BDD7EE"/>
            <w:vAlign w:val="center"/>
          </w:tcPr>
          <w:p w14:paraId="5637F49A" w14:textId="77777777" w:rsidR="00FC75A8" w:rsidRDefault="00000000">
            <w:pPr>
              <w:spacing w:after="0" w:line="240" w:lineRule="auto"/>
              <w:ind w:left="0" w:right="0" w:firstLine="0"/>
              <w:jc w:val="left"/>
              <w:rPr>
                <w:rFonts w:ascii="Avenir" w:eastAsia="Avenir" w:hAnsi="Avenir" w:cs="Avenir"/>
                <w:b/>
                <w:sz w:val="16"/>
                <w:szCs w:val="16"/>
              </w:rPr>
            </w:pPr>
            <w:r>
              <w:rPr>
                <w:rFonts w:ascii="Avenir" w:eastAsia="Avenir" w:hAnsi="Avenir" w:cs="Avenir"/>
                <w:b/>
                <w:sz w:val="16"/>
                <w:szCs w:val="16"/>
              </w:rPr>
              <w:t>Commentaires</w:t>
            </w:r>
          </w:p>
        </w:tc>
      </w:tr>
      <w:tr w:rsidR="00FC75A8" w14:paraId="5637F4A6" w14:textId="77777777" w:rsidTr="00EF6B26">
        <w:trPr>
          <w:trHeight w:val="293"/>
          <w:jc w:val="center"/>
        </w:trPr>
        <w:tc>
          <w:tcPr>
            <w:tcW w:w="846" w:type="dxa"/>
            <w:shd w:val="clear" w:color="auto" w:fill="auto"/>
            <w:vAlign w:val="bottom"/>
          </w:tcPr>
          <w:p w14:paraId="5637F49C"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114" w:type="dxa"/>
            <w:shd w:val="clear" w:color="auto" w:fill="auto"/>
            <w:vAlign w:val="bottom"/>
          </w:tcPr>
          <w:p w14:paraId="5637F49D"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6" w:type="dxa"/>
          </w:tcPr>
          <w:p w14:paraId="5637F49E" w14:textId="77777777" w:rsidR="00FC75A8" w:rsidRDefault="00FC75A8">
            <w:pPr>
              <w:spacing w:after="0" w:line="240" w:lineRule="auto"/>
              <w:ind w:left="0" w:right="0" w:firstLine="0"/>
              <w:jc w:val="left"/>
              <w:rPr>
                <w:rFonts w:ascii="Avenir" w:eastAsia="Avenir" w:hAnsi="Avenir" w:cs="Avenir"/>
                <w:sz w:val="22"/>
                <w:szCs w:val="22"/>
              </w:rPr>
            </w:pPr>
          </w:p>
        </w:tc>
        <w:tc>
          <w:tcPr>
            <w:tcW w:w="850" w:type="dxa"/>
          </w:tcPr>
          <w:p w14:paraId="5637F49F" w14:textId="77777777" w:rsidR="00FC75A8" w:rsidRDefault="00FC75A8">
            <w:pPr>
              <w:spacing w:after="0" w:line="240" w:lineRule="auto"/>
              <w:ind w:left="0" w:right="0" w:firstLine="0"/>
              <w:jc w:val="left"/>
              <w:rPr>
                <w:rFonts w:ascii="Avenir" w:eastAsia="Avenir" w:hAnsi="Avenir" w:cs="Avenir"/>
                <w:sz w:val="22"/>
                <w:szCs w:val="22"/>
              </w:rPr>
            </w:pPr>
          </w:p>
        </w:tc>
        <w:tc>
          <w:tcPr>
            <w:tcW w:w="851" w:type="dxa"/>
            <w:shd w:val="clear" w:color="auto" w:fill="auto"/>
            <w:vAlign w:val="bottom"/>
          </w:tcPr>
          <w:p w14:paraId="5637F4A0"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23" w:type="dxa"/>
            <w:shd w:val="clear" w:color="auto" w:fill="auto"/>
            <w:vAlign w:val="bottom"/>
          </w:tcPr>
          <w:p w14:paraId="5637F4A1"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830" w:type="dxa"/>
            <w:shd w:val="clear" w:color="auto" w:fill="auto"/>
            <w:vAlign w:val="bottom"/>
          </w:tcPr>
          <w:p w14:paraId="5637F4A2"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798" w:type="dxa"/>
            <w:shd w:val="clear" w:color="auto" w:fill="auto"/>
            <w:vAlign w:val="bottom"/>
          </w:tcPr>
          <w:p w14:paraId="5637F4A3"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92" w:type="dxa"/>
            <w:shd w:val="clear" w:color="auto" w:fill="auto"/>
            <w:vAlign w:val="bottom"/>
          </w:tcPr>
          <w:p w14:paraId="5637F4A4"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9" w:type="dxa"/>
            <w:shd w:val="clear" w:color="auto" w:fill="auto"/>
            <w:vAlign w:val="bottom"/>
          </w:tcPr>
          <w:p w14:paraId="5637F4A5"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r>
      <w:tr w:rsidR="00FC75A8" w14:paraId="5637F4B1" w14:textId="77777777" w:rsidTr="00EF6B26">
        <w:trPr>
          <w:trHeight w:val="293"/>
          <w:jc w:val="center"/>
        </w:trPr>
        <w:tc>
          <w:tcPr>
            <w:tcW w:w="846" w:type="dxa"/>
            <w:shd w:val="clear" w:color="auto" w:fill="auto"/>
            <w:vAlign w:val="bottom"/>
          </w:tcPr>
          <w:p w14:paraId="5637F4A7"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114" w:type="dxa"/>
            <w:shd w:val="clear" w:color="auto" w:fill="auto"/>
            <w:vAlign w:val="bottom"/>
          </w:tcPr>
          <w:p w14:paraId="5637F4A8"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6" w:type="dxa"/>
          </w:tcPr>
          <w:p w14:paraId="5637F4A9" w14:textId="77777777" w:rsidR="00FC75A8" w:rsidRDefault="00FC75A8">
            <w:pPr>
              <w:spacing w:after="0" w:line="240" w:lineRule="auto"/>
              <w:ind w:left="0" w:right="0" w:firstLine="0"/>
              <w:jc w:val="left"/>
              <w:rPr>
                <w:rFonts w:ascii="Avenir" w:eastAsia="Avenir" w:hAnsi="Avenir" w:cs="Avenir"/>
                <w:sz w:val="22"/>
                <w:szCs w:val="22"/>
              </w:rPr>
            </w:pPr>
          </w:p>
        </w:tc>
        <w:tc>
          <w:tcPr>
            <w:tcW w:w="850" w:type="dxa"/>
          </w:tcPr>
          <w:p w14:paraId="5637F4AA" w14:textId="77777777" w:rsidR="00FC75A8" w:rsidRDefault="00FC75A8">
            <w:pPr>
              <w:spacing w:after="0" w:line="240" w:lineRule="auto"/>
              <w:ind w:left="0" w:right="0" w:firstLine="0"/>
              <w:jc w:val="left"/>
              <w:rPr>
                <w:rFonts w:ascii="Avenir" w:eastAsia="Avenir" w:hAnsi="Avenir" w:cs="Avenir"/>
                <w:sz w:val="22"/>
                <w:szCs w:val="22"/>
              </w:rPr>
            </w:pPr>
          </w:p>
        </w:tc>
        <w:tc>
          <w:tcPr>
            <w:tcW w:w="851" w:type="dxa"/>
            <w:shd w:val="clear" w:color="auto" w:fill="auto"/>
            <w:vAlign w:val="bottom"/>
          </w:tcPr>
          <w:p w14:paraId="5637F4AB"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23" w:type="dxa"/>
            <w:shd w:val="clear" w:color="auto" w:fill="auto"/>
            <w:vAlign w:val="bottom"/>
          </w:tcPr>
          <w:p w14:paraId="5637F4AC"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830" w:type="dxa"/>
            <w:shd w:val="clear" w:color="auto" w:fill="auto"/>
            <w:vAlign w:val="bottom"/>
          </w:tcPr>
          <w:p w14:paraId="5637F4AD"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798" w:type="dxa"/>
            <w:shd w:val="clear" w:color="auto" w:fill="auto"/>
            <w:vAlign w:val="bottom"/>
          </w:tcPr>
          <w:p w14:paraId="5637F4AE"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92" w:type="dxa"/>
            <w:shd w:val="clear" w:color="auto" w:fill="auto"/>
            <w:vAlign w:val="bottom"/>
          </w:tcPr>
          <w:p w14:paraId="5637F4AF"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9" w:type="dxa"/>
            <w:shd w:val="clear" w:color="auto" w:fill="auto"/>
            <w:vAlign w:val="bottom"/>
          </w:tcPr>
          <w:p w14:paraId="5637F4B0"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r>
      <w:tr w:rsidR="00FC75A8" w14:paraId="5637F4BC" w14:textId="77777777" w:rsidTr="00EF6B26">
        <w:trPr>
          <w:trHeight w:val="293"/>
          <w:jc w:val="center"/>
        </w:trPr>
        <w:tc>
          <w:tcPr>
            <w:tcW w:w="846" w:type="dxa"/>
            <w:shd w:val="clear" w:color="auto" w:fill="auto"/>
            <w:vAlign w:val="bottom"/>
          </w:tcPr>
          <w:p w14:paraId="5637F4B2"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114" w:type="dxa"/>
            <w:shd w:val="clear" w:color="auto" w:fill="auto"/>
            <w:vAlign w:val="bottom"/>
          </w:tcPr>
          <w:p w14:paraId="5637F4B3"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6" w:type="dxa"/>
          </w:tcPr>
          <w:p w14:paraId="5637F4B4" w14:textId="77777777" w:rsidR="00FC75A8" w:rsidRDefault="00FC75A8">
            <w:pPr>
              <w:spacing w:after="0" w:line="240" w:lineRule="auto"/>
              <w:ind w:left="0" w:right="0" w:firstLine="0"/>
              <w:jc w:val="left"/>
              <w:rPr>
                <w:rFonts w:ascii="Avenir" w:eastAsia="Avenir" w:hAnsi="Avenir" w:cs="Avenir"/>
                <w:sz w:val="22"/>
                <w:szCs w:val="22"/>
              </w:rPr>
            </w:pPr>
          </w:p>
        </w:tc>
        <w:tc>
          <w:tcPr>
            <w:tcW w:w="850" w:type="dxa"/>
          </w:tcPr>
          <w:p w14:paraId="5637F4B5" w14:textId="77777777" w:rsidR="00FC75A8" w:rsidRDefault="00FC75A8">
            <w:pPr>
              <w:spacing w:after="0" w:line="240" w:lineRule="auto"/>
              <w:ind w:left="0" w:right="0" w:firstLine="0"/>
              <w:jc w:val="left"/>
              <w:rPr>
                <w:rFonts w:ascii="Avenir" w:eastAsia="Avenir" w:hAnsi="Avenir" w:cs="Avenir"/>
                <w:sz w:val="22"/>
                <w:szCs w:val="22"/>
              </w:rPr>
            </w:pPr>
          </w:p>
        </w:tc>
        <w:tc>
          <w:tcPr>
            <w:tcW w:w="851" w:type="dxa"/>
            <w:shd w:val="clear" w:color="auto" w:fill="auto"/>
            <w:vAlign w:val="bottom"/>
          </w:tcPr>
          <w:p w14:paraId="5637F4B6"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23" w:type="dxa"/>
            <w:shd w:val="clear" w:color="auto" w:fill="auto"/>
            <w:vAlign w:val="bottom"/>
          </w:tcPr>
          <w:p w14:paraId="5637F4B7"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830" w:type="dxa"/>
            <w:shd w:val="clear" w:color="auto" w:fill="auto"/>
            <w:vAlign w:val="bottom"/>
          </w:tcPr>
          <w:p w14:paraId="5637F4B8"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798" w:type="dxa"/>
            <w:shd w:val="clear" w:color="auto" w:fill="auto"/>
            <w:vAlign w:val="bottom"/>
          </w:tcPr>
          <w:p w14:paraId="5637F4B9"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92" w:type="dxa"/>
            <w:shd w:val="clear" w:color="auto" w:fill="auto"/>
            <w:vAlign w:val="bottom"/>
          </w:tcPr>
          <w:p w14:paraId="5637F4BA"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9" w:type="dxa"/>
            <w:shd w:val="clear" w:color="auto" w:fill="auto"/>
            <w:vAlign w:val="bottom"/>
          </w:tcPr>
          <w:p w14:paraId="5637F4BB"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r>
      <w:tr w:rsidR="00FC75A8" w14:paraId="5637F4C7" w14:textId="77777777" w:rsidTr="00EF6B26">
        <w:trPr>
          <w:trHeight w:val="293"/>
          <w:jc w:val="center"/>
        </w:trPr>
        <w:tc>
          <w:tcPr>
            <w:tcW w:w="846" w:type="dxa"/>
            <w:shd w:val="clear" w:color="auto" w:fill="auto"/>
            <w:vAlign w:val="bottom"/>
          </w:tcPr>
          <w:p w14:paraId="5637F4BD"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114" w:type="dxa"/>
            <w:shd w:val="clear" w:color="auto" w:fill="auto"/>
            <w:vAlign w:val="bottom"/>
          </w:tcPr>
          <w:p w14:paraId="5637F4BE"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6" w:type="dxa"/>
          </w:tcPr>
          <w:p w14:paraId="5637F4BF" w14:textId="77777777" w:rsidR="00FC75A8" w:rsidRDefault="00FC75A8">
            <w:pPr>
              <w:spacing w:after="0" w:line="240" w:lineRule="auto"/>
              <w:ind w:left="0" w:right="0" w:firstLine="0"/>
              <w:jc w:val="left"/>
              <w:rPr>
                <w:rFonts w:ascii="Avenir" w:eastAsia="Avenir" w:hAnsi="Avenir" w:cs="Avenir"/>
                <w:sz w:val="22"/>
                <w:szCs w:val="22"/>
              </w:rPr>
            </w:pPr>
          </w:p>
        </w:tc>
        <w:tc>
          <w:tcPr>
            <w:tcW w:w="850" w:type="dxa"/>
          </w:tcPr>
          <w:p w14:paraId="5637F4C0" w14:textId="77777777" w:rsidR="00FC75A8" w:rsidRDefault="00FC75A8">
            <w:pPr>
              <w:spacing w:after="0" w:line="240" w:lineRule="auto"/>
              <w:ind w:left="0" w:right="0" w:firstLine="0"/>
              <w:jc w:val="left"/>
              <w:rPr>
                <w:rFonts w:ascii="Avenir" w:eastAsia="Avenir" w:hAnsi="Avenir" w:cs="Avenir"/>
                <w:sz w:val="22"/>
                <w:szCs w:val="22"/>
              </w:rPr>
            </w:pPr>
          </w:p>
        </w:tc>
        <w:tc>
          <w:tcPr>
            <w:tcW w:w="851" w:type="dxa"/>
            <w:shd w:val="clear" w:color="auto" w:fill="auto"/>
            <w:vAlign w:val="bottom"/>
          </w:tcPr>
          <w:p w14:paraId="5637F4C1"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23" w:type="dxa"/>
            <w:shd w:val="clear" w:color="auto" w:fill="auto"/>
            <w:vAlign w:val="bottom"/>
          </w:tcPr>
          <w:p w14:paraId="5637F4C2"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830" w:type="dxa"/>
            <w:shd w:val="clear" w:color="auto" w:fill="auto"/>
            <w:vAlign w:val="bottom"/>
          </w:tcPr>
          <w:p w14:paraId="5637F4C3"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798" w:type="dxa"/>
            <w:shd w:val="clear" w:color="auto" w:fill="auto"/>
            <w:vAlign w:val="bottom"/>
          </w:tcPr>
          <w:p w14:paraId="5637F4C4"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992" w:type="dxa"/>
            <w:shd w:val="clear" w:color="auto" w:fill="auto"/>
            <w:vAlign w:val="bottom"/>
          </w:tcPr>
          <w:p w14:paraId="5637F4C5"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c>
          <w:tcPr>
            <w:tcW w:w="1299" w:type="dxa"/>
            <w:shd w:val="clear" w:color="auto" w:fill="auto"/>
            <w:vAlign w:val="bottom"/>
          </w:tcPr>
          <w:p w14:paraId="5637F4C6" w14:textId="77777777" w:rsidR="00FC75A8" w:rsidRDefault="00000000">
            <w:pPr>
              <w:spacing w:after="0" w:line="240" w:lineRule="auto"/>
              <w:ind w:left="0" w:right="0" w:firstLine="0"/>
              <w:jc w:val="left"/>
              <w:rPr>
                <w:rFonts w:ascii="Avenir" w:eastAsia="Avenir" w:hAnsi="Avenir" w:cs="Avenir"/>
                <w:sz w:val="22"/>
                <w:szCs w:val="22"/>
              </w:rPr>
            </w:pPr>
            <w:r>
              <w:rPr>
                <w:rFonts w:ascii="Avenir" w:eastAsia="Avenir" w:hAnsi="Avenir" w:cs="Avenir"/>
                <w:sz w:val="22"/>
                <w:szCs w:val="22"/>
              </w:rPr>
              <w:t> </w:t>
            </w:r>
          </w:p>
        </w:tc>
      </w:tr>
    </w:tbl>
    <w:p w14:paraId="5637F4C8" w14:textId="77777777" w:rsidR="00FC75A8" w:rsidRDefault="00000000">
      <w:pPr>
        <w:rPr>
          <w:rFonts w:ascii="Avenir" w:eastAsia="Avenir" w:hAnsi="Avenir" w:cs="Avenir"/>
          <w:sz w:val="22"/>
          <w:szCs w:val="22"/>
        </w:rPr>
      </w:pPr>
      <w:r>
        <w:rPr>
          <w:rFonts w:ascii="Avenir" w:eastAsia="Avenir" w:hAnsi="Avenir" w:cs="Avenir"/>
          <w:sz w:val="22"/>
          <w:szCs w:val="22"/>
        </w:rPr>
        <w:t xml:space="preserve"> </w:t>
      </w:r>
    </w:p>
    <w:p w14:paraId="5637F4C9" w14:textId="77777777" w:rsidR="00FC75A8" w:rsidRDefault="00000000">
      <w:pPr>
        <w:ind w:left="0" w:firstLine="0"/>
        <w:rPr>
          <w:rFonts w:ascii="Avenir" w:eastAsia="Avenir" w:hAnsi="Avenir" w:cs="Avenir"/>
          <w:sz w:val="22"/>
          <w:szCs w:val="22"/>
        </w:rPr>
      </w:pPr>
      <w:r>
        <w:rPr>
          <w:rFonts w:ascii="Avenir" w:eastAsia="Avenir" w:hAnsi="Avenir" w:cs="Avenir"/>
          <w:sz w:val="22"/>
          <w:szCs w:val="22"/>
        </w:rPr>
        <w:t xml:space="preserve">Sous-type </w:t>
      </w:r>
    </w:p>
    <w:tbl>
      <w:tblPr>
        <w:tblStyle w:val="a8"/>
        <w:tblW w:w="7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835"/>
        <w:gridCol w:w="2268"/>
      </w:tblGrid>
      <w:tr w:rsidR="00FC75A8" w14:paraId="5637F4CD" w14:textId="77777777">
        <w:trPr>
          <w:trHeight w:val="390"/>
        </w:trPr>
        <w:tc>
          <w:tcPr>
            <w:tcW w:w="2552" w:type="dxa"/>
            <w:shd w:val="clear" w:color="auto" w:fill="4472C4"/>
            <w:vAlign w:val="center"/>
          </w:tcPr>
          <w:p w14:paraId="5637F4CA" w14:textId="77777777" w:rsidR="00FC75A8" w:rsidRDefault="00000000">
            <w:pPr>
              <w:spacing w:after="0" w:line="240" w:lineRule="auto"/>
              <w:ind w:left="0" w:right="0" w:firstLine="0"/>
              <w:jc w:val="left"/>
              <w:rPr>
                <w:rFonts w:ascii="Avenir" w:eastAsia="Avenir" w:hAnsi="Avenir" w:cs="Avenir"/>
                <w:b/>
                <w:color w:val="FFFFFF"/>
                <w:sz w:val="16"/>
                <w:szCs w:val="16"/>
              </w:rPr>
            </w:pPr>
            <w:r>
              <w:rPr>
                <w:rFonts w:ascii="Avenir" w:eastAsia="Avenir" w:hAnsi="Avenir" w:cs="Avenir"/>
                <w:b/>
                <w:color w:val="FFFFFF"/>
                <w:sz w:val="16"/>
                <w:szCs w:val="16"/>
              </w:rPr>
              <w:t>ONG Nationale</w:t>
            </w:r>
          </w:p>
        </w:tc>
        <w:tc>
          <w:tcPr>
            <w:tcW w:w="2835" w:type="dxa"/>
            <w:shd w:val="clear" w:color="auto" w:fill="4472C4"/>
            <w:vAlign w:val="center"/>
          </w:tcPr>
          <w:p w14:paraId="5637F4CB" w14:textId="77777777" w:rsidR="00FC75A8" w:rsidRDefault="00000000">
            <w:pPr>
              <w:spacing w:after="0" w:line="240" w:lineRule="auto"/>
              <w:ind w:left="0" w:right="0" w:firstLine="0"/>
              <w:jc w:val="left"/>
              <w:rPr>
                <w:rFonts w:ascii="Avenir" w:eastAsia="Avenir" w:hAnsi="Avenir" w:cs="Avenir"/>
                <w:b/>
                <w:color w:val="FFFFFF"/>
                <w:sz w:val="16"/>
                <w:szCs w:val="16"/>
              </w:rPr>
            </w:pPr>
            <w:r>
              <w:rPr>
                <w:rFonts w:ascii="Avenir" w:eastAsia="Avenir" w:hAnsi="Avenir" w:cs="Avenir"/>
                <w:b/>
                <w:color w:val="FFFFFF"/>
                <w:sz w:val="16"/>
                <w:szCs w:val="16"/>
              </w:rPr>
              <w:t>Entité publique</w:t>
            </w:r>
          </w:p>
        </w:tc>
        <w:tc>
          <w:tcPr>
            <w:tcW w:w="2268" w:type="dxa"/>
            <w:shd w:val="clear" w:color="auto" w:fill="4472C4"/>
            <w:vAlign w:val="center"/>
          </w:tcPr>
          <w:p w14:paraId="5637F4CC" w14:textId="77777777" w:rsidR="00FC75A8" w:rsidRDefault="00000000">
            <w:pPr>
              <w:spacing w:after="0" w:line="240" w:lineRule="auto"/>
              <w:ind w:left="0" w:right="0" w:firstLine="0"/>
              <w:jc w:val="left"/>
              <w:rPr>
                <w:rFonts w:ascii="Avenir" w:eastAsia="Avenir" w:hAnsi="Avenir" w:cs="Avenir"/>
                <w:b/>
                <w:color w:val="FFFFFF"/>
                <w:sz w:val="16"/>
                <w:szCs w:val="16"/>
              </w:rPr>
            </w:pPr>
            <w:r>
              <w:rPr>
                <w:rFonts w:ascii="Avenir" w:eastAsia="Avenir" w:hAnsi="Avenir" w:cs="Avenir"/>
                <w:b/>
                <w:color w:val="FFFFFF"/>
                <w:sz w:val="16"/>
                <w:szCs w:val="16"/>
              </w:rPr>
              <w:t>Secteur privé</w:t>
            </w:r>
          </w:p>
        </w:tc>
      </w:tr>
      <w:tr w:rsidR="00FC75A8" w14:paraId="5637F4D1" w14:textId="77777777">
        <w:trPr>
          <w:trHeight w:val="390"/>
        </w:trPr>
        <w:tc>
          <w:tcPr>
            <w:tcW w:w="2552" w:type="dxa"/>
            <w:shd w:val="clear" w:color="auto" w:fill="D9E1F2"/>
            <w:vAlign w:val="center"/>
          </w:tcPr>
          <w:p w14:paraId="5637F4CE"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Organisation non gouvernementale (ONG) nationale</w:t>
            </w:r>
          </w:p>
        </w:tc>
        <w:tc>
          <w:tcPr>
            <w:tcW w:w="2835" w:type="dxa"/>
            <w:shd w:val="clear" w:color="auto" w:fill="D9E1F2"/>
            <w:vAlign w:val="center"/>
          </w:tcPr>
          <w:p w14:paraId="5637F4CF"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Administration publique nationale</w:t>
            </w:r>
          </w:p>
        </w:tc>
        <w:tc>
          <w:tcPr>
            <w:tcW w:w="2268" w:type="dxa"/>
            <w:shd w:val="clear" w:color="auto" w:fill="D9E1F2"/>
            <w:vAlign w:val="center"/>
          </w:tcPr>
          <w:p w14:paraId="5637F4D0"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Entreprise nationale</w:t>
            </w:r>
          </w:p>
        </w:tc>
      </w:tr>
      <w:tr w:rsidR="00FC75A8" w14:paraId="5637F4D5" w14:textId="77777777">
        <w:trPr>
          <w:trHeight w:val="390"/>
        </w:trPr>
        <w:tc>
          <w:tcPr>
            <w:tcW w:w="2552" w:type="dxa"/>
            <w:vAlign w:val="center"/>
          </w:tcPr>
          <w:p w14:paraId="5637F4D2"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Comité Local de Développement (CLD)</w:t>
            </w:r>
          </w:p>
        </w:tc>
        <w:tc>
          <w:tcPr>
            <w:tcW w:w="2835" w:type="dxa"/>
            <w:vAlign w:val="center"/>
          </w:tcPr>
          <w:p w14:paraId="5637F4D3"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Administration publique provinciale</w:t>
            </w:r>
          </w:p>
        </w:tc>
        <w:tc>
          <w:tcPr>
            <w:tcW w:w="2268" w:type="dxa"/>
            <w:vAlign w:val="center"/>
          </w:tcPr>
          <w:p w14:paraId="5637F4D4"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Bureau d’étude</w:t>
            </w:r>
          </w:p>
        </w:tc>
      </w:tr>
      <w:tr w:rsidR="00FC75A8" w14:paraId="5637F4D9" w14:textId="77777777">
        <w:trPr>
          <w:trHeight w:val="630"/>
        </w:trPr>
        <w:tc>
          <w:tcPr>
            <w:tcW w:w="2552" w:type="dxa"/>
            <w:shd w:val="clear" w:color="auto" w:fill="D9E1F2"/>
            <w:vAlign w:val="center"/>
          </w:tcPr>
          <w:p w14:paraId="5637F4D6"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Comité Local de Gestion (CLG) pour les Concession Forestière des Communautés Locales (CFCL)</w:t>
            </w:r>
          </w:p>
        </w:tc>
        <w:tc>
          <w:tcPr>
            <w:tcW w:w="2835" w:type="dxa"/>
            <w:shd w:val="clear" w:color="auto" w:fill="D9E1F2"/>
            <w:vAlign w:val="center"/>
          </w:tcPr>
          <w:p w14:paraId="5637F4D7"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Université</w:t>
            </w:r>
          </w:p>
        </w:tc>
        <w:tc>
          <w:tcPr>
            <w:tcW w:w="2268" w:type="dxa"/>
            <w:shd w:val="clear" w:color="auto" w:fill="D9E1F2"/>
            <w:vAlign w:val="center"/>
          </w:tcPr>
          <w:p w14:paraId="5637F4D8"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Coopérative</w:t>
            </w:r>
          </w:p>
        </w:tc>
      </w:tr>
      <w:tr w:rsidR="00FC75A8" w14:paraId="5637F4DD" w14:textId="77777777">
        <w:trPr>
          <w:trHeight w:val="390"/>
        </w:trPr>
        <w:tc>
          <w:tcPr>
            <w:tcW w:w="2552" w:type="dxa"/>
            <w:vAlign w:val="center"/>
          </w:tcPr>
          <w:p w14:paraId="5637F4DA"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Autre</w:t>
            </w:r>
          </w:p>
        </w:tc>
        <w:tc>
          <w:tcPr>
            <w:tcW w:w="2835" w:type="dxa"/>
            <w:vAlign w:val="center"/>
          </w:tcPr>
          <w:p w14:paraId="5637F4DB"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Centre de recherche</w:t>
            </w:r>
          </w:p>
        </w:tc>
        <w:tc>
          <w:tcPr>
            <w:tcW w:w="2268" w:type="dxa"/>
            <w:vAlign w:val="center"/>
          </w:tcPr>
          <w:p w14:paraId="5637F4DC"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Entreprise internationale</w:t>
            </w:r>
          </w:p>
        </w:tc>
      </w:tr>
      <w:tr w:rsidR="00FC75A8" w14:paraId="5637F4E1" w14:textId="77777777">
        <w:trPr>
          <w:trHeight w:val="390"/>
        </w:trPr>
        <w:tc>
          <w:tcPr>
            <w:tcW w:w="2552" w:type="dxa"/>
            <w:shd w:val="clear" w:color="auto" w:fill="D9E1F2"/>
            <w:vAlign w:val="center"/>
          </w:tcPr>
          <w:p w14:paraId="5637F4DE" w14:textId="77777777" w:rsidR="00FC75A8" w:rsidRDefault="00FC75A8">
            <w:pPr>
              <w:spacing w:after="0" w:line="240" w:lineRule="auto"/>
              <w:ind w:left="0" w:right="0" w:firstLine="0"/>
              <w:jc w:val="left"/>
              <w:rPr>
                <w:rFonts w:ascii="Avenir" w:eastAsia="Avenir" w:hAnsi="Avenir" w:cs="Avenir"/>
                <w:sz w:val="16"/>
                <w:szCs w:val="16"/>
              </w:rPr>
            </w:pPr>
          </w:p>
        </w:tc>
        <w:tc>
          <w:tcPr>
            <w:tcW w:w="2835" w:type="dxa"/>
            <w:shd w:val="clear" w:color="auto" w:fill="D9E1F2"/>
            <w:vAlign w:val="center"/>
          </w:tcPr>
          <w:p w14:paraId="5637F4DF"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Conseil Agricole Rural de Gestion (CARG)</w:t>
            </w:r>
          </w:p>
        </w:tc>
        <w:tc>
          <w:tcPr>
            <w:tcW w:w="2268" w:type="dxa"/>
            <w:shd w:val="clear" w:color="auto" w:fill="D9E1F2"/>
            <w:vAlign w:val="center"/>
          </w:tcPr>
          <w:p w14:paraId="5637F4E0"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Autre</w:t>
            </w:r>
          </w:p>
        </w:tc>
      </w:tr>
      <w:tr w:rsidR="00FC75A8" w14:paraId="5637F4E5" w14:textId="77777777">
        <w:trPr>
          <w:trHeight w:val="390"/>
        </w:trPr>
        <w:tc>
          <w:tcPr>
            <w:tcW w:w="2552" w:type="dxa"/>
            <w:vAlign w:val="center"/>
          </w:tcPr>
          <w:p w14:paraId="5637F4E2" w14:textId="77777777" w:rsidR="00FC75A8" w:rsidRDefault="00FC75A8">
            <w:pPr>
              <w:spacing w:after="0" w:line="240" w:lineRule="auto"/>
              <w:ind w:left="0" w:right="0" w:firstLine="0"/>
              <w:jc w:val="left"/>
              <w:rPr>
                <w:rFonts w:ascii="Avenir" w:eastAsia="Avenir" w:hAnsi="Avenir" w:cs="Avenir"/>
                <w:sz w:val="16"/>
                <w:szCs w:val="16"/>
              </w:rPr>
            </w:pPr>
          </w:p>
        </w:tc>
        <w:tc>
          <w:tcPr>
            <w:tcW w:w="2835" w:type="dxa"/>
            <w:vAlign w:val="center"/>
          </w:tcPr>
          <w:p w14:paraId="5637F4E3" w14:textId="77777777" w:rsidR="00FC75A8" w:rsidRDefault="00000000">
            <w:pPr>
              <w:spacing w:after="0" w:line="240" w:lineRule="auto"/>
              <w:ind w:left="0" w:right="0" w:firstLine="0"/>
              <w:jc w:val="left"/>
              <w:rPr>
                <w:rFonts w:ascii="Avenir" w:eastAsia="Avenir" w:hAnsi="Avenir" w:cs="Avenir"/>
                <w:sz w:val="16"/>
                <w:szCs w:val="16"/>
              </w:rPr>
            </w:pPr>
            <w:r>
              <w:rPr>
                <w:rFonts w:ascii="Avenir" w:eastAsia="Avenir" w:hAnsi="Avenir" w:cs="Avenir"/>
                <w:sz w:val="16"/>
                <w:szCs w:val="16"/>
              </w:rPr>
              <w:t>Autre</w:t>
            </w:r>
          </w:p>
        </w:tc>
        <w:tc>
          <w:tcPr>
            <w:tcW w:w="2268" w:type="dxa"/>
            <w:vAlign w:val="center"/>
          </w:tcPr>
          <w:p w14:paraId="5637F4E4" w14:textId="77777777" w:rsidR="00FC75A8" w:rsidRDefault="00FC75A8">
            <w:pPr>
              <w:spacing w:after="0" w:line="240" w:lineRule="auto"/>
              <w:ind w:left="0" w:right="0" w:firstLine="0"/>
              <w:jc w:val="left"/>
              <w:rPr>
                <w:rFonts w:ascii="Avenir" w:eastAsia="Avenir" w:hAnsi="Avenir" w:cs="Avenir"/>
                <w:sz w:val="16"/>
                <w:szCs w:val="16"/>
              </w:rPr>
            </w:pPr>
          </w:p>
        </w:tc>
      </w:tr>
    </w:tbl>
    <w:p w14:paraId="5637F4E6" w14:textId="77777777" w:rsidR="00FC75A8" w:rsidRDefault="00FC75A8">
      <w:pPr>
        <w:rPr>
          <w:rFonts w:ascii="Avenir" w:eastAsia="Avenir" w:hAnsi="Avenir" w:cs="Avenir"/>
          <w:sz w:val="14"/>
          <w:szCs w:val="14"/>
        </w:rPr>
      </w:pPr>
    </w:p>
    <w:p w14:paraId="4380A573" w14:textId="77777777" w:rsidR="001C232C" w:rsidRDefault="001C232C">
      <w:pPr>
        <w:rPr>
          <w:rFonts w:ascii="Avenir" w:eastAsia="Avenir" w:hAnsi="Avenir" w:cs="Avenir"/>
          <w:sz w:val="14"/>
          <w:szCs w:val="14"/>
        </w:rPr>
      </w:pPr>
    </w:p>
    <w:p w14:paraId="0189C6FF" w14:textId="77777777" w:rsidR="001C232C" w:rsidRDefault="001C232C">
      <w:pPr>
        <w:rPr>
          <w:rFonts w:ascii="Avenir" w:eastAsia="Avenir" w:hAnsi="Avenir" w:cs="Avenir"/>
          <w:sz w:val="14"/>
          <w:szCs w:val="14"/>
        </w:rPr>
      </w:pPr>
    </w:p>
    <w:p w14:paraId="5637F4E7" w14:textId="77777777" w:rsidR="00FC75A8" w:rsidRDefault="00000000" w:rsidP="00FE70AA">
      <w:pPr>
        <w:pStyle w:val="PIREDD2"/>
      </w:pPr>
      <w:bookmarkStart w:id="22" w:name="_Toc191317687"/>
      <w:r>
        <w:lastRenderedPageBreak/>
        <w:t>6.3 Gestion financière, approvisionnement et ressources humaines</w:t>
      </w:r>
      <w:bookmarkEnd w:id="22"/>
      <w:r>
        <w:t xml:space="preserve"> </w:t>
      </w:r>
    </w:p>
    <w:p w14:paraId="76503EFB" w14:textId="77777777" w:rsidR="00F749D4" w:rsidRPr="00F749D4" w:rsidRDefault="00F749D4" w:rsidP="00F749D4">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iCs/>
          <w:color w:val="000000" w:themeColor="text1"/>
          <w:sz w:val="20"/>
          <w:szCs w:val="20"/>
        </w:rPr>
      </w:pPr>
      <w:r w:rsidRPr="00F749D4">
        <w:rPr>
          <w:rFonts w:ascii="Avenir" w:eastAsia="Avenir" w:hAnsi="Avenir" w:cs="Avenir"/>
          <w:iCs/>
          <w:color w:val="000000" w:themeColor="text1"/>
          <w:sz w:val="20"/>
          <w:szCs w:val="20"/>
        </w:rPr>
        <w:t>Pour la période couverte par ce rapport (28 octobre – 31 décembre 2024), les dépenses financières du projet sont alignées aux prévisions du PTBA.</w:t>
      </w:r>
    </w:p>
    <w:p w14:paraId="7F8D282E" w14:textId="77777777" w:rsidR="00F749D4" w:rsidRPr="00697AA8" w:rsidRDefault="00F749D4" w:rsidP="00F749D4">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iCs/>
          <w:color w:val="000000" w:themeColor="text1"/>
          <w:sz w:val="20"/>
          <w:szCs w:val="20"/>
        </w:rPr>
      </w:pPr>
      <w:r w:rsidRPr="001C232C">
        <w:rPr>
          <w:rFonts w:ascii="Avenir" w:eastAsia="Avenir" w:hAnsi="Avenir" w:cs="Avenir"/>
          <w:iCs/>
          <w:color w:val="000000" w:themeColor="text1"/>
          <w:sz w:val="20"/>
          <w:szCs w:val="20"/>
        </w:rPr>
        <w:t>Pour ce qui est des activités axées sur l’égalité des sexes ou l’autonomisation des femmes, il est</w:t>
      </w:r>
      <w:r w:rsidRPr="00F749D4">
        <w:rPr>
          <w:rFonts w:ascii="Avenir" w:eastAsia="Avenir" w:hAnsi="Avenir" w:cs="Avenir"/>
          <w:iCs/>
          <w:color w:val="000000" w:themeColor="text1"/>
          <w:sz w:val="20"/>
          <w:szCs w:val="20"/>
        </w:rPr>
        <w:t xml:space="preserve"> difficile d’indiquer avec exactitude le montant en dollars prévu à cet effet, la question genre dans le projet étant transversale. Au-delà de la transversalité, plusieurs actions spécifiques intégreront la dimension genre en veillant à faire activement participer / bénéficier les femmes. On peut citer entre autres : les ateliers de lancement, les études (notamment celle de base et les études socio-économiques), les animations communautaires, la mise en place des cadres de concertation (comités locaux de développement, etc.), les ateliers, les formations, les activités d’appui à la valorisation des produits forestiers non ligneux, l’appui aux projets d'entreprenariat vert, la promotion des foyers améliorés, le soutien aux filières pépiniéristes et agricoles, le soutien aux projets d'agroforesterie individuels, le</w:t>
      </w:r>
      <w:r w:rsidRPr="00697AA8">
        <w:rPr>
          <w:rFonts w:ascii="Avenir" w:eastAsia="Avenir" w:hAnsi="Avenir" w:cs="Avenir"/>
          <w:iCs/>
          <w:color w:val="000000" w:themeColor="text1"/>
          <w:sz w:val="20"/>
          <w:szCs w:val="20"/>
        </w:rPr>
        <w:t xml:space="preserve"> </w:t>
      </w:r>
      <w:r w:rsidRPr="00F749D4">
        <w:rPr>
          <w:rFonts w:ascii="Avenir" w:eastAsia="Avenir" w:hAnsi="Avenir" w:cs="Avenir"/>
          <w:iCs/>
          <w:color w:val="000000" w:themeColor="text1"/>
          <w:sz w:val="20"/>
          <w:szCs w:val="20"/>
        </w:rPr>
        <w:t>soutien à des initiatives pour améliorer les performances des chaines de valeur agricoles.</w:t>
      </w:r>
    </w:p>
    <w:p w14:paraId="112E97A4" w14:textId="77777777" w:rsidR="00F749D4" w:rsidRPr="00F749D4" w:rsidRDefault="00F749D4" w:rsidP="00F749D4">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sz w:val="20"/>
          <w:szCs w:val="20"/>
        </w:rPr>
      </w:pPr>
      <w:r w:rsidRPr="00F749D4">
        <w:rPr>
          <w:rFonts w:ascii="Avenir" w:eastAsia="Avenir" w:hAnsi="Avenir" w:cs="Avenir"/>
          <w:iCs/>
          <w:color w:val="000000" w:themeColor="text1"/>
          <w:sz w:val="20"/>
          <w:szCs w:val="20"/>
        </w:rPr>
        <w:t>En ce qui concerne la demande de la deuxième tranche, étant que la première tranche de 10 millions de dollars US a été reçue il y a de cela trois mois (le 28 octobre 2024), Enabel pourra objectivement se prononcer sur la demande de la deuxième tranche lors du rapportage prochain.</w:t>
      </w:r>
    </w:p>
    <w:p w14:paraId="5637F4E8" w14:textId="33E271A5" w:rsidR="00FC75A8" w:rsidRPr="00F749D4" w:rsidRDefault="00F749D4" w:rsidP="00F749D4">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sz w:val="20"/>
          <w:szCs w:val="20"/>
        </w:rPr>
      </w:pPr>
      <w:r w:rsidRPr="00F749D4">
        <w:rPr>
          <w:rFonts w:ascii="Avenir" w:eastAsia="Avenir" w:hAnsi="Avenir" w:cs="Avenir"/>
          <w:iCs/>
          <w:color w:val="000000" w:themeColor="text1"/>
          <w:sz w:val="20"/>
          <w:szCs w:val="20"/>
        </w:rPr>
        <w:t>En lien avec la passation de marchés, pour le moment, aucun marché de services d’une valeur de plus d’un million de dollars US n’a été passé. L’équipe de projet est actuellement en phase de planification et élaborera un plan de passation de marchés qui pourra être partagé. Le processus qui sera utilisé pour identifier les fournisseurs sera un processus à concurrence où des appels à soumission seront faits pour recueillir les propositions de potentiels fournisseurs qui seront ensuite évaluées.</w:t>
      </w:r>
    </w:p>
    <w:p w14:paraId="5637F4EF" w14:textId="77777777" w:rsidR="00FC75A8" w:rsidRDefault="00FC75A8" w:rsidP="00F749D4">
      <w:pPr>
        <w:pBdr>
          <w:top w:val="nil"/>
          <w:left w:val="nil"/>
          <w:bottom w:val="nil"/>
          <w:right w:val="nil"/>
          <w:between w:val="nil"/>
        </w:pBdr>
        <w:spacing w:after="0" w:line="259" w:lineRule="auto"/>
        <w:ind w:right="0"/>
        <w:jc w:val="left"/>
        <w:rPr>
          <w:rFonts w:ascii="Avenir" w:eastAsia="Avenir" w:hAnsi="Avenir" w:cs="Avenir"/>
          <w:sz w:val="22"/>
          <w:szCs w:val="22"/>
        </w:rPr>
      </w:pPr>
    </w:p>
    <w:p w14:paraId="5637F4F0" w14:textId="77777777" w:rsidR="00FC75A8" w:rsidRDefault="00000000" w:rsidP="00FE70AA">
      <w:pPr>
        <w:pStyle w:val="PIREDD2"/>
      </w:pPr>
      <w:bookmarkStart w:id="23" w:name="_Toc191317688"/>
      <w:r>
        <w:t>6.4 Mobilisation de ressources</w:t>
      </w:r>
      <w:bookmarkEnd w:id="23"/>
      <w:r>
        <w:t xml:space="preserve"> </w:t>
      </w:r>
    </w:p>
    <w:p w14:paraId="5637F4F1" w14:textId="350A1AB3" w:rsidR="00FC75A8" w:rsidRDefault="00421DDE" w:rsidP="00421DDE">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i/>
          <w:sz w:val="20"/>
          <w:szCs w:val="20"/>
        </w:rPr>
      </w:pPr>
      <w:r w:rsidRPr="00DB6E6D">
        <w:rPr>
          <w:rFonts w:ascii="Avenir" w:eastAsia="Avenir" w:hAnsi="Avenir" w:cs="Avenir"/>
          <w:iCs/>
          <w:color w:val="000000" w:themeColor="text1"/>
          <w:sz w:val="20"/>
          <w:szCs w:val="20"/>
        </w:rPr>
        <w:t>Le projet n’a pas mobilisé des ressources supplémentaires ou des interventions d’autres partenaires.</w:t>
      </w:r>
    </w:p>
    <w:p w14:paraId="5637F4F2" w14:textId="77777777" w:rsidR="00FC75A8" w:rsidRDefault="00FC75A8">
      <w:pPr>
        <w:pBdr>
          <w:top w:val="nil"/>
          <w:left w:val="nil"/>
          <w:bottom w:val="nil"/>
          <w:right w:val="nil"/>
          <w:between w:val="nil"/>
        </w:pBdr>
        <w:spacing w:after="0"/>
        <w:ind w:left="370" w:firstLine="0"/>
        <w:rPr>
          <w:rFonts w:ascii="Avenir" w:eastAsia="Avenir" w:hAnsi="Avenir" w:cs="Avenir"/>
          <w:sz w:val="20"/>
          <w:szCs w:val="20"/>
        </w:rPr>
      </w:pPr>
    </w:p>
    <w:p w14:paraId="5637F4F3" w14:textId="623068AB" w:rsidR="00FC75A8" w:rsidRDefault="00000000" w:rsidP="00697AA8">
      <w:pPr>
        <w:pStyle w:val="PIREDD2"/>
        <w:numPr>
          <w:ilvl w:val="1"/>
          <w:numId w:val="46"/>
        </w:numPr>
      </w:pPr>
      <w:bookmarkStart w:id="24" w:name="_Toc191317689"/>
      <w:r>
        <w:t>Révisions budgétaires</w:t>
      </w:r>
      <w:bookmarkEnd w:id="24"/>
      <w:r>
        <w:t xml:space="preserve"> </w:t>
      </w:r>
    </w:p>
    <w:p w14:paraId="408DEC10" w14:textId="77777777" w:rsidR="00421DDE" w:rsidRPr="00DB6E6D" w:rsidRDefault="00421DDE" w:rsidP="00421DDE">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sz w:val="20"/>
          <w:szCs w:val="20"/>
          <w:lang w:val="fr-FR"/>
        </w:rPr>
      </w:pPr>
      <w:r w:rsidRPr="00DB6E6D">
        <w:rPr>
          <w:rFonts w:ascii="Avenir" w:eastAsia="Avenir" w:hAnsi="Avenir" w:cs="Avenir"/>
          <w:sz w:val="20"/>
          <w:szCs w:val="20"/>
        </w:rPr>
        <w:t xml:space="preserve">Le budget du projet a été objet de révision budgétaire et une demande d’approbation a été transmise au FONAREDD à propos. </w:t>
      </w:r>
      <w:r w:rsidRPr="00DB6E6D">
        <w:rPr>
          <w:rFonts w:ascii="Avenir" w:eastAsia="Avenir" w:hAnsi="Avenir" w:cs="Avenir"/>
          <w:sz w:val="20"/>
          <w:szCs w:val="20"/>
          <w:lang w:val="fr-FR"/>
        </w:rPr>
        <w:t>Cette demande de modification budgétaire est la résultante de :</w:t>
      </w:r>
    </w:p>
    <w:p w14:paraId="4618A3B9" w14:textId="01DCAD66" w:rsidR="00697AA8" w:rsidRDefault="00421DDE" w:rsidP="00697AA8">
      <w:pPr>
        <w:pStyle w:val="Paragraphedeliste"/>
        <w:numPr>
          <w:ilvl w:val="1"/>
          <w:numId w:val="6"/>
        </w:numPr>
        <w:pBdr>
          <w:top w:val="nil"/>
          <w:left w:val="nil"/>
          <w:bottom w:val="nil"/>
          <w:right w:val="nil"/>
          <w:between w:val="nil"/>
        </w:pBdr>
        <w:spacing w:after="0" w:line="259" w:lineRule="auto"/>
        <w:ind w:right="0"/>
        <w:rPr>
          <w:rFonts w:ascii="Avenir" w:eastAsia="Avenir" w:hAnsi="Avenir" w:cs="Avenir"/>
          <w:sz w:val="20"/>
          <w:szCs w:val="20"/>
          <w:lang w:val="fr-FR"/>
        </w:rPr>
      </w:pPr>
      <w:r w:rsidRPr="00DB6E6D">
        <w:rPr>
          <w:rFonts w:ascii="Avenir" w:eastAsia="Avenir" w:hAnsi="Avenir" w:cs="Avenir"/>
          <w:sz w:val="20"/>
          <w:szCs w:val="20"/>
          <w:lang w:val="fr-FR"/>
        </w:rPr>
        <w:t xml:space="preserve">La préparation du PTBA après validation du projet qui a permis de déceler et corriger </w:t>
      </w:r>
      <w:r w:rsidR="00697AA8">
        <w:rPr>
          <w:rFonts w:ascii="Avenir" w:eastAsia="Avenir" w:hAnsi="Avenir" w:cs="Avenir"/>
          <w:sz w:val="20"/>
          <w:szCs w:val="20"/>
          <w:lang w:val="fr-FR"/>
        </w:rPr>
        <w:t xml:space="preserve">(i) </w:t>
      </w:r>
      <w:r w:rsidRPr="00DB6E6D">
        <w:rPr>
          <w:rFonts w:ascii="Avenir" w:eastAsia="Avenir" w:hAnsi="Avenir" w:cs="Avenir"/>
          <w:sz w:val="20"/>
          <w:szCs w:val="20"/>
          <w:lang w:val="fr-FR"/>
        </w:rPr>
        <w:t xml:space="preserve">certaines erreurs </w:t>
      </w:r>
      <w:r w:rsidR="00697AA8">
        <w:rPr>
          <w:rFonts w:ascii="Avenir" w:eastAsia="Avenir" w:hAnsi="Avenir" w:cs="Avenir"/>
          <w:sz w:val="20"/>
          <w:szCs w:val="20"/>
          <w:lang w:val="fr-FR"/>
        </w:rPr>
        <w:t xml:space="preserve">d’imputation par catégorie UNDG </w:t>
      </w:r>
      <w:r w:rsidRPr="00DB6E6D">
        <w:rPr>
          <w:rFonts w:ascii="Avenir" w:eastAsia="Avenir" w:hAnsi="Avenir" w:cs="Avenir"/>
          <w:sz w:val="20"/>
          <w:szCs w:val="20"/>
          <w:lang w:val="fr-FR"/>
        </w:rPr>
        <w:t xml:space="preserve">et </w:t>
      </w:r>
      <w:r w:rsidR="00697AA8">
        <w:rPr>
          <w:rFonts w:ascii="Avenir" w:eastAsia="Avenir" w:hAnsi="Avenir" w:cs="Avenir"/>
          <w:sz w:val="20"/>
          <w:szCs w:val="20"/>
          <w:lang w:val="fr-FR"/>
        </w:rPr>
        <w:t xml:space="preserve">(ii) </w:t>
      </w:r>
      <w:r w:rsidRPr="00DB6E6D">
        <w:rPr>
          <w:rFonts w:ascii="Avenir" w:eastAsia="Avenir" w:hAnsi="Avenir" w:cs="Avenir"/>
          <w:sz w:val="20"/>
          <w:szCs w:val="20"/>
          <w:lang w:val="fr-FR"/>
        </w:rPr>
        <w:t>de relever l’omission de certains moyens matériels indispensables à la mise en œuvre de l’action ;</w:t>
      </w:r>
    </w:p>
    <w:p w14:paraId="3F889243" w14:textId="099F7A04" w:rsidR="00421DDE" w:rsidRPr="00697AA8" w:rsidRDefault="00421DDE" w:rsidP="00697AA8">
      <w:pPr>
        <w:pStyle w:val="Paragraphedeliste"/>
        <w:numPr>
          <w:ilvl w:val="1"/>
          <w:numId w:val="6"/>
        </w:numPr>
        <w:pBdr>
          <w:top w:val="nil"/>
          <w:left w:val="nil"/>
          <w:bottom w:val="nil"/>
          <w:right w:val="nil"/>
          <w:between w:val="nil"/>
        </w:pBdr>
        <w:spacing w:after="0" w:line="259" w:lineRule="auto"/>
        <w:ind w:right="0"/>
        <w:rPr>
          <w:rFonts w:ascii="Avenir" w:eastAsia="Avenir" w:hAnsi="Avenir" w:cs="Avenir"/>
          <w:sz w:val="20"/>
          <w:szCs w:val="20"/>
          <w:lang w:val="fr-FR"/>
        </w:rPr>
      </w:pPr>
      <w:r w:rsidRPr="00697AA8">
        <w:rPr>
          <w:rFonts w:ascii="Avenir" w:eastAsia="Avenir" w:hAnsi="Avenir" w:cs="Avenir"/>
          <w:sz w:val="20"/>
          <w:szCs w:val="20"/>
          <w:lang w:val="fr-FR"/>
        </w:rPr>
        <w:t>L’optimisation de la structure RH à travers un choix orienté vers des RH dédiées plutôt que mutualisées.</w:t>
      </w:r>
    </w:p>
    <w:p w14:paraId="755FDA2C" w14:textId="3DF5DA93" w:rsidR="00421DDE" w:rsidRPr="00DB6E6D" w:rsidRDefault="00421DDE" w:rsidP="007B5DFF">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sz w:val="20"/>
          <w:szCs w:val="20"/>
          <w:lang w:val="fr-FR"/>
        </w:rPr>
      </w:pPr>
      <w:r w:rsidRPr="00DB6E6D">
        <w:rPr>
          <w:rFonts w:ascii="Avenir" w:eastAsia="Avenir" w:hAnsi="Avenir" w:cs="Avenir"/>
          <w:sz w:val="20"/>
          <w:szCs w:val="20"/>
          <w:lang w:val="fr-FR"/>
        </w:rPr>
        <w:t>Cette résultante permettrait le financement de moyens roulants indispensables</w:t>
      </w:r>
      <w:r w:rsidR="00697AA8">
        <w:rPr>
          <w:rFonts w:ascii="Avenir" w:eastAsia="Avenir" w:hAnsi="Avenir" w:cs="Avenir"/>
          <w:sz w:val="20"/>
          <w:szCs w:val="20"/>
          <w:lang w:val="fr-FR"/>
        </w:rPr>
        <w:t>,</w:t>
      </w:r>
      <w:r w:rsidRPr="00DB6E6D">
        <w:rPr>
          <w:rFonts w:ascii="Avenir" w:eastAsia="Avenir" w:hAnsi="Avenir" w:cs="Avenir"/>
          <w:sz w:val="20"/>
          <w:szCs w:val="20"/>
          <w:lang w:val="fr-FR"/>
        </w:rPr>
        <w:t xml:space="preserve"> par économie sur les RH</w:t>
      </w:r>
      <w:r w:rsidR="00697AA8">
        <w:rPr>
          <w:rFonts w:ascii="Avenir" w:eastAsia="Avenir" w:hAnsi="Avenir" w:cs="Avenir"/>
          <w:sz w:val="20"/>
          <w:szCs w:val="20"/>
          <w:lang w:val="fr-FR"/>
        </w:rPr>
        <w:t>,</w:t>
      </w:r>
      <w:r w:rsidRPr="00DB6E6D">
        <w:rPr>
          <w:rFonts w:ascii="Avenir" w:eastAsia="Avenir" w:hAnsi="Avenir" w:cs="Avenir"/>
          <w:sz w:val="20"/>
          <w:szCs w:val="20"/>
          <w:lang w:val="fr-FR"/>
        </w:rPr>
        <w:t xml:space="preserve"> sans changement, ni modification des cibles </w:t>
      </w:r>
      <w:r w:rsidR="00697AA8">
        <w:rPr>
          <w:rFonts w:ascii="Avenir" w:eastAsia="Avenir" w:hAnsi="Avenir" w:cs="Avenir"/>
          <w:sz w:val="20"/>
          <w:szCs w:val="20"/>
          <w:lang w:val="fr-FR"/>
        </w:rPr>
        <w:t xml:space="preserve">et </w:t>
      </w:r>
      <w:r w:rsidRPr="00DB6E6D">
        <w:rPr>
          <w:rFonts w:ascii="Avenir" w:eastAsia="Avenir" w:hAnsi="Avenir" w:cs="Avenir"/>
          <w:sz w:val="20"/>
          <w:szCs w:val="20"/>
          <w:lang w:val="fr-FR"/>
        </w:rPr>
        <w:t xml:space="preserve">budget </w:t>
      </w:r>
      <w:r w:rsidR="00697AA8">
        <w:rPr>
          <w:rFonts w:ascii="Avenir" w:eastAsia="Avenir" w:hAnsi="Avenir" w:cs="Avenir"/>
          <w:sz w:val="20"/>
          <w:szCs w:val="20"/>
          <w:lang w:val="fr-FR"/>
        </w:rPr>
        <w:t>d’</w:t>
      </w:r>
      <w:r w:rsidRPr="00DB6E6D">
        <w:rPr>
          <w:rFonts w:ascii="Avenir" w:eastAsia="Avenir" w:hAnsi="Avenir" w:cs="Avenir"/>
          <w:sz w:val="20"/>
          <w:szCs w:val="20"/>
          <w:lang w:val="fr-FR"/>
        </w:rPr>
        <w:t>activités.</w:t>
      </w:r>
      <w:r w:rsidR="00697AA8">
        <w:rPr>
          <w:rFonts w:ascii="Avenir" w:eastAsia="Avenir" w:hAnsi="Avenir" w:cs="Avenir"/>
          <w:sz w:val="20"/>
          <w:szCs w:val="20"/>
          <w:lang w:val="fr-FR"/>
        </w:rPr>
        <w:t xml:space="preserve"> </w:t>
      </w:r>
    </w:p>
    <w:p w14:paraId="7941AEE9" w14:textId="77777777" w:rsidR="00421DDE" w:rsidRPr="00DB6E6D" w:rsidRDefault="00421DDE" w:rsidP="007B5DFF">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sz w:val="20"/>
          <w:szCs w:val="20"/>
          <w:lang w:val="fr-FR"/>
        </w:rPr>
      </w:pPr>
      <w:r w:rsidRPr="00DB6E6D">
        <w:rPr>
          <w:rFonts w:ascii="Avenir" w:eastAsia="Avenir" w:hAnsi="Avenir" w:cs="Avenir"/>
          <w:sz w:val="20"/>
          <w:szCs w:val="20"/>
          <w:lang w:val="fr-FR"/>
        </w:rPr>
        <w:t>Les propositions de modification sont faites à l’issue de l’optimisation de la structure RH et de la correction de certaines erreurs décelées au niveau de l’imputation des lignes UNDG.</w:t>
      </w:r>
    </w:p>
    <w:p w14:paraId="67E01442" w14:textId="77777777" w:rsidR="00421DDE" w:rsidRPr="00DB6E6D" w:rsidRDefault="00421DDE" w:rsidP="007B5DFF">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sz w:val="20"/>
          <w:szCs w:val="20"/>
          <w:lang w:val="fr-FR"/>
        </w:rPr>
      </w:pPr>
      <w:r w:rsidRPr="00DB6E6D">
        <w:rPr>
          <w:rFonts w:ascii="Avenir" w:eastAsia="Avenir" w:hAnsi="Avenir" w:cs="Avenir"/>
          <w:sz w:val="20"/>
          <w:szCs w:val="20"/>
          <w:lang w:val="fr-FR"/>
        </w:rPr>
        <w:t xml:space="preserve">Les modifications au niveau des lignes UNDG se présentent comme suit : </w:t>
      </w:r>
    </w:p>
    <w:p w14:paraId="38720B41" w14:textId="77777777" w:rsidR="00697AA8" w:rsidRDefault="00421DDE" w:rsidP="00697AA8">
      <w:pPr>
        <w:pStyle w:val="Paragraphedeliste"/>
        <w:numPr>
          <w:ilvl w:val="0"/>
          <w:numId w:val="47"/>
        </w:numPr>
        <w:pBdr>
          <w:top w:val="nil"/>
          <w:left w:val="nil"/>
          <w:bottom w:val="nil"/>
          <w:right w:val="nil"/>
          <w:between w:val="nil"/>
        </w:pBdr>
        <w:spacing w:after="0" w:line="259" w:lineRule="auto"/>
        <w:ind w:right="0"/>
        <w:rPr>
          <w:rFonts w:ascii="Avenir" w:eastAsia="Avenir" w:hAnsi="Avenir" w:cs="Avenir"/>
          <w:sz w:val="20"/>
          <w:szCs w:val="20"/>
          <w:lang w:val="fr-FR"/>
        </w:rPr>
      </w:pPr>
      <w:r w:rsidRPr="00697AA8">
        <w:rPr>
          <w:rFonts w:ascii="Avenir" w:eastAsia="Avenir" w:hAnsi="Avenir" w:cs="Avenir"/>
          <w:sz w:val="20"/>
          <w:szCs w:val="20"/>
          <w:lang w:val="fr-FR"/>
        </w:rPr>
        <w:t xml:space="preserve">Diminution du budget de la ligne 1. Personnel de -157 500 USD </w:t>
      </w:r>
      <w:proofErr w:type="gramStart"/>
      <w:r w:rsidRPr="00697AA8">
        <w:rPr>
          <w:rFonts w:ascii="Avenir" w:eastAsia="Avenir" w:hAnsi="Avenir" w:cs="Avenir"/>
          <w:sz w:val="20"/>
          <w:szCs w:val="20"/>
          <w:lang w:val="fr-FR"/>
        </w:rPr>
        <w:t>suite à</w:t>
      </w:r>
      <w:proofErr w:type="gramEnd"/>
      <w:r w:rsidRPr="00697AA8">
        <w:rPr>
          <w:rFonts w:ascii="Avenir" w:eastAsia="Avenir" w:hAnsi="Avenir" w:cs="Avenir"/>
          <w:sz w:val="20"/>
          <w:szCs w:val="20"/>
          <w:lang w:val="fr-FR"/>
        </w:rPr>
        <w:t xml:space="preserve"> l’optimisation de la structure RH.</w:t>
      </w:r>
    </w:p>
    <w:p w14:paraId="5FF29BDA" w14:textId="77777777" w:rsidR="00697AA8" w:rsidRDefault="00421DDE" w:rsidP="00697AA8">
      <w:pPr>
        <w:pStyle w:val="Paragraphedeliste"/>
        <w:numPr>
          <w:ilvl w:val="0"/>
          <w:numId w:val="47"/>
        </w:numPr>
        <w:pBdr>
          <w:top w:val="nil"/>
          <w:left w:val="nil"/>
          <w:bottom w:val="nil"/>
          <w:right w:val="nil"/>
          <w:between w:val="nil"/>
        </w:pBdr>
        <w:spacing w:after="0" w:line="259" w:lineRule="auto"/>
        <w:ind w:right="0"/>
        <w:rPr>
          <w:rFonts w:ascii="Avenir" w:eastAsia="Avenir" w:hAnsi="Avenir" w:cs="Avenir"/>
          <w:sz w:val="20"/>
          <w:szCs w:val="20"/>
          <w:lang w:val="fr-FR"/>
        </w:rPr>
      </w:pPr>
      <w:r w:rsidRPr="00697AA8">
        <w:rPr>
          <w:rFonts w:ascii="Avenir" w:eastAsia="Avenir" w:hAnsi="Avenir" w:cs="Avenir"/>
          <w:sz w:val="20"/>
          <w:szCs w:val="20"/>
          <w:lang w:val="fr-FR"/>
        </w:rPr>
        <w:t>Augmentation du budget de la ligne 3. Equipements, véhicules et mobilier (y compris l'amortissement) de 157 500 USD pour acquisition de véhicules et motos nécessaires à la mise en œuvre de l‘action.</w:t>
      </w:r>
    </w:p>
    <w:p w14:paraId="51DA4809" w14:textId="77777777" w:rsidR="00697AA8" w:rsidRDefault="00421DDE" w:rsidP="00697AA8">
      <w:pPr>
        <w:pStyle w:val="Paragraphedeliste"/>
        <w:numPr>
          <w:ilvl w:val="0"/>
          <w:numId w:val="47"/>
        </w:numPr>
        <w:pBdr>
          <w:top w:val="nil"/>
          <w:left w:val="nil"/>
          <w:bottom w:val="nil"/>
          <w:right w:val="nil"/>
          <w:between w:val="nil"/>
        </w:pBdr>
        <w:spacing w:after="0" w:line="259" w:lineRule="auto"/>
        <w:ind w:right="0"/>
        <w:rPr>
          <w:rFonts w:ascii="Avenir" w:eastAsia="Avenir" w:hAnsi="Avenir" w:cs="Avenir"/>
          <w:sz w:val="20"/>
          <w:szCs w:val="20"/>
          <w:lang w:val="fr-FR"/>
        </w:rPr>
      </w:pPr>
      <w:r w:rsidRPr="00697AA8">
        <w:rPr>
          <w:rFonts w:ascii="Avenir" w:eastAsia="Avenir" w:hAnsi="Avenir" w:cs="Avenir"/>
          <w:sz w:val="20"/>
          <w:szCs w:val="20"/>
          <w:lang w:val="fr-FR"/>
        </w:rPr>
        <w:t xml:space="preserve">Diminution du budget de la ligne 3. Equipements, véhicules et mobilier (y compris l'amortissement) de -615 837 USD </w:t>
      </w:r>
      <w:proofErr w:type="gramStart"/>
      <w:r w:rsidRPr="00697AA8">
        <w:rPr>
          <w:rFonts w:ascii="Avenir" w:eastAsia="Avenir" w:hAnsi="Avenir" w:cs="Avenir"/>
          <w:sz w:val="20"/>
          <w:szCs w:val="20"/>
          <w:lang w:val="fr-FR"/>
        </w:rPr>
        <w:t>suite au</w:t>
      </w:r>
      <w:proofErr w:type="gramEnd"/>
      <w:r w:rsidRPr="00697AA8">
        <w:rPr>
          <w:rFonts w:ascii="Avenir" w:eastAsia="Avenir" w:hAnsi="Avenir" w:cs="Avenir"/>
          <w:sz w:val="20"/>
          <w:szCs w:val="20"/>
          <w:lang w:val="fr-FR"/>
        </w:rPr>
        <w:t xml:space="preserve"> changement de catégorie (réaffectation aux lignes des catégories appropriées suite à la correction d’erreur d’imputation dans le budget initial).</w:t>
      </w:r>
    </w:p>
    <w:p w14:paraId="633190AA" w14:textId="77777777" w:rsidR="00697AA8" w:rsidRDefault="00421DDE" w:rsidP="00697AA8">
      <w:pPr>
        <w:pStyle w:val="Paragraphedeliste"/>
        <w:numPr>
          <w:ilvl w:val="0"/>
          <w:numId w:val="47"/>
        </w:numPr>
        <w:pBdr>
          <w:top w:val="nil"/>
          <w:left w:val="nil"/>
          <w:bottom w:val="nil"/>
          <w:right w:val="nil"/>
          <w:between w:val="nil"/>
        </w:pBdr>
        <w:spacing w:after="0" w:line="259" w:lineRule="auto"/>
        <w:ind w:right="0"/>
        <w:rPr>
          <w:rFonts w:ascii="Avenir" w:eastAsia="Avenir" w:hAnsi="Avenir" w:cs="Avenir"/>
          <w:sz w:val="20"/>
          <w:szCs w:val="20"/>
          <w:lang w:val="fr-FR"/>
        </w:rPr>
      </w:pPr>
      <w:r w:rsidRPr="00697AA8">
        <w:rPr>
          <w:rFonts w:ascii="Avenir" w:eastAsia="Avenir" w:hAnsi="Avenir" w:cs="Avenir"/>
          <w:sz w:val="20"/>
          <w:szCs w:val="20"/>
          <w:lang w:val="fr-FR"/>
        </w:rPr>
        <w:lastRenderedPageBreak/>
        <w:t xml:space="preserve">Diminution du budget de la ligne 4. Services contractuels de -820 000 USD </w:t>
      </w:r>
      <w:proofErr w:type="gramStart"/>
      <w:r w:rsidRPr="00697AA8">
        <w:rPr>
          <w:rFonts w:ascii="Avenir" w:eastAsia="Avenir" w:hAnsi="Avenir" w:cs="Avenir"/>
          <w:sz w:val="20"/>
          <w:szCs w:val="20"/>
          <w:lang w:val="fr-FR"/>
        </w:rPr>
        <w:t>suite au</w:t>
      </w:r>
      <w:proofErr w:type="gramEnd"/>
      <w:r w:rsidRPr="00697AA8">
        <w:rPr>
          <w:rFonts w:ascii="Avenir" w:eastAsia="Avenir" w:hAnsi="Avenir" w:cs="Avenir"/>
          <w:sz w:val="20"/>
          <w:szCs w:val="20"/>
          <w:lang w:val="fr-FR"/>
        </w:rPr>
        <w:t xml:space="preserve"> changement de catégorie </w:t>
      </w:r>
      <w:r w:rsidR="00651BAF" w:rsidRPr="00697AA8">
        <w:rPr>
          <w:rFonts w:ascii="Avenir" w:eastAsia="Avenir" w:hAnsi="Avenir" w:cs="Avenir"/>
          <w:sz w:val="20"/>
          <w:szCs w:val="20"/>
          <w:lang w:val="fr-FR"/>
        </w:rPr>
        <w:t>(</w:t>
      </w:r>
      <w:r w:rsidRPr="00697AA8">
        <w:rPr>
          <w:rFonts w:ascii="Avenir" w:eastAsia="Avenir" w:hAnsi="Avenir" w:cs="Avenir"/>
          <w:sz w:val="20"/>
          <w:szCs w:val="20"/>
          <w:lang w:val="fr-FR"/>
        </w:rPr>
        <w:t>réaffectation aux lignes des catégories appropriées suite à la correction d’erreur d’imputation dans le budget initial).</w:t>
      </w:r>
      <w:r w:rsidR="00697AA8" w:rsidRPr="00697AA8">
        <w:rPr>
          <w:rFonts w:ascii="Avenir" w:eastAsia="Avenir" w:hAnsi="Avenir" w:cs="Avenir"/>
          <w:sz w:val="20"/>
          <w:szCs w:val="20"/>
          <w:lang w:val="fr-FR"/>
        </w:rPr>
        <w:t xml:space="preserve"> </w:t>
      </w:r>
    </w:p>
    <w:p w14:paraId="0FFCA8FD" w14:textId="20FB4923" w:rsidR="00421DDE" w:rsidRPr="00697AA8" w:rsidRDefault="00421DDE" w:rsidP="00697AA8">
      <w:pPr>
        <w:pStyle w:val="Paragraphedeliste"/>
        <w:numPr>
          <w:ilvl w:val="0"/>
          <w:numId w:val="47"/>
        </w:numPr>
        <w:pBdr>
          <w:top w:val="nil"/>
          <w:left w:val="nil"/>
          <w:bottom w:val="nil"/>
          <w:right w:val="nil"/>
          <w:between w:val="nil"/>
        </w:pBdr>
        <w:spacing w:after="0" w:line="259" w:lineRule="auto"/>
        <w:ind w:right="0"/>
        <w:rPr>
          <w:rFonts w:ascii="Avenir" w:eastAsia="Avenir" w:hAnsi="Avenir" w:cs="Avenir"/>
          <w:sz w:val="20"/>
          <w:szCs w:val="20"/>
          <w:lang w:val="fr-FR"/>
        </w:rPr>
      </w:pPr>
      <w:r w:rsidRPr="00697AA8">
        <w:rPr>
          <w:rFonts w:ascii="Avenir" w:eastAsia="Avenir" w:hAnsi="Avenir" w:cs="Avenir"/>
          <w:sz w:val="20"/>
          <w:szCs w:val="20"/>
          <w:lang w:val="fr-FR"/>
        </w:rPr>
        <w:t xml:space="preserve">Augmentation du budget de la ligne 6. Transferts et subventions aux contreparties de 1 435 837 </w:t>
      </w:r>
      <w:r w:rsidR="007B5DFF" w:rsidRPr="00697AA8">
        <w:rPr>
          <w:rFonts w:ascii="Avenir" w:eastAsia="Avenir" w:hAnsi="Avenir" w:cs="Avenir"/>
          <w:sz w:val="20"/>
          <w:szCs w:val="20"/>
          <w:lang w:val="fr-FR"/>
        </w:rPr>
        <w:t>USD</w:t>
      </w:r>
      <w:r w:rsidRPr="00697AA8">
        <w:rPr>
          <w:rFonts w:ascii="Avenir" w:eastAsia="Avenir" w:hAnsi="Avenir" w:cs="Avenir"/>
          <w:sz w:val="20"/>
          <w:szCs w:val="20"/>
          <w:lang w:val="fr-FR"/>
        </w:rPr>
        <w:t xml:space="preserve"> </w:t>
      </w:r>
      <w:proofErr w:type="gramStart"/>
      <w:r w:rsidRPr="00697AA8">
        <w:rPr>
          <w:rFonts w:ascii="Avenir" w:eastAsia="Avenir" w:hAnsi="Avenir" w:cs="Avenir"/>
          <w:sz w:val="20"/>
          <w:szCs w:val="20"/>
          <w:lang w:val="fr-FR"/>
        </w:rPr>
        <w:t>suite au</w:t>
      </w:r>
      <w:proofErr w:type="gramEnd"/>
      <w:r w:rsidRPr="00697AA8">
        <w:rPr>
          <w:rFonts w:ascii="Avenir" w:eastAsia="Avenir" w:hAnsi="Avenir" w:cs="Avenir"/>
          <w:sz w:val="20"/>
          <w:szCs w:val="20"/>
          <w:lang w:val="fr-FR"/>
        </w:rPr>
        <w:t xml:space="preserve"> changement de catégorie (réaffectation aux lignes des catégories appropriées suite à la correction d’erreur d’imputation dans le budget initial).</w:t>
      </w:r>
    </w:p>
    <w:p w14:paraId="5637F4F5" w14:textId="77777777" w:rsidR="00FC75A8" w:rsidRDefault="00FC75A8">
      <w:pPr>
        <w:spacing w:line="240" w:lineRule="auto"/>
        <w:rPr>
          <w:rFonts w:ascii="Avenir" w:eastAsia="Avenir" w:hAnsi="Avenir" w:cs="Avenir"/>
          <w:sz w:val="22"/>
          <w:szCs w:val="22"/>
        </w:rPr>
      </w:pPr>
    </w:p>
    <w:p w14:paraId="5637F4F6" w14:textId="5EC91E9E" w:rsidR="00FC75A8" w:rsidRDefault="00FE70AA" w:rsidP="00FE70AA">
      <w:pPr>
        <w:pStyle w:val="PIREDD1"/>
      </w:pPr>
      <w:bookmarkStart w:id="25" w:name="_Toc191317690"/>
      <w:r>
        <w:t>7. Suivi du projet</w:t>
      </w:r>
      <w:bookmarkEnd w:id="25"/>
    </w:p>
    <w:p w14:paraId="5637F4F7" w14:textId="09248206" w:rsidR="00FC75A8" w:rsidRDefault="00FE70AA" w:rsidP="00FE70AA">
      <w:pPr>
        <w:pStyle w:val="PIREDD2"/>
      </w:pPr>
      <w:bookmarkStart w:id="26" w:name="_Toc191317691"/>
      <w:r>
        <w:t>7.1. Révisions programmatiques (le cas échéant)</w:t>
      </w:r>
      <w:bookmarkEnd w:id="26"/>
    </w:p>
    <w:p w14:paraId="5637F4F8" w14:textId="69B8C7AF" w:rsidR="00FC75A8" w:rsidRDefault="00FC75A8">
      <w:pPr>
        <w:spacing w:after="0" w:line="240" w:lineRule="auto"/>
        <w:ind w:left="0" w:right="0" w:firstLine="0"/>
        <w:jc w:val="left"/>
        <w:rPr>
          <w:rFonts w:ascii="Avenir" w:eastAsia="Avenir" w:hAnsi="Avenir" w:cs="Avenir"/>
          <w:sz w:val="16"/>
          <w:szCs w:val="16"/>
        </w:rPr>
      </w:pPr>
    </w:p>
    <w:p w14:paraId="5637F4F9" w14:textId="6760D245" w:rsidR="00FC75A8" w:rsidRDefault="007B5DFF" w:rsidP="007B5DFF">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i/>
          <w:sz w:val="20"/>
          <w:szCs w:val="20"/>
        </w:rPr>
      </w:pPr>
      <w:r w:rsidRPr="00DB6E6D">
        <w:rPr>
          <w:rFonts w:ascii="Avenir" w:eastAsia="Avenir" w:hAnsi="Avenir" w:cs="Avenir"/>
          <w:iCs/>
          <w:color w:val="000000" w:themeColor="text1"/>
          <w:sz w:val="20"/>
          <w:szCs w:val="20"/>
        </w:rPr>
        <w:t>Aucune modification n’a été opéré</w:t>
      </w:r>
      <w:r>
        <w:rPr>
          <w:rFonts w:ascii="Avenir" w:eastAsia="Avenir" w:hAnsi="Avenir" w:cs="Avenir"/>
          <w:iCs/>
          <w:color w:val="000000" w:themeColor="text1"/>
          <w:sz w:val="20"/>
          <w:szCs w:val="20"/>
        </w:rPr>
        <w:t>e</w:t>
      </w:r>
      <w:r w:rsidRPr="00DB6E6D">
        <w:rPr>
          <w:rFonts w:ascii="Avenir" w:eastAsia="Avenir" w:hAnsi="Avenir" w:cs="Avenir"/>
          <w:iCs/>
          <w:color w:val="000000" w:themeColor="text1"/>
          <w:sz w:val="20"/>
          <w:szCs w:val="20"/>
        </w:rPr>
        <w:t xml:space="preserve"> au niveau des stratégies, objectifs ou cibles du projet.</w:t>
      </w:r>
    </w:p>
    <w:p w14:paraId="5637F4FA" w14:textId="77777777" w:rsidR="00FC75A8" w:rsidRDefault="00FC75A8">
      <w:pPr>
        <w:spacing w:line="240" w:lineRule="auto"/>
        <w:rPr>
          <w:rFonts w:ascii="Avenir" w:eastAsia="Avenir" w:hAnsi="Avenir" w:cs="Avenir"/>
          <w:sz w:val="22"/>
          <w:szCs w:val="22"/>
        </w:rPr>
      </w:pPr>
    </w:p>
    <w:p w14:paraId="5637F4FB" w14:textId="13474715" w:rsidR="00FC75A8" w:rsidRDefault="00FE70AA" w:rsidP="00FE70AA">
      <w:pPr>
        <w:pStyle w:val="PIREDD1"/>
      </w:pPr>
      <w:bookmarkStart w:id="27" w:name="_Toc191317692"/>
      <w:r>
        <w:t>8. Thèmes transversaux</w:t>
      </w:r>
      <w:bookmarkEnd w:id="27"/>
    </w:p>
    <w:p w14:paraId="5637F4FC" w14:textId="1B0DCC2F" w:rsidR="00FC75A8" w:rsidRDefault="00FE70AA" w:rsidP="00FE70AA">
      <w:pPr>
        <w:pStyle w:val="PIREDD2"/>
      </w:pPr>
      <w:bookmarkStart w:id="28" w:name="_Toc191317693"/>
      <w:r>
        <w:t>8.1. Genre</w:t>
      </w:r>
      <w:bookmarkEnd w:id="28"/>
    </w:p>
    <w:p w14:paraId="5637F4FD" w14:textId="77777777" w:rsidR="00FC75A8" w:rsidRPr="007B5DFF" w:rsidRDefault="00FC75A8">
      <w:pPr>
        <w:pBdr>
          <w:top w:val="nil"/>
          <w:left w:val="nil"/>
          <w:bottom w:val="nil"/>
          <w:right w:val="nil"/>
          <w:between w:val="nil"/>
        </w:pBdr>
        <w:spacing w:after="0" w:line="240" w:lineRule="auto"/>
        <w:rPr>
          <w:rFonts w:ascii="Avenir" w:eastAsia="Avenir" w:hAnsi="Avenir" w:cs="Avenir"/>
          <w:sz w:val="16"/>
          <w:szCs w:val="16"/>
        </w:rPr>
      </w:pPr>
    </w:p>
    <w:p w14:paraId="2234E88A" w14:textId="77777777" w:rsidR="007B5DFF" w:rsidRPr="007B5DFF" w:rsidRDefault="007B5DFF" w:rsidP="007B5DFF">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i/>
          <w:sz w:val="20"/>
          <w:szCs w:val="20"/>
        </w:rPr>
      </w:pPr>
      <w:r w:rsidRPr="007B5DFF">
        <w:rPr>
          <w:rFonts w:ascii="Avenir" w:eastAsia="Avenir" w:hAnsi="Avenir" w:cs="Avenir"/>
          <w:sz w:val="20"/>
          <w:szCs w:val="20"/>
        </w:rPr>
        <w:t>Même si les actions n’ont pas encore démarré sur le terrain, l’aspect genre est partie intégrante de l’intervention. Des études spécifiques genres visant à bien cerner la dimension genre dans les zones d’intervention du projet (inégalités existantes, etc.) et à identifier les opportunités d’actions concrètes sont prévues à la première année de l’intervention. L’étude de base du projet paiera une attention particulière à la dimension genre de sorte à bien établir la situation de référence contre laquelle, les progrès en lien avec cette dimension seront mesurés tout au long de l’intervention à travers les activités de suivi évaluation. Par ailleurs toutes les études préalables, la mise en place des cadres de gouvernance locaux, du plan de communication, des plans d’aménagement territoriaux, des plans de gestion des ressources naturelles, le soutien aux initiatives d’entreprenariat, intégreront une dimension genre qui feront l’objet de suivi rigoureux.</w:t>
      </w:r>
    </w:p>
    <w:p w14:paraId="5637F4FE" w14:textId="6114AA65" w:rsidR="00FC75A8" w:rsidRPr="007B5DFF" w:rsidRDefault="007B5DFF" w:rsidP="007B5DFF">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i/>
          <w:sz w:val="20"/>
          <w:szCs w:val="20"/>
        </w:rPr>
      </w:pPr>
      <w:r w:rsidRPr="007B5DFF">
        <w:rPr>
          <w:rFonts w:ascii="Avenir" w:eastAsia="Avenir" w:hAnsi="Avenir" w:cs="Avenir"/>
          <w:sz w:val="20"/>
          <w:szCs w:val="20"/>
        </w:rPr>
        <w:t xml:space="preserve">Cette dimension genre dans l’intervention s’adossera, au niveau institutionnel, sur la stratégie genre de </w:t>
      </w:r>
      <w:r w:rsidRPr="007B5DFF">
        <w:rPr>
          <w:rFonts w:ascii="Avenir" w:eastAsia="Avenir" w:hAnsi="Avenir" w:cs="Avenir"/>
          <w:sz w:val="20"/>
        </w:rPr>
        <w:t>Enabel approuvée en 2019 et qui engage l’institution à poursuivre la réalisation de l'égalité des sexes et à "ne laisser personne de côté"</w:t>
      </w:r>
      <w:r w:rsidR="00651BAF">
        <w:rPr>
          <w:rFonts w:ascii="Avenir" w:eastAsia="Avenir" w:hAnsi="Avenir" w:cs="Avenir"/>
          <w:sz w:val="20"/>
        </w:rPr>
        <w:t>.</w:t>
      </w:r>
    </w:p>
    <w:p w14:paraId="5637F4FF" w14:textId="77777777" w:rsidR="00FC75A8" w:rsidRDefault="00FC75A8">
      <w:pPr>
        <w:tabs>
          <w:tab w:val="left" w:pos="5220"/>
        </w:tabs>
        <w:rPr>
          <w:rFonts w:ascii="Avenir" w:eastAsia="Avenir" w:hAnsi="Avenir" w:cs="Avenir"/>
          <w:i/>
          <w:sz w:val="20"/>
          <w:szCs w:val="20"/>
        </w:rPr>
      </w:pPr>
    </w:p>
    <w:p w14:paraId="5637F500" w14:textId="77777777" w:rsidR="00FC75A8" w:rsidRDefault="00000000">
      <w:pPr>
        <w:spacing w:line="240" w:lineRule="auto"/>
        <w:rPr>
          <w:rFonts w:ascii="Avenir" w:eastAsia="Avenir" w:hAnsi="Avenir" w:cs="Avenir"/>
          <w:sz w:val="22"/>
          <w:szCs w:val="22"/>
        </w:rPr>
      </w:pPr>
      <w:r>
        <w:rPr>
          <w:rFonts w:ascii="Avenir" w:eastAsia="Avenir" w:hAnsi="Avenir" w:cs="Avenir"/>
          <w:sz w:val="22"/>
          <w:szCs w:val="22"/>
        </w:rPr>
        <w:t>Tableau 12 - Suivi des aspects Genre</w:t>
      </w:r>
    </w:p>
    <w:p w14:paraId="5637F501" w14:textId="77777777" w:rsidR="00FC75A8" w:rsidRDefault="00FC75A8">
      <w:pPr>
        <w:spacing w:line="240" w:lineRule="auto"/>
        <w:rPr>
          <w:rFonts w:ascii="Avenir" w:eastAsia="Avenir" w:hAnsi="Avenir" w:cs="Avenir"/>
          <w:sz w:val="16"/>
          <w:szCs w:val="16"/>
        </w:rPr>
      </w:pPr>
    </w:p>
    <w:tbl>
      <w:tblPr>
        <w:tblStyle w:val="a9"/>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68"/>
        <w:gridCol w:w="1701"/>
        <w:gridCol w:w="1404"/>
        <w:gridCol w:w="1573"/>
      </w:tblGrid>
      <w:tr w:rsidR="00FC75A8" w14:paraId="5637F507" w14:textId="77777777">
        <w:trPr>
          <w:jc w:val="center"/>
        </w:trPr>
        <w:tc>
          <w:tcPr>
            <w:tcW w:w="2405" w:type="dxa"/>
            <w:shd w:val="clear" w:color="auto" w:fill="B4C6E7"/>
          </w:tcPr>
          <w:p w14:paraId="5637F502" w14:textId="77777777" w:rsidR="00FC75A8" w:rsidRDefault="00000000">
            <w:pPr>
              <w:ind w:left="0" w:firstLine="0"/>
              <w:rPr>
                <w:rFonts w:ascii="Avenir" w:eastAsia="Avenir" w:hAnsi="Avenir" w:cs="Avenir"/>
                <w:b/>
                <w:sz w:val="16"/>
                <w:szCs w:val="16"/>
              </w:rPr>
            </w:pPr>
            <w:r>
              <w:rPr>
                <w:rFonts w:ascii="Avenir" w:eastAsia="Avenir" w:hAnsi="Avenir" w:cs="Avenir"/>
                <w:b/>
                <w:sz w:val="16"/>
                <w:szCs w:val="16"/>
              </w:rPr>
              <w:t>Critère</w:t>
            </w:r>
          </w:p>
        </w:tc>
        <w:tc>
          <w:tcPr>
            <w:tcW w:w="2268" w:type="dxa"/>
            <w:shd w:val="clear" w:color="auto" w:fill="B4C6E7"/>
          </w:tcPr>
          <w:p w14:paraId="5637F503" w14:textId="77777777" w:rsidR="00FC75A8" w:rsidRDefault="00000000">
            <w:pPr>
              <w:ind w:left="0" w:firstLine="0"/>
              <w:rPr>
                <w:rFonts w:ascii="Avenir" w:eastAsia="Avenir" w:hAnsi="Avenir" w:cs="Avenir"/>
                <w:b/>
                <w:sz w:val="16"/>
                <w:szCs w:val="16"/>
              </w:rPr>
            </w:pPr>
            <w:r>
              <w:rPr>
                <w:rFonts w:ascii="Avenir" w:eastAsia="Avenir" w:hAnsi="Avenir" w:cs="Avenir"/>
                <w:b/>
                <w:sz w:val="16"/>
                <w:szCs w:val="16"/>
              </w:rPr>
              <w:t>Actions prises pour intégrer l’aspect genre</w:t>
            </w:r>
          </w:p>
        </w:tc>
        <w:tc>
          <w:tcPr>
            <w:tcW w:w="1701" w:type="dxa"/>
            <w:shd w:val="clear" w:color="auto" w:fill="B4C6E7"/>
          </w:tcPr>
          <w:p w14:paraId="5637F504" w14:textId="77777777" w:rsidR="00FC75A8" w:rsidRDefault="00000000">
            <w:pPr>
              <w:ind w:left="0" w:firstLine="0"/>
              <w:rPr>
                <w:rFonts w:ascii="Avenir" w:eastAsia="Avenir" w:hAnsi="Avenir" w:cs="Avenir"/>
                <w:b/>
                <w:sz w:val="16"/>
                <w:szCs w:val="16"/>
              </w:rPr>
            </w:pPr>
            <w:r>
              <w:rPr>
                <w:rFonts w:ascii="Avenir" w:eastAsia="Avenir" w:hAnsi="Avenir" w:cs="Avenir"/>
                <w:b/>
                <w:sz w:val="16"/>
                <w:szCs w:val="16"/>
              </w:rPr>
              <w:t>Résultats</w:t>
            </w:r>
          </w:p>
        </w:tc>
        <w:tc>
          <w:tcPr>
            <w:tcW w:w="1404" w:type="dxa"/>
            <w:shd w:val="clear" w:color="auto" w:fill="B4C6E7"/>
          </w:tcPr>
          <w:p w14:paraId="5637F505" w14:textId="77777777" w:rsidR="00FC75A8" w:rsidRDefault="00000000">
            <w:pPr>
              <w:ind w:left="0" w:firstLine="0"/>
              <w:rPr>
                <w:rFonts w:ascii="Avenir" w:eastAsia="Avenir" w:hAnsi="Avenir" w:cs="Avenir"/>
                <w:b/>
                <w:sz w:val="16"/>
                <w:szCs w:val="16"/>
              </w:rPr>
            </w:pPr>
            <w:r>
              <w:rPr>
                <w:rFonts w:ascii="Avenir" w:eastAsia="Avenir" w:hAnsi="Avenir" w:cs="Avenir"/>
                <w:b/>
                <w:sz w:val="16"/>
                <w:szCs w:val="16"/>
              </w:rPr>
              <w:t>Coût en USD</w:t>
            </w:r>
          </w:p>
        </w:tc>
        <w:tc>
          <w:tcPr>
            <w:tcW w:w="1573" w:type="dxa"/>
            <w:shd w:val="clear" w:color="auto" w:fill="B4C6E7"/>
          </w:tcPr>
          <w:p w14:paraId="5637F506" w14:textId="77777777" w:rsidR="00FC75A8" w:rsidRDefault="00000000">
            <w:pPr>
              <w:ind w:left="0" w:firstLine="0"/>
              <w:rPr>
                <w:rFonts w:ascii="Avenir" w:eastAsia="Avenir" w:hAnsi="Avenir" w:cs="Avenir"/>
                <w:b/>
                <w:sz w:val="16"/>
                <w:szCs w:val="16"/>
              </w:rPr>
            </w:pPr>
            <w:r>
              <w:rPr>
                <w:rFonts w:ascii="Avenir" w:eastAsia="Avenir" w:hAnsi="Avenir" w:cs="Avenir"/>
                <w:b/>
                <w:sz w:val="16"/>
                <w:szCs w:val="16"/>
              </w:rPr>
              <w:t>Défis affrontés</w:t>
            </w:r>
          </w:p>
        </w:tc>
      </w:tr>
      <w:tr w:rsidR="00FC75A8" w14:paraId="5637F50D" w14:textId="77777777">
        <w:trPr>
          <w:jc w:val="center"/>
        </w:trPr>
        <w:tc>
          <w:tcPr>
            <w:tcW w:w="2405" w:type="dxa"/>
          </w:tcPr>
          <w:p w14:paraId="5637F508" w14:textId="77777777" w:rsidR="00FC75A8" w:rsidRDefault="00000000">
            <w:pPr>
              <w:ind w:left="0" w:firstLine="0"/>
              <w:rPr>
                <w:rFonts w:ascii="Avenir" w:eastAsia="Avenir" w:hAnsi="Avenir" w:cs="Avenir"/>
                <w:sz w:val="16"/>
                <w:szCs w:val="16"/>
              </w:rPr>
            </w:pPr>
            <w:r>
              <w:rPr>
                <w:rFonts w:ascii="Avenir" w:eastAsia="Avenir" w:hAnsi="Avenir" w:cs="Avenir"/>
                <w:sz w:val="16"/>
                <w:szCs w:val="16"/>
              </w:rPr>
              <w:t>Mise en œuvre/Activités</w:t>
            </w:r>
          </w:p>
        </w:tc>
        <w:tc>
          <w:tcPr>
            <w:tcW w:w="2268" w:type="dxa"/>
          </w:tcPr>
          <w:p w14:paraId="5637F509" w14:textId="77777777" w:rsidR="00FC75A8" w:rsidRDefault="00FC75A8">
            <w:pPr>
              <w:ind w:left="0" w:firstLine="0"/>
              <w:rPr>
                <w:rFonts w:ascii="Avenir" w:eastAsia="Avenir" w:hAnsi="Avenir" w:cs="Avenir"/>
                <w:sz w:val="16"/>
                <w:szCs w:val="16"/>
              </w:rPr>
            </w:pPr>
          </w:p>
        </w:tc>
        <w:tc>
          <w:tcPr>
            <w:tcW w:w="1701" w:type="dxa"/>
          </w:tcPr>
          <w:p w14:paraId="5637F50A" w14:textId="77777777" w:rsidR="00FC75A8" w:rsidRDefault="00FC75A8">
            <w:pPr>
              <w:ind w:left="0" w:firstLine="0"/>
              <w:rPr>
                <w:rFonts w:ascii="Avenir" w:eastAsia="Avenir" w:hAnsi="Avenir" w:cs="Avenir"/>
                <w:sz w:val="16"/>
                <w:szCs w:val="16"/>
              </w:rPr>
            </w:pPr>
          </w:p>
        </w:tc>
        <w:tc>
          <w:tcPr>
            <w:tcW w:w="1404" w:type="dxa"/>
          </w:tcPr>
          <w:p w14:paraId="5637F50B" w14:textId="77777777" w:rsidR="00FC75A8" w:rsidRDefault="00FC75A8">
            <w:pPr>
              <w:ind w:left="0" w:firstLine="0"/>
              <w:rPr>
                <w:rFonts w:ascii="Avenir" w:eastAsia="Avenir" w:hAnsi="Avenir" w:cs="Avenir"/>
                <w:sz w:val="16"/>
                <w:szCs w:val="16"/>
              </w:rPr>
            </w:pPr>
          </w:p>
        </w:tc>
        <w:tc>
          <w:tcPr>
            <w:tcW w:w="1573" w:type="dxa"/>
          </w:tcPr>
          <w:p w14:paraId="5637F50C" w14:textId="77777777" w:rsidR="00FC75A8" w:rsidRDefault="00FC75A8">
            <w:pPr>
              <w:ind w:left="0" w:firstLine="0"/>
              <w:rPr>
                <w:rFonts w:ascii="Avenir" w:eastAsia="Avenir" w:hAnsi="Avenir" w:cs="Avenir"/>
                <w:sz w:val="16"/>
                <w:szCs w:val="16"/>
              </w:rPr>
            </w:pPr>
          </w:p>
        </w:tc>
      </w:tr>
      <w:tr w:rsidR="00FC75A8" w14:paraId="5637F513" w14:textId="77777777">
        <w:trPr>
          <w:jc w:val="center"/>
        </w:trPr>
        <w:tc>
          <w:tcPr>
            <w:tcW w:w="2405" w:type="dxa"/>
          </w:tcPr>
          <w:p w14:paraId="5637F50E" w14:textId="77777777" w:rsidR="00FC75A8" w:rsidRDefault="00000000">
            <w:pPr>
              <w:ind w:left="0" w:firstLine="0"/>
              <w:rPr>
                <w:rFonts w:ascii="Avenir" w:eastAsia="Avenir" w:hAnsi="Avenir" w:cs="Avenir"/>
                <w:sz w:val="16"/>
                <w:szCs w:val="16"/>
              </w:rPr>
            </w:pPr>
            <w:r>
              <w:rPr>
                <w:rFonts w:ascii="Avenir" w:eastAsia="Avenir" w:hAnsi="Avenir" w:cs="Avenir"/>
                <w:sz w:val="16"/>
                <w:szCs w:val="16"/>
              </w:rPr>
              <w:t>Suivi-évaluation</w:t>
            </w:r>
          </w:p>
        </w:tc>
        <w:tc>
          <w:tcPr>
            <w:tcW w:w="2268" w:type="dxa"/>
          </w:tcPr>
          <w:p w14:paraId="5637F50F" w14:textId="77777777" w:rsidR="00FC75A8" w:rsidRDefault="00FC75A8">
            <w:pPr>
              <w:ind w:left="0" w:firstLine="0"/>
              <w:rPr>
                <w:rFonts w:ascii="Avenir" w:eastAsia="Avenir" w:hAnsi="Avenir" w:cs="Avenir"/>
                <w:sz w:val="16"/>
                <w:szCs w:val="16"/>
              </w:rPr>
            </w:pPr>
          </w:p>
        </w:tc>
        <w:tc>
          <w:tcPr>
            <w:tcW w:w="1701" w:type="dxa"/>
          </w:tcPr>
          <w:p w14:paraId="5637F510" w14:textId="77777777" w:rsidR="00FC75A8" w:rsidRDefault="00FC75A8">
            <w:pPr>
              <w:ind w:left="0" w:firstLine="0"/>
              <w:rPr>
                <w:rFonts w:ascii="Avenir" w:eastAsia="Avenir" w:hAnsi="Avenir" w:cs="Avenir"/>
                <w:sz w:val="16"/>
                <w:szCs w:val="16"/>
              </w:rPr>
            </w:pPr>
          </w:p>
        </w:tc>
        <w:tc>
          <w:tcPr>
            <w:tcW w:w="1404" w:type="dxa"/>
          </w:tcPr>
          <w:p w14:paraId="5637F511" w14:textId="77777777" w:rsidR="00FC75A8" w:rsidRDefault="00FC75A8">
            <w:pPr>
              <w:ind w:left="0" w:firstLine="0"/>
              <w:rPr>
                <w:rFonts w:ascii="Avenir" w:eastAsia="Avenir" w:hAnsi="Avenir" w:cs="Avenir"/>
                <w:sz w:val="16"/>
                <w:szCs w:val="16"/>
              </w:rPr>
            </w:pPr>
          </w:p>
        </w:tc>
        <w:tc>
          <w:tcPr>
            <w:tcW w:w="1573" w:type="dxa"/>
          </w:tcPr>
          <w:p w14:paraId="5637F512" w14:textId="77777777" w:rsidR="00FC75A8" w:rsidRDefault="00FC75A8">
            <w:pPr>
              <w:ind w:left="0" w:firstLine="0"/>
              <w:rPr>
                <w:rFonts w:ascii="Avenir" w:eastAsia="Avenir" w:hAnsi="Avenir" w:cs="Avenir"/>
                <w:sz w:val="16"/>
                <w:szCs w:val="16"/>
              </w:rPr>
            </w:pPr>
          </w:p>
        </w:tc>
      </w:tr>
    </w:tbl>
    <w:p w14:paraId="5637F515" w14:textId="77777777" w:rsidR="00FC75A8" w:rsidRPr="00E52559" w:rsidRDefault="00FC75A8">
      <w:pPr>
        <w:keepNext/>
        <w:ind w:left="0" w:right="29" w:firstLine="0"/>
        <w:rPr>
          <w:rFonts w:ascii="Avenir" w:eastAsia="Avenir" w:hAnsi="Avenir" w:cs="Avenir"/>
          <w:iCs/>
          <w:sz w:val="20"/>
          <w:szCs w:val="20"/>
        </w:rPr>
      </w:pPr>
    </w:p>
    <w:p w14:paraId="6EFDBDCA" w14:textId="77777777" w:rsidR="00E52559" w:rsidRDefault="00E52559">
      <w:pPr>
        <w:keepNext/>
        <w:ind w:left="0" w:right="29" w:firstLine="0"/>
        <w:rPr>
          <w:rFonts w:ascii="Avenir" w:eastAsia="Avenir" w:hAnsi="Avenir" w:cs="Avenir"/>
          <w:iCs/>
          <w:sz w:val="20"/>
          <w:szCs w:val="20"/>
        </w:rPr>
        <w:sectPr w:rsidR="00E52559">
          <w:footerReference w:type="default" r:id="rId21"/>
          <w:pgSz w:w="11900" w:h="16840"/>
          <w:pgMar w:top="1961" w:right="1557" w:bottom="1493" w:left="1579" w:header="1020" w:footer="1115" w:gutter="0"/>
          <w:cols w:space="720"/>
          <w:titlePg/>
        </w:sectPr>
      </w:pPr>
    </w:p>
    <w:p w14:paraId="570B7A0B" w14:textId="77777777" w:rsidR="00E52559" w:rsidRPr="00E52559" w:rsidRDefault="00E52559">
      <w:pPr>
        <w:keepNext/>
        <w:ind w:left="0" w:right="29" w:firstLine="0"/>
        <w:rPr>
          <w:rFonts w:ascii="Avenir" w:eastAsia="Avenir" w:hAnsi="Avenir" w:cs="Avenir"/>
          <w:iCs/>
          <w:sz w:val="20"/>
          <w:szCs w:val="20"/>
        </w:rPr>
      </w:pPr>
    </w:p>
    <w:p w14:paraId="5637F516" w14:textId="2785BC54" w:rsidR="00FC75A8" w:rsidRDefault="00FE70AA" w:rsidP="00FE70AA">
      <w:pPr>
        <w:pStyle w:val="PIREDD1"/>
      </w:pPr>
      <w:bookmarkStart w:id="29" w:name="_Toc191317694"/>
      <w:r>
        <w:t>9. Gestion des risques</w:t>
      </w:r>
      <w:bookmarkEnd w:id="29"/>
    </w:p>
    <w:p w14:paraId="5637F517" w14:textId="77777777" w:rsidR="00FC75A8" w:rsidRDefault="00FC75A8">
      <w:pPr>
        <w:pBdr>
          <w:top w:val="nil"/>
          <w:left w:val="nil"/>
          <w:bottom w:val="nil"/>
          <w:right w:val="nil"/>
          <w:between w:val="nil"/>
        </w:pBdr>
        <w:spacing w:after="0" w:line="240" w:lineRule="auto"/>
        <w:rPr>
          <w:rFonts w:ascii="Avenir" w:eastAsia="Avenir" w:hAnsi="Avenir" w:cs="Avenir"/>
          <w:sz w:val="16"/>
          <w:szCs w:val="16"/>
        </w:rPr>
      </w:pPr>
    </w:p>
    <w:p w14:paraId="5637F518" w14:textId="77777777" w:rsidR="00FC75A8" w:rsidRDefault="00000000" w:rsidP="00FE70AA">
      <w:pPr>
        <w:pStyle w:val="PIREDD2"/>
      </w:pPr>
      <w:bookmarkStart w:id="30" w:name="_Toc191317695"/>
      <w:r>
        <w:t>9.1 Mettre à jour votre matrice de gestion des risques sur la base de l'analyse effectuée.</w:t>
      </w:r>
      <w:bookmarkEnd w:id="30"/>
    </w:p>
    <w:p w14:paraId="0F9A2957" w14:textId="77777777" w:rsidR="007B5DFF" w:rsidRPr="00DB6E6D" w:rsidRDefault="007B5DFF" w:rsidP="007B5DFF">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rPr>
      </w:pPr>
      <w:r w:rsidRPr="00DB6E6D">
        <w:rPr>
          <w:rFonts w:ascii="Avenir" w:eastAsia="Avenir" w:hAnsi="Avenir" w:cs="Avenir"/>
        </w:rPr>
        <w:t>Le tableau suivant présente le cadre de gestion de risques du projet.</w:t>
      </w:r>
    </w:p>
    <w:p w14:paraId="5637F519" w14:textId="785FD5CE" w:rsidR="00FC75A8" w:rsidRPr="007B5DFF" w:rsidRDefault="00FC75A8">
      <w:pPr>
        <w:pBdr>
          <w:top w:val="nil"/>
          <w:left w:val="nil"/>
          <w:bottom w:val="nil"/>
          <w:right w:val="nil"/>
          <w:between w:val="nil"/>
        </w:pBdr>
        <w:spacing w:after="0" w:line="240" w:lineRule="auto"/>
        <w:ind w:left="0" w:right="0" w:firstLine="0"/>
        <w:rPr>
          <w:rFonts w:ascii="Avenir" w:eastAsia="Avenir" w:hAnsi="Avenir" w:cs="Avenir"/>
          <w:iCs/>
          <w:sz w:val="20"/>
          <w:szCs w:val="20"/>
        </w:rPr>
      </w:pPr>
    </w:p>
    <w:p w14:paraId="5637F51A" w14:textId="77777777" w:rsidR="00FC75A8" w:rsidRDefault="00000000">
      <w:pPr>
        <w:spacing w:line="240" w:lineRule="auto"/>
        <w:rPr>
          <w:rFonts w:ascii="Avenir" w:eastAsia="Avenir" w:hAnsi="Avenir" w:cs="Avenir"/>
          <w:sz w:val="22"/>
          <w:szCs w:val="22"/>
        </w:rPr>
      </w:pPr>
      <w:r>
        <w:rPr>
          <w:rFonts w:ascii="Avenir" w:eastAsia="Avenir" w:hAnsi="Avenir" w:cs="Avenir"/>
          <w:sz w:val="22"/>
          <w:szCs w:val="22"/>
        </w:rPr>
        <w:t>Tableau 15 - Gestion des risques</w:t>
      </w:r>
    </w:p>
    <w:tbl>
      <w:tblPr>
        <w:tblW w:w="5000" w:type="pct"/>
        <w:jc w:val="center"/>
        <w:tblLayout w:type="fixed"/>
        <w:tblLook w:val="0400" w:firstRow="0" w:lastRow="0" w:firstColumn="0" w:lastColumn="0" w:noHBand="0" w:noVBand="1"/>
      </w:tblPr>
      <w:tblGrid>
        <w:gridCol w:w="2548"/>
        <w:gridCol w:w="1415"/>
        <w:gridCol w:w="1562"/>
        <w:gridCol w:w="1843"/>
        <w:gridCol w:w="3400"/>
        <w:gridCol w:w="1447"/>
        <w:gridCol w:w="1161"/>
      </w:tblGrid>
      <w:tr w:rsidR="00CB341C" w:rsidRPr="00CB341C" w14:paraId="5C2E7343" w14:textId="77777777" w:rsidTr="00E52559">
        <w:trPr>
          <w:trHeight w:val="300"/>
          <w:jc w:val="center"/>
        </w:trPr>
        <w:tc>
          <w:tcPr>
            <w:tcW w:w="2065" w:type="pct"/>
            <w:gridSpan w:val="3"/>
            <w:tcBorders>
              <w:top w:val="single" w:sz="4" w:space="0" w:color="000000"/>
              <w:left w:val="single" w:sz="4" w:space="0" w:color="000000"/>
              <w:bottom w:val="single" w:sz="4" w:space="0" w:color="000000"/>
              <w:right w:val="single" w:sz="4" w:space="0" w:color="000000"/>
            </w:tcBorders>
            <w:shd w:val="clear" w:color="auto" w:fill="DBE6B6"/>
            <w:vAlign w:val="bottom"/>
          </w:tcPr>
          <w:p w14:paraId="078EF99F" w14:textId="77777777" w:rsidR="00CB341C" w:rsidRPr="00CB341C" w:rsidRDefault="00CB341C" w:rsidP="00F30E80">
            <w:pPr>
              <w:jc w:val="center"/>
              <w:rPr>
                <w:rFonts w:ascii="Avenir" w:eastAsia="Avenir" w:hAnsi="Avenir" w:cs="Times New Roman"/>
                <w:b/>
                <w:color w:val="auto"/>
                <w:sz w:val="16"/>
                <w:szCs w:val="16"/>
              </w:rPr>
            </w:pPr>
            <w:r w:rsidRPr="00CB341C">
              <w:rPr>
                <w:rFonts w:ascii="Avenir" w:eastAsia="Avenir" w:hAnsi="Avenir" w:cs="Times New Roman"/>
                <w:b/>
                <w:color w:val="auto"/>
                <w:sz w:val="16"/>
                <w:szCs w:val="16"/>
              </w:rPr>
              <w:t>Identification des risques</w:t>
            </w:r>
          </w:p>
        </w:tc>
        <w:tc>
          <w:tcPr>
            <w:tcW w:w="689" w:type="pct"/>
            <w:tcBorders>
              <w:top w:val="single" w:sz="4" w:space="0" w:color="000000"/>
              <w:left w:val="nil"/>
              <w:bottom w:val="single" w:sz="4" w:space="0" w:color="000000"/>
              <w:right w:val="nil"/>
            </w:tcBorders>
            <w:shd w:val="clear" w:color="auto" w:fill="DBE6B6"/>
          </w:tcPr>
          <w:p w14:paraId="130AF041" w14:textId="77777777" w:rsidR="00CB341C" w:rsidRPr="00CB341C" w:rsidRDefault="00CB341C" w:rsidP="00F30E80">
            <w:pPr>
              <w:jc w:val="center"/>
              <w:rPr>
                <w:rFonts w:ascii="Avenir" w:eastAsia="Avenir" w:hAnsi="Avenir" w:cs="Times New Roman"/>
                <w:b/>
                <w:color w:val="auto"/>
                <w:sz w:val="16"/>
                <w:szCs w:val="16"/>
              </w:rPr>
            </w:pPr>
          </w:p>
        </w:tc>
        <w:tc>
          <w:tcPr>
            <w:tcW w:w="2246" w:type="pct"/>
            <w:gridSpan w:val="3"/>
            <w:tcBorders>
              <w:top w:val="single" w:sz="4" w:space="0" w:color="000000"/>
              <w:left w:val="nil"/>
              <w:bottom w:val="single" w:sz="4" w:space="0" w:color="000000"/>
              <w:right w:val="single" w:sz="4" w:space="0" w:color="000000"/>
            </w:tcBorders>
            <w:shd w:val="clear" w:color="auto" w:fill="DBE6B6"/>
            <w:vAlign w:val="bottom"/>
          </w:tcPr>
          <w:p w14:paraId="25AF9687" w14:textId="77777777" w:rsidR="00CB341C" w:rsidRPr="00CB341C" w:rsidRDefault="00CB341C" w:rsidP="00F30E80">
            <w:pPr>
              <w:ind w:left="0" w:firstLine="0"/>
              <w:rPr>
                <w:rFonts w:ascii="Avenir" w:eastAsia="Avenir" w:hAnsi="Avenir" w:cs="Times New Roman"/>
                <w:b/>
                <w:color w:val="auto"/>
                <w:sz w:val="16"/>
                <w:szCs w:val="16"/>
              </w:rPr>
            </w:pPr>
            <w:r w:rsidRPr="00CB341C">
              <w:rPr>
                <w:rFonts w:ascii="Avenir" w:eastAsia="Avenir" w:hAnsi="Avenir" w:cs="Times New Roman"/>
                <w:b/>
                <w:color w:val="auto"/>
                <w:sz w:val="16"/>
                <w:szCs w:val="16"/>
              </w:rPr>
              <w:t xml:space="preserve">                     Traitement du risque</w:t>
            </w:r>
          </w:p>
        </w:tc>
      </w:tr>
      <w:tr w:rsidR="00CB341C" w:rsidRPr="00CB341C" w14:paraId="411948C8" w14:textId="77777777" w:rsidTr="00E52559">
        <w:trPr>
          <w:trHeight w:val="510"/>
          <w:jc w:val="center"/>
        </w:trPr>
        <w:tc>
          <w:tcPr>
            <w:tcW w:w="952" w:type="pct"/>
            <w:tcBorders>
              <w:top w:val="nil"/>
              <w:left w:val="single" w:sz="4" w:space="0" w:color="000000"/>
              <w:bottom w:val="single" w:sz="4" w:space="0" w:color="000000"/>
              <w:right w:val="single" w:sz="4" w:space="0" w:color="000000"/>
            </w:tcBorders>
            <w:shd w:val="clear" w:color="auto" w:fill="auto"/>
            <w:vAlign w:val="center"/>
          </w:tcPr>
          <w:p w14:paraId="7D08B058" w14:textId="77777777" w:rsidR="00CB341C" w:rsidRPr="00CB341C" w:rsidRDefault="00CB341C" w:rsidP="00F30E80">
            <w:pPr>
              <w:jc w:val="center"/>
              <w:rPr>
                <w:rFonts w:ascii="Avenir" w:eastAsia="Avenir" w:hAnsi="Avenir" w:cs="Times New Roman"/>
                <w:b/>
                <w:bCs/>
                <w:color w:val="auto"/>
                <w:sz w:val="16"/>
                <w:szCs w:val="16"/>
              </w:rPr>
            </w:pPr>
            <w:r w:rsidRPr="00CB341C">
              <w:rPr>
                <w:rFonts w:ascii="Avenir" w:eastAsia="Avenir" w:hAnsi="Avenir" w:cs="Times New Roman"/>
                <w:b/>
                <w:bCs/>
                <w:color w:val="auto"/>
                <w:sz w:val="16"/>
                <w:szCs w:val="16"/>
              </w:rPr>
              <w:t>Description du risque</w:t>
            </w:r>
          </w:p>
        </w:tc>
        <w:tc>
          <w:tcPr>
            <w:tcW w:w="529" w:type="pct"/>
            <w:tcBorders>
              <w:top w:val="nil"/>
              <w:left w:val="nil"/>
              <w:bottom w:val="single" w:sz="4" w:space="0" w:color="000000"/>
              <w:right w:val="single" w:sz="4" w:space="0" w:color="000000"/>
            </w:tcBorders>
            <w:shd w:val="clear" w:color="auto" w:fill="auto"/>
            <w:vAlign w:val="center"/>
          </w:tcPr>
          <w:p w14:paraId="51622C75" w14:textId="77777777" w:rsidR="00CB341C" w:rsidRPr="00CB341C" w:rsidRDefault="00CB341C" w:rsidP="00F30E80">
            <w:pPr>
              <w:jc w:val="center"/>
              <w:rPr>
                <w:rFonts w:ascii="Avenir" w:eastAsia="Avenir" w:hAnsi="Avenir" w:cs="Times New Roman"/>
                <w:b/>
                <w:bCs/>
                <w:color w:val="auto"/>
                <w:sz w:val="16"/>
                <w:szCs w:val="16"/>
              </w:rPr>
            </w:pPr>
            <w:r w:rsidRPr="00CB341C">
              <w:rPr>
                <w:rFonts w:ascii="Avenir" w:eastAsia="Avenir" w:hAnsi="Avenir" w:cs="Times New Roman"/>
                <w:b/>
                <w:bCs/>
                <w:color w:val="auto"/>
                <w:sz w:val="16"/>
                <w:szCs w:val="16"/>
              </w:rPr>
              <w:t>Période d'identification</w:t>
            </w:r>
          </w:p>
        </w:tc>
        <w:tc>
          <w:tcPr>
            <w:tcW w:w="584" w:type="pct"/>
            <w:tcBorders>
              <w:top w:val="nil"/>
              <w:left w:val="nil"/>
              <w:bottom w:val="single" w:sz="4" w:space="0" w:color="000000"/>
              <w:right w:val="single" w:sz="4" w:space="0" w:color="000000"/>
            </w:tcBorders>
            <w:shd w:val="clear" w:color="auto" w:fill="auto"/>
            <w:vAlign w:val="center"/>
          </w:tcPr>
          <w:p w14:paraId="3E507486" w14:textId="77777777" w:rsidR="00CB341C" w:rsidRPr="00CB341C" w:rsidRDefault="00CB341C" w:rsidP="00F30E80">
            <w:pPr>
              <w:jc w:val="center"/>
              <w:rPr>
                <w:rFonts w:ascii="Avenir" w:eastAsia="Avenir" w:hAnsi="Avenir" w:cs="Times New Roman"/>
                <w:b/>
                <w:bCs/>
                <w:color w:val="auto"/>
                <w:sz w:val="16"/>
                <w:szCs w:val="16"/>
              </w:rPr>
            </w:pPr>
            <w:r w:rsidRPr="00CB341C">
              <w:rPr>
                <w:rFonts w:ascii="Avenir" w:eastAsia="Avenir" w:hAnsi="Avenir" w:cs="Times New Roman"/>
                <w:b/>
                <w:bCs/>
                <w:color w:val="auto"/>
                <w:sz w:val="16"/>
                <w:szCs w:val="16"/>
              </w:rPr>
              <w:t>Catégorie de risque</w:t>
            </w:r>
          </w:p>
        </w:tc>
        <w:tc>
          <w:tcPr>
            <w:tcW w:w="689" w:type="pct"/>
            <w:tcBorders>
              <w:top w:val="single" w:sz="4" w:space="0" w:color="000000"/>
              <w:left w:val="nil"/>
              <w:bottom w:val="single" w:sz="4" w:space="0" w:color="000000"/>
              <w:right w:val="single" w:sz="4" w:space="0" w:color="000000"/>
            </w:tcBorders>
            <w:vAlign w:val="center"/>
          </w:tcPr>
          <w:p w14:paraId="2F93015D" w14:textId="77777777" w:rsidR="00CB341C" w:rsidRPr="00CB341C" w:rsidRDefault="00CB341C" w:rsidP="00F30E80">
            <w:pPr>
              <w:jc w:val="center"/>
              <w:rPr>
                <w:rFonts w:ascii="Avenir" w:eastAsia="Avenir" w:hAnsi="Avenir" w:cs="Times New Roman"/>
                <w:b/>
                <w:bCs/>
                <w:color w:val="auto"/>
                <w:sz w:val="16"/>
                <w:szCs w:val="16"/>
              </w:rPr>
            </w:pPr>
            <w:r w:rsidRPr="00CB341C">
              <w:rPr>
                <w:rFonts w:ascii="Avenir" w:eastAsia="Avenir" w:hAnsi="Avenir" w:cs="Times New Roman"/>
                <w:b/>
                <w:bCs/>
                <w:color w:val="auto"/>
                <w:sz w:val="16"/>
                <w:szCs w:val="16"/>
              </w:rPr>
              <w:t>Evolution du risque (stable, accru, amoindri) par rapport au dernier rapport</w:t>
            </w:r>
          </w:p>
        </w:tc>
        <w:tc>
          <w:tcPr>
            <w:tcW w:w="1271" w:type="pct"/>
            <w:tcBorders>
              <w:top w:val="nil"/>
              <w:left w:val="single" w:sz="4" w:space="0" w:color="000000"/>
              <w:bottom w:val="single" w:sz="4" w:space="0" w:color="000000"/>
              <w:right w:val="single" w:sz="4" w:space="0" w:color="000000"/>
            </w:tcBorders>
            <w:shd w:val="clear" w:color="auto" w:fill="auto"/>
            <w:vAlign w:val="center"/>
          </w:tcPr>
          <w:p w14:paraId="35A8079B" w14:textId="77777777" w:rsidR="00CB341C" w:rsidRPr="00CB341C" w:rsidRDefault="00CB341C" w:rsidP="00F30E80">
            <w:pPr>
              <w:jc w:val="center"/>
              <w:rPr>
                <w:rFonts w:ascii="Avenir" w:eastAsia="Avenir" w:hAnsi="Avenir" w:cs="Times New Roman"/>
                <w:b/>
                <w:bCs/>
                <w:color w:val="auto"/>
                <w:sz w:val="16"/>
                <w:szCs w:val="16"/>
              </w:rPr>
            </w:pPr>
            <w:r w:rsidRPr="00CB341C">
              <w:rPr>
                <w:rFonts w:ascii="Avenir" w:eastAsia="Avenir" w:hAnsi="Avenir" w:cs="Times New Roman"/>
                <w:b/>
                <w:bCs/>
                <w:color w:val="auto"/>
                <w:sz w:val="16"/>
                <w:szCs w:val="16"/>
              </w:rPr>
              <w:t>Action(s)</w:t>
            </w:r>
          </w:p>
        </w:tc>
        <w:tc>
          <w:tcPr>
            <w:tcW w:w="541" w:type="pct"/>
            <w:tcBorders>
              <w:top w:val="nil"/>
              <w:left w:val="nil"/>
              <w:bottom w:val="single" w:sz="4" w:space="0" w:color="000000"/>
              <w:right w:val="single" w:sz="4" w:space="0" w:color="000000"/>
            </w:tcBorders>
            <w:shd w:val="clear" w:color="auto" w:fill="auto"/>
            <w:vAlign w:val="center"/>
          </w:tcPr>
          <w:p w14:paraId="0A388F57" w14:textId="77777777" w:rsidR="00CB341C" w:rsidRPr="00CB341C" w:rsidRDefault="00CB341C" w:rsidP="00F30E80">
            <w:pPr>
              <w:jc w:val="center"/>
              <w:rPr>
                <w:rFonts w:ascii="Avenir" w:eastAsia="Avenir" w:hAnsi="Avenir" w:cs="Times New Roman"/>
                <w:b/>
                <w:bCs/>
                <w:color w:val="auto"/>
                <w:sz w:val="16"/>
                <w:szCs w:val="16"/>
              </w:rPr>
            </w:pPr>
            <w:r w:rsidRPr="00CB341C">
              <w:rPr>
                <w:rFonts w:ascii="Avenir" w:eastAsia="Avenir" w:hAnsi="Avenir" w:cs="Times New Roman"/>
                <w:b/>
                <w:bCs/>
                <w:color w:val="auto"/>
                <w:sz w:val="16"/>
                <w:szCs w:val="16"/>
              </w:rPr>
              <w:t>Responsabilité</w:t>
            </w:r>
          </w:p>
        </w:tc>
        <w:tc>
          <w:tcPr>
            <w:tcW w:w="434" w:type="pct"/>
            <w:tcBorders>
              <w:top w:val="nil"/>
              <w:left w:val="nil"/>
              <w:bottom w:val="single" w:sz="4" w:space="0" w:color="000000"/>
              <w:right w:val="single" w:sz="4" w:space="0" w:color="000000"/>
            </w:tcBorders>
            <w:shd w:val="clear" w:color="auto" w:fill="auto"/>
            <w:vAlign w:val="center"/>
          </w:tcPr>
          <w:p w14:paraId="36DFC1C4" w14:textId="77777777" w:rsidR="00CB341C" w:rsidRPr="00CB341C" w:rsidRDefault="00CB341C" w:rsidP="00F30E80">
            <w:pPr>
              <w:jc w:val="center"/>
              <w:rPr>
                <w:rFonts w:ascii="Avenir" w:eastAsia="Avenir" w:hAnsi="Avenir" w:cs="Times New Roman"/>
                <w:b/>
                <w:bCs/>
                <w:color w:val="auto"/>
                <w:sz w:val="16"/>
                <w:szCs w:val="16"/>
              </w:rPr>
            </w:pPr>
            <w:r w:rsidRPr="00CB341C">
              <w:rPr>
                <w:rFonts w:ascii="Avenir" w:eastAsia="Avenir" w:hAnsi="Avenir" w:cs="Times New Roman"/>
                <w:b/>
                <w:bCs/>
                <w:color w:val="auto"/>
                <w:sz w:val="16"/>
                <w:szCs w:val="16"/>
              </w:rPr>
              <w:t>Date limite</w:t>
            </w:r>
          </w:p>
        </w:tc>
      </w:tr>
      <w:tr w:rsidR="00CB341C" w:rsidRPr="00CB341C" w14:paraId="66EEB7B5" w14:textId="77777777" w:rsidTr="00E52559">
        <w:trPr>
          <w:trHeight w:val="1160"/>
          <w:jc w:val="center"/>
        </w:trPr>
        <w:tc>
          <w:tcPr>
            <w:tcW w:w="952" w:type="pct"/>
            <w:tcBorders>
              <w:top w:val="nil"/>
              <w:left w:val="single" w:sz="4" w:space="0" w:color="000000"/>
              <w:bottom w:val="single" w:sz="4" w:space="0" w:color="000000"/>
              <w:right w:val="single" w:sz="4" w:space="0" w:color="000000"/>
            </w:tcBorders>
            <w:shd w:val="clear" w:color="auto" w:fill="auto"/>
          </w:tcPr>
          <w:p w14:paraId="0209EC90"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Barrières sociales et culturelles à l’inclusion des femmes et des peuples autochtones dans les organes de décision et de gestion</w:t>
            </w:r>
          </w:p>
        </w:tc>
        <w:tc>
          <w:tcPr>
            <w:tcW w:w="529" w:type="pct"/>
            <w:tcBorders>
              <w:top w:val="nil"/>
              <w:left w:val="single" w:sz="4" w:space="0" w:color="000000"/>
              <w:bottom w:val="single" w:sz="4" w:space="0" w:color="000000"/>
              <w:right w:val="single" w:sz="4" w:space="0" w:color="000000"/>
            </w:tcBorders>
            <w:shd w:val="clear" w:color="auto" w:fill="auto"/>
            <w:vAlign w:val="center"/>
          </w:tcPr>
          <w:p w14:paraId="51C503DD"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nil"/>
              <w:left w:val="single" w:sz="4" w:space="0" w:color="000000"/>
              <w:bottom w:val="single" w:sz="4" w:space="0" w:color="000000"/>
              <w:right w:val="single" w:sz="4" w:space="0" w:color="000000"/>
            </w:tcBorders>
            <w:shd w:val="clear" w:color="auto" w:fill="auto"/>
            <w:vAlign w:val="center"/>
          </w:tcPr>
          <w:p w14:paraId="0E320DEE"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socio-environnementaux</w:t>
            </w:r>
          </w:p>
        </w:tc>
        <w:tc>
          <w:tcPr>
            <w:tcW w:w="689" w:type="pct"/>
            <w:tcBorders>
              <w:top w:val="single" w:sz="4" w:space="0" w:color="000000"/>
              <w:left w:val="nil"/>
              <w:right w:val="single" w:sz="4" w:space="0" w:color="000000"/>
            </w:tcBorders>
            <w:vAlign w:val="center"/>
          </w:tcPr>
          <w:p w14:paraId="314D295F"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4" w:space="0" w:color="000000"/>
              <w:left w:val="single" w:sz="4" w:space="0" w:color="000000"/>
              <w:bottom w:val="single" w:sz="2" w:space="0" w:color="000000"/>
              <w:right w:val="single" w:sz="4" w:space="0" w:color="000000"/>
            </w:tcBorders>
            <w:shd w:val="clear" w:color="auto" w:fill="auto"/>
          </w:tcPr>
          <w:p w14:paraId="7838E70B"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Activités de sensibilisation </w:t>
            </w:r>
          </w:p>
          <w:p w14:paraId="3A04806A"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Promotion du leadership auprès des femmes et des peuples autochtones </w:t>
            </w:r>
          </w:p>
          <w:p w14:paraId="59BF403E"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Activités spécifiques dédiées pour les femmes et les peuples autochtones </w:t>
            </w:r>
          </w:p>
        </w:tc>
        <w:tc>
          <w:tcPr>
            <w:tcW w:w="541" w:type="pct"/>
            <w:tcBorders>
              <w:top w:val="single" w:sz="4" w:space="0" w:color="000000"/>
              <w:left w:val="nil"/>
              <w:bottom w:val="single" w:sz="2" w:space="0" w:color="000000"/>
              <w:right w:val="single" w:sz="4" w:space="0" w:color="000000"/>
            </w:tcBorders>
            <w:shd w:val="clear" w:color="auto" w:fill="auto"/>
            <w:vAlign w:val="center"/>
          </w:tcPr>
          <w:p w14:paraId="19106D48" w14:textId="77777777" w:rsidR="00CB341C" w:rsidRPr="00CB341C" w:rsidRDefault="00CB341C" w:rsidP="00F30E80">
            <w:pPr>
              <w:jc w:val="center"/>
              <w:rPr>
                <w:rFonts w:ascii="Avenir" w:eastAsia="Avenir" w:hAnsi="Avenir" w:cs="Times New Roman"/>
                <w:color w:val="auto"/>
                <w:sz w:val="16"/>
                <w:szCs w:val="16"/>
              </w:rPr>
            </w:pPr>
          </w:p>
          <w:p w14:paraId="263D2612" w14:textId="77777777" w:rsidR="00CB341C" w:rsidRPr="00CB341C" w:rsidRDefault="00CB341C" w:rsidP="00F30E80">
            <w:pPr>
              <w:jc w:val="center"/>
              <w:rPr>
                <w:rFonts w:ascii="Avenir" w:eastAsia="Avenir" w:hAnsi="Avenir" w:cs="Times New Roman"/>
                <w:color w:val="auto"/>
                <w:sz w:val="16"/>
                <w:szCs w:val="16"/>
              </w:rPr>
            </w:pPr>
          </w:p>
          <w:p w14:paraId="12EA3BE3"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Equipe projet</w:t>
            </w:r>
          </w:p>
          <w:p w14:paraId="3F08218C" w14:textId="77777777" w:rsidR="00CB341C" w:rsidRPr="00CB341C" w:rsidRDefault="00CB341C" w:rsidP="00F30E80">
            <w:pPr>
              <w:jc w:val="center"/>
              <w:rPr>
                <w:rFonts w:ascii="Avenir" w:eastAsia="Avenir" w:hAnsi="Avenir" w:cs="Times New Roman"/>
                <w:color w:val="auto"/>
                <w:sz w:val="16"/>
                <w:szCs w:val="16"/>
              </w:rPr>
            </w:pPr>
          </w:p>
          <w:p w14:paraId="35FBC689" w14:textId="77777777" w:rsidR="00CB341C" w:rsidRPr="00CB341C" w:rsidRDefault="00CB341C" w:rsidP="00F30E80">
            <w:pPr>
              <w:jc w:val="center"/>
              <w:rPr>
                <w:rFonts w:ascii="Avenir" w:eastAsia="Avenir" w:hAnsi="Avenir" w:cs="Times New Roman"/>
                <w:color w:val="auto"/>
                <w:sz w:val="16"/>
                <w:szCs w:val="16"/>
              </w:rPr>
            </w:pPr>
          </w:p>
        </w:tc>
        <w:tc>
          <w:tcPr>
            <w:tcW w:w="434" w:type="pct"/>
            <w:tcBorders>
              <w:top w:val="single" w:sz="4" w:space="0" w:color="000000"/>
              <w:left w:val="nil"/>
              <w:bottom w:val="single" w:sz="2" w:space="0" w:color="000000"/>
              <w:right w:val="single" w:sz="4" w:space="0" w:color="000000"/>
            </w:tcBorders>
            <w:shd w:val="clear" w:color="auto" w:fill="auto"/>
            <w:vAlign w:val="center"/>
          </w:tcPr>
          <w:p w14:paraId="16FC44F9"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Permanent</w:t>
            </w:r>
          </w:p>
        </w:tc>
      </w:tr>
      <w:tr w:rsidR="00CB341C" w:rsidRPr="00CB341C" w14:paraId="0F3B6D77" w14:textId="77777777" w:rsidTr="00E52559">
        <w:trPr>
          <w:trHeight w:val="997"/>
          <w:jc w:val="center"/>
        </w:trPr>
        <w:tc>
          <w:tcPr>
            <w:tcW w:w="952" w:type="pct"/>
            <w:tcBorders>
              <w:top w:val="nil"/>
              <w:left w:val="single" w:sz="4" w:space="0" w:color="000000"/>
              <w:bottom w:val="single" w:sz="4" w:space="0" w:color="000000"/>
              <w:right w:val="single" w:sz="4" w:space="0" w:color="000000"/>
            </w:tcBorders>
            <w:shd w:val="clear" w:color="auto" w:fill="auto"/>
          </w:tcPr>
          <w:p w14:paraId="6F0A7DE2"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Risque de conflit foncier lors de l’établissement des plans d’aménagement du territoire et des zonages </w:t>
            </w:r>
          </w:p>
        </w:tc>
        <w:tc>
          <w:tcPr>
            <w:tcW w:w="529" w:type="pct"/>
            <w:tcBorders>
              <w:top w:val="nil"/>
              <w:left w:val="single" w:sz="4" w:space="0" w:color="000000"/>
              <w:bottom w:val="single" w:sz="4" w:space="0" w:color="000000"/>
              <w:right w:val="single" w:sz="4" w:space="0" w:color="000000"/>
            </w:tcBorders>
            <w:shd w:val="clear" w:color="auto" w:fill="auto"/>
          </w:tcPr>
          <w:p w14:paraId="008C2CDC"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nil"/>
              <w:left w:val="single" w:sz="4" w:space="0" w:color="000000"/>
              <w:bottom w:val="single" w:sz="4" w:space="0" w:color="000000"/>
              <w:right w:val="single" w:sz="4" w:space="0" w:color="000000"/>
            </w:tcBorders>
            <w:shd w:val="clear" w:color="auto" w:fill="auto"/>
            <w:vAlign w:val="center"/>
          </w:tcPr>
          <w:p w14:paraId="1CA19AD0"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socio-environnementaux</w:t>
            </w:r>
          </w:p>
        </w:tc>
        <w:tc>
          <w:tcPr>
            <w:tcW w:w="689" w:type="pct"/>
            <w:tcBorders>
              <w:top w:val="single" w:sz="4" w:space="0" w:color="000000"/>
              <w:left w:val="nil"/>
              <w:right w:val="single" w:sz="4" w:space="0" w:color="000000"/>
            </w:tcBorders>
            <w:vAlign w:val="center"/>
          </w:tcPr>
          <w:p w14:paraId="7EBCDB73"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right w:val="single" w:sz="4" w:space="0" w:color="000000"/>
            </w:tcBorders>
            <w:shd w:val="clear" w:color="auto" w:fill="auto"/>
          </w:tcPr>
          <w:p w14:paraId="2E3BD7D5"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Processus de dialogue communautaire </w:t>
            </w:r>
          </w:p>
          <w:p w14:paraId="48D3CACA"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Cartographie participative </w:t>
            </w:r>
          </w:p>
          <w:p w14:paraId="00177B02"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Etude foncier pour comprendre les dynamiques d’attribution des terres </w:t>
            </w:r>
          </w:p>
          <w:p w14:paraId="1FD6A41D"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Tenue d’un registre foncier au niveau des villages </w:t>
            </w:r>
          </w:p>
          <w:p w14:paraId="0862C2B5" w14:textId="77777777" w:rsidR="00CB341C" w:rsidRPr="00CB341C" w:rsidRDefault="00CB341C" w:rsidP="00F30E80">
            <w:pPr>
              <w:rPr>
                <w:rFonts w:ascii="Avenir" w:eastAsia="Avenir" w:hAnsi="Avenir" w:cs="Times New Roman"/>
                <w:color w:val="auto"/>
                <w:sz w:val="16"/>
                <w:szCs w:val="16"/>
              </w:rPr>
            </w:pPr>
            <w:r w:rsidRPr="00CB341C">
              <w:rPr>
                <w:rFonts w:ascii="Avenir" w:hAnsi="Avenir" w:cs="Times New Roman"/>
                <w:color w:val="auto"/>
                <w:sz w:val="16"/>
                <w:szCs w:val="16"/>
                <w:lang w:val="fr-FR"/>
              </w:rPr>
              <w:t>Promotion de la réforme foncière </w:t>
            </w:r>
          </w:p>
        </w:tc>
        <w:tc>
          <w:tcPr>
            <w:tcW w:w="541" w:type="pct"/>
            <w:tcBorders>
              <w:top w:val="single" w:sz="2" w:space="0" w:color="000000"/>
              <w:left w:val="nil"/>
              <w:right w:val="single" w:sz="4" w:space="0" w:color="000000"/>
            </w:tcBorders>
            <w:shd w:val="clear" w:color="auto" w:fill="auto"/>
            <w:vAlign w:val="center"/>
          </w:tcPr>
          <w:p w14:paraId="4FD45685" w14:textId="77777777" w:rsidR="00CB341C" w:rsidRPr="00CB341C" w:rsidRDefault="00CB341C" w:rsidP="00F30E80">
            <w:pPr>
              <w:jc w:val="center"/>
              <w:rPr>
                <w:rFonts w:ascii="Avenir" w:eastAsia="Avenir" w:hAnsi="Avenir" w:cs="Times New Roman"/>
                <w:color w:val="auto"/>
                <w:sz w:val="16"/>
                <w:szCs w:val="16"/>
              </w:rPr>
            </w:pPr>
          </w:p>
          <w:p w14:paraId="20081212" w14:textId="77777777" w:rsidR="00CB341C" w:rsidRPr="00CB341C" w:rsidRDefault="00CB341C" w:rsidP="00F30E80">
            <w:pPr>
              <w:jc w:val="center"/>
              <w:rPr>
                <w:rFonts w:ascii="Avenir" w:eastAsia="Avenir" w:hAnsi="Avenir" w:cs="Times New Roman"/>
                <w:color w:val="auto"/>
                <w:sz w:val="16"/>
                <w:szCs w:val="16"/>
              </w:rPr>
            </w:pPr>
          </w:p>
          <w:p w14:paraId="70AA09A3"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Equipe projet</w:t>
            </w:r>
          </w:p>
          <w:p w14:paraId="4640AEE5" w14:textId="77777777" w:rsidR="00CB341C" w:rsidRPr="00CB341C" w:rsidRDefault="00CB341C" w:rsidP="00F30E80">
            <w:pPr>
              <w:jc w:val="center"/>
              <w:rPr>
                <w:rFonts w:ascii="Avenir" w:eastAsia="Avenir" w:hAnsi="Avenir" w:cs="Times New Roman"/>
                <w:color w:val="auto"/>
                <w:sz w:val="16"/>
                <w:szCs w:val="16"/>
              </w:rPr>
            </w:pPr>
          </w:p>
          <w:p w14:paraId="3A826A9F" w14:textId="77777777" w:rsidR="00CB341C" w:rsidRPr="00CB341C" w:rsidRDefault="00CB341C" w:rsidP="00F30E80">
            <w:pPr>
              <w:jc w:val="center"/>
              <w:rPr>
                <w:rFonts w:ascii="Avenir" w:eastAsia="Avenir" w:hAnsi="Avenir" w:cs="Times New Roman"/>
                <w:color w:val="auto"/>
                <w:sz w:val="16"/>
                <w:szCs w:val="16"/>
              </w:rPr>
            </w:pPr>
          </w:p>
        </w:tc>
        <w:tc>
          <w:tcPr>
            <w:tcW w:w="434" w:type="pct"/>
            <w:tcBorders>
              <w:top w:val="single" w:sz="2" w:space="0" w:color="000000"/>
              <w:left w:val="nil"/>
              <w:right w:val="single" w:sz="4" w:space="0" w:color="000000"/>
            </w:tcBorders>
            <w:shd w:val="clear" w:color="auto" w:fill="auto"/>
            <w:vAlign w:val="center"/>
          </w:tcPr>
          <w:p w14:paraId="38413106" w14:textId="77777777" w:rsidR="00CB341C" w:rsidRPr="00CB341C" w:rsidRDefault="00CB341C" w:rsidP="00F30E80">
            <w:pPr>
              <w:jc w:val="center"/>
              <w:rPr>
                <w:rFonts w:ascii="Avenir" w:eastAsia="Avenir" w:hAnsi="Avenir" w:cs="Times New Roman"/>
                <w:color w:val="auto"/>
                <w:sz w:val="16"/>
                <w:szCs w:val="16"/>
              </w:rPr>
            </w:pPr>
          </w:p>
          <w:p w14:paraId="38029629"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N/A</w:t>
            </w:r>
          </w:p>
          <w:p w14:paraId="56477AB6" w14:textId="77777777" w:rsidR="00CB341C" w:rsidRPr="00CB341C" w:rsidRDefault="00CB341C" w:rsidP="00F30E80">
            <w:pPr>
              <w:jc w:val="center"/>
              <w:rPr>
                <w:rFonts w:ascii="Avenir" w:eastAsia="Avenir" w:hAnsi="Avenir" w:cs="Times New Roman"/>
                <w:color w:val="auto"/>
                <w:sz w:val="16"/>
                <w:szCs w:val="16"/>
              </w:rPr>
            </w:pPr>
          </w:p>
        </w:tc>
      </w:tr>
      <w:tr w:rsidR="00CB341C" w:rsidRPr="00CB341C" w14:paraId="371442FA"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tcPr>
          <w:p w14:paraId="75E31D6F"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Risque de non-adhésion des populations aux modifications de pratiques d’accès aux ressources et de pratiques agricoles promues par le projet </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24ED15CD"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366A114C"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socio-environnementaux</w:t>
            </w:r>
          </w:p>
        </w:tc>
        <w:tc>
          <w:tcPr>
            <w:tcW w:w="689" w:type="pct"/>
            <w:tcBorders>
              <w:top w:val="single" w:sz="2" w:space="0" w:color="000000"/>
              <w:left w:val="nil"/>
              <w:bottom w:val="single" w:sz="2" w:space="0" w:color="000000"/>
              <w:right w:val="single" w:sz="4" w:space="0" w:color="000000"/>
            </w:tcBorders>
            <w:vAlign w:val="center"/>
          </w:tcPr>
          <w:p w14:paraId="1E265073"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3EE91C53"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Prise en compte des règles coutumières d’accès aux ressources </w:t>
            </w:r>
          </w:p>
          <w:p w14:paraId="0FF0801C" w14:textId="77777777" w:rsidR="00CB341C" w:rsidRPr="00CB341C" w:rsidRDefault="00CB341C" w:rsidP="00F30E80">
            <w:pPr>
              <w:suppressAutoHyphens/>
              <w:autoSpaceDN w:val="0"/>
              <w:spacing w:after="0" w:line="240" w:lineRule="auto"/>
              <w:ind w:left="0" w:right="0" w:firstLine="0"/>
              <w:jc w:val="left"/>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Règles de gestion établies avec l’aval communautaire </w:t>
            </w:r>
          </w:p>
          <w:p w14:paraId="186F717D"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Démonstration des résultats </w:t>
            </w:r>
            <w:r w:rsidRPr="00CB341C">
              <w:rPr>
                <w:rFonts w:ascii="Avenir" w:eastAsia="Avenir" w:hAnsi="Avenir" w:cs="Times New Roman"/>
                <w:color w:val="auto"/>
                <w:sz w:val="16"/>
                <w:szCs w:val="16"/>
              </w:rPr>
              <w:t>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06618E8C" w14:textId="77777777" w:rsidR="00CB341C" w:rsidRPr="00CB341C" w:rsidRDefault="00CB341C" w:rsidP="00F30E80">
            <w:pPr>
              <w:jc w:val="center"/>
              <w:rPr>
                <w:rFonts w:ascii="Avenir" w:eastAsia="Avenir" w:hAnsi="Avenir" w:cs="Times New Roman"/>
                <w:color w:val="auto"/>
                <w:sz w:val="16"/>
                <w:szCs w:val="16"/>
              </w:rPr>
            </w:pPr>
          </w:p>
          <w:p w14:paraId="67A644EF"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Equipe projet</w:t>
            </w:r>
          </w:p>
          <w:p w14:paraId="70AF67E0"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 </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14310187"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N/A</w:t>
            </w:r>
          </w:p>
        </w:tc>
      </w:tr>
      <w:tr w:rsidR="00CB341C" w:rsidRPr="00CB341C" w14:paraId="42A78D86"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tcPr>
          <w:p w14:paraId="1F5A4DBC"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Risque de non-adhésion des populations aux enjeux de bonne gestion des ressources naturelles car trop éloignée de leurs préoccupations notamment économique </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6664E1C3"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4735E615"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socio-environnementaux</w:t>
            </w:r>
          </w:p>
        </w:tc>
        <w:tc>
          <w:tcPr>
            <w:tcW w:w="689" w:type="pct"/>
            <w:tcBorders>
              <w:top w:val="single" w:sz="2" w:space="0" w:color="000000"/>
              <w:left w:val="nil"/>
              <w:bottom w:val="single" w:sz="2" w:space="0" w:color="000000"/>
              <w:right w:val="single" w:sz="4" w:space="0" w:color="000000"/>
            </w:tcBorders>
            <w:vAlign w:val="center"/>
          </w:tcPr>
          <w:p w14:paraId="79C89136"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1E77BFCD"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Développement de modèles agricoles et forestiers rentables </w:t>
            </w:r>
          </w:p>
          <w:p w14:paraId="7305E69F" w14:textId="77777777" w:rsidR="00CB341C" w:rsidRPr="00CB341C" w:rsidRDefault="00CB341C" w:rsidP="00F30E80">
            <w:pPr>
              <w:suppressAutoHyphens/>
              <w:autoSpaceDN w:val="0"/>
              <w:spacing w:after="0" w:line="240" w:lineRule="auto"/>
              <w:ind w:left="0" w:right="0" w:firstLine="0"/>
              <w:jc w:val="left"/>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Développement économique des chaines de valeur </w:t>
            </w:r>
          </w:p>
          <w:p w14:paraId="446D6915" w14:textId="77777777" w:rsidR="00CB341C" w:rsidRPr="00CB341C" w:rsidRDefault="00CB341C" w:rsidP="00F30E80">
            <w:pPr>
              <w:spacing w:after="0" w:line="264" w:lineRule="auto"/>
              <w:rPr>
                <w:rFonts w:ascii="Avenir" w:eastAsia="Times New Roman" w:hAnsi="Avenir" w:cs="Times New Roman"/>
                <w:color w:val="auto"/>
                <w:sz w:val="16"/>
                <w:szCs w:val="16"/>
                <w:lang w:eastAsia="fr-FR"/>
              </w:rPr>
            </w:pPr>
            <w:r w:rsidRPr="00CB341C">
              <w:rPr>
                <w:rFonts w:ascii="Avenir" w:eastAsia="Times New Roman" w:hAnsi="Avenir" w:cs="Times New Roman"/>
                <w:color w:val="auto"/>
                <w:sz w:val="16"/>
                <w:szCs w:val="16"/>
                <w:lang w:eastAsia="fr-FR"/>
              </w:rPr>
              <w:t>Amélioration des infrastructures pour le développement économique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34652644" w14:textId="77777777" w:rsidR="00CB341C" w:rsidRPr="00CB341C" w:rsidRDefault="00CB341C" w:rsidP="00F30E80">
            <w:pPr>
              <w:jc w:val="center"/>
              <w:rPr>
                <w:rFonts w:ascii="Avenir" w:eastAsia="Avenir" w:hAnsi="Avenir" w:cs="Times New Roman"/>
                <w:color w:val="auto"/>
                <w:sz w:val="16"/>
                <w:szCs w:val="16"/>
              </w:rPr>
            </w:pPr>
          </w:p>
          <w:p w14:paraId="2779DE2A"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Equipe projet</w:t>
            </w:r>
          </w:p>
          <w:p w14:paraId="094CB479" w14:textId="77777777" w:rsidR="00CB341C" w:rsidRPr="00CB341C" w:rsidRDefault="00CB341C" w:rsidP="00F30E80">
            <w:pPr>
              <w:jc w:val="center"/>
              <w:rPr>
                <w:rFonts w:ascii="Avenir" w:eastAsia="Avenir" w:hAnsi="Avenir" w:cs="Times New Roman"/>
                <w:color w:val="auto"/>
                <w:sz w:val="16"/>
                <w:szCs w:val="16"/>
              </w:rPr>
            </w:pPr>
          </w:p>
        </w:tc>
        <w:tc>
          <w:tcPr>
            <w:tcW w:w="434" w:type="pct"/>
            <w:tcBorders>
              <w:top w:val="single" w:sz="2" w:space="0" w:color="000000"/>
              <w:left w:val="nil"/>
              <w:bottom w:val="single" w:sz="2" w:space="0" w:color="000000"/>
              <w:right w:val="single" w:sz="4" w:space="0" w:color="000000"/>
            </w:tcBorders>
            <w:shd w:val="clear" w:color="auto" w:fill="auto"/>
            <w:vAlign w:val="center"/>
          </w:tcPr>
          <w:p w14:paraId="5EB436CF"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N/A</w:t>
            </w:r>
          </w:p>
        </w:tc>
      </w:tr>
      <w:tr w:rsidR="00CB341C" w:rsidRPr="00CB341C" w14:paraId="4930533C" w14:textId="77777777" w:rsidTr="00E52559">
        <w:trPr>
          <w:trHeight w:val="255"/>
          <w:jc w:val="center"/>
        </w:trPr>
        <w:tc>
          <w:tcPr>
            <w:tcW w:w="952" w:type="pct"/>
            <w:tcBorders>
              <w:top w:val="single" w:sz="2" w:space="0" w:color="000000"/>
              <w:left w:val="single" w:sz="4" w:space="0" w:color="000000"/>
              <w:bottom w:val="single" w:sz="2" w:space="0" w:color="000000"/>
              <w:right w:val="single" w:sz="4" w:space="0" w:color="000000"/>
            </w:tcBorders>
            <w:shd w:val="clear" w:color="auto" w:fill="auto"/>
            <w:vAlign w:val="center"/>
          </w:tcPr>
          <w:p w14:paraId="30ED1DDB"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val="fr-BE" w:eastAsia="fr-FR"/>
              </w:rPr>
              <w:t xml:space="preserve">Interférences politiques et mauvaises relations entre services </w:t>
            </w:r>
            <w:r w:rsidRPr="00CB341C">
              <w:rPr>
                <w:rFonts w:ascii="Avenir" w:eastAsia="Times New Roman" w:hAnsi="Avenir" w:cs="Times New Roman"/>
                <w:color w:val="auto"/>
                <w:sz w:val="16"/>
                <w:szCs w:val="16"/>
                <w:lang w:val="fr-BE" w:eastAsia="fr-FR"/>
              </w:rPr>
              <w:lastRenderedPageBreak/>
              <w:t>techniques et Ministres provinciaux.</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139F1BAD"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lastRenderedPageBreak/>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59F56967"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politiques et réglementaires</w:t>
            </w:r>
          </w:p>
        </w:tc>
        <w:tc>
          <w:tcPr>
            <w:tcW w:w="689" w:type="pct"/>
            <w:tcBorders>
              <w:top w:val="single" w:sz="2" w:space="0" w:color="000000"/>
              <w:left w:val="nil"/>
              <w:bottom w:val="single" w:sz="2" w:space="0" w:color="000000"/>
              <w:right w:val="single" w:sz="4" w:space="0" w:color="000000"/>
            </w:tcBorders>
            <w:vAlign w:val="center"/>
          </w:tcPr>
          <w:p w14:paraId="36D97F0B"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50EB8EAE"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val="fr-BE" w:eastAsia="fr-FR"/>
              </w:rPr>
              <w:t xml:space="preserve">Travail au niveau de la gouvernance couplé à l'appui institutionnel au niveau central et </w:t>
            </w:r>
            <w:r w:rsidRPr="00CB341C">
              <w:rPr>
                <w:rFonts w:ascii="Avenir" w:eastAsia="Times New Roman" w:hAnsi="Avenir" w:cs="Times New Roman"/>
                <w:color w:val="auto"/>
                <w:sz w:val="16"/>
                <w:szCs w:val="16"/>
                <w:lang w:val="fr-BE" w:eastAsia="fr-FR"/>
              </w:rPr>
              <w:lastRenderedPageBreak/>
              <w:t>provincial. Implication et dialogue entre les différentes parties prenantes</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77CD8033"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lastRenderedPageBreak/>
              <w:t>IM, PM</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21BC2050"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Avenir" w:hAnsi="Avenir" w:cs="Times New Roman"/>
                <w:color w:val="auto"/>
                <w:sz w:val="16"/>
                <w:szCs w:val="16"/>
              </w:rPr>
              <w:t>Permanent</w:t>
            </w:r>
          </w:p>
        </w:tc>
      </w:tr>
      <w:tr w:rsidR="00CB341C" w:rsidRPr="00CB341C" w14:paraId="5C6C2BEF"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tcPr>
          <w:p w14:paraId="5DF60B26"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Instabilité politique dans les provinces d’intervention entrainant une discontinuité de dialogue entre le projet et les acteurs politiques </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43168F4A"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5383E598"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politiques et réglementaires</w:t>
            </w:r>
          </w:p>
        </w:tc>
        <w:tc>
          <w:tcPr>
            <w:tcW w:w="689" w:type="pct"/>
            <w:tcBorders>
              <w:top w:val="single" w:sz="2" w:space="0" w:color="000000"/>
              <w:left w:val="nil"/>
              <w:bottom w:val="single" w:sz="2" w:space="0" w:color="000000"/>
              <w:right w:val="single" w:sz="4" w:space="0" w:color="000000"/>
            </w:tcBorders>
            <w:vAlign w:val="center"/>
          </w:tcPr>
          <w:p w14:paraId="060BDEA6"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10694566"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Travail avec les services de l’administration (Divisions Provinciales) qui permettent d’assurer une continuité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31980B49"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 xml:space="preserve">IM, PM </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30F5AFF6"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Avenir" w:hAnsi="Avenir" w:cs="Times New Roman"/>
                <w:color w:val="auto"/>
                <w:sz w:val="16"/>
                <w:szCs w:val="16"/>
              </w:rPr>
              <w:t>Permanent</w:t>
            </w:r>
          </w:p>
        </w:tc>
      </w:tr>
      <w:tr w:rsidR="00CB341C" w:rsidRPr="00CB341C" w14:paraId="3194816F"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tcPr>
          <w:p w14:paraId="3CDE592D"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Manque de volonté et des compréhensions des acteurs politique sur les enjeux REDD+ </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390FD5A9"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2F8484B8"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politiques et réglementaires</w:t>
            </w:r>
          </w:p>
        </w:tc>
        <w:tc>
          <w:tcPr>
            <w:tcW w:w="689" w:type="pct"/>
            <w:tcBorders>
              <w:top w:val="single" w:sz="2" w:space="0" w:color="000000"/>
              <w:left w:val="nil"/>
              <w:bottom w:val="single" w:sz="2" w:space="0" w:color="000000"/>
              <w:right w:val="single" w:sz="4" w:space="0" w:color="000000"/>
            </w:tcBorders>
            <w:vAlign w:val="center"/>
          </w:tcPr>
          <w:p w14:paraId="09E455E6"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17BFFDDF"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Sensibilisation, dialogue, partage de documents, invitation à des séminaires et conférences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3B7B1905"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PM, Equipe projet</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7C7BB9D1"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Avenir" w:hAnsi="Avenir" w:cs="Times New Roman"/>
                <w:color w:val="auto"/>
                <w:sz w:val="16"/>
                <w:szCs w:val="16"/>
              </w:rPr>
              <w:t>Permanent</w:t>
            </w:r>
          </w:p>
        </w:tc>
      </w:tr>
      <w:tr w:rsidR="00CB341C" w:rsidRPr="00CB341C" w14:paraId="0A792967"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tcPr>
          <w:p w14:paraId="29365891"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Manque de connaissances et de mise en application des textes réglementaires liés à la REDD+  </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24F072F7"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377741BA"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politiques et réglementaires</w:t>
            </w:r>
          </w:p>
        </w:tc>
        <w:tc>
          <w:tcPr>
            <w:tcW w:w="689" w:type="pct"/>
            <w:tcBorders>
              <w:top w:val="single" w:sz="2" w:space="0" w:color="000000"/>
              <w:left w:val="nil"/>
              <w:bottom w:val="single" w:sz="2" w:space="0" w:color="000000"/>
              <w:right w:val="single" w:sz="4" w:space="0" w:color="000000"/>
            </w:tcBorders>
            <w:vAlign w:val="center"/>
          </w:tcPr>
          <w:p w14:paraId="752147CC"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18CC450A"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Formation et renforcement de capacités des services techniques, diffusion des textes légaux </w:t>
            </w:r>
          </w:p>
          <w:p w14:paraId="6F8141B5"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Echanges avec le FONAREDD et suivi des réformes en cours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4CC2BBFB"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PM, Equipe projet</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65B27681"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Avenir" w:hAnsi="Avenir" w:cs="Times New Roman"/>
                <w:color w:val="auto"/>
                <w:sz w:val="16"/>
                <w:szCs w:val="16"/>
              </w:rPr>
              <w:t>Permanent</w:t>
            </w:r>
          </w:p>
        </w:tc>
      </w:tr>
      <w:tr w:rsidR="00CB341C" w:rsidRPr="00CB341C" w14:paraId="7CD70BD4"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61587"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Des agents de l'Etat insuffisamment formés et motivés pour réaliser leur travail </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66E4D653"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73FF18C6"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opérationnels</w:t>
            </w:r>
          </w:p>
        </w:tc>
        <w:tc>
          <w:tcPr>
            <w:tcW w:w="689" w:type="pct"/>
            <w:tcBorders>
              <w:top w:val="single" w:sz="2" w:space="0" w:color="000000"/>
              <w:left w:val="nil"/>
              <w:bottom w:val="single" w:sz="2" w:space="0" w:color="000000"/>
              <w:right w:val="single" w:sz="4" w:space="0" w:color="000000"/>
            </w:tcBorders>
            <w:vAlign w:val="center"/>
          </w:tcPr>
          <w:p w14:paraId="1C664FFB"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1C1700F7" w14:textId="77777777" w:rsidR="00CB341C" w:rsidRPr="00CB341C" w:rsidRDefault="00CB341C" w:rsidP="00F30E80">
            <w:pPr>
              <w:spacing w:after="0"/>
              <w:jc w:val="left"/>
              <w:rPr>
                <w:rFonts w:ascii="Avenir" w:hAnsi="Avenir" w:cs="Times New Roman"/>
                <w:color w:val="auto"/>
                <w:sz w:val="16"/>
                <w:szCs w:val="16"/>
              </w:rPr>
            </w:pPr>
            <w:r w:rsidRPr="00CB341C">
              <w:rPr>
                <w:rFonts w:ascii="Avenir" w:eastAsia="Times New Roman" w:hAnsi="Avenir" w:cs="Times New Roman"/>
                <w:color w:val="auto"/>
                <w:sz w:val="16"/>
                <w:szCs w:val="16"/>
                <w:lang w:val="fr-BE" w:eastAsia="fr-FR"/>
              </w:rPr>
              <w:t>Sélection des agents mobilisés sur critères de compétences et de motivation. </w:t>
            </w:r>
          </w:p>
          <w:p w14:paraId="398CC0B9" w14:textId="77777777" w:rsidR="00CB341C" w:rsidRPr="00CB341C" w:rsidRDefault="00CB341C" w:rsidP="00F30E80">
            <w:pPr>
              <w:spacing w:after="0" w:line="264" w:lineRule="auto"/>
              <w:jc w:val="left"/>
              <w:rPr>
                <w:rFonts w:ascii="Avenir" w:eastAsia="Times New Roman" w:hAnsi="Avenir" w:cs="Times New Roman"/>
                <w:color w:val="auto"/>
                <w:sz w:val="16"/>
                <w:szCs w:val="16"/>
                <w:lang w:val="fr-BE" w:eastAsia="fr-FR"/>
              </w:rPr>
            </w:pPr>
            <w:r w:rsidRPr="00CB341C">
              <w:rPr>
                <w:rFonts w:ascii="Avenir" w:eastAsia="Times New Roman" w:hAnsi="Avenir" w:cs="Times New Roman"/>
                <w:color w:val="auto"/>
                <w:sz w:val="16"/>
                <w:szCs w:val="16"/>
                <w:lang w:val="fr-BE" w:eastAsia="fr-FR"/>
              </w:rPr>
              <w:t>Mise en bonne condition de travail : dotation en équipement, coaching</w:t>
            </w:r>
          </w:p>
          <w:p w14:paraId="67CA4D80"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val="fr-BE" w:eastAsia="fr-FR"/>
              </w:rPr>
              <w:t>Plaidoyer au niveau central pour mobilisation de budget</w:t>
            </w:r>
            <w:r w:rsidRPr="00CB341C">
              <w:rPr>
                <w:rFonts w:ascii="Avenir" w:hAnsi="Avenir" w:cs="Times New Roman"/>
                <w:color w:val="auto"/>
                <w:sz w:val="16"/>
                <w:szCs w:val="16"/>
                <w:shd w:val="clear" w:color="auto" w:fill="FFFFFF"/>
              </w:rPr>
              <w:t>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570C0E9A"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PM, Equipe projet</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04990164"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N/A</w:t>
            </w:r>
          </w:p>
        </w:tc>
      </w:tr>
      <w:tr w:rsidR="00CB341C" w:rsidRPr="00CB341C" w14:paraId="5792D069"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DAE30"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Les voies d'accès ne sont pas réhabilitées et/ou se dégradent </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1940501D"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534E38DC"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opérationnels</w:t>
            </w:r>
          </w:p>
        </w:tc>
        <w:tc>
          <w:tcPr>
            <w:tcW w:w="689" w:type="pct"/>
            <w:tcBorders>
              <w:top w:val="single" w:sz="2" w:space="0" w:color="000000"/>
              <w:left w:val="nil"/>
              <w:bottom w:val="single" w:sz="2" w:space="0" w:color="000000"/>
              <w:right w:val="single" w:sz="4" w:space="0" w:color="000000"/>
            </w:tcBorders>
            <w:vAlign w:val="center"/>
          </w:tcPr>
          <w:p w14:paraId="7AE81EF8"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35F90223" w14:textId="77777777" w:rsidR="00CB341C" w:rsidRPr="00CB341C" w:rsidRDefault="00CB341C" w:rsidP="00F30E80">
            <w:pPr>
              <w:spacing w:after="0"/>
              <w:rPr>
                <w:rFonts w:ascii="Avenir" w:eastAsia="Times New Roman" w:hAnsi="Avenir" w:cs="Times New Roman"/>
                <w:color w:val="auto"/>
                <w:sz w:val="16"/>
                <w:szCs w:val="16"/>
                <w:lang w:eastAsia="fr-FR"/>
              </w:rPr>
            </w:pPr>
            <w:r w:rsidRPr="00CB341C">
              <w:rPr>
                <w:rFonts w:ascii="Avenir" w:eastAsia="Times New Roman" w:hAnsi="Avenir" w:cs="Times New Roman"/>
                <w:color w:val="auto"/>
                <w:sz w:val="16"/>
                <w:szCs w:val="16"/>
                <w:lang w:eastAsia="fr-FR"/>
              </w:rPr>
              <w:t>Choix de zones suffisamment accessibles </w:t>
            </w:r>
          </w:p>
          <w:p w14:paraId="2CD3BDE0"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Réhabilitation de certains points chauds</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522806F3"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PM, Equipe projet</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649F8A8B"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N/A</w:t>
            </w:r>
          </w:p>
        </w:tc>
      </w:tr>
      <w:tr w:rsidR="00CB341C" w:rsidRPr="00CB341C" w14:paraId="7E8E6F82"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224C9"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Absence de prestataires intéressés (appel à proposition ou marché public) de travailler dans le Kasaï Oriental et la Lomami</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085A084B"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00FCCD7D"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opérationnels</w:t>
            </w:r>
          </w:p>
        </w:tc>
        <w:tc>
          <w:tcPr>
            <w:tcW w:w="689" w:type="pct"/>
            <w:tcBorders>
              <w:top w:val="single" w:sz="2" w:space="0" w:color="000000"/>
              <w:left w:val="nil"/>
              <w:bottom w:val="single" w:sz="2" w:space="0" w:color="000000"/>
              <w:right w:val="single" w:sz="4" w:space="0" w:color="000000"/>
            </w:tcBorders>
            <w:vAlign w:val="center"/>
          </w:tcPr>
          <w:p w14:paraId="7D63D646"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tcPr>
          <w:p w14:paraId="7A203F87"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Prospection importante en amont pour attirer des prestaires</w:t>
            </w:r>
            <w:r w:rsidRPr="00CB341C">
              <w:rPr>
                <w:rFonts w:ascii="Avenir" w:eastAsia="Times New Roman" w:hAnsi="Avenir" w:cs="Arial"/>
                <w:color w:val="auto"/>
                <w:sz w:val="16"/>
                <w:szCs w:val="16"/>
                <w:lang w:val="fr-FR" w:eastAsia="en-GB"/>
              </w:rPr>
              <w:t> </w:t>
            </w:r>
            <w:r w:rsidRPr="00CB341C">
              <w:rPr>
                <w:rFonts w:ascii="Avenir" w:eastAsia="Times New Roman" w:hAnsi="Avenir" w:cs="Avenir Next LT Pro"/>
                <w:color w:val="auto"/>
                <w:sz w:val="16"/>
                <w:szCs w:val="16"/>
                <w:lang w:val="fr-FR" w:eastAsia="en-GB"/>
              </w:rPr>
              <w:t> </w:t>
            </w:r>
          </w:p>
          <w:p w14:paraId="42320C6A"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Prévoir des cibles réalistes et des budgets supérieurs adaptés aux réalités du contexte</w:t>
            </w:r>
            <w:r w:rsidRPr="00CB341C">
              <w:rPr>
                <w:rFonts w:ascii="Avenir" w:eastAsia="Times New Roman" w:hAnsi="Avenir" w:cs="Arial"/>
                <w:color w:val="auto"/>
                <w:sz w:val="16"/>
                <w:szCs w:val="16"/>
                <w:lang w:val="fr-FR" w:eastAsia="en-GB"/>
              </w:rPr>
              <w:t> </w:t>
            </w:r>
            <w:r w:rsidRPr="00CB341C">
              <w:rPr>
                <w:rFonts w:ascii="Avenir" w:eastAsia="Times New Roman" w:hAnsi="Avenir" w:cs="Avenir Next LT Pro"/>
                <w:color w:val="auto"/>
                <w:sz w:val="16"/>
                <w:szCs w:val="16"/>
                <w:lang w:val="fr-FR" w:eastAsia="en-GB"/>
              </w:rPr>
              <w:t> </w:t>
            </w:r>
          </w:p>
          <w:p w14:paraId="1513076A"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Prévoir des activités dont les résultats ne reposent pas uniquement sur ces structures</w:t>
            </w:r>
            <w:r w:rsidRPr="00CB341C">
              <w:rPr>
                <w:rFonts w:ascii="Avenir" w:eastAsia="Times New Roman" w:hAnsi="Avenir" w:cs="Arial"/>
                <w:color w:val="auto"/>
                <w:sz w:val="16"/>
                <w:szCs w:val="16"/>
                <w:lang w:eastAsia="fr-FR"/>
              </w:rPr>
              <w:t> </w:t>
            </w:r>
            <w:r w:rsidRPr="00CB341C">
              <w:rPr>
                <w:rFonts w:ascii="Avenir" w:eastAsia="Times New Roman" w:hAnsi="Avenir" w:cs="Avenir Next LT Pro"/>
                <w:color w:val="auto"/>
                <w:sz w:val="16"/>
                <w:szCs w:val="16"/>
                <w:lang w:eastAsia="fr-FR"/>
              </w:rPr>
              <w:t>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16103D3C"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IM, Equipe contrats, RAFI</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0809E477"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N/A</w:t>
            </w:r>
          </w:p>
        </w:tc>
      </w:tr>
      <w:tr w:rsidR="00CB341C" w:rsidRPr="00CB341C" w14:paraId="5D344A6A"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tcPr>
          <w:p w14:paraId="3958DCF7" w14:textId="77777777" w:rsidR="00CB341C" w:rsidRPr="00CB341C" w:rsidRDefault="00CB341C" w:rsidP="00F30E80">
            <w:pP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Manque de capacités des ONG locales pour déléguer certaines activités et risque d’attentisme/opportunisme </w:t>
            </w:r>
          </w:p>
        </w:tc>
        <w:tc>
          <w:tcPr>
            <w:tcW w:w="529" w:type="pct"/>
            <w:tcBorders>
              <w:top w:val="single" w:sz="2" w:space="0" w:color="000000"/>
              <w:left w:val="single" w:sz="4" w:space="0" w:color="000000"/>
              <w:bottom w:val="single" w:sz="2" w:space="0" w:color="000000"/>
              <w:right w:val="single" w:sz="4" w:space="0" w:color="000000"/>
            </w:tcBorders>
            <w:shd w:val="clear" w:color="auto" w:fill="auto"/>
            <w:vAlign w:val="center"/>
          </w:tcPr>
          <w:p w14:paraId="2121CA9F"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2866F5E7"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opérationnels</w:t>
            </w:r>
          </w:p>
        </w:tc>
        <w:tc>
          <w:tcPr>
            <w:tcW w:w="689" w:type="pct"/>
            <w:tcBorders>
              <w:top w:val="single" w:sz="2" w:space="0" w:color="000000"/>
              <w:left w:val="nil"/>
              <w:bottom w:val="single" w:sz="2" w:space="0" w:color="000000"/>
              <w:right w:val="single" w:sz="4" w:space="0" w:color="000000"/>
            </w:tcBorders>
            <w:vAlign w:val="center"/>
          </w:tcPr>
          <w:p w14:paraId="10F464FB"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tcPr>
          <w:p w14:paraId="0AD29E4B"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Cycles de formation pour les ONG </w:t>
            </w:r>
          </w:p>
          <w:p w14:paraId="4D0F640F" w14:textId="77777777" w:rsidR="00CB341C" w:rsidRPr="00CB341C" w:rsidRDefault="00CB341C" w:rsidP="00F30E80">
            <w:pPr>
              <w:suppressAutoHyphens/>
              <w:autoSpaceDN w:val="0"/>
              <w:spacing w:after="0" w:line="240" w:lineRule="auto"/>
              <w:ind w:left="0" w:right="0" w:firstLine="0"/>
              <w:jc w:val="left"/>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Possibilité de passer par des accords opérationnels pour les partenaires faibles </w:t>
            </w:r>
          </w:p>
          <w:p w14:paraId="627E71DB"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Existence d’un contrat cadre pour renforcement des capacités des structures locales sur les procédures de gestion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27E2D9AB"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Equipe projet et équipe finance</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44C5394E"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N/A</w:t>
            </w:r>
          </w:p>
        </w:tc>
      </w:tr>
      <w:tr w:rsidR="00CB341C" w:rsidRPr="00CB341C" w14:paraId="54D71237"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79F9F"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Absence d’entreprises capables de réaliser des travaux publics de qualité et coûts supérieurs d’intervention </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37536BCE"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165B9DE6"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opérationnels</w:t>
            </w:r>
          </w:p>
        </w:tc>
        <w:tc>
          <w:tcPr>
            <w:tcW w:w="689" w:type="pct"/>
            <w:tcBorders>
              <w:top w:val="single" w:sz="2" w:space="0" w:color="000000"/>
              <w:left w:val="nil"/>
              <w:bottom w:val="single" w:sz="2" w:space="0" w:color="000000"/>
              <w:right w:val="single" w:sz="4" w:space="0" w:color="000000"/>
            </w:tcBorders>
            <w:vAlign w:val="center"/>
          </w:tcPr>
          <w:p w14:paraId="53C52EC9"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4EA0B1A1" w14:textId="77777777" w:rsidR="00CB341C" w:rsidRPr="00CB341C" w:rsidRDefault="00CB341C" w:rsidP="00F30E80">
            <w:pPr>
              <w:spacing w:after="0"/>
              <w:rPr>
                <w:rFonts w:ascii="Avenir" w:eastAsia="Times New Roman" w:hAnsi="Avenir" w:cs="Times New Roman"/>
                <w:color w:val="auto"/>
                <w:sz w:val="16"/>
                <w:szCs w:val="16"/>
                <w:lang w:eastAsia="fr-FR"/>
              </w:rPr>
            </w:pPr>
            <w:r w:rsidRPr="00CB341C">
              <w:rPr>
                <w:rFonts w:ascii="Avenir" w:eastAsia="Times New Roman" w:hAnsi="Avenir" w:cs="Times New Roman"/>
                <w:color w:val="auto"/>
                <w:sz w:val="16"/>
                <w:szCs w:val="16"/>
                <w:lang w:eastAsia="fr-FR"/>
              </w:rPr>
              <w:t>Prise en compte de ce risque dans le budget </w:t>
            </w:r>
          </w:p>
          <w:p w14:paraId="05CB5AD0" w14:textId="77777777" w:rsidR="00CB341C" w:rsidRPr="00CB341C" w:rsidRDefault="00CB341C" w:rsidP="00F30E80">
            <w:pPr>
              <w:spacing w:after="0"/>
              <w:jc w:val="left"/>
              <w:rPr>
                <w:rFonts w:ascii="Avenir" w:eastAsia="Times New Roman" w:hAnsi="Avenir" w:cs="Times New Roman"/>
                <w:color w:val="auto"/>
                <w:sz w:val="16"/>
                <w:szCs w:val="16"/>
                <w:lang w:eastAsia="fr-FR"/>
              </w:rPr>
            </w:pPr>
            <w:r w:rsidRPr="00CB341C">
              <w:rPr>
                <w:rFonts w:ascii="Avenir" w:eastAsia="Times New Roman" w:hAnsi="Avenir" w:cs="Times New Roman"/>
                <w:color w:val="auto"/>
                <w:sz w:val="16"/>
                <w:szCs w:val="16"/>
                <w:lang w:eastAsia="fr-FR"/>
              </w:rPr>
              <w:t>Prospection importante pour attirer des prestaires </w:t>
            </w:r>
          </w:p>
          <w:p w14:paraId="65679190"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Prévoir des cibles réalistes et des budgets supérieurs adaptés aux réalités du contexte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51481D66"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Equipe projet et équipe finance</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569CB4F5"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N/A</w:t>
            </w:r>
          </w:p>
        </w:tc>
      </w:tr>
      <w:tr w:rsidR="00CB341C" w:rsidRPr="00CB341C" w14:paraId="644D3C81"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2A172" w14:textId="77777777" w:rsidR="00CB341C" w:rsidRPr="00CB341C" w:rsidRDefault="00CB341C" w:rsidP="00F30E80">
            <w:pPr>
              <w:jc w:val="left"/>
              <w:rPr>
                <w:rFonts w:ascii="Avenir" w:eastAsia="Times New Roman" w:hAnsi="Avenir" w:cs="Times New Roman"/>
                <w:color w:val="auto"/>
                <w:sz w:val="16"/>
                <w:szCs w:val="16"/>
                <w:lang w:eastAsia="fr-FR"/>
              </w:rPr>
            </w:pPr>
            <w:r w:rsidRPr="00CB341C">
              <w:rPr>
                <w:rFonts w:ascii="Avenir" w:eastAsia="Times New Roman" w:hAnsi="Avenir" w:cs="Times New Roman"/>
                <w:color w:val="auto"/>
                <w:sz w:val="16"/>
                <w:szCs w:val="16"/>
                <w:lang w:eastAsia="fr-FR"/>
              </w:rPr>
              <w:lastRenderedPageBreak/>
              <w:t>Processus de contractualisation prennent du temps</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6658679B"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688B934D"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hAnsi="Avenir" w:cs="Times New Roman"/>
                <w:bCs/>
                <w:color w:val="auto"/>
                <w:sz w:val="16"/>
                <w:szCs w:val="16"/>
              </w:rPr>
              <w:t>Risques opérationnels</w:t>
            </w:r>
          </w:p>
        </w:tc>
        <w:tc>
          <w:tcPr>
            <w:tcW w:w="689" w:type="pct"/>
            <w:tcBorders>
              <w:top w:val="single" w:sz="2" w:space="0" w:color="000000"/>
              <w:left w:val="nil"/>
              <w:bottom w:val="single" w:sz="2" w:space="0" w:color="000000"/>
              <w:right w:val="single" w:sz="4" w:space="0" w:color="000000"/>
            </w:tcBorders>
            <w:vAlign w:val="center"/>
          </w:tcPr>
          <w:p w14:paraId="4D9EE3B0"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Amoindri</w:t>
            </w:r>
          </w:p>
        </w:tc>
        <w:tc>
          <w:tcPr>
            <w:tcW w:w="1271" w:type="pct"/>
            <w:tcBorders>
              <w:top w:val="single" w:sz="2" w:space="0" w:color="000000"/>
              <w:left w:val="single" w:sz="4" w:space="0" w:color="000000"/>
              <w:bottom w:val="single" w:sz="2" w:space="0" w:color="000000"/>
              <w:right w:val="single" w:sz="4" w:space="0" w:color="000000"/>
            </w:tcBorders>
            <w:shd w:val="clear" w:color="auto" w:fill="auto"/>
          </w:tcPr>
          <w:p w14:paraId="6391B44C" w14:textId="77777777" w:rsidR="00CB341C" w:rsidRPr="00CB341C" w:rsidRDefault="00CB341C" w:rsidP="00F30E80">
            <w:pPr>
              <w:suppressAutoHyphens/>
              <w:autoSpaceDN w:val="0"/>
              <w:spacing w:after="0" w:line="240" w:lineRule="auto"/>
              <w:ind w:left="0" w:right="0" w:firstLine="0"/>
              <w:textAlignment w:val="baseline"/>
              <w:rPr>
                <w:rFonts w:ascii="Avenir" w:eastAsia="Times New Roman" w:hAnsi="Avenir" w:cs="Times New Roman"/>
                <w:color w:val="auto"/>
                <w:sz w:val="16"/>
                <w:szCs w:val="16"/>
                <w:lang w:val="fr-FR" w:eastAsia="en-GB"/>
              </w:rPr>
            </w:pPr>
            <w:r w:rsidRPr="00CB341C">
              <w:rPr>
                <w:rFonts w:ascii="Avenir" w:eastAsia="Times New Roman" w:hAnsi="Avenir" w:cs="Times New Roman"/>
                <w:color w:val="auto"/>
                <w:sz w:val="16"/>
                <w:szCs w:val="16"/>
                <w:lang w:val="fr-FR" w:eastAsia="en-GB"/>
              </w:rPr>
              <w:t>Avoir une planification proactive et actualisée </w:t>
            </w:r>
          </w:p>
          <w:p w14:paraId="67BEADE2"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Assurer une prospection de fournisseurs et de partenaires de mise en œuvre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1921B4FC"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Equipe projet, équipe contrat</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3D28E104" w14:textId="77777777" w:rsidR="00CB341C" w:rsidRPr="00CB341C" w:rsidRDefault="00CB341C" w:rsidP="00F30E80">
            <w:pPr>
              <w:rPr>
                <w:rFonts w:ascii="Avenir" w:eastAsia="Avenir" w:hAnsi="Avenir" w:cs="Times New Roman"/>
                <w:color w:val="auto"/>
                <w:sz w:val="16"/>
                <w:szCs w:val="16"/>
              </w:rPr>
            </w:pPr>
            <w:r w:rsidRPr="00CB341C">
              <w:rPr>
                <w:rFonts w:ascii="Avenir" w:eastAsia="Avenir" w:hAnsi="Avenir" w:cs="Times New Roman"/>
                <w:color w:val="auto"/>
                <w:sz w:val="16"/>
                <w:szCs w:val="16"/>
              </w:rPr>
              <w:t>Permanent</w:t>
            </w:r>
          </w:p>
        </w:tc>
      </w:tr>
      <w:tr w:rsidR="00CB341C" w:rsidRPr="00CB341C" w14:paraId="0A9F2857"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709D8" w14:textId="77777777" w:rsidR="00CB341C" w:rsidRPr="00CB341C" w:rsidRDefault="00CB341C" w:rsidP="00F30E80">
            <w:pPr>
              <w:jc w:val="left"/>
              <w:rPr>
                <w:rFonts w:ascii="Avenir" w:eastAsia="Times New Roman" w:hAnsi="Avenir" w:cs="Times New Roman"/>
                <w:color w:val="auto"/>
                <w:sz w:val="16"/>
                <w:szCs w:val="16"/>
                <w:lang w:eastAsia="fr-FR"/>
              </w:rPr>
            </w:pPr>
            <w:r w:rsidRPr="00CB341C">
              <w:rPr>
                <w:rFonts w:ascii="Avenir" w:eastAsia="Times New Roman" w:hAnsi="Avenir" w:cs="Times New Roman"/>
                <w:color w:val="auto"/>
                <w:sz w:val="16"/>
                <w:szCs w:val="16"/>
                <w:lang w:eastAsia="fr-FR"/>
              </w:rPr>
              <w:t>Mauvaise appropriation des instruments de planification et programmation top- down. </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48E142F0"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04D1D61F"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eastAsia="Cambria" w:hAnsi="Avenir" w:cs="Times New Roman"/>
                <w:bCs/>
                <w:color w:val="auto"/>
                <w:sz w:val="16"/>
                <w:szCs w:val="16"/>
              </w:rPr>
              <w:t>Risques organisationnels</w:t>
            </w:r>
          </w:p>
        </w:tc>
        <w:tc>
          <w:tcPr>
            <w:tcW w:w="689" w:type="pct"/>
            <w:tcBorders>
              <w:top w:val="single" w:sz="2" w:space="0" w:color="000000"/>
              <w:left w:val="nil"/>
              <w:bottom w:val="single" w:sz="2" w:space="0" w:color="000000"/>
              <w:right w:val="single" w:sz="4" w:space="0" w:color="000000"/>
            </w:tcBorders>
            <w:vAlign w:val="center"/>
          </w:tcPr>
          <w:p w14:paraId="01102115"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Amoindri</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62D1D07C" w14:textId="77777777" w:rsidR="00CB341C" w:rsidRPr="00CB341C" w:rsidRDefault="00CB341C" w:rsidP="00F30E80">
            <w:pPr>
              <w:spacing w:after="0"/>
              <w:rPr>
                <w:rFonts w:ascii="Avenir" w:eastAsia="Times New Roman" w:hAnsi="Avenir" w:cs="Times New Roman"/>
                <w:color w:val="auto"/>
                <w:sz w:val="16"/>
                <w:szCs w:val="16"/>
                <w:lang w:eastAsia="fr-FR"/>
              </w:rPr>
            </w:pPr>
            <w:r w:rsidRPr="00CB341C">
              <w:rPr>
                <w:rFonts w:ascii="Avenir" w:eastAsia="Times New Roman" w:hAnsi="Avenir" w:cs="Times New Roman"/>
                <w:color w:val="auto"/>
                <w:sz w:val="16"/>
                <w:szCs w:val="16"/>
                <w:lang w:eastAsia="fr-FR"/>
              </w:rPr>
              <w:t>Adaptation de la stratégie du programme. </w:t>
            </w:r>
          </w:p>
          <w:p w14:paraId="2638052F"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Modulation des ambitions de planification.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4E2B9CBD"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IM, ECA</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7A28CF21"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N/A</w:t>
            </w:r>
          </w:p>
        </w:tc>
      </w:tr>
      <w:tr w:rsidR="00CB341C" w:rsidRPr="00CB341C" w14:paraId="1179B80B" w14:textId="77777777" w:rsidTr="00E52559">
        <w:trPr>
          <w:trHeight w:val="255"/>
          <w:jc w:val="center"/>
        </w:trPr>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B551E" w14:textId="77777777" w:rsidR="00CB341C" w:rsidRPr="00CB341C" w:rsidRDefault="00CB341C" w:rsidP="00F30E80">
            <w:pPr>
              <w:jc w:val="left"/>
              <w:rPr>
                <w:rFonts w:ascii="Avenir" w:eastAsia="Times New Roman" w:hAnsi="Avenir" w:cs="Times New Roman"/>
                <w:color w:val="auto"/>
                <w:sz w:val="16"/>
                <w:szCs w:val="16"/>
                <w:lang w:eastAsia="fr-FR"/>
              </w:rPr>
            </w:pPr>
            <w:r w:rsidRPr="00CB341C">
              <w:rPr>
                <w:rFonts w:ascii="Avenir" w:eastAsia="Times New Roman" w:hAnsi="Avenir" w:cs="Times New Roman"/>
                <w:color w:val="auto"/>
                <w:sz w:val="16"/>
                <w:szCs w:val="16"/>
                <w:lang w:eastAsia="fr-FR"/>
              </w:rPr>
              <w:t>Arrêt, suspension ou perturbation des activités de Enabel liées à l'instabilité politique et sécuritaire </w:t>
            </w:r>
          </w:p>
        </w:tc>
        <w:tc>
          <w:tcPr>
            <w:tcW w:w="529" w:type="pct"/>
            <w:tcBorders>
              <w:top w:val="single" w:sz="2" w:space="0" w:color="000000"/>
              <w:left w:val="single" w:sz="4" w:space="0" w:color="000000"/>
              <w:bottom w:val="single" w:sz="2" w:space="0" w:color="000000"/>
              <w:right w:val="single" w:sz="4" w:space="0" w:color="000000"/>
            </w:tcBorders>
            <w:shd w:val="clear" w:color="auto" w:fill="auto"/>
          </w:tcPr>
          <w:p w14:paraId="775D2C9F"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Document de projet </w:t>
            </w:r>
          </w:p>
        </w:tc>
        <w:tc>
          <w:tcPr>
            <w:tcW w:w="584" w:type="pct"/>
            <w:tcBorders>
              <w:top w:val="single" w:sz="2" w:space="0" w:color="000000"/>
              <w:left w:val="single" w:sz="4" w:space="0" w:color="000000"/>
              <w:bottom w:val="single" w:sz="2" w:space="0" w:color="000000"/>
              <w:right w:val="single" w:sz="4" w:space="0" w:color="000000"/>
            </w:tcBorders>
            <w:shd w:val="clear" w:color="auto" w:fill="auto"/>
            <w:vAlign w:val="center"/>
          </w:tcPr>
          <w:p w14:paraId="4C85CFF7" w14:textId="77777777" w:rsidR="00CB341C" w:rsidRPr="00CB341C" w:rsidRDefault="00CB341C" w:rsidP="00F30E80">
            <w:pPr>
              <w:jc w:val="center"/>
              <w:rPr>
                <w:rFonts w:ascii="Avenir" w:eastAsia="Avenir" w:hAnsi="Avenir" w:cs="Times New Roman"/>
                <w:bCs/>
                <w:color w:val="auto"/>
                <w:sz w:val="16"/>
                <w:szCs w:val="16"/>
              </w:rPr>
            </w:pPr>
            <w:r w:rsidRPr="00CB341C">
              <w:rPr>
                <w:rFonts w:ascii="Avenir" w:eastAsia="Cambria" w:hAnsi="Avenir" w:cs="Times New Roman"/>
                <w:bCs/>
                <w:color w:val="auto"/>
                <w:sz w:val="16"/>
                <w:szCs w:val="16"/>
              </w:rPr>
              <w:t>Sureté et sécurité</w:t>
            </w:r>
          </w:p>
        </w:tc>
        <w:tc>
          <w:tcPr>
            <w:tcW w:w="689" w:type="pct"/>
            <w:tcBorders>
              <w:top w:val="single" w:sz="2" w:space="0" w:color="000000"/>
              <w:left w:val="nil"/>
              <w:bottom w:val="single" w:sz="2" w:space="0" w:color="000000"/>
              <w:right w:val="single" w:sz="4" w:space="0" w:color="000000"/>
            </w:tcBorders>
            <w:vAlign w:val="center"/>
          </w:tcPr>
          <w:p w14:paraId="4488087A"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Stable</w:t>
            </w:r>
          </w:p>
        </w:tc>
        <w:tc>
          <w:tcPr>
            <w:tcW w:w="1271" w:type="pct"/>
            <w:tcBorders>
              <w:top w:val="single" w:sz="2" w:space="0" w:color="000000"/>
              <w:left w:val="single" w:sz="4" w:space="0" w:color="000000"/>
              <w:bottom w:val="single" w:sz="2" w:space="0" w:color="000000"/>
              <w:right w:val="single" w:sz="4" w:space="0" w:color="000000"/>
            </w:tcBorders>
            <w:shd w:val="clear" w:color="auto" w:fill="auto"/>
            <w:vAlign w:val="center"/>
          </w:tcPr>
          <w:p w14:paraId="31BA10AE" w14:textId="77777777" w:rsidR="00CB341C" w:rsidRPr="00CB341C" w:rsidRDefault="00CB341C" w:rsidP="00F30E80">
            <w:pPr>
              <w:jc w:val="left"/>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Un suivi de sécurité sur l’ensemble du pays et les changements de gouvernement seront observés au niveau de la Représentation </w:t>
            </w:r>
          </w:p>
        </w:tc>
        <w:tc>
          <w:tcPr>
            <w:tcW w:w="541" w:type="pct"/>
            <w:tcBorders>
              <w:top w:val="single" w:sz="2" w:space="0" w:color="000000"/>
              <w:left w:val="nil"/>
              <w:bottom w:val="single" w:sz="2" w:space="0" w:color="000000"/>
              <w:right w:val="single" w:sz="4" w:space="0" w:color="000000"/>
            </w:tcBorders>
            <w:shd w:val="clear" w:color="auto" w:fill="auto"/>
            <w:vAlign w:val="center"/>
          </w:tcPr>
          <w:p w14:paraId="4A1EAD51"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Times New Roman" w:hAnsi="Avenir" w:cs="Times New Roman"/>
                <w:color w:val="auto"/>
                <w:sz w:val="16"/>
                <w:szCs w:val="16"/>
                <w:lang w:eastAsia="fr-FR"/>
              </w:rPr>
              <w:t>Responsable sécurité, PM</w:t>
            </w:r>
          </w:p>
        </w:tc>
        <w:tc>
          <w:tcPr>
            <w:tcW w:w="434" w:type="pct"/>
            <w:tcBorders>
              <w:top w:val="single" w:sz="2" w:space="0" w:color="000000"/>
              <w:left w:val="nil"/>
              <w:bottom w:val="single" w:sz="2" w:space="0" w:color="000000"/>
              <w:right w:val="single" w:sz="4" w:space="0" w:color="000000"/>
            </w:tcBorders>
            <w:shd w:val="clear" w:color="auto" w:fill="auto"/>
            <w:vAlign w:val="center"/>
          </w:tcPr>
          <w:p w14:paraId="15EBC88E" w14:textId="77777777" w:rsidR="00CB341C" w:rsidRPr="00CB341C" w:rsidRDefault="00CB341C" w:rsidP="00F30E80">
            <w:pPr>
              <w:jc w:val="center"/>
              <w:rPr>
                <w:rFonts w:ascii="Avenir" w:eastAsia="Avenir" w:hAnsi="Avenir" w:cs="Times New Roman"/>
                <w:color w:val="auto"/>
                <w:sz w:val="16"/>
                <w:szCs w:val="16"/>
              </w:rPr>
            </w:pPr>
            <w:r w:rsidRPr="00CB341C">
              <w:rPr>
                <w:rFonts w:ascii="Avenir" w:eastAsia="Avenir" w:hAnsi="Avenir" w:cs="Times New Roman"/>
                <w:color w:val="auto"/>
                <w:sz w:val="16"/>
                <w:szCs w:val="16"/>
              </w:rPr>
              <w:t>Permanent</w:t>
            </w:r>
          </w:p>
        </w:tc>
      </w:tr>
    </w:tbl>
    <w:p w14:paraId="67272EDE" w14:textId="77777777" w:rsidR="00CB341C" w:rsidRDefault="00CB341C" w:rsidP="00CB341C">
      <w:pPr>
        <w:spacing w:line="240" w:lineRule="auto"/>
        <w:ind w:left="0" w:firstLine="0"/>
        <w:rPr>
          <w:rFonts w:ascii="Avenir" w:eastAsia="Avenir" w:hAnsi="Avenir" w:cs="Avenir"/>
          <w:sz w:val="22"/>
          <w:szCs w:val="22"/>
        </w:rPr>
      </w:pPr>
    </w:p>
    <w:p w14:paraId="305402ED" w14:textId="77777777" w:rsidR="00E52559" w:rsidRDefault="00E52559" w:rsidP="00CB341C">
      <w:pPr>
        <w:spacing w:line="240" w:lineRule="auto"/>
        <w:ind w:left="0" w:firstLine="0"/>
        <w:rPr>
          <w:rFonts w:ascii="Avenir" w:eastAsia="Avenir" w:hAnsi="Avenir" w:cs="Avenir"/>
          <w:sz w:val="22"/>
          <w:szCs w:val="22"/>
        </w:rPr>
      </w:pPr>
    </w:p>
    <w:p w14:paraId="1B87EBD3" w14:textId="77777777" w:rsidR="00E52559" w:rsidRDefault="00E52559" w:rsidP="00CB341C">
      <w:pPr>
        <w:spacing w:line="240" w:lineRule="auto"/>
        <w:ind w:left="0" w:firstLine="0"/>
        <w:rPr>
          <w:rFonts w:ascii="Avenir" w:eastAsia="Avenir" w:hAnsi="Avenir" w:cs="Avenir"/>
          <w:sz w:val="22"/>
          <w:szCs w:val="22"/>
        </w:rPr>
      </w:pPr>
    </w:p>
    <w:p w14:paraId="089A9133" w14:textId="77777777" w:rsidR="00E52559" w:rsidRDefault="00E52559" w:rsidP="00CB341C">
      <w:pPr>
        <w:spacing w:line="240" w:lineRule="auto"/>
        <w:ind w:left="0" w:firstLine="0"/>
        <w:rPr>
          <w:rFonts w:ascii="Avenir" w:eastAsia="Avenir" w:hAnsi="Avenir" w:cs="Avenir"/>
          <w:sz w:val="22"/>
          <w:szCs w:val="22"/>
        </w:rPr>
        <w:sectPr w:rsidR="00E52559" w:rsidSect="00E52559">
          <w:pgSz w:w="16840" w:h="11900" w:orient="landscape"/>
          <w:pgMar w:top="1579" w:right="1961" w:bottom="1557" w:left="1493" w:header="1020" w:footer="1115" w:gutter="0"/>
          <w:cols w:space="720"/>
          <w:titlePg/>
          <w:docGrid w:linePitch="286"/>
        </w:sectPr>
      </w:pPr>
    </w:p>
    <w:p w14:paraId="601E61CB" w14:textId="77777777" w:rsidR="00E52559" w:rsidRDefault="00E52559" w:rsidP="00CB341C">
      <w:pPr>
        <w:spacing w:line="240" w:lineRule="auto"/>
        <w:ind w:left="0" w:firstLine="0"/>
        <w:rPr>
          <w:rFonts w:ascii="Avenir" w:eastAsia="Avenir" w:hAnsi="Avenir" w:cs="Avenir"/>
          <w:sz w:val="22"/>
          <w:szCs w:val="22"/>
        </w:rPr>
      </w:pPr>
    </w:p>
    <w:p w14:paraId="5637F560" w14:textId="77777777" w:rsidR="00FC75A8" w:rsidRDefault="00000000" w:rsidP="00FE70AA">
      <w:pPr>
        <w:pStyle w:val="PIREDD2"/>
      </w:pPr>
      <w:bookmarkStart w:id="31" w:name="_Toc191317696"/>
      <w:r>
        <w:t>9.2 Évaluation de la transparence et de l'intégrité</w:t>
      </w:r>
      <w:bookmarkEnd w:id="31"/>
    </w:p>
    <w:p w14:paraId="15B8E48A" w14:textId="77777777" w:rsidR="00CB341C" w:rsidRPr="00DB6E6D" w:rsidRDefault="00CB341C" w:rsidP="00CB341C">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rPr>
      </w:pPr>
      <w:r w:rsidRPr="00DB6E6D">
        <w:rPr>
          <w:rFonts w:ascii="Avenir" w:eastAsia="Avenir" w:hAnsi="Avenir" w:cs="Avenir"/>
        </w:rPr>
        <w:t>Le tableau suivant présente l’évaluation de la transparence et de l’intégrité pour cette période de mise en œuvre du projet.</w:t>
      </w:r>
    </w:p>
    <w:p w14:paraId="5637F561" w14:textId="77777777" w:rsidR="00FC75A8" w:rsidRDefault="00FC75A8">
      <w:pPr>
        <w:keepNext/>
        <w:pBdr>
          <w:top w:val="nil"/>
          <w:left w:val="nil"/>
          <w:bottom w:val="nil"/>
          <w:right w:val="nil"/>
          <w:between w:val="nil"/>
        </w:pBdr>
        <w:spacing w:after="0"/>
        <w:ind w:left="10" w:right="29" w:firstLine="0"/>
        <w:rPr>
          <w:rFonts w:ascii="Avenir" w:eastAsia="Avenir" w:hAnsi="Avenir" w:cs="Avenir"/>
        </w:rPr>
      </w:pPr>
    </w:p>
    <w:p w14:paraId="5637F562" w14:textId="77777777" w:rsidR="00FC75A8" w:rsidRDefault="00000000">
      <w:pPr>
        <w:keepNext/>
        <w:pBdr>
          <w:top w:val="nil"/>
          <w:left w:val="nil"/>
          <w:bottom w:val="nil"/>
          <w:right w:val="nil"/>
          <w:between w:val="nil"/>
        </w:pBdr>
        <w:ind w:right="29"/>
        <w:rPr>
          <w:rFonts w:ascii="Avenir" w:eastAsia="Avenir" w:hAnsi="Avenir" w:cs="Avenir"/>
        </w:rPr>
      </w:pPr>
      <w:r>
        <w:rPr>
          <w:rFonts w:ascii="Avenir" w:eastAsia="Avenir" w:hAnsi="Avenir" w:cs="Avenir"/>
        </w:rPr>
        <w:t>Tableau 16</w:t>
      </w:r>
    </w:p>
    <w:p w14:paraId="5637F563" w14:textId="77777777" w:rsidR="00FC75A8" w:rsidRDefault="00FC75A8">
      <w:pPr>
        <w:keepNext/>
        <w:pBdr>
          <w:top w:val="nil"/>
          <w:left w:val="nil"/>
          <w:bottom w:val="nil"/>
          <w:right w:val="nil"/>
          <w:between w:val="nil"/>
        </w:pBdr>
        <w:ind w:right="29"/>
        <w:rPr>
          <w:rFonts w:ascii="Avenir" w:eastAsia="Avenir" w:hAnsi="Avenir" w:cs="Avenir"/>
        </w:rPr>
      </w:pPr>
    </w:p>
    <w:tbl>
      <w:tblPr>
        <w:tblStyle w:val="ab"/>
        <w:tblW w:w="8744" w:type="dxa"/>
        <w:jc w:val="center"/>
        <w:tblLayout w:type="fixed"/>
        <w:tblLook w:val="0400" w:firstRow="0" w:lastRow="0" w:firstColumn="0" w:lastColumn="0" w:noHBand="0" w:noVBand="1"/>
      </w:tblPr>
      <w:tblGrid>
        <w:gridCol w:w="3830"/>
        <w:gridCol w:w="4290"/>
        <w:gridCol w:w="624"/>
      </w:tblGrid>
      <w:tr w:rsidR="00CB341C" w:rsidRPr="00DB6E6D" w14:paraId="45CDB32B" w14:textId="77777777" w:rsidTr="00F30E80">
        <w:trPr>
          <w:trHeight w:val="521"/>
          <w:jc w:val="center"/>
        </w:trPr>
        <w:tc>
          <w:tcPr>
            <w:tcW w:w="383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E83EA2B" w14:textId="77777777" w:rsidR="00CB341C" w:rsidRPr="00DB6E6D" w:rsidRDefault="00CB341C" w:rsidP="00F30E80">
            <w:pPr>
              <w:ind w:left="10" w:right="29" w:firstLine="10"/>
              <w:rPr>
                <w:rFonts w:ascii="Avenir" w:eastAsia="Avenir" w:hAnsi="Avenir" w:cs="Avenir"/>
              </w:rPr>
            </w:pPr>
            <w:r w:rsidRPr="00DB6E6D">
              <w:rPr>
                <w:rFonts w:ascii="Avenir" w:eastAsia="Avenir" w:hAnsi="Avenir" w:cs="Avenir"/>
                <w:b/>
                <w:sz w:val="18"/>
                <w:szCs w:val="18"/>
              </w:rPr>
              <w:t>Cas de Fraude, mauvaise utilisation de fonds et corruption</w:t>
            </w:r>
          </w:p>
        </w:tc>
        <w:tc>
          <w:tcPr>
            <w:tcW w:w="4290"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55BB5AB9" w14:textId="77777777" w:rsidR="00CB341C" w:rsidRPr="00DB6E6D" w:rsidRDefault="00CB341C" w:rsidP="00F30E80">
            <w:pPr>
              <w:ind w:left="10" w:right="29" w:firstLine="10"/>
              <w:rPr>
                <w:rFonts w:ascii="Avenir" w:eastAsia="Avenir" w:hAnsi="Avenir" w:cs="Avenir"/>
              </w:rPr>
            </w:pPr>
            <w:r w:rsidRPr="00DB6E6D">
              <w:rPr>
                <w:rFonts w:ascii="Avenir" w:eastAsia="Avenir" w:hAnsi="Avenir" w:cs="Avenir"/>
                <w:sz w:val="18"/>
                <w:szCs w:val="18"/>
              </w:rPr>
              <w:t>Oui (combien pour la période de rapportage et une brève description de chacune) </w:t>
            </w:r>
          </w:p>
        </w:tc>
        <w:tc>
          <w:tcPr>
            <w:tcW w:w="624" w:type="dxa"/>
            <w:tcBorders>
              <w:top w:val="single" w:sz="8" w:space="0" w:color="000000"/>
              <w:left w:val="nil"/>
              <w:bottom w:val="single" w:sz="8" w:space="0" w:color="000000"/>
              <w:right w:val="single" w:sz="8" w:space="0" w:color="000000"/>
            </w:tcBorders>
            <w:tcMar>
              <w:top w:w="0" w:type="dxa"/>
              <w:left w:w="115" w:type="dxa"/>
              <w:bottom w:w="0" w:type="dxa"/>
              <w:right w:w="115" w:type="dxa"/>
            </w:tcMar>
          </w:tcPr>
          <w:p w14:paraId="0F9442A7" w14:textId="77777777" w:rsidR="00CB341C" w:rsidRPr="00DB6E6D" w:rsidRDefault="00CB341C" w:rsidP="00F30E80">
            <w:pPr>
              <w:ind w:left="-2" w:right="29" w:hanging="2"/>
              <w:rPr>
                <w:rFonts w:ascii="Avenir" w:eastAsia="Avenir" w:hAnsi="Avenir" w:cs="Avenir"/>
              </w:rPr>
            </w:pPr>
            <w:r w:rsidRPr="00DB6E6D">
              <w:rPr>
                <w:rFonts w:ascii="Avenir" w:eastAsia="Avenir" w:hAnsi="Avenir" w:cs="Avenir"/>
                <w:sz w:val="18"/>
                <w:szCs w:val="18"/>
              </w:rPr>
              <w:t>Non</w:t>
            </w:r>
          </w:p>
        </w:tc>
      </w:tr>
      <w:tr w:rsidR="00CB341C" w:rsidRPr="00DB6E6D" w14:paraId="19B4541C" w14:textId="77777777" w:rsidTr="00F30E80">
        <w:trPr>
          <w:trHeight w:val="260"/>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7F5F62CA" w14:textId="77777777" w:rsidR="00CB341C" w:rsidRPr="00DB6E6D" w:rsidRDefault="00CB341C" w:rsidP="00F30E80">
            <w:pPr>
              <w:ind w:left="-2" w:hanging="2"/>
              <w:rPr>
                <w:rFonts w:ascii="Avenir" w:eastAsia="Avenir" w:hAnsi="Avenir" w:cs="Avenir"/>
              </w:rPr>
            </w:pPr>
            <w:r w:rsidRPr="00DB6E6D">
              <w:rPr>
                <w:rFonts w:ascii="Avenir" w:eastAsia="Avenir" w:hAnsi="Avenir" w:cs="Avenir"/>
                <w:sz w:val="18"/>
                <w:szCs w:val="18"/>
              </w:rPr>
              <w:t>Allégations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095DEE5A" w14:textId="77777777" w:rsidR="00CB341C" w:rsidRPr="00DB6E6D" w:rsidRDefault="00CB341C" w:rsidP="00F30E80">
            <w:pPr>
              <w:rPr>
                <w:rFonts w:ascii="Avenir" w:eastAsia="Avenir" w:hAnsi="Avenir" w:cs="Avenir"/>
              </w:rPr>
            </w:pPr>
          </w:p>
        </w:tc>
        <w:tc>
          <w:tcPr>
            <w:tcW w:w="62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38D95AF" w14:textId="77777777" w:rsidR="00CB341C" w:rsidRPr="00DB6E6D" w:rsidRDefault="00CB341C" w:rsidP="00F30E80">
            <w:pPr>
              <w:rPr>
                <w:rFonts w:ascii="Avenir" w:eastAsia="Avenir" w:hAnsi="Avenir" w:cs="Avenir"/>
                <w:sz w:val="20"/>
                <w:szCs w:val="20"/>
              </w:rPr>
            </w:pPr>
            <w:r w:rsidRPr="00DB6E6D">
              <w:rPr>
                <w:rFonts w:ascii="Avenir" w:eastAsia="Avenir" w:hAnsi="Avenir" w:cs="Avenir"/>
                <w:sz w:val="20"/>
                <w:szCs w:val="20"/>
              </w:rPr>
              <w:t>X</w:t>
            </w:r>
          </w:p>
        </w:tc>
      </w:tr>
      <w:tr w:rsidR="00CB341C" w:rsidRPr="00DB6E6D" w14:paraId="4A263CCD" w14:textId="77777777" w:rsidTr="00F30E80">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360B81A0" w14:textId="77777777" w:rsidR="00CB341C" w:rsidRPr="00DB6E6D" w:rsidRDefault="00CB341C" w:rsidP="00F30E80">
            <w:pPr>
              <w:ind w:left="-2" w:hanging="2"/>
              <w:rPr>
                <w:rFonts w:ascii="Avenir" w:eastAsia="Avenir" w:hAnsi="Avenir" w:cs="Avenir"/>
                <w:sz w:val="22"/>
                <w:szCs w:val="22"/>
              </w:rPr>
            </w:pPr>
            <w:r w:rsidRPr="00DB6E6D">
              <w:rPr>
                <w:rFonts w:ascii="Avenir" w:eastAsia="Avenir" w:hAnsi="Avenir" w:cs="Avenir"/>
                <w:sz w:val="18"/>
                <w:szCs w:val="18"/>
              </w:rPr>
              <w:t>Investigations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7278AD97" w14:textId="77777777" w:rsidR="00CB341C" w:rsidRPr="00DB6E6D" w:rsidRDefault="00CB341C" w:rsidP="00F30E80">
            <w:pPr>
              <w:rPr>
                <w:rFonts w:ascii="Avenir" w:eastAsia="Avenir" w:hAnsi="Avenir" w:cs="Avenir"/>
              </w:rPr>
            </w:pPr>
          </w:p>
        </w:tc>
        <w:tc>
          <w:tcPr>
            <w:tcW w:w="62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1AA86B39" w14:textId="77777777" w:rsidR="00CB341C" w:rsidRPr="00DB6E6D" w:rsidRDefault="00CB341C" w:rsidP="00F30E80">
            <w:pPr>
              <w:rPr>
                <w:rFonts w:ascii="Avenir" w:eastAsia="Avenir" w:hAnsi="Avenir" w:cs="Avenir"/>
                <w:sz w:val="20"/>
                <w:szCs w:val="20"/>
              </w:rPr>
            </w:pPr>
            <w:r w:rsidRPr="00DB6E6D">
              <w:rPr>
                <w:rFonts w:ascii="Avenir" w:eastAsia="Avenir" w:hAnsi="Avenir" w:cs="Avenir"/>
                <w:sz w:val="20"/>
                <w:szCs w:val="20"/>
              </w:rPr>
              <w:t>X</w:t>
            </w:r>
          </w:p>
        </w:tc>
      </w:tr>
      <w:tr w:rsidR="00CB341C" w:rsidRPr="00DB6E6D" w14:paraId="11B310CA" w14:textId="77777777" w:rsidTr="00F30E80">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37F76F2C" w14:textId="77777777" w:rsidR="00CB341C" w:rsidRPr="00DB6E6D" w:rsidRDefault="00CB341C" w:rsidP="00F30E80">
            <w:pPr>
              <w:ind w:left="-2" w:hanging="2"/>
              <w:rPr>
                <w:rFonts w:ascii="Avenir" w:eastAsia="Avenir" w:hAnsi="Avenir" w:cs="Avenir"/>
                <w:sz w:val="22"/>
                <w:szCs w:val="22"/>
              </w:rPr>
            </w:pPr>
            <w:r w:rsidRPr="00DB6E6D">
              <w:rPr>
                <w:rFonts w:ascii="Avenir" w:eastAsia="Avenir" w:hAnsi="Avenir" w:cs="Avenir"/>
                <w:sz w:val="18"/>
                <w:szCs w:val="18"/>
              </w:rPr>
              <w:t>Sanctions (y compris les recouvrements effectués et leurs montants)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2A70B7A3" w14:textId="77777777" w:rsidR="00CB341C" w:rsidRPr="00DB6E6D" w:rsidRDefault="00CB341C" w:rsidP="00F30E80">
            <w:pPr>
              <w:rPr>
                <w:rFonts w:ascii="Avenir" w:eastAsia="Avenir" w:hAnsi="Avenir" w:cs="Avenir"/>
              </w:rPr>
            </w:pPr>
          </w:p>
        </w:tc>
        <w:tc>
          <w:tcPr>
            <w:tcW w:w="62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141BB16" w14:textId="77777777" w:rsidR="00CB341C" w:rsidRPr="00DB6E6D" w:rsidRDefault="00CB341C" w:rsidP="00F30E80">
            <w:pPr>
              <w:rPr>
                <w:rFonts w:ascii="Avenir" w:eastAsia="Avenir" w:hAnsi="Avenir" w:cs="Avenir"/>
                <w:sz w:val="20"/>
                <w:szCs w:val="20"/>
              </w:rPr>
            </w:pPr>
            <w:r w:rsidRPr="00DB6E6D">
              <w:rPr>
                <w:rFonts w:ascii="Avenir" w:eastAsia="Avenir" w:hAnsi="Avenir" w:cs="Avenir"/>
                <w:sz w:val="20"/>
                <w:szCs w:val="20"/>
              </w:rPr>
              <w:t>X</w:t>
            </w:r>
          </w:p>
        </w:tc>
      </w:tr>
      <w:tr w:rsidR="00CB341C" w:rsidRPr="00DB6E6D" w14:paraId="381C95AB" w14:textId="77777777" w:rsidTr="00F30E80">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1D97C809" w14:textId="77777777" w:rsidR="00CB341C" w:rsidRPr="00DB6E6D" w:rsidRDefault="00CB341C" w:rsidP="00F30E80">
            <w:pPr>
              <w:ind w:left="10" w:firstLine="10"/>
              <w:rPr>
                <w:rFonts w:ascii="Avenir" w:eastAsia="Avenir" w:hAnsi="Avenir" w:cs="Avenir"/>
                <w:sz w:val="22"/>
                <w:szCs w:val="22"/>
              </w:rPr>
            </w:pPr>
            <w:r w:rsidRPr="00DB6E6D">
              <w:rPr>
                <w:rFonts w:ascii="Avenir" w:eastAsia="Avenir" w:hAnsi="Avenir" w:cs="Avenir"/>
                <w:b/>
                <w:sz w:val="18"/>
                <w:szCs w:val="18"/>
              </w:rPr>
              <w:t>Cas d’exploitation, abus et harcèlement sexuels </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62E1D304" w14:textId="77777777" w:rsidR="00CB341C" w:rsidRPr="00DB6E6D" w:rsidRDefault="00CB341C" w:rsidP="00F30E80">
            <w:pPr>
              <w:rPr>
                <w:rFonts w:ascii="Avenir" w:eastAsia="Avenir" w:hAnsi="Avenir" w:cs="Avenir"/>
              </w:rPr>
            </w:pPr>
          </w:p>
        </w:tc>
        <w:tc>
          <w:tcPr>
            <w:tcW w:w="62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0C6920D0" w14:textId="77777777" w:rsidR="00CB341C" w:rsidRPr="00DB6E6D" w:rsidRDefault="00CB341C" w:rsidP="00F30E80">
            <w:pPr>
              <w:rPr>
                <w:rFonts w:ascii="Avenir" w:eastAsia="Avenir" w:hAnsi="Avenir" w:cs="Avenir"/>
                <w:sz w:val="20"/>
                <w:szCs w:val="20"/>
              </w:rPr>
            </w:pPr>
          </w:p>
        </w:tc>
      </w:tr>
      <w:tr w:rsidR="00CB341C" w:rsidRPr="00DB6E6D" w14:paraId="0EB31D74" w14:textId="77777777" w:rsidTr="00F30E80">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3BA68D40" w14:textId="77777777" w:rsidR="00CB341C" w:rsidRPr="00DB6E6D" w:rsidRDefault="00CB341C" w:rsidP="00F30E80">
            <w:pPr>
              <w:ind w:left="-2" w:hanging="2"/>
              <w:rPr>
                <w:rFonts w:ascii="Avenir" w:eastAsia="Avenir" w:hAnsi="Avenir" w:cs="Avenir"/>
                <w:sz w:val="22"/>
                <w:szCs w:val="22"/>
              </w:rPr>
            </w:pPr>
            <w:r w:rsidRPr="00DB6E6D">
              <w:rPr>
                <w:rFonts w:ascii="Avenir" w:eastAsia="Avenir" w:hAnsi="Avenir" w:cs="Avenir"/>
                <w:sz w:val="18"/>
                <w:szCs w:val="18"/>
              </w:rPr>
              <w:t>Allégations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7F8598B4" w14:textId="77777777" w:rsidR="00CB341C" w:rsidRPr="00DB6E6D" w:rsidRDefault="00CB341C" w:rsidP="00F30E80">
            <w:pPr>
              <w:rPr>
                <w:rFonts w:ascii="Avenir" w:eastAsia="Avenir" w:hAnsi="Avenir" w:cs="Avenir"/>
              </w:rPr>
            </w:pPr>
          </w:p>
        </w:tc>
        <w:tc>
          <w:tcPr>
            <w:tcW w:w="62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43402408" w14:textId="77777777" w:rsidR="00CB341C" w:rsidRPr="00DB6E6D" w:rsidRDefault="00CB341C" w:rsidP="00F30E80">
            <w:pPr>
              <w:rPr>
                <w:rFonts w:ascii="Avenir" w:eastAsia="Avenir" w:hAnsi="Avenir" w:cs="Avenir"/>
                <w:sz w:val="20"/>
                <w:szCs w:val="20"/>
              </w:rPr>
            </w:pPr>
            <w:r w:rsidRPr="00DB6E6D">
              <w:rPr>
                <w:rFonts w:ascii="Avenir" w:eastAsia="Avenir" w:hAnsi="Avenir" w:cs="Avenir"/>
                <w:sz w:val="20"/>
                <w:szCs w:val="20"/>
              </w:rPr>
              <w:t>X</w:t>
            </w:r>
          </w:p>
        </w:tc>
      </w:tr>
      <w:tr w:rsidR="00CB341C" w:rsidRPr="00DB6E6D" w14:paraId="6E79DF65" w14:textId="77777777" w:rsidTr="00F30E80">
        <w:trPr>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087D96C1" w14:textId="77777777" w:rsidR="00CB341C" w:rsidRPr="00DB6E6D" w:rsidRDefault="00CB341C" w:rsidP="00F30E80">
            <w:pPr>
              <w:ind w:left="-2" w:hanging="2"/>
              <w:rPr>
                <w:rFonts w:ascii="Avenir" w:eastAsia="Avenir" w:hAnsi="Avenir" w:cs="Avenir"/>
                <w:sz w:val="22"/>
                <w:szCs w:val="22"/>
              </w:rPr>
            </w:pPr>
            <w:r w:rsidRPr="00DB6E6D">
              <w:rPr>
                <w:rFonts w:ascii="Avenir" w:eastAsia="Avenir" w:hAnsi="Avenir" w:cs="Avenir"/>
                <w:sz w:val="18"/>
                <w:szCs w:val="18"/>
              </w:rPr>
              <w:t>Investigations</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550D12A6" w14:textId="77777777" w:rsidR="00CB341C" w:rsidRPr="00DB6E6D" w:rsidRDefault="00CB341C" w:rsidP="00F30E80">
            <w:pPr>
              <w:rPr>
                <w:rFonts w:ascii="Avenir" w:eastAsia="Avenir" w:hAnsi="Avenir" w:cs="Avenir"/>
              </w:rPr>
            </w:pPr>
          </w:p>
        </w:tc>
        <w:tc>
          <w:tcPr>
            <w:tcW w:w="62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71914E68" w14:textId="77777777" w:rsidR="00CB341C" w:rsidRPr="00DB6E6D" w:rsidRDefault="00CB341C" w:rsidP="00F30E80">
            <w:pPr>
              <w:rPr>
                <w:rFonts w:ascii="Avenir" w:eastAsia="Avenir" w:hAnsi="Avenir" w:cs="Avenir"/>
                <w:sz w:val="20"/>
                <w:szCs w:val="20"/>
              </w:rPr>
            </w:pPr>
            <w:r w:rsidRPr="00DB6E6D">
              <w:rPr>
                <w:rFonts w:ascii="Avenir" w:eastAsia="Avenir" w:hAnsi="Avenir" w:cs="Avenir"/>
                <w:sz w:val="20"/>
                <w:szCs w:val="20"/>
              </w:rPr>
              <w:t>X</w:t>
            </w:r>
          </w:p>
        </w:tc>
      </w:tr>
      <w:tr w:rsidR="00CB341C" w:rsidRPr="00DB6E6D" w14:paraId="1555BF8A" w14:textId="77777777" w:rsidTr="00F30E80">
        <w:trPr>
          <w:trHeight w:val="315"/>
          <w:jc w:val="center"/>
        </w:trPr>
        <w:tc>
          <w:tcPr>
            <w:tcW w:w="3830" w:type="dxa"/>
            <w:tcBorders>
              <w:top w:val="nil"/>
              <w:left w:val="single" w:sz="8" w:space="0" w:color="000000"/>
              <w:bottom w:val="single" w:sz="8" w:space="0" w:color="000000"/>
              <w:right w:val="single" w:sz="8" w:space="0" w:color="000000"/>
            </w:tcBorders>
            <w:tcMar>
              <w:top w:w="0" w:type="dxa"/>
              <w:left w:w="115" w:type="dxa"/>
              <w:bottom w:w="0" w:type="dxa"/>
              <w:right w:w="115" w:type="dxa"/>
            </w:tcMar>
          </w:tcPr>
          <w:p w14:paraId="547C0A05" w14:textId="77777777" w:rsidR="00CB341C" w:rsidRPr="00DB6E6D" w:rsidRDefault="00CB341C" w:rsidP="00F30E80">
            <w:pPr>
              <w:ind w:left="-2" w:hanging="2"/>
              <w:rPr>
                <w:rFonts w:ascii="Avenir" w:eastAsia="Avenir" w:hAnsi="Avenir" w:cs="Avenir"/>
                <w:sz w:val="22"/>
                <w:szCs w:val="22"/>
              </w:rPr>
            </w:pPr>
            <w:r w:rsidRPr="00DB6E6D">
              <w:rPr>
                <w:rFonts w:ascii="Avenir" w:eastAsia="Avenir" w:hAnsi="Avenir" w:cs="Avenir"/>
                <w:sz w:val="18"/>
                <w:szCs w:val="18"/>
              </w:rPr>
              <w:t>Sanctions </w:t>
            </w:r>
          </w:p>
        </w:tc>
        <w:tc>
          <w:tcPr>
            <w:tcW w:w="4290" w:type="dxa"/>
            <w:tcBorders>
              <w:top w:val="nil"/>
              <w:left w:val="nil"/>
              <w:bottom w:val="single" w:sz="8" w:space="0" w:color="000000"/>
              <w:right w:val="single" w:sz="8" w:space="0" w:color="000000"/>
            </w:tcBorders>
            <w:tcMar>
              <w:top w:w="0" w:type="dxa"/>
              <w:left w:w="115" w:type="dxa"/>
              <w:bottom w:w="0" w:type="dxa"/>
              <w:right w:w="115" w:type="dxa"/>
            </w:tcMar>
          </w:tcPr>
          <w:p w14:paraId="3599440C" w14:textId="77777777" w:rsidR="00CB341C" w:rsidRPr="00DB6E6D" w:rsidRDefault="00CB341C" w:rsidP="00F30E80">
            <w:pPr>
              <w:rPr>
                <w:rFonts w:ascii="Avenir" w:eastAsia="Avenir" w:hAnsi="Avenir" w:cs="Avenir"/>
              </w:rPr>
            </w:pPr>
          </w:p>
        </w:tc>
        <w:tc>
          <w:tcPr>
            <w:tcW w:w="624" w:type="dxa"/>
            <w:tcBorders>
              <w:top w:val="nil"/>
              <w:left w:val="nil"/>
              <w:bottom w:val="single" w:sz="8" w:space="0" w:color="000000"/>
              <w:right w:val="single" w:sz="8" w:space="0" w:color="000000"/>
            </w:tcBorders>
            <w:shd w:val="clear" w:color="auto" w:fill="auto"/>
            <w:tcMar>
              <w:top w:w="0" w:type="dxa"/>
              <w:left w:w="115" w:type="dxa"/>
              <w:bottom w:w="0" w:type="dxa"/>
              <w:right w:w="115" w:type="dxa"/>
            </w:tcMar>
          </w:tcPr>
          <w:p w14:paraId="53D45F38" w14:textId="77777777" w:rsidR="00CB341C" w:rsidRPr="00DB6E6D" w:rsidRDefault="00CB341C" w:rsidP="00F30E80">
            <w:pPr>
              <w:rPr>
                <w:rFonts w:ascii="Avenir" w:eastAsia="Avenir" w:hAnsi="Avenir" w:cs="Avenir"/>
                <w:sz w:val="20"/>
                <w:szCs w:val="20"/>
              </w:rPr>
            </w:pPr>
            <w:r w:rsidRPr="00DB6E6D">
              <w:rPr>
                <w:rFonts w:ascii="Avenir" w:eastAsia="Avenir" w:hAnsi="Avenir" w:cs="Avenir"/>
                <w:sz w:val="20"/>
                <w:szCs w:val="20"/>
              </w:rPr>
              <w:t>X</w:t>
            </w:r>
          </w:p>
        </w:tc>
      </w:tr>
    </w:tbl>
    <w:p w14:paraId="5637F584" w14:textId="77777777" w:rsidR="00FC75A8" w:rsidRDefault="00000000">
      <w:pPr>
        <w:spacing w:after="240"/>
        <w:rPr>
          <w:rFonts w:ascii="Avenir" w:eastAsia="Avenir" w:hAnsi="Avenir" w:cs="Avenir"/>
          <w:sz w:val="22"/>
          <w:szCs w:val="22"/>
        </w:rPr>
      </w:pPr>
      <w:r>
        <w:rPr>
          <w:rFonts w:ascii="Avenir" w:eastAsia="Avenir" w:hAnsi="Avenir" w:cs="Avenir"/>
        </w:rPr>
        <w:t> </w:t>
      </w:r>
    </w:p>
    <w:p w14:paraId="5637F587" w14:textId="334E2E88" w:rsidR="00FC75A8" w:rsidRDefault="00FE70AA" w:rsidP="00FE70AA">
      <w:pPr>
        <w:pStyle w:val="PIREDD1"/>
      </w:pPr>
      <w:bookmarkStart w:id="32" w:name="_Toc191317697"/>
      <w:r>
        <w:t>10. Récapitulatif des livrables</w:t>
      </w:r>
      <w:bookmarkEnd w:id="32"/>
      <w:r>
        <w:t xml:space="preserve"> </w:t>
      </w:r>
    </w:p>
    <w:p w14:paraId="391D2B6E" w14:textId="47D90B4B" w:rsidR="00CB341C" w:rsidRPr="0058116A" w:rsidRDefault="00CB341C" w:rsidP="004C0DD4">
      <w:pPr>
        <w:pStyle w:val="Paragraphedeliste"/>
        <w:numPr>
          <w:ilvl w:val="0"/>
          <w:numId w:val="41"/>
        </w:numPr>
        <w:pBdr>
          <w:top w:val="nil"/>
          <w:left w:val="nil"/>
          <w:bottom w:val="nil"/>
          <w:right w:val="nil"/>
          <w:between w:val="nil"/>
        </w:pBdr>
        <w:spacing w:after="0" w:line="259" w:lineRule="auto"/>
        <w:ind w:right="0"/>
        <w:rPr>
          <w:rFonts w:ascii="Avenir" w:eastAsia="Avenir" w:hAnsi="Avenir" w:cs="Avenir"/>
          <w:iCs/>
        </w:rPr>
      </w:pPr>
      <w:r w:rsidRPr="00DB6E6D">
        <w:rPr>
          <w:rFonts w:ascii="Avenir" w:eastAsia="Avenir" w:hAnsi="Avenir" w:cs="Avenir"/>
          <w:iCs/>
        </w:rPr>
        <w:t>Procès-Verbal du Comité d’Orientation Stratégique (CORS) du PIREDD KORLOM tenu le 10/12/2024 à Kinshasa, République Démocratique du Congo</w:t>
      </w:r>
      <w:r>
        <w:rPr>
          <w:rFonts w:ascii="Avenir" w:eastAsia="Avenir" w:hAnsi="Avenir" w:cs="Avenir"/>
          <w:iCs/>
        </w:rPr>
        <w:t xml:space="preserve"> </w:t>
      </w:r>
      <w:r w:rsidRPr="00DB6E6D">
        <w:rPr>
          <w:rFonts w:ascii="Avenir" w:eastAsia="Avenir" w:hAnsi="Avenir" w:cs="Avenir"/>
          <w:iCs/>
        </w:rPr>
        <w:t>:</w:t>
      </w:r>
      <w:r>
        <w:rPr>
          <w:rFonts w:ascii="Avenir" w:eastAsia="Avenir" w:hAnsi="Avenir" w:cs="Avenir"/>
          <w:iCs/>
        </w:rPr>
        <w:t xml:space="preserve"> </w:t>
      </w:r>
      <w:hyperlink r:id="rId22" w:history="1">
        <w:r w:rsidR="00651BAF" w:rsidRPr="00651BAF">
          <w:rPr>
            <w:rStyle w:val="Lienhypertexte"/>
            <w:rFonts w:ascii="Avenir" w:eastAsia="Avenir" w:hAnsi="Avenir" w:cs="Avenir"/>
            <w:iCs/>
          </w:rPr>
          <w:t>PV du CORS du 10/12/2024</w:t>
        </w:r>
      </w:hyperlink>
    </w:p>
    <w:p w14:paraId="5637F588" w14:textId="1A33324B" w:rsidR="00FC75A8" w:rsidRDefault="00FC75A8">
      <w:pPr>
        <w:ind w:left="0" w:firstLine="0"/>
        <w:rPr>
          <w:rFonts w:ascii="Avenir" w:eastAsia="Avenir" w:hAnsi="Avenir" w:cs="Avenir"/>
          <w:i/>
          <w:sz w:val="20"/>
          <w:szCs w:val="20"/>
        </w:rPr>
      </w:pPr>
    </w:p>
    <w:p w14:paraId="5637F589" w14:textId="77777777" w:rsidR="00FC75A8" w:rsidRDefault="00FC75A8">
      <w:pPr>
        <w:rPr>
          <w:rFonts w:ascii="Avenir" w:eastAsia="Avenir" w:hAnsi="Avenir" w:cs="Avenir"/>
          <w:i/>
        </w:rPr>
      </w:pPr>
    </w:p>
    <w:sectPr w:rsidR="00FC75A8">
      <w:pgSz w:w="11900" w:h="16840"/>
      <w:pgMar w:top="1961" w:right="1557" w:bottom="1493" w:left="1579" w:header="1020" w:footer="111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B791A" w14:textId="77777777" w:rsidR="006748D4" w:rsidRDefault="006748D4">
      <w:pPr>
        <w:spacing w:after="0" w:line="240" w:lineRule="auto"/>
      </w:pPr>
      <w:r>
        <w:separator/>
      </w:r>
    </w:p>
  </w:endnote>
  <w:endnote w:type="continuationSeparator" w:id="0">
    <w:p w14:paraId="441B469E" w14:textId="77777777" w:rsidR="006748D4" w:rsidRDefault="00674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5FA37C-4712-4C31-BBF0-F53C44B07DB2}"/>
    <w:embedBold r:id="rId2" w:fontKey="{F823183F-765A-4D6B-8C97-2D7B1E441B5C}"/>
    <w:embedItalic r:id="rId3" w:fontKey="{81B82FBC-F64B-42EC-B410-2F85ADB8A9E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FD7085D3-6D1E-4C01-943D-C06E7A56056C}"/>
  </w:font>
  <w:font w:name="Cambria">
    <w:panose1 w:val="02040503050406030204"/>
    <w:charset w:val="00"/>
    <w:family w:val="roman"/>
    <w:pitch w:val="variable"/>
    <w:sig w:usb0="E00006FF" w:usb1="420024FF" w:usb2="02000000" w:usb3="00000000" w:csb0="0000019F" w:csb1="00000000"/>
    <w:embedRegular r:id="rId5" w:fontKey="{A8934B64-CEDA-455F-AE3C-F449224315D2}"/>
    <w:embedBold r:id="rId6" w:fontKey="{126D6FE1-1E39-4718-9ACF-C4C85E03C0D4}"/>
  </w:font>
  <w:font w:name="Avenir Next LT Pro">
    <w:charset w:val="00"/>
    <w:family w:val="swiss"/>
    <w:pitch w:val="variable"/>
    <w:sig w:usb0="800000EF" w:usb1="5000204A" w:usb2="00000000" w:usb3="00000000" w:csb0="00000093" w:csb1="00000000"/>
    <w:embedRegular r:id="rId7" w:fontKey="{4284C889-187B-4745-A703-2BB819F10013}"/>
    <w:embedBold r:id="rId8" w:fontKey="{89CC09D9-1EB4-4BC3-9750-D23A4A518D35}"/>
  </w:font>
  <w:font w:name="Segoe UI">
    <w:panose1 w:val="020B0502040204020203"/>
    <w:charset w:val="00"/>
    <w:family w:val="swiss"/>
    <w:pitch w:val="variable"/>
    <w:sig w:usb0="E4002EFF" w:usb1="C000E47F" w:usb2="00000009" w:usb3="00000000" w:csb0="000001FF" w:csb1="00000000"/>
    <w:embedRegular r:id="rId9" w:fontKey="{F2D06631-6C00-4322-B6CB-1CCBFD1A2B45}"/>
  </w:font>
  <w:font w:name="Georgia">
    <w:panose1 w:val="02040502050405020303"/>
    <w:charset w:val="00"/>
    <w:family w:val="roman"/>
    <w:pitch w:val="variable"/>
    <w:sig w:usb0="00000287" w:usb1="00000000" w:usb2="00000000" w:usb3="00000000" w:csb0="0000009F" w:csb1="00000000"/>
    <w:embedRegular r:id="rId10" w:fontKey="{B20D6703-A7E2-42C7-B53A-A1DEC63FAAC0}"/>
    <w:embedItalic r:id="rId11" w:fontKey="{6F916F15-49C5-4771-92A5-0857E1FBE1B9}"/>
  </w:font>
  <w:font w:name="Avenir">
    <w:altName w:val="Calibri"/>
    <w:charset w:val="00"/>
    <w:family w:val="auto"/>
    <w:pitch w:val="default"/>
  </w:font>
  <w:font w:name="Arial Rounded MT Bold">
    <w:panose1 w:val="020F0704030504030204"/>
    <w:charset w:val="00"/>
    <w:family w:val="swiss"/>
    <w:pitch w:val="variable"/>
    <w:sig w:usb0="00000003" w:usb1="00000000" w:usb2="00000000" w:usb3="00000000" w:csb0="00000001" w:csb1="00000000"/>
    <w:embedBold r:id="rId12" w:fontKey="{849A4FC3-A949-49CF-AA35-7AF66C211116}"/>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3" w:subsetted="1" w:fontKey="{CD797A3D-B7E4-4192-8A76-D83175BC27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F58B" w14:textId="6247DAF5" w:rsidR="00FC75A8" w:rsidRDefault="00000000">
    <w:pPr>
      <w:pBdr>
        <w:top w:val="nil"/>
        <w:left w:val="nil"/>
        <w:bottom w:val="nil"/>
        <w:right w:val="nil"/>
        <w:between w:val="nil"/>
      </w:pBdr>
      <w:tabs>
        <w:tab w:val="center" w:pos="4536"/>
        <w:tab w:val="right" w:pos="9072"/>
      </w:tabs>
      <w:spacing w:after="0" w:line="240" w:lineRule="auto"/>
      <w:jc w:val="center"/>
    </w:pPr>
    <w:r>
      <w:fldChar w:fldCharType="begin"/>
    </w:r>
    <w:r>
      <w:instrText>PAGE</w:instrText>
    </w:r>
    <w:r>
      <w:fldChar w:fldCharType="separate"/>
    </w:r>
    <w:r w:rsidR="00FD05C6">
      <w:rPr>
        <w:noProof/>
      </w:rPr>
      <w:t>2</w:t>
    </w:r>
    <w:r>
      <w:fldChar w:fldCharType="end"/>
    </w:r>
  </w:p>
  <w:p w14:paraId="5637F58C" w14:textId="77777777" w:rsidR="00FC75A8" w:rsidRDefault="00FC75A8">
    <w:pPr>
      <w:pBdr>
        <w:top w:val="nil"/>
        <w:left w:val="nil"/>
        <w:bottom w:val="nil"/>
        <w:right w:val="nil"/>
        <w:between w:val="nil"/>
      </w:pBdr>
      <w:tabs>
        <w:tab w:val="center" w:pos="4536"/>
        <w:tab w:val="right" w:pos="9072"/>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F590" w14:textId="2A60E542" w:rsidR="00FC75A8" w:rsidRDefault="00000000">
    <w:pPr>
      <w:pBdr>
        <w:top w:val="nil"/>
        <w:left w:val="nil"/>
        <w:bottom w:val="nil"/>
        <w:right w:val="nil"/>
        <w:between w:val="nil"/>
      </w:pBdr>
      <w:tabs>
        <w:tab w:val="center" w:pos="4536"/>
        <w:tab w:val="right" w:pos="9072"/>
      </w:tabs>
      <w:spacing w:after="0" w:line="240" w:lineRule="auto"/>
      <w:jc w:val="center"/>
    </w:pPr>
    <w:r>
      <w:fldChar w:fldCharType="begin"/>
    </w:r>
    <w:r>
      <w:instrText>PAGE</w:instrText>
    </w:r>
    <w:r>
      <w:fldChar w:fldCharType="separate"/>
    </w:r>
    <w:r w:rsidR="00FD05C6">
      <w:rPr>
        <w:noProof/>
      </w:rPr>
      <w:t>1</w:t>
    </w:r>
    <w:r>
      <w:fldChar w:fldCharType="end"/>
    </w:r>
  </w:p>
  <w:p w14:paraId="5637F591" w14:textId="77777777" w:rsidR="00FC75A8" w:rsidRDefault="00FC75A8">
    <w:pPr>
      <w:pBdr>
        <w:top w:val="nil"/>
        <w:left w:val="nil"/>
        <w:bottom w:val="nil"/>
        <w:right w:val="nil"/>
        <w:between w:val="nil"/>
      </w:pBdr>
      <w:tabs>
        <w:tab w:val="center" w:pos="4536"/>
        <w:tab w:val="right" w:pos="9072"/>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F593" w14:textId="6B052945" w:rsidR="00FC75A8" w:rsidRDefault="00000000">
    <w:pPr>
      <w:pBdr>
        <w:top w:val="nil"/>
        <w:left w:val="nil"/>
        <w:bottom w:val="nil"/>
        <w:right w:val="nil"/>
        <w:between w:val="nil"/>
      </w:pBdr>
      <w:tabs>
        <w:tab w:val="center" w:pos="4536"/>
        <w:tab w:val="right" w:pos="9072"/>
      </w:tabs>
      <w:spacing w:after="0" w:line="240" w:lineRule="auto"/>
      <w:jc w:val="center"/>
    </w:pPr>
    <w:r>
      <w:fldChar w:fldCharType="begin"/>
    </w:r>
    <w:r>
      <w:instrText>PAGE</w:instrText>
    </w:r>
    <w:r>
      <w:fldChar w:fldCharType="separate"/>
    </w:r>
    <w:r w:rsidR="00FD05C6">
      <w:rPr>
        <w:noProof/>
      </w:rPr>
      <w:t>6</w:t>
    </w:r>
    <w:r>
      <w:fldChar w:fldCharType="end"/>
    </w:r>
  </w:p>
  <w:p w14:paraId="5637F594" w14:textId="77777777" w:rsidR="00FC75A8" w:rsidRDefault="00FC75A8">
    <w:pPr>
      <w:pBdr>
        <w:top w:val="nil"/>
        <w:left w:val="nil"/>
        <w:bottom w:val="nil"/>
        <w:right w:val="nil"/>
        <w:between w:val="nil"/>
      </w:pBd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22379" w14:textId="77777777" w:rsidR="006748D4" w:rsidRDefault="006748D4">
      <w:pPr>
        <w:spacing w:after="0" w:line="240" w:lineRule="auto"/>
      </w:pPr>
      <w:r>
        <w:separator/>
      </w:r>
    </w:p>
  </w:footnote>
  <w:footnote w:type="continuationSeparator" w:id="0">
    <w:p w14:paraId="2480F6E9" w14:textId="77777777" w:rsidR="006748D4" w:rsidRDefault="006748D4">
      <w:pPr>
        <w:spacing w:after="0" w:line="240" w:lineRule="auto"/>
      </w:pPr>
      <w:r>
        <w:continuationSeparator/>
      </w:r>
    </w:p>
  </w:footnote>
  <w:footnote w:id="1">
    <w:p w14:paraId="5637F597" w14:textId="6609CC48" w:rsidR="00FC75A8" w:rsidRDefault="00000000" w:rsidP="00FD05C6">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vertAlign w:val="superscript"/>
        </w:rPr>
        <w:t xml:space="preserve"> </w:t>
      </w:r>
      <w:r w:rsidR="00BA382D">
        <w:rPr>
          <w:rFonts w:ascii="Avenir" w:eastAsia="Avenir" w:hAnsi="Avenir" w:cs="Avenir"/>
          <w:sz w:val="18"/>
          <w:szCs w:val="18"/>
        </w:rPr>
        <w:t xml:space="preserve">Ce canevas est relatif à la présentation des rapports annuel et semestriel des organisations de mise en œuvre des programmes financés par CAFI via le FONAREDD en RDC.  </w:t>
      </w:r>
      <w:r w:rsidR="00BA382D" w:rsidRPr="00614EE6">
        <w:rPr>
          <w:rFonts w:ascii="Avenir" w:eastAsia="Avenir" w:hAnsi="Avenir" w:cs="Avenir"/>
          <w:sz w:val="18"/>
          <w:szCs w:val="18"/>
        </w:rPr>
        <w:t xml:space="preserve">Les rapports annuels couvrent la période du 1er janvier au 31 décembre et les </w:t>
      </w:r>
      <w:r w:rsidR="00BA382D">
        <w:rPr>
          <w:rFonts w:ascii="Avenir" w:eastAsia="Avenir" w:hAnsi="Avenir" w:cs="Avenir"/>
          <w:sz w:val="18"/>
          <w:szCs w:val="18"/>
        </w:rPr>
        <w:t xml:space="preserve">premières </w:t>
      </w:r>
      <w:r w:rsidR="00BA382D" w:rsidRPr="00614EE6">
        <w:rPr>
          <w:rFonts w:ascii="Avenir" w:eastAsia="Avenir" w:hAnsi="Avenir" w:cs="Avenir"/>
          <w:sz w:val="18"/>
          <w:szCs w:val="18"/>
        </w:rPr>
        <w:t>versions doivent être soumis</w:t>
      </w:r>
      <w:r w:rsidR="00BA382D">
        <w:rPr>
          <w:rFonts w:ascii="Avenir" w:eastAsia="Avenir" w:hAnsi="Avenir" w:cs="Avenir"/>
          <w:sz w:val="18"/>
          <w:szCs w:val="18"/>
        </w:rPr>
        <w:t>es</w:t>
      </w:r>
      <w:r w:rsidR="00BA382D" w:rsidRPr="00614EE6">
        <w:rPr>
          <w:rFonts w:ascii="Avenir" w:eastAsia="Avenir" w:hAnsi="Avenir" w:cs="Avenir"/>
          <w:sz w:val="18"/>
          <w:szCs w:val="18"/>
        </w:rPr>
        <w:t xml:space="preserve"> au plus tard le 31 janvier de l’année suivante. Les rapports semestriels couvrent la période du 1er janvier au 30 juin et les </w:t>
      </w:r>
      <w:r w:rsidR="00BA382D">
        <w:rPr>
          <w:rFonts w:ascii="Avenir" w:eastAsia="Avenir" w:hAnsi="Avenir" w:cs="Avenir"/>
          <w:sz w:val="18"/>
          <w:szCs w:val="18"/>
        </w:rPr>
        <w:t>premi</w:t>
      </w:r>
      <w:r w:rsidR="00BA382D" w:rsidRPr="00614EE6">
        <w:rPr>
          <w:rFonts w:ascii="Avenir" w:eastAsia="Avenir" w:hAnsi="Avenir" w:cs="Avenir"/>
          <w:sz w:val="18"/>
          <w:szCs w:val="18"/>
        </w:rPr>
        <w:t>ères versions doivent être soumis</w:t>
      </w:r>
      <w:r w:rsidR="00BA382D">
        <w:rPr>
          <w:rFonts w:ascii="Avenir" w:eastAsia="Avenir" w:hAnsi="Avenir" w:cs="Avenir"/>
          <w:sz w:val="18"/>
          <w:szCs w:val="18"/>
        </w:rPr>
        <w:t>es</w:t>
      </w:r>
      <w:r w:rsidR="00BA382D" w:rsidRPr="00614EE6">
        <w:rPr>
          <w:rFonts w:ascii="Avenir" w:eastAsia="Avenir" w:hAnsi="Avenir" w:cs="Avenir"/>
          <w:sz w:val="18"/>
          <w:szCs w:val="18"/>
        </w:rPr>
        <w:t xml:space="preserve"> le 31 juillet.</w:t>
      </w:r>
    </w:p>
  </w:footnote>
  <w:footnote w:id="2">
    <w:p w14:paraId="5637F598" w14:textId="77777777" w:rsidR="00FC75A8" w:rsidRDefault="00000000">
      <w:pPr>
        <w:pBdr>
          <w:top w:val="nil"/>
          <w:left w:val="nil"/>
          <w:bottom w:val="nil"/>
          <w:right w:val="nil"/>
          <w:between w:val="nil"/>
        </w:pBdr>
        <w:spacing w:after="0" w:line="240" w:lineRule="auto"/>
        <w:jc w:val="left"/>
        <w:rPr>
          <w:rFonts w:ascii="Avenir" w:eastAsia="Avenir" w:hAnsi="Avenir" w:cs="Avenir"/>
          <w:sz w:val="18"/>
          <w:szCs w:val="18"/>
        </w:rPr>
      </w:pPr>
      <w:r>
        <w:rPr>
          <w:rStyle w:val="Appelnotedebasdep"/>
        </w:rPr>
        <w:footnoteRef/>
      </w:r>
      <w:r>
        <w:rPr>
          <w:rFonts w:ascii="Avenir" w:eastAsia="Avenir" w:hAnsi="Avenir" w:cs="Avenir"/>
          <w:sz w:val="18"/>
          <w:szCs w:val="18"/>
        </w:rPr>
        <w:t xml:space="preserve"> L’ensemble des documents de projet se trouve sur le Drive CAFI : </w:t>
      </w:r>
      <w:hyperlink r:id="rId1">
        <w:r w:rsidR="00FC75A8">
          <w:rPr>
            <w:rFonts w:ascii="Avenir" w:eastAsia="Avenir" w:hAnsi="Avenir" w:cs="Avenir"/>
            <w:color w:val="F49100"/>
            <w:sz w:val="18"/>
            <w:szCs w:val="18"/>
            <w:u w:val="single"/>
          </w:rPr>
          <w:t>https://drive.google.com/drive/folders/1RhAT_Hc5jycgw40xr7YZM57jV4zQFadQ</w:t>
        </w:r>
      </w:hyperlink>
      <w:r>
        <w:rPr>
          <w:rFonts w:ascii="Avenir" w:eastAsia="Avenir" w:hAnsi="Avenir" w:cs="Avenir"/>
          <w:color w:val="F49100"/>
          <w:sz w:val="18"/>
          <w:szCs w:val="18"/>
          <w:u w:val="single"/>
        </w:rPr>
        <w:t xml:space="preserve">  </w:t>
      </w:r>
    </w:p>
  </w:footnote>
  <w:footnote w:id="3">
    <w:p w14:paraId="5637F599" w14:textId="77777777" w:rsidR="00FC75A8" w:rsidRDefault="00000000">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rPr>
        <w:t xml:space="preserve"> Il s’agit des organisations qui ont reçu un financement direct du Bureau MPTF dans le cadre du projet.</w:t>
      </w:r>
    </w:p>
  </w:footnote>
  <w:footnote w:id="4">
    <w:p w14:paraId="5637F5A0" w14:textId="5DF5C047" w:rsidR="00FC75A8" w:rsidRDefault="00000000">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vertAlign w:val="superscript"/>
        </w:rPr>
        <w:t xml:space="preserve"> </w:t>
      </w:r>
      <w:r>
        <w:rPr>
          <w:rFonts w:ascii="Avenir" w:eastAsia="Avenir" w:hAnsi="Avenir" w:cs="Avenir"/>
          <w:sz w:val="18"/>
          <w:szCs w:val="18"/>
        </w:rPr>
        <w:t xml:space="preserve">Reporter </w:t>
      </w:r>
      <w:proofErr w:type="gramStart"/>
      <w:r>
        <w:rPr>
          <w:rFonts w:ascii="Avenir" w:eastAsia="Avenir" w:hAnsi="Avenir" w:cs="Avenir"/>
          <w:sz w:val="18"/>
          <w:szCs w:val="18"/>
        </w:rPr>
        <w:t>la valeur indiqu</w:t>
      </w:r>
      <w:r w:rsidR="00EF6B26">
        <w:rPr>
          <w:rFonts w:ascii="Avenir" w:eastAsia="Avenir" w:hAnsi="Avenir" w:cs="Avenir"/>
          <w:sz w:val="18"/>
          <w:szCs w:val="18"/>
        </w:rPr>
        <w:t>é</w:t>
      </w:r>
      <w:proofErr w:type="gramEnd"/>
      <w:r>
        <w:rPr>
          <w:rFonts w:ascii="Avenir" w:eastAsia="Avenir" w:hAnsi="Avenir" w:cs="Avenir"/>
          <w:sz w:val="18"/>
          <w:szCs w:val="18"/>
        </w:rPr>
        <w:t xml:space="preserve"> dans le tableau 2.</w:t>
      </w:r>
    </w:p>
  </w:footnote>
  <w:footnote w:id="5">
    <w:p w14:paraId="5637F5A1" w14:textId="77777777" w:rsidR="00FC75A8" w:rsidRDefault="00000000">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vertAlign w:val="superscript"/>
        </w:rPr>
        <w:t xml:space="preserve"> </w:t>
      </w:r>
      <w:r>
        <w:rPr>
          <w:rFonts w:ascii="Avenir" w:eastAsia="Avenir" w:hAnsi="Avenir" w:cs="Avenir"/>
          <w:sz w:val="18"/>
          <w:szCs w:val="18"/>
        </w:rPr>
        <w:t>Tels qu’indiqués dans la colonne G du tableau 5.1.</w:t>
      </w:r>
    </w:p>
  </w:footnote>
  <w:footnote w:id="6">
    <w:p w14:paraId="5637F5A2" w14:textId="77777777" w:rsidR="00FC75A8" w:rsidRDefault="00000000">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rPr>
        <w:t xml:space="preserve"> En vertu du protocole d’accord (</w:t>
      </w:r>
      <w:proofErr w:type="spellStart"/>
      <w:r>
        <w:rPr>
          <w:rFonts w:ascii="Avenir" w:eastAsia="Avenir" w:hAnsi="Avenir" w:cs="Avenir"/>
          <w:sz w:val="18"/>
          <w:szCs w:val="18"/>
        </w:rPr>
        <w:t>Memorandum</w:t>
      </w:r>
      <w:proofErr w:type="spellEnd"/>
      <w:r>
        <w:rPr>
          <w:rFonts w:ascii="Avenir" w:eastAsia="Avenir" w:hAnsi="Avenir" w:cs="Avenir"/>
          <w:sz w:val="18"/>
          <w:szCs w:val="18"/>
        </w:rPr>
        <w:t xml:space="preserve"> of </w:t>
      </w:r>
      <w:proofErr w:type="spellStart"/>
      <w:r>
        <w:rPr>
          <w:rFonts w:ascii="Avenir" w:eastAsia="Avenir" w:hAnsi="Avenir" w:cs="Avenir"/>
          <w:sz w:val="18"/>
          <w:szCs w:val="18"/>
        </w:rPr>
        <w:t>Understanding</w:t>
      </w:r>
      <w:proofErr w:type="spellEnd"/>
      <w:r>
        <w:rPr>
          <w:rFonts w:ascii="Avenir" w:eastAsia="Avenir" w:hAnsi="Avenir" w:cs="Avenir"/>
          <w:sz w:val="18"/>
          <w:szCs w:val="18"/>
        </w:rPr>
        <w:t>) et des Accords standards signés avec le MPTF, qui stipulent que « les rapports financiers fourniront l’information sur l’utilisation des ressources fiduciaires selon les effets et produits du cadre de résultat du programme ».</w:t>
      </w:r>
    </w:p>
  </w:footnote>
  <w:footnote w:id="7">
    <w:p w14:paraId="5637F5A3" w14:textId="77777777" w:rsidR="00FC75A8" w:rsidRDefault="00000000">
      <w:pPr>
        <w:pBdr>
          <w:top w:val="nil"/>
          <w:left w:val="nil"/>
          <w:bottom w:val="nil"/>
          <w:right w:val="nil"/>
          <w:between w:val="nil"/>
        </w:pBdr>
        <w:spacing w:after="0" w:line="240" w:lineRule="auto"/>
        <w:rPr>
          <w:rFonts w:ascii="Avenir" w:eastAsia="Avenir" w:hAnsi="Avenir" w:cs="Avenir"/>
          <w:sz w:val="18"/>
          <w:szCs w:val="18"/>
        </w:rPr>
      </w:pPr>
      <w:r>
        <w:rPr>
          <w:rStyle w:val="Appelnotedebasdep"/>
        </w:rPr>
        <w:footnoteRef/>
      </w:r>
      <w:r>
        <w:rPr>
          <w:rFonts w:ascii="Avenir" w:eastAsia="Avenir" w:hAnsi="Avenir" w:cs="Avenir"/>
          <w:sz w:val="18"/>
          <w:szCs w:val="18"/>
          <w:vertAlign w:val="superscript"/>
        </w:rPr>
        <w:t xml:space="preserve"> </w:t>
      </w:r>
      <w:r>
        <w:rPr>
          <w:rFonts w:ascii="Avenir" w:eastAsia="Avenir" w:hAnsi="Avenir" w:cs="Avenir"/>
          <w:sz w:val="18"/>
          <w:szCs w:val="18"/>
        </w:rPr>
        <w:t>En vertu du protocole d’accord (</w:t>
      </w:r>
      <w:proofErr w:type="spellStart"/>
      <w:r>
        <w:rPr>
          <w:rFonts w:ascii="Avenir" w:eastAsia="Avenir" w:hAnsi="Avenir" w:cs="Avenir"/>
          <w:sz w:val="18"/>
          <w:szCs w:val="18"/>
        </w:rPr>
        <w:t>Memorandum</w:t>
      </w:r>
      <w:proofErr w:type="spellEnd"/>
      <w:r>
        <w:rPr>
          <w:rFonts w:ascii="Avenir" w:eastAsia="Avenir" w:hAnsi="Avenir" w:cs="Avenir"/>
          <w:sz w:val="18"/>
          <w:szCs w:val="18"/>
        </w:rPr>
        <w:t xml:space="preserve"> of </w:t>
      </w:r>
      <w:proofErr w:type="spellStart"/>
      <w:r>
        <w:rPr>
          <w:rFonts w:ascii="Avenir" w:eastAsia="Avenir" w:hAnsi="Avenir" w:cs="Avenir"/>
          <w:sz w:val="18"/>
          <w:szCs w:val="18"/>
        </w:rPr>
        <w:t>Understanding</w:t>
      </w:r>
      <w:proofErr w:type="spellEnd"/>
      <w:r>
        <w:rPr>
          <w:rFonts w:ascii="Avenir" w:eastAsia="Avenir" w:hAnsi="Avenir" w:cs="Avenir"/>
          <w:sz w:val="18"/>
          <w:szCs w:val="18"/>
        </w:rPr>
        <w:t>) et des Accords standards signés avec le MPTF, qui stipule que « les rapports financiers fourniront l’information sur l’utilisation des ressources fiduciaires selon les effets et produits du cadre de résultat du programme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F58A" w14:textId="77777777" w:rsidR="00FC75A8" w:rsidRDefault="00000000">
    <w:pPr>
      <w:pBdr>
        <w:top w:val="nil"/>
        <w:left w:val="nil"/>
        <w:bottom w:val="nil"/>
        <w:right w:val="nil"/>
        <w:between w:val="nil"/>
      </w:pBdr>
      <w:tabs>
        <w:tab w:val="center" w:pos="4536"/>
        <w:tab w:val="right" w:pos="9072"/>
      </w:tabs>
      <w:spacing w:after="0" w:line="240" w:lineRule="auto"/>
      <w:jc w:val="right"/>
      <w:rPr>
        <w:rFonts w:ascii="Avenir" w:eastAsia="Avenir" w:hAnsi="Avenir" w:cs="Avenir"/>
        <w:i/>
      </w:rPr>
    </w:pPr>
    <w:r>
      <w:rPr>
        <w:rFonts w:ascii="Avenir" w:eastAsia="Avenir" w:hAnsi="Avenir" w:cs="Avenir"/>
        <w:i/>
      </w:rPr>
      <w:t>Canevas de rapport– Projet en phase de démarrage financé par CAFI - 2023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F58D" w14:textId="6F0745E2" w:rsidR="00FC75A8" w:rsidRDefault="00687287">
    <w:pPr>
      <w:spacing w:after="0" w:line="240" w:lineRule="auto"/>
      <w:jc w:val="center"/>
      <w:rPr>
        <w:rFonts w:ascii="Arial" w:eastAsia="Arial" w:hAnsi="Arial" w:cs="Arial"/>
        <w:b/>
        <w:color w:val="19486A"/>
        <w:sz w:val="24"/>
        <w:szCs w:val="24"/>
      </w:rPr>
    </w:pPr>
    <w:r w:rsidRPr="00F75A06">
      <w:rPr>
        <w:noProof/>
      </w:rPr>
      <mc:AlternateContent>
        <mc:Choice Requires="wps">
          <w:drawing>
            <wp:anchor distT="45720" distB="45720" distL="114300" distR="114300" simplePos="0" relativeHeight="251662336" behindDoc="0" locked="0" layoutInCell="1" allowOverlap="1" wp14:anchorId="238F11CA" wp14:editId="5BFCA776">
              <wp:simplePos x="0" y="0"/>
              <wp:positionH relativeFrom="column">
                <wp:posOffset>3175</wp:posOffset>
              </wp:positionH>
              <wp:positionV relativeFrom="paragraph">
                <wp:posOffset>-213360</wp:posOffset>
              </wp:positionV>
              <wp:extent cx="1127760" cy="697230"/>
              <wp:effectExtent l="0" t="0" r="0"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697230"/>
                      </a:xfrm>
                      <a:prstGeom prst="rect">
                        <a:avLst/>
                      </a:prstGeom>
                      <a:solidFill>
                        <a:srgbClr val="FFFFFF"/>
                      </a:solidFill>
                      <a:ln w="9525">
                        <a:noFill/>
                        <a:miter lim="800000"/>
                        <a:headEnd/>
                        <a:tailEnd/>
                      </a:ln>
                    </wps:spPr>
                    <wps:txbx>
                      <w:txbxContent>
                        <w:p w14:paraId="552AC4C5" w14:textId="3FEC2748" w:rsidR="009D52B0" w:rsidRDefault="007754B9" w:rsidP="009D52B0">
                          <w:pPr>
                            <w:jc w:val="center"/>
                          </w:pPr>
                          <w:r w:rsidRPr="00DB6E6D">
                            <w:rPr>
                              <w:rFonts w:ascii="Avenir" w:hAnsi="Avenir" w:cstheme="majorHAnsi"/>
                              <w:b/>
                              <w:bCs/>
                              <w:noProof/>
                              <w:color w:val="auto"/>
                              <w:sz w:val="24"/>
                              <w:szCs w:val="24"/>
                              <w:lang w:val="fr-FR" w:eastAsia="fr-FR"/>
                            </w:rPr>
                            <w:drawing>
                              <wp:inline distT="0" distB="0" distL="0" distR="0" wp14:anchorId="61ABC4A7" wp14:editId="66F69E1E">
                                <wp:extent cx="937260" cy="594360"/>
                                <wp:effectExtent l="0" t="0" r="0" b="0"/>
                                <wp:docPr id="1755461415" name="Image 7">
                                  <a:extLst xmlns:a="http://schemas.openxmlformats.org/drawingml/2006/main">
                                    <a:ext uri="{FF2B5EF4-FFF2-40B4-BE49-F238E27FC236}">
                                      <a16:creationId xmlns:a16="http://schemas.microsoft.com/office/drawing/2014/main" id="{7B6609D3-F4F4-4C21-86F4-C026B9C04406}"/>
                                    </a:ext>
                                  </a:extLst>
                                </wp:docPr>
                                <wp:cNvGraphicFramePr/>
                                <a:graphic xmlns:a="http://schemas.openxmlformats.org/drawingml/2006/main">
                                  <a:graphicData uri="http://schemas.openxmlformats.org/drawingml/2006/picture">
                                    <pic:pic xmlns:pic="http://schemas.openxmlformats.org/drawingml/2006/picture">
                                      <pic:nvPicPr>
                                        <pic:cNvPr id="207" name="Image 7">
                                          <a:extLst>
                                            <a:ext uri="{FF2B5EF4-FFF2-40B4-BE49-F238E27FC236}">
                                              <a16:creationId xmlns:a16="http://schemas.microsoft.com/office/drawing/2014/main" id="{7B6609D3-F4F4-4C21-86F4-C026B9C04406}"/>
                                            </a:ext>
                                          </a:extLst>
                                        </pic:cNvPr>
                                        <pic:cNvPicPr/>
                                      </pic:nvPicPr>
                                      <pic:blipFill>
                                        <a:blip r:embed="rId1"/>
                                        <a:stretch>
                                          <a:fillRect/>
                                        </a:stretch>
                                      </pic:blipFill>
                                      <pic:spPr>
                                        <a:xfrm>
                                          <a:off x="0" y="0"/>
                                          <a:ext cx="937260" cy="5943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F11CA" id="_x0000_t202" coordsize="21600,21600" o:spt="202" path="m,l,21600r21600,l21600,xe">
              <v:stroke joinstyle="miter"/>
              <v:path gradientshapeok="t" o:connecttype="rect"/>
            </v:shapetype>
            <v:shape id="Zone de texte 2" o:spid="_x0000_s1026" type="#_x0000_t202" style="position:absolute;left:0;text-align:left;margin-left:.25pt;margin-top:-16.8pt;width:88.8pt;height:54.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" stroked="f">
              <v:textbox>
                <w:txbxContent>
                  <w:p w14:paraId="552AC4C5" w14:textId="3FEC2748" w:rsidR="009D52B0" w:rsidRDefault="007754B9" w:rsidP="009D52B0">
                    <w:pPr>
                      <w:jc w:val="center"/>
                    </w:pPr>
                    <w:r w:rsidRPr="00DB6E6D">
                      <w:rPr>
                        <w:rFonts w:ascii="Avenir" w:hAnsi="Avenir" w:cstheme="majorHAnsi"/>
                        <w:b/>
                        <w:bCs/>
                        <w:noProof/>
                        <w:color w:val="auto"/>
                        <w:sz w:val="24"/>
                        <w:szCs w:val="24"/>
                        <w:lang w:val="fr-FR" w:eastAsia="fr-FR"/>
                      </w:rPr>
                      <w:drawing>
                        <wp:inline distT="0" distB="0" distL="0" distR="0" wp14:anchorId="61ABC4A7" wp14:editId="66F69E1E">
                          <wp:extent cx="937260" cy="594360"/>
                          <wp:effectExtent l="0" t="0" r="0" b="0"/>
                          <wp:docPr id="1755461415" name="Image 7">
                            <a:extLst xmlns:a="http://schemas.openxmlformats.org/drawingml/2006/main">
                              <a:ext uri="{FF2B5EF4-FFF2-40B4-BE49-F238E27FC236}">
                                <a16:creationId xmlns:a16="http://schemas.microsoft.com/office/drawing/2014/main" id="{7B6609D3-F4F4-4C21-86F4-C026B9C04406}"/>
                              </a:ext>
                            </a:extLst>
                          </wp:docPr>
                          <wp:cNvGraphicFramePr/>
                          <a:graphic xmlns:a="http://schemas.openxmlformats.org/drawingml/2006/main">
                            <a:graphicData uri="http://schemas.openxmlformats.org/drawingml/2006/picture">
                              <pic:pic xmlns:pic="http://schemas.openxmlformats.org/drawingml/2006/picture">
                                <pic:nvPicPr>
                                  <pic:cNvPr id="207" name="Image 7">
                                    <a:extLst>
                                      <a:ext uri="{FF2B5EF4-FFF2-40B4-BE49-F238E27FC236}">
                                        <a16:creationId xmlns:a16="http://schemas.microsoft.com/office/drawing/2014/main" id="{7B6609D3-F4F4-4C21-86F4-C026B9C04406}"/>
                                      </a:ext>
                                    </a:extLst>
                                  </pic:cNvPr>
                                  <pic:cNvPicPr/>
                                </pic:nvPicPr>
                                <pic:blipFill>
                                  <a:blip r:embed="rId2"/>
                                  <a:stretch>
                                    <a:fillRect/>
                                  </a:stretch>
                                </pic:blipFill>
                                <pic:spPr>
                                  <a:xfrm>
                                    <a:off x="0" y="0"/>
                                    <a:ext cx="937260" cy="594360"/>
                                  </a:xfrm>
                                  <a:prstGeom prst="rect">
                                    <a:avLst/>
                                  </a:prstGeom>
                                </pic:spPr>
                              </pic:pic>
                            </a:graphicData>
                          </a:graphic>
                        </wp:inline>
                      </w:drawing>
                    </w:r>
                  </w:p>
                </w:txbxContent>
              </v:textbox>
              <w10:wrap type="square"/>
            </v:shape>
          </w:pict>
        </mc:Fallback>
      </mc:AlternateContent>
    </w:r>
    <w:r w:rsidR="0012411F">
      <w:rPr>
        <w:noProof/>
        <w:color w:val="2B579A"/>
        <w:shd w:val="clear" w:color="auto" w:fill="E6E6E6"/>
      </w:rPr>
      <w:drawing>
        <wp:anchor distT="0" distB="0" distL="114300" distR="114300" simplePos="0" relativeHeight="251661312" behindDoc="0" locked="0" layoutInCell="1" hidden="0" allowOverlap="1" wp14:anchorId="3DD8F30C" wp14:editId="3A342B50">
          <wp:simplePos x="0" y="0"/>
          <wp:positionH relativeFrom="column">
            <wp:posOffset>3227070</wp:posOffset>
          </wp:positionH>
          <wp:positionV relativeFrom="paragraph">
            <wp:posOffset>-89535</wp:posOffset>
          </wp:positionV>
          <wp:extent cx="1044575" cy="607060"/>
          <wp:effectExtent l="0" t="0" r="3175" b="2540"/>
          <wp:wrapNone/>
          <wp:docPr id="673688108" name="Picture 4" descr="RDC.png"/>
          <wp:cNvGraphicFramePr/>
          <a:graphic xmlns:a="http://schemas.openxmlformats.org/drawingml/2006/main">
            <a:graphicData uri="http://schemas.openxmlformats.org/drawingml/2006/picture">
              <pic:pic xmlns:pic="http://schemas.openxmlformats.org/drawingml/2006/picture">
                <pic:nvPicPr>
                  <pic:cNvPr id="0" name="image3.png" descr="RDC.png"/>
                  <pic:cNvPicPr preferRelativeResize="0"/>
                </pic:nvPicPr>
                <pic:blipFill>
                  <a:blip r:embed="rId3"/>
                  <a:srcRect/>
                  <a:stretch>
                    <a:fillRect/>
                  </a:stretch>
                </pic:blipFill>
                <pic:spPr>
                  <a:xfrm>
                    <a:off x="0" y="0"/>
                    <a:ext cx="1044575" cy="607060"/>
                  </a:xfrm>
                  <a:prstGeom prst="rect">
                    <a:avLst/>
                  </a:prstGeom>
                  <a:ln/>
                </pic:spPr>
              </pic:pic>
            </a:graphicData>
          </a:graphic>
          <wp14:sizeRelH relativeFrom="margin">
            <wp14:pctWidth>0</wp14:pctWidth>
          </wp14:sizeRelH>
          <wp14:sizeRelV relativeFrom="margin">
            <wp14:pctHeight>0</wp14:pctHeight>
          </wp14:sizeRelV>
        </wp:anchor>
      </w:drawing>
    </w:r>
    <w:r w:rsidR="00436545">
      <w:rPr>
        <w:noProof/>
      </w:rPr>
      <w:drawing>
        <wp:anchor distT="0" distB="0" distL="114300" distR="114300" simplePos="0" relativeHeight="251660288" behindDoc="0" locked="0" layoutInCell="1" hidden="0" allowOverlap="1" wp14:anchorId="293C7426" wp14:editId="3622C30D">
          <wp:simplePos x="0" y="0"/>
          <wp:positionH relativeFrom="column">
            <wp:posOffset>4737100</wp:posOffset>
          </wp:positionH>
          <wp:positionV relativeFrom="paragraph">
            <wp:posOffset>-335280</wp:posOffset>
          </wp:positionV>
          <wp:extent cx="878840" cy="1007110"/>
          <wp:effectExtent l="0" t="0" r="0" b="2540"/>
          <wp:wrapSquare wrapText="bothSides" distT="0" distB="0" distL="114300" distR="114300"/>
          <wp:docPr id="11179306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878840" cy="1007110"/>
                  </a:xfrm>
                  <a:prstGeom prst="rect">
                    <a:avLst/>
                  </a:prstGeom>
                  <a:ln/>
                </pic:spPr>
              </pic:pic>
            </a:graphicData>
          </a:graphic>
          <wp14:sizeRelH relativeFrom="margin">
            <wp14:pctWidth>0</wp14:pctWidth>
          </wp14:sizeRelH>
          <wp14:sizeRelV relativeFrom="margin">
            <wp14:pctHeight>0</wp14:pctHeight>
          </wp14:sizeRelV>
        </wp:anchor>
      </w:drawing>
    </w:r>
    <w:r w:rsidR="009D52B0">
      <w:rPr>
        <w:noProof/>
      </w:rPr>
      <w:drawing>
        <wp:anchor distT="0" distB="0" distL="114300" distR="114300" simplePos="0" relativeHeight="251659264" behindDoc="0" locked="0" layoutInCell="1" hidden="0" allowOverlap="1" wp14:anchorId="53422FB3" wp14:editId="27873F8F">
          <wp:simplePos x="0" y="0"/>
          <wp:positionH relativeFrom="column">
            <wp:posOffset>1545590</wp:posOffset>
          </wp:positionH>
          <wp:positionV relativeFrom="paragraph">
            <wp:posOffset>-435610</wp:posOffset>
          </wp:positionV>
          <wp:extent cx="872490" cy="1108075"/>
          <wp:effectExtent l="0" t="0" r="3810" b="0"/>
          <wp:wrapSquare wrapText="bothSides" distT="0" distB="0" distL="114300" distR="114300"/>
          <wp:docPr id="242499919"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10;&#10;Description automatically generated"/>
                  <pic:cNvPicPr preferRelativeResize="0"/>
                </pic:nvPicPr>
                <pic:blipFill>
                  <a:blip r:embed="rId5"/>
                  <a:srcRect/>
                  <a:stretch>
                    <a:fillRect/>
                  </a:stretch>
                </pic:blipFill>
                <pic:spPr>
                  <a:xfrm>
                    <a:off x="0" y="0"/>
                    <a:ext cx="872490" cy="1108075"/>
                  </a:xfrm>
                  <a:prstGeom prst="rect">
                    <a:avLst/>
                  </a:prstGeom>
                  <a:ln/>
                </pic:spPr>
              </pic:pic>
            </a:graphicData>
          </a:graphic>
          <wp14:sizeRelH relativeFrom="margin">
            <wp14:pctWidth>0</wp14:pctWidth>
          </wp14:sizeRelH>
          <wp14:sizeRelV relativeFrom="margin">
            <wp14:pctHeight>0</wp14:pctHeight>
          </wp14:sizeRelV>
        </wp:anchor>
      </w:drawing>
    </w:r>
    <w:r w:rsidR="006C5E58">
      <w:rPr>
        <w:rFonts w:ascii="Arial" w:eastAsia="Arial" w:hAnsi="Arial" w:cs="Arial"/>
        <w:b/>
        <w:color w:val="002060"/>
        <w:sz w:val="32"/>
        <w:szCs w:val="32"/>
      </w:rPr>
      <w:tab/>
    </w:r>
    <w:r w:rsidR="006C5E58">
      <w:rPr>
        <w:rFonts w:ascii="Arial" w:eastAsia="Arial" w:hAnsi="Arial" w:cs="Arial"/>
        <w:b/>
        <w:color w:val="002060"/>
        <w:sz w:val="32"/>
        <w:szCs w:val="32"/>
      </w:rPr>
      <w:tab/>
    </w:r>
    <w:r w:rsidR="006C5E58">
      <w:rPr>
        <w:rFonts w:ascii="Arial" w:eastAsia="Arial" w:hAnsi="Arial" w:cs="Arial"/>
        <w:b/>
        <w:color w:val="002060"/>
        <w:sz w:val="32"/>
        <w:szCs w:val="32"/>
      </w:rPr>
      <w:tab/>
    </w:r>
  </w:p>
  <w:p w14:paraId="5637F58E" w14:textId="55BCC1B6" w:rsidR="00FC75A8" w:rsidRDefault="00FC75A8">
    <w:pPr>
      <w:spacing w:after="0" w:line="240" w:lineRule="auto"/>
      <w:ind w:right="-125"/>
      <w:jc w:val="center"/>
      <w:rPr>
        <w:rFonts w:ascii="Arial" w:eastAsia="Arial" w:hAnsi="Arial" w:cs="Arial"/>
        <w:b/>
        <w:color w:val="385623"/>
        <w:sz w:val="24"/>
        <w:szCs w:val="24"/>
      </w:rPr>
    </w:pPr>
  </w:p>
  <w:p w14:paraId="5637F58F" w14:textId="77777777" w:rsidR="00FC75A8" w:rsidRDefault="00FC75A8">
    <w:pPr>
      <w:keepNext/>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7F592" w14:textId="77777777" w:rsidR="00FC75A8" w:rsidRDefault="00FC75A8">
    <w:pPr>
      <w:keepNext/>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C5D9F"/>
    <w:multiLevelType w:val="hybridMultilevel"/>
    <w:tmpl w:val="B60EA83A"/>
    <w:lvl w:ilvl="0" w:tplc="240C000F">
      <w:start w:val="1"/>
      <w:numFmt w:val="decimal"/>
      <w:lvlText w:val="%1."/>
      <w:lvlJc w:val="left"/>
      <w:pPr>
        <w:ind w:left="1440" w:hanging="360"/>
      </w:pPr>
    </w:lvl>
    <w:lvl w:ilvl="1" w:tplc="240C0019" w:tentative="1">
      <w:start w:val="1"/>
      <w:numFmt w:val="lowerLetter"/>
      <w:lvlText w:val="%2."/>
      <w:lvlJc w:val="left"/>
      <w:pPr>
        <w:ind w:left="2160" w:hanging="360"/>
      </w:pPr>
    </w:lvl>
    <w:lvl w:ilvl="2" w:tplc="240C001B" w:tentative="1">
      <w:start w:val="1"/>
      <w:numFmt w:val="lowerRoman"/>
      <w:lvlText w:val="%3."/>
      <w:lvlJc w:val="right"/>
      <w:pPr>
        <w:ind w:left="2880" w:hanging="180"/>
      </w:pPr>
    </w:lvl>
    <w:lvl w:ilvl="3" w:tplc="240C000F" w:tentative="1">
      <w:start w:val="1"/>
      <w:numFmt w:val="decimal"/>
      <w:lvlText w:val="%4."/>
      <w:lvlJc w:val="left"/>
      <w:pPr>
        <w:ind w:left="3600" w:hanging="360"/>
      </w:pPr>
    </w:lvl>
    <w:lvl w:ilvl="4" w:tplc="240C0019" w:tentative="1">
      <w:start w:val="1"/>
      <w:numFmt w:val="lowerLetter"/>
      <w:lvlText w:val="%5."/>
      <w:lvlJc w:val="left"/>
      <w:pPr>
        <w:ind w:left="4320" w:hanging="360"/>
      </w:pPr>
    </w:lvl>
    <w:lvl w:ilvl="5" w:tplc="240C001B" w:tentative="1">
      <w:start w:val="1"/>
      <w:numFmt w:val="lowerRoman"/>
      <w:lvlText w:val="%6."/>
      <w:lvlJc w:val="right"/>
      <w:pPr>
        <w:ind w:left="5040" w:hanging="180"/>
      </w:pPr>
    </w:lvl>
    <w:lvl w:ilvl="6" w:tplc="240C000F" w:tentative="1">
      <w:start w:val="1"/>
      <w:numFmt w:val="decimal"/>
      <w:lvlText w:val="%7."/>
      <w:lvlJc w:val="left"/>
      <w:pPr>
        <w:ind w:left="5760" w:hanging="360"/>
      </w:pPr>
    </w:lvl>
    <w:lvl w:ilvl="7" w:tplc="240C0019" w:tentative="1">
      <w:start w:val="1"/>
      <w:numFmt w:val="lowerLetter"/>
      <w:lvlText w:val="%8."/>
      <w:lvlJc w:val="left"/>
      <w:pPr>
        <w:ind w:left="6480" w:hanging="360"/>
      </w:pPr>
    </w:lvl>
    <w:lvl w:ilvl="8" w:tplc="240C001B" w:tentative="1">
      <w:start w:val="1"/>
      <w:numFmt w:val="lowerRoman"/>
      <w:lvlText w:val="%9."/>
      <w:lvlJc w:val="right"/>
      <w:pPr>
        <w:ind w:left="7200" w:hanging="180"/>
      </w:pPr>
    </w:lvl>
  </w:abstractNum>
  <w:abstractNum w:abstractNumId="1" w15:restartNumberingAfterBreak="0">
    <w:nsid w:val="058C052D"/>
    <w:multiLevelType w:val="multilevel"/>
    <w:tmpl w:val="8062A87C"/>
    <w:lvl w:ilvl="0">
      <w:start w:val="7"/>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2" w15:restartNumberingAfterBreak="0">
    <w:nsid w:val="059A1404"/>
    <w:multiLevelType w:val="hybridMultilevel"/>
    <w:tmpl w:val="3F260E58"/>
    <w:lvl w:ilvl="0" w:tplc="240C000F">
      <w:start w:val="1"/>
      <w:numFmt w:val="decimal"/>
      <w:lvlText w:val="%1."/>
      <w:lvlJc w:val="left"/>
      <w:pPr>
        <w:ind w:left="730" w:hanging="360"/>
      </w:pPr>
    </w:lvl>
    <w:lvl w:ilvl="1" w:tplc="240C0019" w:tentative="1">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3" w15:restartNumberingAfterBreak="0">
    <w:nsid w:val="07AE4A26"/>
    <w:multiLevelType w:val="hybridMultilevel"/>
    <w:tmpl w:val="31A4A6DE"/>
    <w:lvl w:ilvl="0" w:tplc="8D488FD2">
      <w:start w:val="15"/>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4" w15:restartNumberingAfterBreak="0">
    <w:nsid w:val="08D865B4"/>
    <w:multiLevelType w:val="hybridMultilevel"/>
    <w:tmpl w:val="E6500F0A"/>
    <w:lvl w:ilvl="0" w:tplc="B1188CCA">
      <w:start w:val="27"/>
      <w:numFmt w:val="decimal"/>
      <w:lvlText w:val="%1."/>
      <w:lvlJc w:val="left"/>
      <w:pPr>
        <w:ind w:left="1090" w:hanging="360"/>
      </w:pPr>
      <w:rPr>
        <w:rFonts w:hint="default"/>
      </w:rPr>
    </w:lvl>
    <w:lvl w:ilvl="1" w:tplc="240C0019" w:tentative="1">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5" w15:restartNumberingAfterBreak="0">
    <w:nsid w:val="09D90299"/>
    <w:multiLevelType w:val="hybridMultilevel"/>
    <w:tmpl w:val="D27C56B0"/>
    <w:lvl w:ilvl="0" w:tplc="2C52B2E6">
      <w:start w:val="1"/>
      <w:numFmt w:val="bullet"/>
      <w:lvlText w:val="•"/>
      <w:lvlJc w:val="left"/>
      <w:pPr>
        <w:tabs>
          <w:tab w:val="num" w:pos="720"/>
        </w:tabs>
        <w:ind w:left="720" w:hanging="360"/>
      </w:pPr>
      <w:rPr>
        <w:rFonts w:ascii="Arial" w:hAnsi="Arial" w:hint="default"/>
      </w:rPr>
    </w:lvl>
    <w:lvl w:ilvl="1" w:tplc="9172382C" w:tentative="1">
      <w:start w:val="1"/>
      <w:numFmt w:val="bullet"/>
      <w:lvlText w:val="•"/>
      <w:lvlJc w:val="left"/>
      <w:pPr>
        <w:tabs>
          <w:tab w:val="num" w:pos="1440"/>
        </w:tabs>
        <w:ind w:left="1440" w:hanging="360"/>
      </w:pPr>
      <w:rPr>
        <w:rFonts w:ascii="Arial" w:hAnsi="Arial" w:hint="default"/>
      </w:rPr>
    </w:lvl>
    <w:lvl w:ilvl="2" w:tplc="68B67A3E" w:tentative="1">
      <w:start w:val="1"/>
      <w:numFmt w:val="bullet"/>
      <w:lvlText w:val="•"/>
      <w:lvlJc w:val="left"/>
      <w:pPr>
        <w:tabs>
          <w:tab w:val="num" w:pos="2160"/>
        </w:tabs>
        <w:ind w:left="2160" w:hanging="360"/>
      </w:pPr>
      <w:rPr>
        <w:rFonts w:ascii="Arial" w:hAnsi="Arial" w:hint="default"/>
      </w:rPr>
    </w:lvl>
    <w:lvl w:ilvl="3" w:tplc="0AF84276" w:tentative="1">
      <w:start w:val="1"/>
      <w:numFmt w:val="bullet"/>
      <w:lvlText w:val="•"/>
      <w:lvlJc w:val="left"/>
      <w:pPr>
        <w:tabs>
          <w:tab w:val="num" w:pos="2880"/>
        </w:tabs>
        <w:ind w:left="2880" w:hanging="360"/>
      </w:pPr>
      <w:rPr>
        <w:rFonts w:ascii="Arial" w:hAnsi="Arial" w:hint="default"/>
      </w:rPr>
    </w:lvl>
    <w:lvl w:ilvl="4" w:tplc="11E621FA" w:tentative="1">
      <w:start w:val="1"/>
      <w:numFmt w:val="bullet"/>
      <w:lvlText w:val="•"/>
      <w:lvlJc w:val="left"/>
      <w:pPr>
        <w:tabs>
          <w:tab w:val="num" w:pos="3600"/>
        </w:tabs>
        <w:ind w:left="3600" w:hanging="360"/>
      </w:pPr>
      <w:rPr>
        <w:rFonts w:ascii="Arial" w:hAnsi="Arial" w:hint="default"/>
      </w:rPr>
    </w:lvl>
    <w:lvl w:ilvl="5" w:tplc="C64C0378" w:tentative="1">
      <w:start w:val="1"/>
      <w:numFmt w:val="bullet"/>
      <w:lvlText w:val="•"/>
      <w:lvlJc w:val="left"/>
      <w:pPr>
        <w:tabs>
          <w:tab w:val="num" w:pos="4320"/>
        </w:tabs>
        <w:ind w:left="4320" w:hanging="360"/>
      </w:pPr>
      <w:rPr>
        <w:rFonts w:ascii="Arial" w:hAnsi="Arial" w:hint="default"/>
      </w:rPr>
    </w:lvl>
    <w:lvl w:ilvl="6" w:tplc="8CE21D3E" w:tentative="1">
      <w:start w:val="1"/>
      <w:numFmt w:val="bullet"/>
      <w:lvlText w:val="•"/>
      <w:lvlJc w:val="left"/>
      <w:pPr>
        <w:tabs>
          <w:tab w:val="num" w:pos="5040"/>
        </w:tabs>
        <w:ind w:left="5040" w:hanging="360"/>
      </w:pPr>
      <w:rPr>
        <w:rFonts w:ascii="Arial" w:hAnsi="Arial" w:hint="default"/>
      </w:rPr>
    </w:lvl>
    <w:lvl w:ilvl="7" w:tplc="423439AA" w:tentative="1">
      <w:start w:val="1"/>
      <w:numFmt w:val="bullet"/>
      <w:lvlText w:val="•"/>
      <w:lvlJc w:val="left"/>
      <w:pPr>
        <w:tabs>
          <w:tab w:val="num" w:pos="5760"/>
        </w:tabs>
        <w:ind w:left="5760" w:hanging="360"/>
      </w:pPr>
      <w:rPr>
        <w:rFonts w:ascii="Arial" w:hAnsi="Arial" w:hint="default"/>
      </w:rPr>
    </w:lvl>
    <w:lvl w:ilvl="8" w:tplc="8EA861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020D68"/>
    <w:multiLevelType w:val="hybridMultilevel"/>
    <w:tmpl w:val="70E695D2"/>
    <w:lvl w:ilvl="0" w:tplc="B9C423AE">
      <w:start w:val="27"/>
      <w:numFmt w:val="decimal"/>
      <w:lvlText w:val="%1."/>
      <w:lvlJc w:val="left"/>
      <w:pPr>
        <w:ind w:left="108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7" w15:restartNumberingAfterBreak="0">
    <w:nsid w:val="0A632F16"/>
    <w:multiLevelType w:val="hybridMultilevel"/>
    <w:tmpl w:val="D79C34DC"/>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8" w15:restartNumberingAfterBreak="0">
    <w:nsid w:val="0AED638F"/>
    <w:multiLevelType w:val="hybridMultilevel"/>
    <w:tmpl w:val="102E34DA"/>
    <w:lvl w:ilvl="0" w:tplc="67EE9F5C">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0CE132B5"/>
    <w:multiLevelType w:val="multilevel"/>
    <w:tmpl w:val="82A6B536"/>
    <w:lvl w:ilvl="0">
      <w:start w:val="4"/>
      <w:numFmt w:val="decimal"/>
      <w:lvlText w:val="%1."/>
      <w:lvlJc w:val="left"/>
      <w:pPr>
        <w:ind w:left="360" w:hanging="360"/>
      </w:pPr>
      <w:rPr>
        <w:rFonts w:hint="default"/>
      </w:rPr>
    </w:lvl>
    <w:lvl w:ilvl="1">
      <w:start w:val="1"/>
      <w:numFmt w:val="decimal"/>
      <w:lvlText w:val="%1.%2."/>
      <w:lvlJc w:val="left"/>
      <w:pPr>
        <w:ind w:left="730" w:hanging="720"/>
      </w:pPr>
      <w:rPr>
        <w:rFonts w:hint="default"/>
      </w:rPr>
    </w:lvl>
    <w:lvl w:ilvl="2">
      <w:start w:val="1"/>
      <w:numFmt w:val="decimal"/>
      <w:lvlText w:val="%1.%2.%3."/>
      <w:lvlJc w:val="left"/>
      <w:pPr>
        <w:ind w:left="738" w:hanging="720"/>
      </w:pPr>
      <w:rPr>
        <w:rFonts w:hint="default"/>
      </w:rPr>
    </w:lvl>
    <w:lvl w:ilvl="3">
      <w:start w:val="1"/>
      <w:numFmt w:val="decimal"/>
      <w:lvlText w:val="%1.%2.%3.%4."/>
      <w:lvlJc w:val="left"/>
      <w:pPr>
        <w:ind w:left="1106" w:hanging="1080"/>
      </w:pPr>
      <w:rPr>
        <w:rFonts w:hint="default"/>
      </w:rPr>
    </w:lvl>
    <w:lvl w:ilvl="4">
      <w:start w:val="1"/>
      <w:numFmt w:val="decimal"/>
      <w:lvlText w:val="%1.%2.%3.%4.%5."/>
      <w:lvlJc w:val="left"/>
      <w:pPr>
        <w:ind w:left="1114" w:hanging="1080"/>
      </w:pPr>
      <w:rPr>
        <w:rFonts w:hint="default"/>
      </w:rPr>
    </w:lvl>
    <w:lvl w:ilvl="5">
      <w:start w:val="1"/>
      <w:numFmt w:val="decimal"/>
      <w:lvlText w:val="%1.%2.%3.%4.%5.%6."/>
      <w:lvlJc w:val="left"/>
      <w:pPr>
        <w:ind w:left="1482" w:hanging="1440"/>
      </w:pPr>
      <w:rPr>
        <w:rFonts w:hint="default"/>
      </w:rPr>
    </w:lvl>
    <w:lvl w:ilvl="6">
      <w:start w:val="1"/>
      <w:numFmt w:val="decimal"/>
      <w:lvlText w:val="%1.%2.%3.%4.%5.%6.%7."/>
      <w:lvlJc w:val="left"/>
      <w:pPr>
        <w:ind w:left="1490" w:hanging="1440"/>
      </w:pPr>
      <w:rPr>
        <w:rFonts w:hint="default"/>
      </w:rPr>
    </w:lvl>
    <w:lvl w:ilvl="7">
      <w:start w:val="1"/>
      <w:numFmt w:val="decimal"/>
      <w:lvlText w:val="%1.%2.%3.%4.%5.%6.%7.%8."/>
      <w:lvlJc w:val="left"/>
      <w:pPr>
        <w:ind w:left="1858" w:hanging="1800"/>
      </w:pPr>
      <w:rPr>
        <w:rFonts w:hint="default"/>
      </w:rPr>
    </w:lvl>
    <w:lvl w:ilvl="8">
      <w:start w:val="1"/>
      <w:numFmt w:val="decimal"/>
      <w:lvlText w:val="%1.%2.%3.%4.%5.%6.%7.%8.%9."/>
      <w:lvlJc w:val="left"/>
      <w:pPr>
        <w:ind w:left="1866" w:hanging="1800"/>
      </w:pPr>
      <w:rPr>
        <w:rFonts w:hint="default"/>
      </w:rPr>
    </w:lvl>
  </w:abstractNum>
  <w:abstractNum w:abstractNumId="10" w15:restartNumberingAfterBreak="0">
    <w:nsid w:val="0DA82969"/>
    <w:multiLevelType w:val="hybridMultilevel"/>
    <w:tmpl w:val="DB12E834"/>
    <w:lvl w:ilvl="0" w:tplc="37A0735A">
      <w:start w:val="17"/>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1" w15:restartNumberingAfterBreak="0">
    <w:nsid w:val="11243A48"/>
    <w:multiLevelType w:val="hybridMultilevel"/>
    <w:tmpl w:val="9D705170"/>
    <w:lvl w:ilvl="0" w:tplc="240C0017">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1C55559"/>
    <w:multiLevelType w:val="hybridMultilevel"/>
    <w:tmpl w:val="0CE88846"/>
    <w:lvl w:ilvl="0" w:tplc="7FCC40FE">
      <w:start w:val="10"/>
      <w:numFmt w:val="decimal"/>
      <w:lvlText w:val="%1."/>
      <w:lvlJc w:val="left"/>
      <w:pPr>
        <w:ind w:left="38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3" w15:restartNumberingAfterBreak="0">
    <w:nsid w:val="13363ACA"/>
    <w:multiLevelType w:val="hybridMultilevel"/>
    <w:tmpl w:val="4DFE5EBA"/>
    <w:lvl w:ilvl="0" w:tplc="240C000F">
      <w:start w:val="1"/>
      <w:numFmt w:val="decimal"/>
      <w:lvlText w:val="%1."/>
      <w:lvlJc w:val="left"/>
      <w:pPr>
        <w:ind w:left="740" w:hanging="360"/>
      </w:pPr>
    </w:lvl>
    <w:lvl w:ilvl="1" w:tplc="240C0019" w:tentative="1">
      <w:start w:val="1"/>
      <w:numFmt w:val="lowerLetter"/>
      <w:lvlText w:val="%2."/>
      <w:lvlJc w:val="left"/>
      <w:pPr>
        <w:ind w:left="1460" w:hanging="360"/>
      </w:pPr>
    </w:lvl>
    <w:lvl w:ilvl="2" w:tplc="240C001B" w:tentative="1">
      <w:start w:val="1"/>
      <w:numFmt w:val="lowerRoman"/>
      <w:lvlText w:val="%3."/>
      <w:lvlJc w:val="right"/>
      <w:pPr>
        <w:ind w:left="2180" w:hanging="180"/>
      </w:pPr>
    </w:lvl>
    <w:lvl w:ilvl="3" w:tplc="240C000F" w:tentative="1">
      <w:start w:val="1"/>
      <w:numFmt w:val="decimal"/>
      <w:lvlText w:val="%4."/>
      <w:lvlJc w:val="left"/>
      <w:pPr>
        <w:ind w:left="2900" w:hanging="360"/>
      </w:pPr>
    </w:lvl>
    <w:lvl w:ilvl="4" w:tplc="240C0019" w:tentative="1">
      <w:start w:val="1"/>
      <w:numFmt w:val="lowerLetter"/>
      <w:lvlText w:val="%5."/>
      <w:lvlJc w:val="left"/>
      <w:pPr>
        <w:ind w:left="3620" w:hanging="360"/>
      </w:pPr>
    </w:lvl>
    <w:lvl w:ilvl="5" w:tplc="240C001B" w:tentative="1">
      <w:start w:val="1"/>
      <w:numFmt w:val="lowerRoman"/>
      <w:lvlText w:val="%6."/>
      <w:lvlJc w:val="right"/>
      <w:pPr>
        <w:ind w:left="4340" w:hanging="180"/>
      </w:pPr>
    </w:lvl>
    <w:lvl w:ilvl="6" w:tplc="240C000F" w:tentative="1">
      <w:start w:val="1"/>
      <w:numFmt w:val="decimal"/>
      <w:lvlText w:val="%7."/>
      <w:lvlJc w:val="left"/>
      <w:pPr>
        <w:ind w:left="5060" w:hanging="360"/>
      </w:pPr>
    </w:lvl>
    <w:lvl w:ilvl="7" w:tplc="240C0019" w:tentative="1">
      <w:start w:val="1"/>
      <w:numFmt w:val="lowerLetter"/>
      <w:lvlText w:val="%8."/>
      <w:lvlJc w:val="left"/>
      <w:pPr>
        <w:ind w:left="5780" w:hanging="360"/>
      </w:pPr>
    </w:lvl>
    <w:lvl w:ilvl="8" w:tplc="240C001B" w:tentative="1">
      <w:start w:val="1"/>
      <w:numFmt w:val="lowerRoman"/>
      <w:lvlText w:val="%9."/>
      <w:lvlJc w:val="right"/>
      <w:pPr>
        <w:ind w:left="6500" w:hanging="180"/>
      </w:pPr>
    </w:lvl>
  </w:abstractNum>
  <w:abstractNum w:abstractNumId="14" w15:restartNumberingAfterBreak="0">
    <w:nsid w:val="13931313"/>
    <w:multiLevelType w:val="hybridMultilevel"/>
    <w:tmpl w:val="7966A94A"/>
    <w:lvl w:ilvl="0" w:tplc="B1FA3E28">
      <w:start w:val="17"/>
      <w:numFmt w:val="decimal"/>
      <w:lvlText w:val="%1."/>
      <w:lvlJc w:val="left"/>
      <w:pPr>
        <w:ind w:left="74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5" w15:restartNumberingAfterBreak="0">
    <w:nsid w:val="16A739CC"/>
    <w:multiLevelType w:val="hybridMultilevel"/>
    <w:tmpl w:val="31A4A6DE"/>
    <w:lvl w:ilvl="0" w:tplc="FFFFFFFF">
      <w:start w:val="1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DBD21D5"/>
    <w:multiLevelType w:val="hybridMultilevel"/>
    <w:tmpl w:val="B906C6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0B74579"/>
    <w:multiLevelType w:val="hybridMultilevel"/>
    <w:tmpl w:val="4574F024"/>
    <w:lvl w:ilvl="0" w:tplc="AFFE1A5C">
      <w:start w:val="21"/>
      <w:numFmt w:val="decimal"/>
      <w:lvlText w:val="%1."/>
      <w:lvlJc w:val="left"/>
      <w:pPr>
        <w:ind w:left="108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8" w15:restartNumberingAfterBreak="0">
    <w:nsid w:val="269152AD"/>
    <w:multiLevelType w:val="multilevel"/>
    <w:tmpl w:val="F440E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0F01BBC"/>
    <w:multiLevelType w:val="hybridMultilevel"/>
    <w:tmpl w:val="7A081EDE"/>
    <w:lvl w:ilvl="0" w:tplc="240C000F">
      <w:start w:val="1"/>
      <w:numFmt w:val="decimal"/>
      <w:lvlText w:val="%1."/>
      <w:lvlJc w:val="left"/>
      <w:pPr>
        <w:ind w:left="740" w:hanging="360"/>
      </w:pPr>
    </w:lvl>
    <w:lvl w:ilvl="1" w:tplc="240C0019" w:tentative="1">
      <w:start w:val="1"/>
      <w:numFmt w:val="lowerLetter"/>
      <w:lvlText w:val="%2."/>
      <w:lvlJc w:val="left"/>
      <w:pPr>
        <w:ind w:left="1460" w:hanging="360"/>
      </w:pPr>
    </w:lvl>
    <w:lvl w:ilvl="2" w:tplc="240C001B" w:tentative="1">
      <w:start w:val="1"/>
      <w:numFmt w:val="lowerRoman"/>
      <w:lvlText w:val="%3."/>
      <w:lvlJc w:val="right"/>
      <w:pPr>
        <w:ind w:left="2180" w:hanging="180"/>
      </w:pPr>
    </w:lvl>
    <w:lvl w:ilvl="3" w:tplc="240C000F" w:tentative="1">
      <w:start w:val="1"/>
      <w:numFmt w:val="decimal"/>
      <w:lvlText w:val="%4."/>
      <w:lvlJc w:val="left"/>
      <w:pPr>
        <w:ind w:left="2900" w:hanging="360"/>
      </w:pPr>
    </w:lvl>
    <w:lvl w:ilvl="4" w:tplc="240C0019" w:tentative="1">
      <w:start w:val="1"/>
      <w:numFmt w:val="lowerLetter"/>
      <w:lvlText w:val="%5."/>
      <w:lvlJc w:val="left"/>
      <w:pPr>
        <w:ind w:left="3620" w:hanging="360"/>
      </w:pPr>
    </w:lvl>
    <w:lvl w:ilvl="5" w:tplc="240C001B" w:tentative="1">
      <w:start w:val="1"/>
      <w:numFmt w:val="lowerRoman"/>
      <w:lvlText w:val="%6."/>
      <w:lvlJc w:val="right"/>
      <w:pPr>
        <w:ind w:left="4340" w:hanging="180"/>
      </w:pPr>
    </w:lvl>
    <w:lvl w:ilvl="6" w:tplc="240C000F" w:tentative="1">
      <w:start w:val="1"/>
      <w:numFmt w:val="decimal"/>
      <w:lvlText w:val="%7."/>
      <w:lvlJc w:val="left"/>
      <w:pPr>
        <w:ind w:left="5060" w:hanging="360"/>
      </w:pPr>
    </w:lvl>
    <w:lvl w:ilvl="7" w:tplc="240C0019" w:tentative="1">
      <w:start w:val="1"/>
      <w:numFmt w:val="lowerLetter"/>
      <w:lvlText w:val="%8."/>
      <w:lvlJc w:val="left"/>
      <w:pPr>
        <w:ind w:left="5780" w:hanging="360"/>
      </w:pPr>
    </w:lvl>
    <w:lvl w:ilvl="8" w:tplc="240C001B" w:tentative="1">
      <w:start w:val="1"/>
      <w:numFmt w:val="lowerRoman"/>
      <w:lvlText w:val="%9."/>
      <w:lvlJc w:val="right"/>
      <w:pPr>
        <w:ind w:left="6500" w:hanging="180"/>
      </w:pPr>
    </w:lvl>
  </w:abstractNum>
  <w:abstractNum w:abstractNumId="20" w15:restartNumberingAfterBreak="0">
    <w:nsid w:val="338709EF"/>
    <w:multiLevelType w:val="hybridMultilevel"/>
    <w:tmpl w:val="745EA94E"/>
    <w:lvl w:ilvl="0" w:tplc="A7643C3A">
      <w:start w:val="15"/>
      <w:numFmt w:val="decimal"/>
      <w:lvlText w:val="%1."/>
      <w:lvlJc w:val="left"/>
      <w:pPr>
        <w:ind w:left="730" w:hanging="360"/>
      </w:pPr>
      <w:rPr>
        <w:rFonts w:hint="default"/>
      </w:rPr>
    </w:lvl>
    <w:lvl w:ilvl="1" w:tplc="240C0019" w:tentative="1">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21" w15:restartNumberingAfterBreak="0">
    <w:nsid w:val="38640F26"/>
    <w:multiLevelType w:val="multilevel"/>
    <w:tmpl w:val="8BA6FB00"/>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2" w15:restartNumberingAfterBreak="0">
    <w:nsid w:val="3B381A2C"/>
    <w:multiLevelType w:val="multilevel"/>
    <w:tmpl w:val="8556D7AA"/>
    <w:lvl w:ilvl="0">
      <w:start w:val="7"/>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3C9A124C"/>
    <w:multiLevelType w:val="multilevel"/>
    <w:tmpl w:val="866A3720"/>
    <w:lvl w:ilvl="0">
      <w:start w:val="15"/>
      <w:numFmt w:val="decimal"/>
      <w:lvlText w:val="%1."/>
      <w:lvlJc w:val="left"/>
      <w:pPr>
        <w:ind w:left="360" w:hanging="360"/>
      </w:pPr>
      <w:rPr>
        <w:rFonts w:hint="default"/>
      </w:rPr>
    </w:lvl>
    <w:lvl w:ilvl="1">
      <w:start w:val="1"/>
      <w:numFmt w:val="decimal"/>
      <w:lvlText w:val="%1.%2."/>
      <w:lvlJc w:val="left"/>
      <w:pPr>
        <w:ind w:left="730" w:hanging="720"/>
      </w:pPr>
      <w:rPr>
        <w:rFonts w:hint="default"/>
      </w:rPr>
    </w:lvl>
    <w:lvl w:ilvl="2">
      <w:start w:val="1"/>
      <w:numFmt w:val="decimal"/>
      <w:lvlText w:val="%1.%2.%3."/>
      <w:lvlJc w:val="left"/>
      <w:pPr>
        <w:ind w:left="738" w:hanging="720"/>
      </w:pPr>
      <w:rPr>
        <w:rFonts w:hint="default"/>
      </w:rPr>
    </w:lvl>
    <w:lvl w:ilvl="3">
      <w:start w:val="1"/>
      <w:numFmt w:val="decimal"/>
      <w:lvlText w:val="%1.%2.%3.%4."/>
      <w:lvlJc w:val="left"/>
      <w:pPr>
        <w:ind w:left="1106" w:hanging="1080"/>
      </w:pPr>
      <w:rPr>
        <w:rFonts w:hint="default"/>
      </w:rPr>
    </w:lvl>
    <w:lvl w:ilvl="4">
      <w:start w:val="1"/>
      <w:numFmt w:val="decimal"/>
      <w:lvlText w:val="%1.%2.%3.%4.%5."/>
      <w:lvlJc w:val="left"/>
      <w:pPr>
        <w:ind w:left="1114" w:hanging="1080"/>
      </w:pPr>
      <w:rPr>
        <w:rFonts w:hint="default"/>
      </w:rPr>
    </w:lvl>
    <w:lvl w:ilvl="5">
      <w:start w:val="1"/>
      <w:numFmt w:val="decimal"/>
      <w:lvlText w:val="%1.%2.%3.%4.%5.%6."/>
      <w:lvlJc w:val="left"/>
      <w:pPr>
        <w:ind w:left="1482" w:hanging="1440"/>
      </w:pPr>
      <w:rPr>
        <w:rFonts w:hint="default"/>
      </w:rPr>
    </w:lvl>
    <w:lvl w:ilvl="6">
      <w:start w:val="1"/>
      <w:numFmt w:val="decimal"/>
      <w:lvlText w:val="%1.%2.%3.%4.%5.%6.%7."/>
      <w:lvlJc w:val="left"/>
      <w:pPr>
        <w:ind w:left="1490" w:hanging="1440"/>
      </w:pPr>
      <w:rPr>
        <w:rFonts w:hint="default"/>
      </w:rPr>
    </w:lvl>
    <w:lvl w:ilvl="7">
      <w:start w:val="1"/>
      <w:numFmt w:val="decimal"/>
      <w:lvlText w:val="%1.%2.%3.%4.%5.%6.%7.%8."/>
      <w:lvlJc w:val="left"/>
      <w:pPr>
        <w:ind w:left="1858" w:hanging="1800"/>
      </w:pPr>
      <w:rPr>
        <w:rFonts w:hint="default"/>
      </w:rPr>
    </w:lvl>
    <w:lvl w:ilvl="8">
      <w:start w:val="1"/>
      <w:numFmt w:val="decimal"/>
      <w:lvlText w:val="%1.%2.%3.%4.%5.%6.%7.%8.%9."/>
      <w:lvlJc w:val="left"/>
      <w:pPr>
        <w:ind w:left="1866" w:hanging="1800"/>
      </w:pPr>
      <w:rPr>
        <w:rFonts w:hint="default"/>
      </w:rPr>
    </w:lvl>
  </w:abstractNum>
  <w:abstractNum w:abstractNumId="24" w15:restartNumberingAfterBreak="0">
    <w:nsid w:val="3D4E1321"/>
    <w:multiLevelType w:val="multilevel"/>
    <w:tmpl w:val="657EFF60"/>
    <w:lvl w:ilvl="0">
      <w:start w:val="36"/>
      <w:numFmt w:val="decimal"/>
      <w:lvlText w:val="%1."/>
      <w:lvlJc w:val="left"/>
      <w:pPr>
        <w:ind w:left="360" w:hanging="360"/>
      </w:pPr>
      <w:rPr>
        <w:rFonts w:hint="default"/>
      </w:rPr>
    </w:lvl>
    <w:lvl w:ilvl="1">
      <w:start w:val="1"/>
      <w:numFmt w:val="decimal"/>
      <w:lvlText w:val="%1.%2."/>
      <w:lvlJc w:val="left"/>
      <w:pPr>
        <w:ind w:left="730" w:hanging="720"/>
      </w:pPr>
      <w:rPr>
        <w:rFonts w:hint="default"/>
      </w:rPr>
    </w:lvl>
    <w:lvl w:ilvl="2">
      <w:start w:val="1"/>
      <w:numFmt w:val="decimal"/>
      <w:lvlText w:val="%1.%2.%3."/>
      <w:lvlJc w:val="left"/>
      <w:pPr>
        <w:ind w:left="738" w:hanging="720"/>
      </w:pPr>
      <w:rPr>
        <w:rFonts w:hint="default"/>
      </w:rPr>
    </w:lvl>
    <w:lvl w:ilvl="3">
      <w:start w:val="1"/>
      <w:numFmt w:val="decimal"/>
      <w:lvlText w:val="%1.%2.%3.%4."/>
      <w:lvlJc w:val="left"/>
      <w:pPr>
        <w:ind w:left="1106" w:hanging="1080"/>
      </w:pPr>
      <w:rPr>
        <w:rFonts w:hint="default"/>
      </w:rPr>
    </w:lvl>
    <w:lvl w:ilvl="4">
      <w:start w:val="1"/>
      <w:numFmt w:val="decimal"/>
      <w:lvlText w:val="%1.%2.%3.%4.%5."/>
      <w:lvlJc w:val="left"/>
      <w:pPr>
        <w:ind w:left="1114" w:hanging="1080"/>
      </w:pPr>
      <w:rPr>
        <w:rFonts w:hint="default"/>
      </w:rPr>
    </w:lvl>
    <w:lvl w:ilvl="5">
      <w:start w:val="1"/>
      <w:numFmt w:val="decimal"/>
      <w:lvlText w:val="%1.%2.%3.%4.%5.%6."/>
      <w:lvlJc w:val="left"/>
      <w:pPr>
        <w:ind w:left="1482" w:hanging="1440"/>
      </w:pPr>
      <w:rPr>
        <w:rFonts w:hint="default"/>
      </w:rPr>
    </w:lvl>
    <w:lvl w:ilvl="6">
      <w:start w:val="1"/>
      <w:numFmt w:val="decimal"/>
      <w:lvlText w:val="%1.%2.%3.%4.%5.%6.%7."/>
      <w:lvlJc w:val="left"/>
      <w:pPr>
        <w:ind w:left="1490" w:hanging="1440"/>
      </w:pPr>
      <w:rPr>
        <w:rFonts w:hint="default"/>
      </w:rPr>
    </w:lvl>
    <w:lvl w:ilvl="7">
      <w:start w:val="1"/>
      <w:numFmt w:val="decimal"/>
      <w:lvlText w:val="%1.%2.%3.%4.%5.%6.%7.%8."/>
      <w:lvlJc w:val="left"/>
      <w:pPr>
        <w:ind w:left="1858" w:hanging="1800"/>
      </w:pPr>
      <w:rPr>
        <w:rFonts w:hint="default"/>
      </w:rPr>
    </w:lvl>
    <w:lvl w:ilvl="8">
      <w:start w:val="1"/>
      <w:numFmt w:val="decimal"/>
      <w:lvlText w:val="%1.%2.%3.%4.%5.%6.%7.%8.%9."/>
      <w:lvlJc w:val="left"/>
      <w:pPr>
        <w:ind w:left="1866" w:hanging="1800"/>
      </w:pPr>
      <w:rPr>
        <w:rFonts w:hint="default"/>
      </w:rPr>
    </w:lvl>
  </w:abstractNum>
  <w:abstractNum w:abstractNumId="25" w15:restartNumberingAfterBreak="0">
    <w:nsid w:val="3FF717C2"/>
    <w:multiLevelType w:val="hybridMultilevel"/>
    <w:tmpl w:val="489CFB40"/>
    <w:lvl w:ilvl="0" w:tplc="DC682036">
      <w:start w:val="27"/>
      <w:numFmt w:val="decimal"/>
      <w:lvlText w:val="%1."/>
      <w:lvlJc w:val="left"/>
      <w:pPr>
        <w:ind w:left="144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26" w15:restartNumberingAfterBreak="0">
    <w:nsid w:val="41483B5C"/>
    <w:multiLevelType w:val="hybridMultilevel"/>
    <w:tmpl w:val="146CB1F8"/>
    <w:lvl w:ilvl="0" w:tplc="41583ACA">
      <w:start w:val="1"/>
      <w:numFmt w:val="decimal"/>
      <w:lvlText w:val="%1."/>
      <w:lvlJc w:val="left"/>
      <w:pPr>
        <w:ind w:left="730" w:hanging="360"/>
      </w:pPr>
      <w:rPr>
        <w:rFonts w:hint="default"/>
      </w:rPr>
    </w:lvl>
    <w:lvl w:ilvl="1" w:tplc="240C0019" w:tentative="1">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27" w15:restartNumberingAfterBreak="0">
    <w:nsid w:val="435005CF"/>
    <w:multiLevelType w:val="hybridMultilevel"/>
    <w:tmpl w:val="25465A74"/>
    <w:lvl w:ilvl="0" w:tplc="240C000F">
      <w:start w:val="1"/>
      <w:numFmt w:val="decimal"/>
      <w:lvlText w:val="%1."/>
      <w:lvlJc w:val="left"/>
      <w:pPr>
        <w:ind w:left="380" w:hanging="360"/>
      </w:pPr>
    </w:lvl>
    <w:lvl w:ilvl="1" w:tplc="240C0019" w:tentative="1">
      <w:start w:val="1"/>
      <w:numFmt w:val="lowerLetter"/>
      <w:lvlText w:val="%2."/>
      <w:lvlJc w:val="left"/>
      <w:pPr>
        <w:ind w:left="1100" w:hanging="360"/>
      </w:pPr>
    </w:lvl>
    <w:lvl w:ilvl="2" w:tplc="240C001B" w:tentative="1">
      <w:start w:val="1"/>
      <w:numFmt w:val="lowerRoman"/>
      <w:lvlText w:val="%3."/>
      <w:lvlJc w:val="right"/>
      <w:pPr>
        <w:ind w:left="1820" w:hanging="180"/>
      </w:pPr>
    </w:lvl>
    <w:lvl w:ilvl="3" w:tplc="240C000F" w:tentative="1">
      <w:start w:val="1"/>
      <w:numFmt w:val="decimal"/>
      <w:lvlText w:val="%4."/>
      <w:lvlJc w:val="left"/>
      <w:pPr>
        <w:ind w:left="2540" w:hanging="360"/>
      </w:pPr>
    </w:lvl>
    <w:lvl w:ilvl="4" w:tplc="240C0019" w:tentative="1">
      <w:start w:val="1"/>
      <w:numFmt w:val="lowerLetter"/>
      <w:lvlText w:val="%5."/>
      <w:lvlJc w:val="left"/>
      <w:pPr>
        <w:ind w:left="3260" w:hanging="360"/>
      </w:pPr>
    </w:lvl>
    <w:lvl w:ilvl="5" w:tplc="240C001B" w:tentative="1">
      <w:start w:val="1"/>
      <w:numFmt w:val="lowerRoman"/>
      <w:lvlText w:val="%6."/>
      <w:lvlJc w:val="right"/>
      <w:pPr>
        <w:ind w:left="3980" w:hanging="180"/>
      </w:pPr>
    </w:lvl>
    <w:lvl w:ilvl="6" w:tplc="240C000F" w:tentative="1">
      <w:start w:val="1"/>
      <w:numFmt w:val="decimal"/>
      <w:lvlText w:val="%7."/>
      <w:lvlJc w:val="left"/>
      <w:pPr>
        <w:ind w:left="4700" w:hanging="360"/>
      </w:pPr>
    </w:lvl>
    <w:lvl w:ilvl="7" w:tplc="240C0019" w:tentative="1">
      <w:start w:val="1"/>
      <w:numFmt w:val="lowerLetter"/>
      <w:lvlText w:val="%8."/>
      <w:lvlJc w:val="left"/>
      <w:pPr>
        <w:ind w:left="5420" w:hanging="360"/>
      </w:pPr>
    </w:lvl>
    <w:lvl w:ilvl="8" w:tplc="240C001B" w:tentative="1">
      <w:start w:val="1"/>
      <w:numFmt w:val="lowerRoman"/>
      <w:lvlText w:val="%9."/>
      <w:lvlJc w:val="right"/>
      <w:pPr>
        <w:ind w:left="6140" w:hanging="180"/>
      </w:pPr>
    </w:lvl>
  </w:abstractNum>
  <w:abstractNum w:abstractNumId="28" w15:restartNumberingAfterBreak="0">
    <w:nsid w:val="442F7F84"/>
    <w:multiLevelType w:val="multilevel"/>
    <w:tmpl w:val="8CD0AFD2"/>
    <w:lvl w:ilvl="0">
      <w:start w:val="6"/>
      <w:numFmt w:val="decimal"/>
      <w:lvlText w:val="%1"/>
      <w:lvlJc w:val="left"/>
      <w:pPr>
        <w:ind w:left="443" w:hanging="443"/>
      </w:pPr>
      <w:rPr>
        <w:rFonts w:hint="default"/>
      </w:rPr>
    </w:lvl>
    <w:lvl w:ilvl="1">
      <w:start w:val="5"/>
      <w:numFmt w:val="decimal"/>
      <w:lvlText w:val="%1.%2"/>
      <w:lvlJc w:val="left"/>
      <w:pPr>
        <w:ind w:left="453" w:hanging="443"/>
      </w:pPr>
      <w:rPr>
        <w:rFonts w:hint="default"/>
      </w:rPr>
    </w:lvl>
    <w:lvl w:ilvl="2">
      <w:start w:val="1"/>
      <w:numFmt w:val="decimalZero"/>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29" w15:restartNumberingAfterBreak="0">
    <w:nsid w:val="481476C7"/>
    <w:multiLevelType w:val="hybridMultilevel"/>
    <w:tmpl w:val="45B6EBC6"/>
    <w:lvl w:ilvl="0" w:tplc="BDC02974">
      <w:start w:val="18"/>
      <w:numFmt w:val="decimal"/>
      <w:lvlText w:val="%1."/>
      <w:lvlJc w:val="left"/>
      <w:pPr>
        <w:ind w:left="74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0" w15:restartNumberingAfterBreak="0">
    <w:nsid w:val="54877C1E"/>
    <w:multiLevelType w:val="multilevel"/>
    <w:tmpl w:val="A3B02A88"/>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b/>
      </w:rPr>
    </w:lvl>
    <w:lvl w:ilvl="3">
      <w:start w:val="1"/>
      <w:numFmt w:val="lowerRoman"/>
      <w:lvlText w:val="%4)"/>
      <w:lvlJc w:val="left"/>
      <w:pPr>
        <w:ind w:left="3240" w:hanging="72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52648DD"/>
    <w:multiLevelType w:val="multilevel"/>
    <w:tmpl w:val="AA725180"/>
    <w:lvl w:ilvl="0">
      <w:start w:val="16"/>
      <w:numFmt w:val="decimal"/>
      <w:lvlText w:val="%1."/>
      <w:lvlJc w:val="left"/>
      <w:pPr>
        <w:ind w:left="360" w:hanging="360"/>
      </w:pPr>
      <w:rPr>
        <w:rFonts w:hint="default"/>
      </w:rPr>
    </w:lvl>
    <w:lvl w:ilvl="1">
      <w:start w:val="1"/>
      <w:numFmt w:val="decimal"/>
      <w:lvlText w:val="%1.%2."/>
      <w:lvlJc w:val="left"/>
      <w:pPr>
        <w:ind w:left="730" w:hanging="720"/>
      </w:pPr>
      <w:rPr>
        <w:rFonts w:hint="default"/>
      </w:rPr>
    </w:lvl>
    <w:lvl w:ilvl="2">
      <w:start w:val="1"/>
      <w:numFmt w:val="decimal"/>
      <w:lvlText w:val="%1.%2.%3."/>
      <w:lvlJc w:val="left"/>
      <w:pPr>
        <w:ind w:left="738" w:hanging="720"/>
      </w:pPr>
      <w:rPr>
        <w:rFonts w:hint="default"/>
      </w:rPr>
    </w:lvl>
    <w:lvl w:ilvl="3">
      <w:start w:val="1"/>
      <w:numFmt w:val="decimal"/>
      <w:lvlText w:val="%1.%2.%3.%4."/>
      <w:lvlJc w:val="left"/>
      <w:pPr>
        <w:ind w:left="1106" w:hanging="1080"/>
      </w:pPr>
      <w:rPr>
        <w:rFonts w:hint="default"/>
      </w:rPr>
    </w:lvl>
    <w:lvl w:ilvl="4">
      <w:start w:val="1"/>
      <w:numFmt w:val="decimal"/>
      <w:lvlText w:val="%1.%2.%3.%4.%5."/>
      <w:lvlJc w:val="left"/>
      <w:pPr>
        <w:ind w:left="1114" w:hanging="1080"/>
      </w:pPr>
      <w:rPr>
        <w:rFonts w:hint="default"/>
      </w:rPr>
    </w:lvl>
    <w:lvl w:ilvl="5">
      <w:start w:val="1"/>
      <w:numFmt w:val="decimal"/>
      <w:lvlText w:val="%1.%2.%3.%4.%5.%6."/>
      <w:lvlJc w:val="left"/>
      <w:pPr>
        <w:ind w:left="1482" w:hanging="1440"/>
      </w:pPr>
      <w:rPr>
        <w:rFonts w:hint="default"/>
      </w:rPr>
    </w:lvl>
    <w:lvl w:ilvl="6">
      <w:start w:val="1"/>
      <w:numFmt w:val="decimal"/>
      <w:lvlText w:val="%1.%2.%3.%4.%5.%6.%7."/>
      <w:lvlJc w:val="left"/>
      <w:pPr>
        <w:ind w:left="1490" w:hanging="1440"/>
      </w:pPr>
      <w:rPr>
        <w:rFonts w:hint="default"/>
      </w:rPr>
    </w:lvl>
    <w:lvl w:ilvl="7">
      <w:start w:val="1"/>
      <w:numFmt w:val="decimal"/>
      <w:lvlText w:val="%1.%2.%3.%4.%5.%6.%7.%8."/>
      <w:lvlJc w:val="left"/>
      <w:pPr>
        <w:ind w:left="1858" w:hanging="1800"/>
      </w:pPr>
      <w:rPr>
        <w:rFonts w:hint="default"/>
      </w:rPr>
    </w:lvl>
    <w:lvl w:ilvl="8">
      <w:start w:val="1"/>
      <w:numFmt w:val="decimal"/>
      <w:lvlText w:val="%1.%2.%3.%4.%5.%6.%7.%8.%9."/>
      <w:lvlJc w:val="left"/>
      <w:pPr>
        <w:ind w:left="1866" w:hanging="1800"/>
      </w:pPr>
      <w:rPr>
        <w:rFonts w:hint="default"/>
      </w:rPr>
    </w:lvl>
  </w:abstractNum>
  <w:abstractNum w:abstractNumId="32" w15:restartNumberingAfterBreak="0">
    <w:nsid w:val="569D0780"/>
    <w:multiLevelType w:val="hybridMultilevel"/>
    <w:tmpl w:val="C5085F06"/>
    <w:lvl w:ilvl="0" w:tplc="240C000F">
      <w:start w:val="1"/>
      <w:numFmt w:val="decimal"/>
      <w:lvlText w:val="%1."/>
      <w:lvlJc w:val="left"/>
      <w:pPr>
        <w:ind w:left="730" w:hanging="360"/>
      </w:pPr>
    </w:lvl>
    <w:lvl w:ilvl="1" w:tplc="240C0019" w:tentative="1">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33" w15:restartNumberingAfterBreak="0">
    <w:nsid w:val="5A8D247D"/>
    <w:multiLevelType w:val="hybridMultilevel"/>
    <w:tmpl w:val="6F6A9914"/>
    <w:lvl w:ilvl="0" w:tplc="ABCE933C">
      <w:start w:val="18"/>
      <w:numFmt w:val="decimal"/>
      <w:lvlText w:val="%1."/>
      <w:lvlJc w:val="left"/>
      <w:pPr>
        <w:ind w:left="720" w:hanging="360"/>
      </w:pPr>
      <w:rPr>
        <w:rFonts w:hint="default"/>
      </w:rPr>
    </w:lvl>
    <w:lvl w:ilvl="1" w:tplc="240C0019">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4" w15:restartNumberingAfterBreak="0">
    <w:nsid w:val="5E3F52CF"/>
    <w:multiLevelType w:val="hybridMultilevel"/>
    <w:tmpl w:val="47ACEF94"/>
    <w:lvl w:ilvl="0" w:tplc="240C000F">
      <w:start w:val="1"/>
      <w:numFmt w:val="decimal"/>
      <w:lvlText w:val="%1."/>
      <w:lvlJc w:val="left"/>
      <w:pPr>
        <w:ind w:left="730" w:hanging="360"/>
      </w:pPr>
    </w:lvl>
    <w:lvl w:ilvl="1" w:tplc="240C0019" w:tentative="1">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35" w15:restartNumberingAfterBreak="0">
    <w:nsid w:val="64E55EC6"/>
    <w:multiLevelType w:val="hybridMultilevel"/>
    <w:tmpl w:val="2DE2B7A8"/>
    <w:lvl w:ilvl="0" w:tplc="240C0001">
      <w:start w:val="1"/>
      <w:numFmt w:val="bullet"/>
      <w:lvlText w:val=""/>
      <w:lvlJc w:val="left"/>
      <w:pPr>
        <w:ind w:left="1080" w:hanging="360"/>
      </w:pPr>
      <w:rPr>
        <w:rFonts w:ascii="Symbol" w:hAnsi="Symbol" w:hint="default"/>
      </w:rPr>
    </w:lvl>
    <w:lvl w:ilvl="1" w:tplc="240C0003" w:tentative="1">
      <w:start w:val="1"/>
      <w:numFmt w:val="bullet"/>
      <w:lvlText w:val="o"/>
      <w:lvlJc w:val="left"/>
      <w:pPr>
        <w:ind w:left="1800" w:hanging="360"/>
      </w:pPr>
      <w:rPr>
        <w:rFonts w:ascii="Courier New" w:hAnsi="Courier New" w:cs="Courier New" w:hint="default"/>
      </w:rPr>
    </w:lvl>
    <w:lvl w:ilvl="2" w:tplc="240C0005" w:tentative="1">
      <w:start w:val="1"/>
      <w:numFmt w:val="bullet"/>
      <w:lvlText w:val=""/>
      <w:lvlJc w:val="left"/>
      <w:pPr>
        <w:ind w:left="2520" w:hanging="360"/>
      </w:pPr>
      <w:rPr>
        <w:rFonts w:ascii="Wingdings" w:hAnsi="Wingdings" w:hint="default"/>
      </w:rPr>
    </w:lvl>
    <w:lvl w:ilvl="3" w:tplc="240C0001" w:tentative="1">
      <w:start w:val="1"/>
      <w:numFmt w:val="bullet"/>
      <w:lvlText w:val=""/>
      <w:lvlJc w:val="left"/>
      <w:pPr>
        <w:ind w:left="3240" w:hanging="360"/>
      </w:pPr>
      <w:rPr>
        <w:rFonts w:ascii="Symbol" w:hAnsi="Symbol" w:hint="default"/>
      </w:rPr>
    </w:lvl>
    <w:lvl w:ilvl="4" w:tplc="240C0003" w:tentative="1">
      <w:start w:val="1"/>
      <w:numFmt w:val="bullet"/>
      <w:lvlText w:val="o"/>
      <w:lvlJc w:val="left"/>
      <w:pPr>
        <w:ind w:left="3960" w:hanging="360"/>
      </w:pPr>
      <w:rPr>
        <w:rFonts w:ascii="Courier New" w:hAnsi="Courier New" w:cs="Courier New" w:hint="default"/>
      </w:rPr>
    </w:lvl>
    <w:lvl w:ilvl="5" w:tplc="240C0005" w:tentative="1">
      <w:start w:val="1"/>
      <w:numFmt w:val="bullet"/>
      <w:lvlText w:val=""/>
      <w:lvlJc w:val="left"/>
      <w:pPr>
        <w:ind w:left="4680" w:hanging="360"/>
      </w:pPr>
      <w:rPr>
        <w:rFonts w:ascii="Wingdings" w:hAnsi="Wingdings" w:hint="default"/>
      </w:rPr>
    </w:lvl>
    <w:lvl w:ilvl="6" w:tplc="240C0001" w:tentative="1">
      <w:start w:val="1"/>
      <w:numFmt w:val="bullet"/>
      <w:lvlText w:val=""/>
      <w:lvlJc w:val="left"/>
      <w:pPr>
        <w:ind w:left="5400" w:hanging="360"/>
      </w:pPr>
      <w:rPr>
        <w:rFonts w:ascii="Symbol" w:hAnsi="Symbol" w:hint="default"/>
      </w:rPr>
    </w:lvl>
    <w:lvl w:ilvl="7" w:tplc="240C0003" w:tentative="1">
      <w:start w:val="1"/>
      <w:numFmt w:val="bullet"/>
      <w:lvlText w:val="o"/>
      <w:lvlJc w:val="left"/>
      <w:pPr>
        <w:ind w:left="6120" w:hanging="360"/>
      </w:pPr>
      <w:rPr>
        <w:rFonts w:ascii="Courier New" w:hAnsi="Courier New" w:cs="Courier New" w:hint="default"/>
      </w:rPr>
    </w:lvl>
    <w:lvl w:ilvl="8" w:tplc="240C0005" w:tentative="1">
      <w:start w:val="1"/>
      <w:numFmt w:val="bullet"/>
      <w:lvlText w:val=""/>
      <w:lvlJc w:val="left"/>
      <w:pPr>
        <w:ind w:left="6840" w:hanging="360"/>
      </w:pPr>
      <w:rPr>
        <w:rFonts w:ascii="Wingdings" w:hAnsi="Wingdings" w:hint="default"/>
      </w:rPr>
    </w:lvl>
  </w:abstractNum>
  <w:abstractNum w:abstractNumId="36" w15:restartNumberingAfterBreak="0">
    <w:nsid w:val="6A2D1F86"/>
    <w:multiLevelType w:val="hybridMultilevel"/>
    <w:tmpl w:val="1D080588"/>
    <w:lvl w:ilvl="0" w:tplc="240C000F">
      <w:start w:val="1"/>
      <w:numFmt w:val="decimal"/>
      <w:lvlText w:val="%1."/>
      <w:lvlJc w:val="left"/>
      <w:pPr>
        <w:ind w:left="730" w:hanging="360"/>
      </w:pPr>
    </w:lvl>
    <w:lvl w:ilvl="1" w:tplc="240C0019" w:tentative="1">
      <w:start w:val="1"/>
      <w:numFmt w:val="lowerLetter"/>
      <w:lvlText w:val="%2."/>
      <w:lvlJc w:val="left"/>
      <w:pPr>
        <w:ind w:left="1450" w:hanging="360"/>
      </w:pPr>
    </w:lvl>
    <w:lvl w:ilvl="2" w:tplc="240C001B" w:tentative="1">
      <w:start w:val="1"/>
      <w:numFmt w:val="lowerRoman"/>
      <w:lvlText w:val="%3."/>
      <w:lvlJc w:val="right"/>
      <w:pPr>
        <w:ind w:left="2170" w:hanging="180"/>
      </w:pPr>
    </w:lvl>
    <w:lvl w:ilvl="3" w:tplc="240C000F" w:tentative="1">
      <w:start w:val="1"/>
      <w:numFmt w:val="decimal"/>
      <w:lvlText w:val="%4."/>
      <w:lvlJc w:val="left"/>
      <w:pPr>
        <w:ind w:left="2890" w:hanging="360"/>
      </w:pPr>
    </w:lvl>
    <w:lvl w:ilvl="4" w:tplc="240C0019" w:tentative="1">
      <w:start w:val="1"/>
      <w:numFmt w:val="lowerLetter"/>
      <w:lvlText w:val="%5."/>
      <w:lvlJc w:val="left"/>
      <w:pPr>
        <w:ind w:left="3610" w:hanging="360"/>
      </w:pPr>
    </w:lvl>
    <w:lvl w:ilvl="5" w:tplc="240C001B" w:tentative="1">
      <w:start w:val="1"/>
      <w:numFmt w:val="lowerRoman"/>
      <w:lvlText w:val="%6."/>
      <w:lvlJc w:val="right"/>
      <w:pPr>
        <w:ind w:left="4330" w:hanging="180"/>
      </w:pPr>
    </w:lvl>
    <w:lvl w:ilvl="6" w:tplc="240C000F" w:tentative="1">
      <w:start w:val="1"/>
      <w:numFmt w:val="decimal"/>
      <w:lvlText w:val="%7."/>
      <w:lvlJc w:val="left"/>
      <w:pPr>
        <w:ind w:left="5050" w:hanging="360"/>
      </w:pPr>
    </w:lvl>
    <w:lvl w:ilvl="7" w:tplc="240C0019" w:tentative="1">
      <w:start w:val="1"/>
      <w:numFmt w:val="lowerLetter"/>
      <w:lvlText w:val="%8."/>
      <w:lvlJc w:val="left"/>
      <w:pPr>
        <w:ind w:left="5770" w:hanging="360"/>
      </w:pPr>
    </w:lvl>
    <w:lvl w:ilvl="8" w:tplc="240C001B" w:tentative="1">
      <w:start w:val="1"/>
      <w:numFmt w:val="lowerRoman"/>
      <w:lvlText w:val="%9."/>
      <w:lvlJc w:val="right"/>
      <w:pPr>
        <w:ind w:left="6490" w:hanging="180"/>
      </w:pPr>
    </w:lvl>
  </w:abstractNum>
  <w:abstractNum w:abstractNumId="37" w15:restartNumberingAfterBreak="0">
    <w:nsid w:val="703209FE"/>
    <w:multiLevelType w:val="hybridMultilevel"/>
    <w:tmpl w:val="173EEB52"/>
    <w:lvl w:ilvl="0" w:tplc="BE487770">
      <w:start w:val="24"/>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8" w15:restartNumberingAfterBreak="0">
    <w:nsid w:val="73991715"/>
    <w:multiLevelType w:val="hybridMultilevel"/>
    <w:tmpl w:val="DDA82308"/>
    <w:lvl w:ilvl="0" w:tplc="C3BED110">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9" w15:restartNumberingAfterBreak="0">
    <w:nsid w:val="756C070C"/>
    <w:multiLevelType w:val="multilevel"/>
    <w:tmpl w:val="337C62B6"/>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87A3B41"/>
    <w:multiLevelType w:val="multilevel"/>
    <w:tmpl w:val="F41C8BD4"/>
    <w:lvl w:ilvl="0">
      <w:start w:val="5"/>
      <w:numFmt w:val="decimal"/>
      <w:lvlText w:val="%1."/>
      <w:lvlJc w:val="left"/>
      <w:pPr>
        <w:ind w:left="360" w:hanging="360"/>
      </w:pPr>
      <w:rPr>
        <w:rFonts w:hint="default"/>
      </w:rPr>
    </w:lvl>
    <w:lvl w:ilvl="1">
      <w:start w:val="1"/>
      <w:numFmt w:val="decimal"/>
      <w:lvlText w:val="%1.%2."/>
      <w:lvlJc w:val="left"/>
      <w:pPr>
        <w:ind w:left="730" w:hanging="720"/>
      </w:pPr>
      <w:rPr>
        <w:rFonts w:hint="default"/>
      </w:rPr>
    </w:lvl>
    <w:lvl w:ilvl="2">
      <w:start w:val="1"/>
      <w:numFmt w:val="decimal"/>
      <w:lvlText w:val="%1.%2.%3."/>
      <w:lvlJc w:val="left"/>
      <w:pPr>
        <w:ind w:left="738" w:hanging="720"/>
      </w:pPr>
      <w:rPr>
        <w:rFonts w:hint="default"/>
      </w:rPr>
    </w:lvl>
    <w:lvl w:ilvl="3">
      <w:start w:val="1"/>
      <w:numFmt w:val="decimal"/>
      <w:lvlText w:val="%1.%2.%3.%4."/>
      <w:lvlJc w:val="left"/>
      <w:pPr>
        <w:ind w:left="1106" w:hanging="1080"/>
      </w:pPr>
      <w:rPr>
        <w:rFonts w:hint="default"/>
      </w:rPr>
    </w:lvl>
    <w:lvl w:ilvl="4">
      <w:start w:val="1"/>
      <w:numFmt w:val="decimal"/>
      <w:lvlText w:val="%1.%2.%3.%4.%5."/>
      <w:lvlJc w:val="left"/>
      <w:pPr>
        <w:ind w:left="1114" w:hanging="1080"/>
      </w:pPr>
      <w:rPr>
        <w:rFonts w:hint="default"/>
      </w:rPr>
    </w:lvl>
    <w:lvl w:ilvl="5">
      <w:start w:val="1"/>
      <w:numFmt w:val="decimal"/>
      <w:lvlText w:val="%1.%2.%3.%4.%5.%6."/>
      <w:lvlJc w:val="left"/>
      <w:pPr>
        <w:ind w:left="1482" w:hanging="1440"/>
      </w:pPr>
      <w:rPr>
        <w:rFonts w:hint="default"/>
      </w:rPr>
    </w:lvl>
    <w:lvl w:ilvl="6">
      <w:start w:val="1"/>
      <w:numFmt w:val="decimal"/>
      <w:lvlText w:val="%1.%2.%3.%4.%5.%6.%7."/>
      <w:lvlJc w:val="left"/>
      <w:pPr>
        <w:ind w:left="1490" w:hanging="1440"/>
      </w:pPr>
      <w:rPr>
        <w:rFonts w:hint="default"/>
      </w:rPr>
    </w:lvl>
    <w:lvl w:ilvl="7">
      <w:start w:val="1"/>
      <w:numFmt w:val="decimal"/>
      <w:lvlText w:val="%1.%2.%3.%4.%5.%6.%7.%8."/>
      <w:lvlJc w:val="left"/>
      <w:pPr>
        <w:ind w:left="1858" w:hanging="1800"/>
      </w:pPr>
      <w:rPr>
        <w:rFonts w:hint="default"/>
      </w:rPr>
    </w:lvl>
    <w:lvl w:ilvl="8">
      <w:start w:val="1"/>
      <w:numFmt w:val="decimal"/>
      <w:lvlText w:val="%1.%2.%3.%4.%5.%6.%7.%8.%9."/>
      <w:lvlJc w:val="left"/>
      <w:pPr>
        <w:ind w:left="1866" w:hanging="1800"/>
      </w:pPr>
      <w:rPr>
        <w:rFonts w:hint="default"/>
      </w:rPr>
    </w:lvl>
  </w:abstractNum>
  <w:abstractNum w:abstractNumId="41" w15:restartNumberingAfterBreak="0">
    <w:nsid w:val="78C85540"/>
    <w:multiLevelType w:val="multilevel"/>
    <w:tmpl w:val="8796FC7C"/>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42" w15:restartNumberingAfterBreak="0">
    <w:nsid w:val="79F75746"/>
    <w:multiLevelType w:val="hybridMultilevel"/>
    <w:tmpl w:val="B0344E76"/>
    <w:lvl w:ilvl="0" w:tplc="78A824BA">
      <w:start w:val="1"/>
      <w:numFmt w:val="bullet"/>
      <w:lvlText w:val=""/>
      <w:lvlJc w:val="left"/>
      <w:pPr>
        <w:tabs>
          <w:tab w:val="num" w:pos="720"/>
        </w:tabs>
        <w:ind w:left="720" w:hanging="360"/>
      </w:pPr>
      <w:rPr>
        <w:rFonts w:ascii="Wingdings" w:hAnsi="Wingdings" w:hint="default"/>
      </w:rPr>
    </w:lvl>
    <w:lvl w:ilvl="1" w:tplc="4D96CE7A" w:tentative="1">
      <w:start w:val="1"/>
      <w:numFmt w:val="bullet"/>
      <w:lvlText w:val=""/>
      <w:lvlJc w:val="left"/>
      <w:pPr>
        <w:tabs>
          <w:tab w:val="num" w:pos="1440"/>
        </w:tabs>
        <w:ind w:left="1440" w:hanging="360"/>
      </w:pPr>
      <w:rPr>
        <w:rFonts w:ascii="Wingdings" w:hAnsi="Wingdings" w:hint="default"/>
      </w:rPr>
    </w:lvl>
    <w:lvl w:ilvl="2" w:tplc="BE7C3EB2" w:tentative="1">
      <w:start w:val="1"/>
      <w:numFmt w:val="bullet"/>
      <w:lvlText w:val=""/>
      <w:lvlJc w:val="left"/>
      <w:pPr>
        <w:tabs>
          <w:tab w:val="num" w:pos="2160"/>
        </w:tabs>
        <w:ind w:left="2160" w:hanging="360"/>
      </w:pPr>
      <w:rPr>
        <w:rFonts w:ascii="Wingdings" w:hAnsi="Wingdings" w:hint="default"/>
      </w:rPr>
    </w:lvl>
    <w:lvl w:ilvl="3" w:tplc="A5121140" w:tentative="1">
      <w:start w:val="1"/>
      <w:numFmt w:val="bullet"/>
      <w:lvlText w:val=""/>
      <w:lvlJc w:val="left"/>
      <w:pPr>
        <w:tabs>
          <w:tab w:val="num" w:pos="2880"/>
        </w:tabs>
        <w:ind w:left="2880" w:hanging="360"/>
      </w:pPr>
      <w:rPr>
        <w:rFonts w:ascii="Wingdings" w:hAnsi="Wingdings" w:hint="default"/>
      </w:rPr>
    </w:lvl>
    <w:lvl w:ilvl="4" w:tplc="3FB43C28" w:tentative="1">
      <w:start w:val="1"/>
      <w:numFmt w:val="bullet"/>
      <w:lvlText w:val=""/>
      <w:lvlJc w:val="left"/>
      <w:pPr>
        <w:tabs>
          <w:tab w:val="num" w:pos="3600"/>
        </w:tabs>
        <w:ind w:left="3600" w:hanging="360"/>
      </w:pPr>
      <w:rPr>
        <w:rFonts w:ascii="Wingdings" w:hAnsi="Wingdings" w:hint="default"/>
      </w:rPr>
    </w:lvl>
    <w:lvl w:ilvl="5" w:tplc="14FA07B8" w:tentative="1">
      <w:start w:val="1"/>
      <w:numFmt w:val="bullet"/>
      <w:lvlText w:val=""/>
      <w:lvlJc w:val="left"/>
      <w:pPr>
        <w:tabs>
          <w:tab w:val="num" w:pos="4320"/>
        </w:tabs>
        <w:ind w:left="4320" w:hanging="360"/>
      </w:pPr>
      <w:rPr>
        <w:rFonts w:ascii="Wingdings" w:hAnsi="Wingdings" w:hint="default"/>
      </w:rPr>
    </w:lvl>
    <w:lvl w:ilvl="6" w:tplc="829ABC58" w:tentative="1">
      <w:start w:val="1"/>
      <w:numFmt w:val="bullet"/>
      <w:lvlText w:val=""/>
      <w:lvlJc w:val="left"/>
      <w:pPr>
        <w:tabs>
          <w:tab w:val="num" w:pos="5040"/>
        </w:tabs>
        <w:ind w:left="5040" w:hanging="360"/>
      </w:pPr>
      <w:rPr>
        <w:rFonts w:ascii="Wingdings" w:hAnsi="Wingdings" w:hint="default"/>
      </w:rPr>
    </w:lvl>
    <w:lvl w:ilvl="7" w:tplc="217C11BC" w:tentative="1">
      <w:start w:val="1"/>
      <w:numFmt w:val="bullet"/>
      <w:lvlText w:val=""/>
      <w:lvlJc w:val="left"/>
      <w:pPr>
        <w:tabs>
          <w:tab w:val="num" w:pos="5760"/>
        </w:tabs>
        <w:ind w:left="5760" w:hanging="360"/>
      </w:pPr>
      <w:rPr>
        <w:rFonts w:ascii="Wingdings" w:hAnsi="Wingdings" w:hint="default"/>
      </w:rPr>
    </w:lvl>
    <w:lvl w:ilvl="8" w:tplc="DF0A42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3060FD"/>
    <w:multiLevelType w:val="hybridMultilevel"/>
    <w:tmpl w:val="322C189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C1F038C"/>
    <w:multiLevelType w:val="multilevel"/>
    <w:tmpl w:val="A4FE2EA2"/>
    <w:lvl w:ilvl="0">
      <w:start w:val="1"/>
      <w:numFmt w:val="decimal"/>
      <w:lvlText w:val="%1."/>
      <w:lvlJc w:val="left"/>
      <w:pPr>
        <w:ind w:left="360" w:hanging="360"/>
      </w:pPr>
    </w:lvl>
    <w:lvl w:ilvl="1">
      <w:start w:val="1"/>
      <w:numFmt w:val="decimal"/>
      <w:lvlText w:val="%1.%2."/>
      <w:lvlJc w:val="left"/>
      <w:pPr>
        <w:ind w:left="730" w:hanging="720"/>
      </w:pPr>
    </w:lvl>
    <w:lvl w:ilvl="2">
      <w:start w:val="1"/>
      <w:numFmt w:val="decimal"/>
      <w:lvlText w:val="%1.%2.%3."/>
      <w:lvlJc w:val="left"/>
      <w:pPr>
        <w:ind w:left="738" w:hanging="720"/>
      </w:pPr>
    </w:lvl>
    <w:lvl w:ilvl="3">
      <w:start w:val="1"/>
      <w:numFmt w:val="decimal"/>
      <w:lvlText w:val="%1.%2.%3.%4."/>
      <w:lvlJc w:val="left"/>
      <w:pPr>
        <w:ind w:left="1106" w:hanging="1080"/>
      </w:pPr>
    </w:lvl>
    <w:lvl w:ilvl="4">
      <w:start w:val="1"/>
      <w:numFmt w:val="decimal"/>
      <w:lvlText w:val="%1.%2.%3.%4.%5."/>
      <w:lvlJc w:val="left"/>
      <w:pPr>
        <w:ind w:left="1114" w:hanging="1080"/>
      </w:pPr>
    </w:lvl>
    <w:lvl w:ilvl="5">
      <w:start w:val="1"/>
      <w:numFmt w:val="decimal"/>
      <w:lvlText w:val="%1.%2.%3.%4.%5.%6."/>
      <w:lvlJc w:val="left"/>
      <w:pPr>
        <w:ind w:left="1482" w:hanging="1440"/>
      </w:pPr>
    </w:lvl>
    <w:lvl w:ilvl="6">
      <w:start w:val="1"/>
      <w:numFmt w:val="decimal"/>
      <w:lvlText w:val="%1.%2.%3.%4.%5.%6.%7."/>
      <w:lvlJc w:val="left"/>
      <w:pPr>
        <w:ind w:left="1490" w:hanging="1440"/>
      </w:pPr>
    </w:lvl>
    <w:lvl w:ilvl="7">
      <w:start w:val="1"/>
      <w:numFmt w:val="decimal"/>
      <w:lvlText w:val="%1.%2.%3.%4.%5.%6.%7.%8."/>
      <w:lvlJc w:val="left"/>
      <w:pPr>
        <w:ind w:left="1858" w:hanging="1800"/>
      </w:pPr>
    </w:lvl>
    <w:lvl w:ilvl="8">
      <w:start w:val="1"/>
      <w:numFmt w:val="decimal"/>
      <w:lvlText w:val="%1.%2.%3.%4.%5.%6.%7.%8.%9."/>
      <w:lvlJc w:val="left"/>
      <w:pPr>
        <w:ind w:left="1866" w:hanging="1800"/>
      </w:pPr>
    </w:lvl>
  </w:abstractNum>
  <w:abstractNum w:abstractNumId="45" w15:restartNumberingAfterBreak="0">
    <w:nsid w:val="7C8E191B"/>
    <w:multiLevelType w:val="multilevel"/>
    <w:tmpl w:val="D3587D92"/>
    <w:lvl w:ilvl="0">
      <w:start w:val="10"/>
      <w:numFmt w:val="decimal"/>
      <w:lvlText w:val="%1."/>
      <w:lvlJc w:val="left"/>
      <w:pPr>
        <w:ind w:left="360" w:hanging="360"/>
      </w:pPr>
      <w:rPr>
        <w:rFonts w:hint="default"/>
      </w:rPr>
    </w:lvl>
    <w:lvl w:ilvl="1">
      <w:start w:val="1"/>
      <w:numFmt w:val="decimal"/>
      <w:lvlText w:val="%1.%2."/>
      <w:lvlJc w:val="left"/>
      <w:pPr>
        <w:ind w:left="730" w:hanging="720"/>
      </w:pPr>
      <w:rPr>
        <w:rFonts w:hint="default"/>
      </w:rPr>
    </w:lvl>
    <w:lvl w:ilvl="2">
      <w:start w:val="1"/>
      <w:numFmt w:val="decimal"/>
      <w:lvlText w:val="%1.%2.%3."/>
      <w:lvlJc w:val="left"/>
      <w:pPr>
        <w:ind w:left="738" w:hanging="720"/>
      </w:pPr>
      <w:rPr>
        <w:rFonts w:hint="default"/>
      </w:rPr>
    </w:lvl>
    <w:lvl w:ilvl="3">
      <w:start w:val="1"/>
      <w:numFmt w:val="decimal"/>
      <w:lvlText w:val="%1.%2.%3.%4."/>
      <w:lvlJc w:val="left"/>
      <w:pPr>
        <w:ind w:left="1106" w:hanging="1080"/>
      </w:pPr>
      <w:rPr>
        <w:rFonts w:hint="default"/>
      </w:rPr>
    </w:lvl>
    <w:lvl w:ilvl="4">
      <w:start w:val="1"/>
      <w:numFmt w:val="decimal"/>
      <w:lvlText w:val="%1.%2.%3.%4.%5."/>
      <w:lvlJc w:val="left"/>
      <w:pPr>
        <w:ind w:left="1114" w:hanging="1080"/>
      </w:pPr>
      <w:rPr>
        <w:rFonts w:hint="default"/>
      </w:rPr>
    </w:lvl>
    <w:lvl w:ilvl="5">
      <w:start w:val="1"/>
      <w:numFmt w:val="decimal"/>
      <w:lvlText w:val="%1.%2.%3.%4.%5.%6."/>
      <w:lvlJc w:val="left"/>
      <w:pPr>
        <w:ind w:left="1482" w:hanging="1440"/>
      </w:pPr>
      <w:rPr>
        <w:rFonts w:hint="default"/>
      </w:rPr>
    </w:lvl>
    <w:lvl w:ilvl="6">
      <w:start w:val="1"/>
      <w:numFmt w:val="decimal"/>
      <w:lvlText w:val="%1.%2.%3.%4.%5.%6.%7."/>
      <w:lvlJc w:val="left"/>
      <w:pPr>
        <w:ind w:left="1490" w:hanging="1440"/>
      </w:pPr>
      <w:rPr>
        <w:rFonts w:hint="default"/>
      </w:rPr>
    </w:lvl>
    <w:lvl w:ilvl="7">
      <w:start w:val="1"/>
      <w:numFmt w:val="decimal"/>
      <w:lvlText w:val="%1.%2.%3.%4.%5.%6.%7.%8."/>
      <w:lvlJc w:val="left"/>
      <w:pPr>
        <w:ind w:left="1858" w:hanging="1800"/>
      </w:pPr>
      <w:rPr>
        <w:rFonts w:hint="default"/>
      </w:rPr>
    </w:lvl>
    <w:lvl w:ilvl="8">
      <w:start w:val="1"/>
      <w:numFmt w:val="decimal"/>
      <w:lvlText w:val="%1.%2.%3.%4.%5.%6.%7.%8.%9."/>
      <w:lvlJc w:val="left"/>
      <w:pPr>
        <w:ind w:left="1866" w:hanging="1800"/>
      </w:pPr>
      <w:rPr>
        <w:rFonts w:hint="default"/>
      </w:rPr>
    </w:lvl>
  </w:abstractNum>
  <w:num w:numId="1" w16cid:durableId="856194191">
    <w:abstractNumId w:val="22"/>
  </w:num>
  <w:num w:numId="2" w16cid:durableId="1358509386">
    <w:abstractNumId w:val="21"/>
  </w:num>
  <w:num w:numId="3" w16cid:durableId="2125608245">
    <w:abstractNumId w:val="44"/>
  </w:num>
  <w:num w:numId="4" w16cid:durableId="189800800">
    <w:abstractNumId w:val="41"/>
  </w:num>
  <w:num w:numId="5" w16cid:durableId="2031880370">
    <w:abstractNumId w:val="18"/>
  </w:num>
  <w:num w:numId="6" w16cid:durableId="2137526535">
    <w:abstractNumId w:val="30"/>
  </w:num>
  <w:num w:numId="7" w16cid:durableId="632634455">
    <w:abstractNumId w:val="39"/>
  </w:num>
  <w:num w:numId="8" w16cid:durableId="413555387">
    <w:abstractNumId w:val="38"/>
  </w:num>
  <w:num w:numId="9" w16cid:durableId="1291208602">
    <w:abstractNumId w:val="12"/>
  </w:num>
  <w:num w:numId="10" w16cid:durableId="1555384334">
    <w:abstractNumId w:val="45"/>
  </w:num>
  <w:num w:numId="11" w16cid:durableId="533423262">
    <w:abstractNumId w:val="23"/>
  </w:num>
  <w:num w:numId="12" w16cid:durableId="342707740">
    <w:abstractNumId w:val="31"/>
  </w:num>
  <w:num w:numId="13" w16cid:durableId="1040743095">
    <w:abstractNumId w:val="9"/>
  </w:num>
  <w:num w:numId="14" w16cid:durableId="1855611079">
    <w:abstractNumId w:val="40"/>
  </w:num>
  <w:num w:numId="15" w16cid:durableId="1512137359">
    <w:abstractNumId w:val="5"/>
  </w:num>
  <w:num w:numId="16" w16cid:durableId="1718703603">
    <w:abstractNumId w:val="2"/>
  </w:num>
  <w:num w:numId="17" w16cid:durableId="94450836">
    <w:abstractNumId w:val="26"/>
  </w:num>
  <w:num w:numId="18" w16cid:durableId="937785815">
    <w:abstractNumId w:val="0"/>
  </w:num>
  <w:num w:numId="19" w16cid:durableId="1692729849">
    <w:abstractNumId w:val="8"/>
  </w:num>
  <w:num w:numId="20" w16cid:durableId="82846177">
    <w:abstractNumId w:val="16"/>
  </w:num>
  <w:num w:numId="21" w16cid:durableId="2046707036">
    <w:abstractNumId w:val="13"/>
  </w:num>
  <w:num w:numId="22" w16cid:durableId="212543003">
    <w:abstractNumId w:val="14"/>
  </w:num>
  <w:num w:numId="23" w16cid:durableId="691344703">
    <w:abstractNumId w:val="11"/>
  </w:num>
  <w:num w:numId="24" w16cid:durableId="1032724030">
    <w:abstractNumId w:val="34"/>
  </w:num>
  <w:num w:numId="25" w16cid:durableId="1279068060">
    <w:abstractNumId w:val="17"/>
  </w:num>
  <w:num w:numId="26" w16cid:durableId="1371880748">
    <w:abstractNumId w:val="37"/>
  </w:num>
  <w:num w:numId="27" w16cid:durableId="338779331">
    <w:abstractNumId w:val="42"/>
  </w:num>
  <w:num w:numId="28" w16cid:durableId="185797543">
    <w:abstractNumId w:val="19"/>
  </w:num>
  <w:num w:numId="29" w16cid:durableId="1364592187">
    <w:abstractNumId w:val="29"/>
  </w:num>
  <w:num w:numId="30" w16cid:durableId="955218317">
    <w:abstractNumId w:val="36"/>
  </w:num>
  <w:num w:numId="31" w16cid:durableId="1658848352">
    <w:abstractNumId w:val="6"/>
  </w:num>
  <w:num w:numId="32" w16cid:durableId="290792600">
    <w:abstractNumId w:val="4"/>
  </w:num>
  <w:num w:numId="33" w16cid:durableId="379325846">
    <w:abstractNumId w:val="35"/>
  </w:num>
  <w:num w:numId="34" w16cid:durableId="298999885">
    <w:abstractNumId w:val="27"/>
  </w:num>
  <w:num w:numId="35" w16cid:durableId="1866550937">
    <w:abstractNumId w:val="3"/>
  </w:num>
  <w:num w:numId="36" w16cid:durableId="1340502071">
    <w:abstractNumId w:val="20"/>
  </w:num>
  <w:num w:numId="37" w16cid:durableId="2021008107">
    <w:abstractNumId w:val="32"/>
  </w:num>
  <w:num w:numId="38" w16cid:durableId="213083414">
    <w:abstractNumId w:val="15"/>
  </w:num>
  <w:num w:numId="39" w16cid:durableId="1307903230">
    <w:abstractNumId w:val="24"/>
  </w:num>
  <w:num w:numId="40" w16cid:durableId="1731148346">
    <w:abstractNumId w:val="10"/>
  </w:num>
  <w:num w:numId="41" w16cid:durableId="1789010334">
    <w:abstractNumId w:val="33"/>
  </w:num>
  <w:num w:numId="42" w16cid:durableId="151915825">
    <w:abstractNumId w:val="25"/>
  </w:num>
  <w:num w:numId="43" w16cid:durableId="514618411">
    <w:abstractNumId w:val="39"/>
  </w:num>
  <w:num w:numId="44" w16cid:durableId="1629506827">
    <w:abstractNumId w:val="7"/>
  </w:num>
  <w:num w:numId="45" w16cid:durableId="690496205">
    <w:abstractNumId w:val="1"/>
  </w:num>
  <w:num w:numId="46" w16cid:durableId="1311516828">
    <w:abstractNumId w:val="28"/>
  </w:num>
  <w:num w:numId="47" w16cid:durableId="943000452">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A8"/>
    <w:rsid w:val="000034ED"/>
    <w:rsid w:val="000047A6"/>
    <w:rsid w:val="00054B36"/>
    <w:rsid w:val="000734E8"/>
    <w:rsid w:val="0009009F"/>
    <w:rsid w:val="000B7ADB"/>
    <w:rsid w:val="000D04BA"/>
    <w:rsid w:val="000D1703"/>
    <w:rsid w:val="000D3C1B"/>
    <w:rsid w:val="0012411F"/>
    <w:rsid w:val="00171765"/>
    <w:rsid w:val="001B7E8E"/>
    <w:rsid w:val="001C015C"/>
    <w:rsid w:val="001C232C"/>
    <w:rsid w:val="0025605B"/>
    <w:rsid w:val="002568A2"/>
    <w:rsid w:val="00282418"/>
    <w:rsid w:val="002C0A96"/>
    <w:rsid w:val="002D76FD"/>
    <w:rsid w:val="002E2D5A"/>
    <w:rsid w:val="003300DF"/>
    <w:rsid w:val="00394022"/>
    <w:rsid w:val="003A574F"/>
    <w:rsid w:val="003B6F05"/>
    <w:rsid w:val="00421DDE"/>
    <w:rsid w:val="00431793"/>
    <w:rsid w:val="00436545"/>
    <w:rsid w:val="00461982"/>
    <w:rsid w:val="004703AE"/>
    <w:rsid w:val="00475FC9"/>
    <w:rsid w:val="004810CC"/>
    <w:rsid w:val="004B38B2"/>
    <w:rsid w:val="004C0DD4"/>
    <w:rsid w:val="00515803"/>
    <w:rsid w:val="00533737"/>
    <w:rsid w:val="0058435D"/>
    <w:rsid w:val="005847F1"/>
    <w:rsid w:val="00594779"/>
    <w:rsid w:val="00595F9B"/>
    <w:rsid w:val="005A0E43"/>
    <w:rsid w:val="00617558"/>
    <w:rsid w:val="00651BAF"/>
    <w:rsid w:val="00666782"/>
    <w:rsid w:val="006712F8"/>
    <w:rsid w:val="006748D4"/>
    <w:rsid w:val="00687287"/>
    <w:rsid w:val="00697AA8"/>
    <w:rsid w:val="006C5E58"/>
    <w:rsid w:val="006C7E56"/>
    <w:rsid w:val="00715A2C"/>
    <w:rsid w:val="00746A51"/>
    <w:rsid w:val="00746D74"/>
    <w:rsid w:val="007754B9"/>
    <w:rsid w:val="00780A77"/>
    <w:rsid w:val="007A44E0"/>
    <w:rsid w:val="007B524A"/>
    <w:rsid w:val="007B5DFF"/>
    <w:rsid w:val="007E6684"/>
    <w:rsid w:val="0089309A"/>
    <w:rsid w:val="008C78EA"/>
    <w:rsid w:val="009303B5"/>
    <w:rsid w:val="009460EE"/>
    <w:rsid w:val="00962925"/>
    <w:rsid w:val="009D52B0"/>
    <w:rsid w:val="00A05A64"/>
    <w:rsid w:val="00A81F39"/>
    <w:rsid w:val="00A90C2E"/>
    <w:rsid w:val="00AA32DC"/>
    <w:rsid w:val="00AC5972"/>
    <w:rsid w:val="00AC7316"/>
    <w:rsid w:val="00B7221B"/>
    <w:rsid w:val="00B80A0B"/>
    <w:rsid w:val="00B8211F"/>
    <w:rsid w:val="00BA382D"/>
    <w:rsid w:val="00BB2D93"/>
    <w:rsid w:val="00BC2010"/>
    <w:rsid w:val="00BF3992"/>
    <w:rsid w:val="00C45007"/>
    <w:rsid w:val="00C91D13"/>
    <w:rsid w:val="00C965A8"/>
    <w:rsid w:val="00CB341C"/>
    <w:rsid w:val="00CF6C5C"/>
    <w:rsid w:val="00D06802"/>
    <w:rsid w:val="00D153DA"/>
    <w:rsid w:val="00D47142"/>
    <w:rsid w:val="00D6016E"/>
    <w:rsid w:val="00D6674D"/>
    <w:rsid w:val="00D8011D"/>
    <w:rsid w:val="00D81FEE"/>
    <w:rsid w:val="00D90AF4"/>
    <w:rsid w:val="00DE1E16"/>
    <w:rsid w:val="00DF668E"/>
    <w:rsid w:val="00DF72DF"/>
    <w:rsid w:val="00E212BF"/>
    <w:rsid w:val="00E46331"/>
    <w:rsid w:val="00E52559"/>
    <w:rsid w:val="00E82D35"/>
    <w:rsid w:val="00E87DE0"/>
    <w:rsid w:val="00EB5E11"/>
    <w:rsid w:val="00EC5A40"/>
    <w:rsid w:val="00EF6B26"/>
    <w:rsid w:val="00F22F94"/>
    <w:rsid w:val="00F345CB"/>
    <w:rsid w:val="00F516D7"/>
    <w:rsid w:val="00F749D4"/>
    <w:rsid w:val="00F826FE"/>
    <w:rsid w:val="00F9560C"/>
    <w:rsid w:val="00FC75A8"/>
    <w:rsid w:val="00FC7B69"/>
    <w:rsid w:val="00FD05C6"/>
    <w:rsid w:val="00FE70AA"/>
  </w:rsids>
  <m:mathPr>
    <m:mathFont m:val="Cambria Math"/>
    <m:brkBin m:val="before"/>
    <m:brkBinSub m:val="--"/>
    <m:smallFrac m:val="0"/>
    <m:dispDef/>
    <m:lMargin m:val="0"/>
    <m:rMargin m:val="0"/>
    <m:defJc m:val="centerGroup"/>
    <m:wrapIndent m:val="1440"/>
    <m:intLim m:val="subSup"/>
    <m:naryLim m:val="undOvr"/>
  </m:mathPr>
  <w:themeFontLang w:val="fr-C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7F183"/>
  <w15:docId w15:val="{7777A892-825A-4732-8EAE-F0494C7BA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fr-CD" w:eastAsia="fr-CD" w:bidi="ar-SA"/>
      </w:rPr>
    </w:rPrDefault>
    <w:pPrDefault>
      <w:pPr>
        <w:spacing w:after="5" w:line="271" w:lineRule="auto"/>
        <w:ind w:left="20" w:right="28"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636"/>
    <w:rPr>
      <w:color w:val="000000"/>
    </w:rPr>
  </w:style>
  <w:style w:type="paragraph" w:styleId="Titre1">
    <w:name w:val="heading 1"/>
    <w:next w:val="Normal"/>
    <w:link w:val="Titre1Car"/>
    <w:uiPriority w:val="9"/>
    <w:qFormat/>
    <w:rsid w:val="00566871"/>
    <w:pPr>
      <w:keepNext/>
      <w:keepLines/>
      <w:numPr>
        <w:numId w:val="7"/>
      </w:numPr>
      <w:spacing w:before="120" w:after="125" w:line="268" w:lineRule="auto"/>
      <w:outlineLvl w:val="0"/>
    </w:pPr>
    <w:rPr>
      <w:rFonts w:eastAsia="Cambria" w:cs="Cambria"/>
      <w:b/>
      <w:color w:val="0070C0"/>
      <w:sz w:val="24"/>
    </w:rPr>
  </w:style>
  <w:style w:type="paragraph" w:styleId="Titre2">
    <w:name w:val="heading 2"/>
    <w:basedOn w:val="Normal"/>
    <w:next w:val="Normal"/>
    <w:link w:val="Titre2Car"/>
    <w:uiPriority w:val="9"/>
    <w:unhideWhenUsed/>
    <w:qFormat/>
    <w:rsid w:val="00DA6DF9"/>
    <w:pPr>
      <w:keepNext/>
      <w:keepLines/>
      <w:spacing w:before="40" w:after="0"/>
      <w:outlineLvl w:val="1"/>
    </w:pPr>
    <w:rPr>
      <w:rFonts w:asciiTheme="majorHAnsi" w:eastAsiaTheme="majorEastAsia" w:hAnsiTheme="majorHAnsi" w:cstheme="majorBidi"/>
      <w:color w:val="0B5294" w:themeColor="accent1" w:themeShade="BF"/>
      <w:sz w:val="24"/>
      <w:szCs w:val="26"/>
    </w:rPr>
  </w:style>
  <w:style w:type="paragraph" w:styleId="Titre3">
    <w:name w:val="heading 3"/>
    <w:basedOn w:val="Normal"/>
    <w:next w:val="Normal"/>
    <w:link w:val="Titre3Car"/>
    <w:uiPriority w:val="9"/>
    <w:semiHidden/>
    <w:unhideWhenUsed/>
    <w:qFormat/>
    <w:rsid w:val="007808CB"/>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Titre4">
    <w:name w:val="heading 4"/>
    <w:next w:val="Normal"/>
    <w:link w:val="Titre4Car"/>
    <w:uiPriority w:val="9"/>
    <w:semiHidden/>
    <w:unhideWhenUsed/>
    <w:qFormat/>
    <w:rsid w:val="00964636"/>
    <w:pPr>
      <w:keepNext/>
      <w:keepLines/>
      <w:spacing w:after="10" w:line="268" w:lineRule="auto"/>
      <w:ind w:left="10"/>
      <w:outlineLvl w:val="3"/>
    </w:pPr>
    <w:rPr>
      <w:b/>
      <w:color w:val="000000"/>
    </w:rPr>
  </w:style>
  <w:style w:type="paragraph" w:styleId="Titre5">
    <w:name w:val="heading 5"/>
    <w:next w:val="Normal"/>
    <w:link w:val="Titre5Car"/>
    <w:uiPriority w:val="9"/>
    <w:semiHidden/>
    <w:unhideWhenUsed/>
    <w:qFormat/>
    <w:rsid w:val="00964636"/>
    <w:pPr>
      <w:keepNext/>
      <w:keepLines/>
      <w:spacing w:after="10" w:line="268" w:lineRule="auto"/>
      <w:ind w:left="10"/>
      <w:outlineLvl w:val="4"/>
    </w:pPr>
    <w:rPr>
      <w:b/>
      <w:color w:val="000000"/>
    </w:rPr>
  </w:style>
  <w:style w:type="paragraph" w:styleId="Titre6">
    <w:name w:val="heading 6"/>
    <w:basedOn w:val="Normal"/>
    <w:next w:val="Normal"/>
    <w:link w:val="Titre6Car"/>
    <w:uiPriority w:val="9"/>
    <w:semiHidden/>
    <w:unhideWhenUsed/>
    <w:qFormat/>
    <w:rsid w:val="00D17E74"/>
    <w:pPr>
      <w:keepNext/>
      <w:keepLines/>
      <w:spacing w:before="40" w:after="0"/>
      <w:outlineLvl w:val="5"/>
    </w:pPr>
    <w:rPr>
      <w:rFonts w:asciiTheme="majorHAnsi" w:eastAsiaTheme="majorEastAsia" w:hAnsiTheme="majorHAnsi" w:cstheme="majorBidi"/>
      <w:color w:val="073662"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566871"/>
    <w:rPr>
      <w:rFonts w:eastAsia="Cambria" w:cs="Cambria"/>
      <w:b/>
      <w:color w:val="0070C0"/>
      <w:sz w:val="24"/>
      <w:lang w:eastAsia="fr-CD"/>
    </w:rPr>
  </w:style>
  <w:style w:type="character" w:customStyle="1" w:styleId="Titre4Car">
    <w:name w:val="Titre 4 Car"/>
    <w:basedOn w:val="Policepardfaut"/>
    <w:link w:val="Titre4"/>
    <w:rsid w:val="00964636"/>
    <w:rPr>
      <w:rFonts w:ascii="Calibri" w:eastAsia="Calibri" w:hAnsi="Calibri" w:cs="Calibri"/>
      <w:b/>
      <w:color w:val="000000"/>
      <w:sz w:val="21"/>
      <w:lang w:val="fr-CD" w:eastAsia="fr-CD"/>
    </w:rPr>
  </w:style>
  <w:style w:type="character" w:customStyle="1" w:styleId="Titre5Car">
    <w:name w:val="Titre 5 Car"/>
    <w:basedOn w:val="Policepardfaut"/>
    <w:link w:val="Titre5"/>
    <w:rsid w:val="00964636"/>
    <w:rPr>
      <w:rFonts w:ascii="Calibri" w:eastAsia="Calibri" w:hAnsi="Calibri" w:cs="Calibri"/>
      <w:b/>
      <w:color w:val="000000"/>
      <w:sz w:val="21"/>
      <w:lang w:val="fr-CD" w:eastAsia="fr-CD"/>
    </w:rPr>
  </w:style>
  <w:style w:type="table" w:customStyle="1" w:styleId="TableGrid1">
    <w:name w:val="Table Grid1"/>
    <w:rsid w:val="00964636"/>
    <w:pPr>
      <w:spacing w:after="0" w:line="240" w:lineRule="auto"/>
    </w:pPr>
    <w:rPr>
      <w:rFonts w:eastAsiaTheme="minorEastAsia"/>
    </w:rPr>
    <w:tblPr>
      <w:tblCellMar>
        <w:top w:w="0" w:type="dxa"/>
        <w:left w:w="0" w:type="dxa"/>
        <w:bottom w:w="0" w:type="dxa"/>
        <w:right w:w="0" w:type="dxa"/>
      </w:tblCellMar>
    </w:tblPr>
  </w:style>
  <w:style w:type="paragraph" w:styleId="Paragraphedeliste">
    <w:name w:val="List Paragraph"/>
    <w:basedOn w:val="Normal"/>
    <w:uiPriority w:val="34"/>
    <w:qFormat/>
    <w:rsid w:val="00845AFD"/>
    <w:pPr>
      <w:ind w:left="720"/>
      <w:contextualSpacing/>
    </w:pPr>
  </w:style>
  <w:style w:type="paragraph" w:styleId="Pieddepage">
    <w:name w:val="footer"/>
    <w:basedOn w:val="Normal"/>
    <w:link w:val="PieddepageCar"/>
    <w:uiPriority w:val="99"/>
    <w:unhideWhenUsed/>
    <w:rsid w:val="00D81D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D6E"/>
    <w:rPr>
      <w:rFonts w:ascii="Calibri" w:eastAsia="Calibri" w:hAnsi="Calibri" w:cs="Calibri"/>
      <w:color w:val="000000"/>
      <w:sz w:val="21"/>
      <w:lang w:val="fr-CD" w:eastAsia="fr-CD"/>
    </w:rPr>
  </w:style>
  <w:style w:type="character" w:customStyle="1" w:styleId="Titre6Car">
    <w:name w:val="Titre 6 Car"/>
    <w:basedOn w:val="Policepardfaut"/>
    <w:link w:val="Titre6"/>
    <w:uiPriority w:val="9"/>
    <w:semiHidden/>
    <w:rsid w:val="00D17E74"/>
    <w:rPr>
      <w:rFonts w:asciiTheme="majorHAnsi" w:eastAsiaTheme="majorEastAsia" w:hAnsiTheme="majorHAnsi" w:cstheme="majorBidi"/>
      <w:color w:val="073662" w:themeColor="accent1" w:themeShade="7F"/>
      <w:sz w:val="21"/>
      <w:lang w:val="fr-CD" w:eastAsia="fr-CD"/>
    </w:rPr>
  </w:style>
  <w:style w:type="table" w:styleId="TableauGrille1Clair-Accentuation5">
    <w:name w:val="Grid Table 1 Light Accent 5"/>
    <w:basedOn w:val="TableauNormal"/>
    <w:uiPriority w:val="46"/>
    <w:rsid w:val="00C8307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C8307D"/>
    <w:rPr>
      <w:color w:val="F49100" w:themeColor="hyperlink"/>
      <w:u w:val="single"/>
    </w:rPr>
  </w:style>
  <w:style w:type="character" w:customStyle="1" w:styleId="Mentionnonrsolue1">
    <w:name w:val="Mention non résolue1"/>
    <w:basedOn w:val="Policepardfaut"/>
    <w:uiPriority w:val="99"/>
    <w:semiHidden/>
    <w:unhideWhenUsed/>
    <w:rsid w:val="00C8307D"/>
    <w:rPr>
      <w:color w:val="808080"/>
      <w:shd w:val="clear" w:color="auto" w:fill="E6E6E6"/>
    </w:rPr>
  </w:style>
  <w:style w:type="paragraph" w:styleId="Textedebulles">
    <w:name w:val="Balloon Text"/>
    <w:basedOn w:val="Normal"/>
    <w:link w:val="TextedebullesCar"/>
    <w:uiPriority w:val="99"/>
    <w:semiHidden/>
    <w:unhideWhenUsed/>
    <w:rsid w:val="002A21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18E"/>
    <w:rPr>
      <w:rFonts w:ascii="Segoe UI" w:eastAsia="Calibri" w:hAnsi="Segoe UI" w:cs="Segoe UI"/>
      <w:color w:val="000000"/>
      <w:sz w:val="18"/>
      <w:szCs w:val="18"/>
      <w:lang w:val="fr-CD" w:eastAsia="fr-CD"/>
    </w:rPr>
  </w:style>
  <w:style w:type="paragraph" w:styleId="Notedebasdepage">
    <w:name w:val="footnote text"/>
    <w:basedOn w:val="Normal"/>
    <w:link w:val="NotedebasdepageCar"/>
    <w:unhideWhenUsed/>
    <w:rsid w:val="000D3BFD"/>
    <w:pPr>
      <w:spacing w:after="0" w:line="240" w:lineRule="auto"/>
    </w:pPr>
    <w:rPr>
      <w:sz w:val="20"/>
      <w:szCs w:val="20"/>
    </w:rPr>
  </w:style>
  <w:style w:type="character" w:customStyle="1" w:styleId="NotedebasdepageCar">
    <w:name w:val="Note de bas de page Car"/>
    <w:basedOn w:val="Policepardfaut"/>
    <w:link w:val="Notedebasdepage"/>
    <w:rsid w:val="000D3BFD"/>
    <w:rPr>
      <w:rFonts w:ascii="Calibri" w:eastAsia="Calibri" w:hAnsi="Calibri" w:cs="Calibri"/>
      <w:color w:val="000000"/>
      <w:sz w:val="20"/>
      <w:szCs w:val="20"/>
      <w:lang w:val="fr-CD" w:eastAsia="fr-CD"/>
    </w:rPr>
  </w:style>
  <w:style w:type="character" w:customStyle="1" w:styleId="Titre2Car">
    <w:name w:val="Titre 2 Car"/>
    <w:basedOn w:val="Policepardfaut"/>
    <w:link w:val="Titre2"/>
    <w:uiPriority w:val="9"/>
    <w:rsid w:val="00DA6DF9"/>
    <w:rPr>
      <w:rFonts w:asciiTheme="majorHAnsi" w:eastAsiaTheme="majorEastAsia" w:hAnsiTheme="majorHAnsi" w:cstheme="majorBidi"/>
      <w:color w:val="0B5294" w:themeColor="accent1" w:themeShade="BF"/>
      <w:sz w:val="24"/>
      <w:szCs w:val="26"/>
      <w:lang w:eastAsia="fr-CD"/>
    </w:rPr>
  </w:style>
  <w:style w:type="character" w:styleId="Appelnotedebasdep">
    <w:name w:val="footnote reference"/>
    <w:rsid w:val="00BC70AA"/>
    <w:rPr>
      <w:i/>
      <w:iCs/>
      <w:sz w:val="20"/>
      <w:vertAlign w:val="superscript"/>
      <w:lang w:val="fr-FR" w:eastAsia="fr-FR"/>
    </w:rPr>
  </w:style>
  <w:style w:type="paragraph" w:styleId="Normalcentr">
    <w:name w:val="Block Text"/>
    <w:basedOn w:val="Normal"/>
    <w:semiHidden/>
    <w:rsid w:val="00BC70AA"/>
    <w:pPr>
      <w:spacing w:after="0" w:line="240" w:lineRule="auto"/>
      <w:ind w:left="0" w:right="0" w:firstLine="0"/>
      <w:jc w:val="left"/>
    </w:pPr>
    <w:rPr>
      <w:rFonts w:ascii="Times New Roman" w:eastAsia="Times New Roman" w:hAnsi="Times New Roman" w:cs="Times New Roman"/>
      <w:color w:val="auto"/>
      <w:kern w:val="1"/>
      <w:sz w:val="24"/>
      <w:szCs w:val="24"/>
      <w:lang w:val="fr-FR" w:eastAsia="fr-FR"/>
    </w:rPr>
  </w:style>
  <w:style w:type="character" w:styleId="Textedelespacerserv">
    <w:name w:val="Placeholder Text"/>
    <w:basedOn w:val="Policepardfaut"/>
    <w:uiPriority w:val="99"/>
    <w:semiHidden/>
    <w:rsid w:val="00C7104E"/>
    <w:rPr>
      <w:color w:val="808080"/>
    </w:rPr>
  </w:style>
  <w:style w:type="paragraph" w:styleId="Lgende">
    <w:name w:val="caption"/>
    <w:basedOn w:val="Normal"/>
    <w:next w:val="Normal"/>
    <w:uiPriority w:val="35"/>
    <w:unhideWhenUsed/>
    <w:qFormat/>
    <w:rsid w:val="00FE31AD"/>
    <w:pPr>
      <w:spacing w:after="200" w:line="240" w:lineRule="auto"/>
    </w:pPr>
    <w:rPr>
      <w:i/>
      <w:iCs/>
      <w:color w:val="17406D" w:themeColor="text2"/>
      <w:sz w:val="18"/>
      <w:szCs w:val="18"/>
    </w:rPr>
  </w:style>
  <w:style w:type="character" w:styleId="Lienhypertextesuivivisit">
    <w:name w:val="FollowedHyperlink"/>
    <w:basedOn w:val="Policepardfaut"/>
    <w:uiPriority w:val="99"/>
    <w:semiHidden/>
    <w:unhideWhenUsed/>
    <w:rsid w:val="00310D1F"/>
    <w:rPr>
      <w:color w:val="85DFD0" w:themeColor="followedHyperlink"/>
      <w:u w:val="single"/>
    </w:rPr>
  </w:style>
  <w:style w:type="table" w:customStyle="1" w:styleId="TableGrid0">
    <w:name w:val="Table Grid0"/>
    <w:basedOn w:val="TableauNormal"/>
    <w:uiPriority w:val="39"/>
    <w:rsid w:val="0046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0767A"/>
    <w:pPr>
      <w:tabs>
        <w:tab w:val="center" w:pos="4536"/>
        <w:tab w:val="right" w:pos="9072"/>
      </w:tabs>
      <w:spacing w:after="0" w:line="240" w:lineRule="auto"/>
    </w:pPr>
  </w:style>
  <w:style w:type="character" w:customStyle="1" w:styleId="En-tteCar">
    <w:name w:val="En-tête Car"/>
    <w:basedOn w:val="Policepardfaut"/>
    <w:link w:val="En-tte"/>
    <w:uiPriority w:val="99"/>
    <w:rsid w:val="00C0767A"/>
    <w:rPr>
      <w:rFonts w:ascii="Calibri" w:eastAsia="Calibri" w:hAnsi="Calibri" w:cs="Calibri"/>
      <w:color w:val="000000"/>
      <w:sz w:val="21"/>
      <w:lang w:val="fr-CD" w:eastAsia="fr-CD"/>
    </w:rPr>
  </w:style>
  <w:style w:type="paragraph" w:styleId="En-ttedetabledesmatires">
    <w:name w:val="TOC Heading"/>
    <w:basedOn w:val="Titre1"/>
    <w:next w:val="Normal"/>
    <w:uiPriority w:val="39"/>
    <w:unhideWhenUsed/>
    <w:qFormat/>
    <w:rsid w:val="00403C0F"/>
    <w:pPr>
      <w:spacing w:before="240" w:after="0" w:line="259" w:lineRule="auto"/>
      <w:ind w:left="0" w:firstLine="0"/>
      <w:outlineLvl w:val="9"/>
    </w:pPr>
    <w:rPr>
      <w:rFonts w:eastAsiaTheme="majorEastAsia" w:cstheme="majorBidi"/>
      <w:b w:val="0"/>
      <w:color w:val="0B5294" w:themeColor="accent1" w:themeShade="BF"/>
      <w:sz w:val="32"/>
      <w:szCs w:val="32"/>
      <w:lang w:val="fr-FR" w:eastAsia="fr-FR"/>
    </w:rPr>
  </w:style>
  <w:style w:type="paragraph" w:styleId="TM2">
    <w:name w:val="toc 2"/>
    <w:basedOn w:val="Normal"/>
    <w:next w:val="Normal"/>
    <w:autoRedefine/>
    <w:uiPriority w:val="39"/>
    <w:unhideWhenUsed/>
    <w:rsid w:val="00403C0F"/>
    <w:pPr>
      <w:spacing w:after="100" w:line="259" w:lineRule="auto"/>
      <w:ind w:left="220" w:right="0" w:firstLine="0"/>
      <w:jc w:val="left"/>
    </w:pPr>
    <w:rPr>
      <w:rFonts w:asciiTheme="minorHAnsi" w:eastAsiaTheme="minorEastAsia" w:hAnsiTheme="minorHAnsi" w:cs="Times New Roman"/>
      <w:color w:val="auto"/>
      <w:sz w:val="22"/>
      <w:lang w:val="fr-FR" w:eastAsia="fr-FR"/>
    </w:rPr>
  </w:style>
  <w:style w:type="paragraph" w:styleId="TM1">
    <w:name w:val="toc 1"/>
    <w:basedOn w:val="Normal"/>
    <w:next w:val="Normal"/>
    <w:autoRedefine/>
    <w:uiPriority w:val="39"/>
    <w:unhideWhenUsed/>
    <w:rsid w:val="000A57AA"/>
    <w:pPr>
      <w:tabs>
        <w:tab w:val="left" w:pos="660"/>
        <w:tab w:val="right" w:leader="dot" w:pos="8754"/>
      </w:tabs>
      <w:spacing w:after="100" w:line="259" w:lineRule="auto"/>
      <w:ind w:left="0" w:right="0" w:firstLine="0"/>
      <w:jc w:val="left"/>
    </w:pPr>
    <w:rPr>
      <w:rFonts w:asciiTheme="minorHAnsi" w:eastAsiaTheme="minorEastAsia" w:hAnsiTheme="minorHAnsi" w:cs="Times New Roman"/>
      <w:color w:val="auto"/>
      <w:sz w:val="22"/>
      <w:lang w:val="fr-FR" w:eastAsia="fr-FR"/>
    </w:rPr>
  </w:style>
  <w:style w:type="paragraph" w:styleId="TM3">
    <w:name w:val="toc 3"/>
    <w:basedOn w:val="Normal"/>
    <w:next w:val="Normal"/>
    <w:autoRedefine/>
    <w:uiPriority w:val="39"/>
    <w:unhideWhenUsed/>
    <w:rsid w:val="00403C0F"/>
    <w:pPr>
      <w:spacing w:after="100" w:line="259" w:lineRule="auto"/>
      <w:ind w:left="440" w:right="0" w:firstLine="0"/>
      <w:jc w:val="left"/>
    </w:pPr>
    <w:rPr>
      <w:rFonts w:asciiTheme="minorHAnsi" w:eastAsiaTheme="minorEastAsia" w:hAnsiTheme="minorHAnsi" w:cs="Times New Roman"/>
      <w:color w:val="auto"/>
      <w:sz w:val="22"/>
      <w:lang w:val="fr-FR" w:eastAsia="fr-FR"/>
    </w:rPr>
  </w:style>
  <w:style w:type="character" w:styleId="Marquedecommentaire">
    <w:name w:val="annotation reference"/>
    <w:basedOn w:val="Policepardfaut"/>
    <w:uiPriority w:val="99"/>
    <w:semiHidden/>
    <w:unhideWhenUsed/>
    <w:rsid w:val="00735CAA"/>
    <w:rPr>
      <w:sz w:val="16"/>
      <w:szCs w:val="16"/>
    </w:rPr>
  </w:style>
  <w:style w:type="paragraph" w:styleId="Commentaire">
    <w:name w:val="annotation text"/>
    <w:basedOn w:val="Normal"/>
    <w:link w:val="CommentaireCar"/>
    <w:uiPriority w:val="99"/>
    <w:unhideWhenUsed/>
    <w:rsid w:val="00735CAA"/>
    <w:pPr>
      <w:spacing w:line="240" w:lineRule="auto"/>
    </w:pPr>
    <w:rPr>
      <w:sz w:val="20"/>
      <w:szCs w:val="20"/>
    </w:rPr>
  </w:style>
  <w:style w:type="character" w:customStyle="1" w:styleId="CommentaireCar">
    <w:name w:val="Commentaire Car"/>
    <w:basedOn w:val="Policepardfaut"/>
    <w:link w:val="Commentaire"/>
    <w:uiPriority w:val="99"/>
    <w:rsid w:val="00735CAA"/>
    <w:rPr>
      <w:rFonts w:ascii="Calibri" w:eastAsia="Calibri" w:hAnsi="Calibri" w:cs="Calibri"/>
      <w:color w:val="000000"/>
      <w:sz w:val="20"/>
      <w:szCs w:val="20"/>
      <w:lang w:val="fr-CD" w:eastAsia="fr-CD"/>
    </w:rPr>
  </w:style>
  <w:style w:type="paragraph" w:styleId="Objetducommentaire">
    <w:name w:val="annotation subject"/>
    <w:basedOn w:val="Commentaire"/>
    <w:next w:val="Commentaire"/>
    <w:link w:val="ObjetducommentaireCar"/>
    <w:uiPriority w:val="99"/>
    <w:semiHidden/>
    <w:unhideWhenUsed/>
    <w:rsid w:val="00735CAA"/>
    <w:rPr>
      <w:b/>
      <w:bCs/>
    </w:rPr>
  </w:style>
  <w:style w:type="character" w:customStyle="1" w:styleId="ObjetducommentaireCar">
    <w:name w:val="Objet du commentaire Car"/>
    <w:basedOn w:val="CommentaireCar"/>
    <w:link w:val="Objetducommentaire"/>
    <w:uiPriority w:val="99"/>
    <w:semiHidden/>
    <w:rsid w:val="00735CAA"/>
    <w:rPr>
      <w:rFonts w:ascii="Calibri" w:eastAsia="Calibri" w:hAnsi="Calibri" w:cs="Calibri"/>
      <w:b/>
      <w:bCs/>
      <w:color w:val="000000"/>
      <w:sz w:val="20"/>
      <w:szCs w:val="20"/>
      <w:lang w:val="fr-CD" w:eastAsia="fr-CD"/>
    </w:rPr>
  </w:style>
  <w:style w:type="character" w:customStyle="1" w:styleId="Titre3Car">
    <w:name w:val="Titre 3 Car"/>
    <w:basedOn w:val="Policepardfaut"/>
    <w:link w:val="Titre3"/>
    <w:uiPriority w:val="9"/>
    <w:rsid w:val="007808CB"/>
    <w:rPr>
      <w:rFonts w:asciiTheme="majorHAnsi" w:eastAsiaTheme="majorEastAsia" w:hAnsiTheme="majorHAnsi" w:cstheme="majorBidi"/>
      <w:color w:val="073662" w:themeColor="accent1" w:themeShade="7F"/>
      <w:sz w:val="24"/>
      <w:szCs w:val="24"/>
      <w:lang w:val="fr-CD" w:eastAsia="fr-CD"/>
    </w:rPr>
  </w:style>
  <w:style w:type="table" w:customStyle="1" w:styleId="TableauGrille1Clair-Accentuation51">
    <w:name w:val="Tableau Grille 1 Clair - Accentuation 51"/>
    <w:basedOn w:val="TableauNormal"/>
    <w:next w:val="TableauGrille1Clair-Accentuation5"/>
    <w:uiPriority w:val="46"/>
    <w:rsid w:val="009265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paragraph" w:styleId="Sansinterligne">
    <w:name w:val="No Spacing"/>
    <w:uiPriority w:val="1"/>
    <w:qFormat/>
    <w:rsid w:val="000A67EC"/>
    <w:pPr>
      <w:spacing w:after="0" w:line="240" w:lineRule="auto"/>
    </w:pPr>
    <w:rPr>
      <w:color w:val="000000"/>
    </w:rPr>
  </w:style>
  <w:style w:type="paragraph" w:styleId="Rvision">
    <w:name w:val="Revision"/>
    <w:hidden/>
    <w:uiPriority w:val="99"/>
    <w:semiHidden/>
    <w:rsid w:val="0035684A"/>
    <w:pPr>
      <w:spacing w:after="0" w:line="240" w:lineRule="auto"/>
    </w:pPr>
    <w:rPr>
      <w:color w:val="000000"/>
    </w:rPr>
  </w:style>
  <w:style w:type="paragraph" w:styleId="NormalWeb">
    <w:name w:val="Normal (Web)"/>
    <w:basedOn w:val="Normal"/>
    <w:uiPriority w:val="99"/>
    <w:unhideWhenUsed/>
    <w:rsid w:val="00C70A2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US" w:eastAsia="en-US"/>
    </w:rPr>
  </w:style>
  <w:style w:type="paragraph" w:styleId="Notedefin">
    <w:name w:val="endnote text"/>
    <w:basedOn w:val="Normal"/>
    <w:link w:val="NotedefinCar"/>
    <w:uiPriority w:val="99"/>
    <w:semiHidden/>
    <w:unhideWhenUsed/>
    <w:rsid w:val="00592654"/>
    <w:pPr>
      <w:spacing w:after="0" w:line="240" w:lineRule="auto"/>
    </w:pPr>
    <w:rPr>
      <w:sz w:val="20"/>
      <w:szCs w:val="20"/>
    </w:rPr>
  </w:style>
  <w:style w:type="character" w:customStyle="1" w:styleId="NotedefinCar">
    <w:name w:val="Note de fin Car"/>
    <w:basedOn w:val="Policepardfaut"/>
    <w:link w:val="Notedefin"/>
    <w:uiPriority w:val="99"/>
    <w:semiHidden/>
    <w:rsid w:val="00592654"/>
    <w:rPr>
      <w:rFonts w:ascii="Calibri" w:eastAsia="Calibri" w:hAnsi="Calibri" w:cs="Calibri"/>
      <w:color w:val="000000"/>
      <w:sz w:val="20"/>
      <w:szCs w:val="20"/>
      <w:lang w:val="fr-CD" w:eastAsia="fr-CD"/>
    </w:rPr>
  </w:style>
  <w:style w:type="character" w:styleId="Appeldenotedefin">
    <w:name w:val="endnote reference"/>
    <w:basedOn w:val="Policepardfaut"/>
    <w:uiPriority w:val="99"/>
    <w:semiHidden/>
    <w:unhideWhenUsed/>
    <w:rsid w:val="00592654"/>
    <w:rPr>
      <w:vertAlign w:val="superscript"/>
    </w:rPr>
  </w:style>
  <w:style w:type="character" w:styleId="Mentionnonrsolue">
    <w:name w:val="Unresolved Mention"/>
    <w:basedOn w:val="Policepardfaut"/>
    <w:uiPriority w:val="99"/>
    <w:semiHidden/>
    <w:unhideWhenUsed/>
    <w:rsid w:val="00E227AE"/>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5">
    <w:name w:val="45"/>
    <w:basedOn w:val="TableauNormal"/>
    <w:pPr>
      <w:spacing w:after="0" w:line="240" w:lineRule="auto"/>
    </w:pPr>
    <w:tblPr>
      <w:tblStyleRowBandSize w:val="1"/>
      <w:tblStyleColBandSize w:val="1"/>
      <w:tblCellMar>
        <w:top w:w="38" w:type="dxa"/>
        <w:left w:w="104" w:type="dxa"/>
        <w:right w:w="115" w:type="dxa"/>
      </w:tblCellMar>
    </w:tblPr>
  </w:style>
  <w:style w:type="table" w:customStyle="1" w:styleId="44">
    <w:name w:val="44"/>
    <w:basedOn w:val="TableauNormal"/>
    <w:pPr>
      <w:spacing w:after="0" w:line="240" w:lineRule="auto"/>
    </w:pPr>
    <w:tblPr>
      <w:tblStyleRowBandSize w:val="1"/>
      <w:tblStyleColBandSize w:val="1"/>
      <w:tblCellMar>
        <w:top w:w="50" w:type="dxa"/>
        <w:left w:w="121" w:type="dxa"/>
        <w:right w:w="111" w:type="dxa"/>
      </w:tblCellMar>
    </w:tblPr>
  </w:style>
  <w:style w:type="table" w:customStyle="1" w:styleId="43">
    <w:name w:val="43"/>
    <w:basedOn w:val="TableauNormal"/>
    <w:pPr>
      <w:spacing w:after="0" w:line="240" w:lineRule="auto"/>
    </w:pPr>
    <w:tblPr>
      <w:tblStyleRowBandSize w:val="1"/>
      <w:tblStyleColBandSize w:val="1"/>
      <w:tblCellMar>
        <w:top w:w="40" w:type="dxa"/>
        <w:left w:w="88" w:type="dxa"/>
        <w:right w:w="109" w:type="dxa"/>
      </w:tblCellMar>
    </w:tblPr>
  </w:style>
  <w:style w:type="table" w:customStyle="1" w:styleId="42">
    <w:name w:val="42"/>
    <w:basedOn w:val="TableauNormal"/>
    <w:pPr>
      <w:spacing w:after="0" w:line="240" w:lineRule="auto"/>
    </w:pPr>
    <w:tblPr>
      <w:tblStyleRowBandSize w:val="1"/>
      <w:tblStyleColBandSize w:val="1"/>
      <w:tblCellMar>
        <w:top w:w="38" w:type="dxa"/>
        <w:left w:w="104" w:type="dxa"/>
        <w:right w:w="56" w:type="dxa"/>
      </w:tblCellMar>
    </w:tblPr>
  </w:style>
  <w:style w:type="table" w:customStyle="1" w:styleId="41">
    <w:name w:val="41"/>
    <w:basedOn w:val="TableauNormal"/>
    <w:pPr>
      <w:spacing w:after="0" w:line="240" w:lineRule="auto"/>
    </w:pPr>
    <w:tblPr>
      <w:tblStyleRowBandSize w:val="1"/>
      <w:tblStyleColBandSize w:val="1"/>
      <w:tblCellMar>
        <w:top w:w="23" w:type="dxa"/>
        <w:left w:w="0" w:type="dxa"/>
        <w:right w:w="115" w:type="dxa"/>
      </w:tblCellMar>
    </w:tblPr>
  </w:style>
  <w:style w:type="table" w:customStyle="1" w:styleId="40">
    <w:name w:val="40"/>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39">
    <w:name w:val="39"/>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38">
    <w:name w:val="38"/>
    <w:basedOn w:val="TableauNormal"/>
    <w:tblPr>
      <w:tblStyleRowBandSize w:val="1"/>
      <w:tblStyleColBandSize w:val="1"/>
      <w:tblCellMar>
        <w:left w:w="70" w:type="dxa"/>
        <w:right w:w="70" w:type="dxa"/>
      </w:tblCellMar>
    </w:tblPr>
  </w:style>
  <w:style w:type="table" w:customStyle="1" w:styleId="37">
    <w:name w:val="37"/>
    <w:basedOn w:val="TableauNormal"/>
    <w:tblPr>
      <w:tblStyleRowBandSize w:val="1"/>
      <w:tblStyleColBandSize w:val="1"/>
      <w:tblCellMar>
        <w:left w:w="70" w:type="dxa"/>
        <w:right w:w="70" w:type="dxa"/>
      </w:tblCellMar>
    </w:tblPr>
  </w:style>
  <w:style w:type="table" w:customStyle="1" w:styleId="36">
    <w:name w:val="36"/>
    <w:basedOn w:val="TableauNormal"/>
    <w:tblPr>
      <w:tblStyleRowBandSize w:val="1"/>
      <w:tblStyleColBandSize w:val="1"/>
      <w:tblCellMar>
        <w:left w:w="70" w:type="dxa"/>
        <w:right w:w="70" w:type="dxa"/>
      </w:tblCellMar>
    </w:tblPr>
  </w:style>
  <w:style w:type="table" w:customStyle="1" w:styleId="35">
    <w:name w:val="35"/>
    <w:basedOn w:val="TableauNormal"/>
    <w:tblPr>
      <w:tblStyleRowBandSize w:val="1"/>
      <w:tblStyleColBandSize w:val="1"/>
      <w:tblCellMar>
        <w:left w:w="70" w:type="dxa"/>
        <w:right w:w="70" w:type="dxa"/>
      </w:tblCellMar>
    </w:tblPr>
  </w:style>
  <w:style w:type="table" w:customStyle="1" w:styleId="34">
    <w:name w:val="34"/>
    <w:basedOn w:val="TableauNormal"/>
    <w:tblPr>
      <w:tblStyleRowBandSize w:val="1"/>
      <w:tblStyleColBandSize w:val="1"/>
      <w:tblCellMar>
        <w:left w:w="70" w:type="dxa"/>
        <w:right w:w="70" w:type="dxa"/>
      </w:tblCellMar>
    </w:tblPr>
  </w:style>
  <w:style w:type="table" w:customStyle="1" w:styleId="33">
    <w:name w:val="33"/>
    <w:basedOn w:val="TableauNormal"/>
    <w:tblPr>
      <w:tblStyleRowBandSize w:val="1"/>
      <w:tblStyleColBandSize w:val="1"/>
      <w:tblCellMar>
        <w:left w:w="70" w:type="dxa"/>
        <w:right w:w="70" w:type="dxa"/>
      </w:tblCellMar>
    </w:tblPr>
  </w:style>
  <w:style w:type="table" w:customStyle="1" w:styleId="32">
    <w:name w:val="32"/>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30">
    <w:name w:val="30"/>
    <w:basedOn w:val="Tableau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29">
    <w:name w:val="29"/>
    <w:basedOn w:val="TableauNormal"/>
    <w:tblPr>
      <w:tblStyleRowBandSize w:val="1"/>
      <w:tblStyleColBandSize w:val="1"/>
      <w:tblCellMar>
        <w:left w:w="115" w:type="dxa"/>
        <w:right w:w="115" w:type="dxa"/>
      </w:tblCellMar>
    </w:tblPr>
  </w:style>
  <w:style w:type="table" w:customStyle="1" w:styleId="28">
    <w:name w:val="28"/>
    <w:basedOn w:val="TableauNormal"/>
    <w:tblPr>
      <w:tblStyleRowBandSize w:val="1"/>
      <w:tblStyleColBandSize w:val="1"/>
      <w:tblCellMar>
        <w:left w:w="115" w:type="dxa"/>
        <w:right w:w="115" w:type="dxa"/>
      </w:tblCellMar>
    </w:tblPr>
  </w:style>
  <w:style w:type="table" w:customStyle="1" w:styleId="27">
    <w:name w:val="27"/>
    <w:basedOn w:val="TableauNormal"/>
    <w:tblPr>
      <w:tblStyleRowBandSize w:val="1"/>
      <w:tblStyleColBandSize w:val="1"/>
      <w:tblCellMar>
        <w:left w:w="115" w:type="dxa"/>
        <w:right w:w="115" w:type="dxa"/>
      </w:tblCellMar>
    </w:tblPr>
  </w:style>
  <w:style w:type="table" w:customStyle="1" w:styleId="26">
    <w:name w:val="26"/>
    <w:basedOn w:val="Tableau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customStyle="1" w:styleId="paragraph">
    <w:name w:val="paragraph"/>
    <w:basedOn w:val="Normal"/>
    <w:rsid w:val="00F740BB"/>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Policepardfaut"/>
    <w:rsid w:val="00F740BB"/>
  </w:style>
  <w:style w:type="character" w:customStyle="1" w:styleId="eop">
    <w:name w:val="eop"/>
    <w:basedOn w:val="Policepardfaut"/>
    <w:rsid w:val="00F740BB"/>
  </w:style>
  <w:style w:type="character" w:customStyle="1" w:styleId="superscript">
    <w:name w:val="superscript"/>
    <w:basedOn w:val="Policepardfaut"/>
    <w:rsid w:val="00F740BB"/>
  </w:style>
  <w:style w:type="table" w:styleId="Grilledutableau">
    <w:name w:val="Table Grid"/>
    <w:basedOn w:val="TableauNormal"/>
    <w:uiPriority w:val="39"/>
    <w:rsid w:val="001C51FB"/>
    <w:pPr>
      <w:spacing w:after="0" w:line="240" w:lineRule="auto"/>
      <w:ind w:left="0" w:right="0" w:firstLine="0"/>
      <w:jc w:val="left"/>
    </w:pPr>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16778B"/>
    <w:rPr>
      <w:i/>
      <w:iCs/>
      <w:color w:val="0F6FC6" w:themeColor="accent1"/>
    </w:rPr>
  </w:style>
  <w:style w:type="paragraph" w:styleId="TM4">
    <w:name w:val="toc 4"/>
    <w:basedOn w:val="Normal"/>
    <w:next w:val="Normal"/>
    <w:autoRedefine/>
    <w:uiPriority w:val="39"/>
    <w:unhideWhenUsed/>
    <w:rsid w:val="007C13A9"/>
    <w:pPr>
      <w:spacing w:after="100"/>
      <w:ind w:left="630"/>
    </w:pPr>
  </w:style>
  <w:style w:type="character" w:customStyle="1" w:styleId="ui-provider">
    <w:name w:val="ui-provider"/>
    <w:basedOn w:val="Policepardfaut"/>
    <w:rsid w:val="007451D7"/>
  </w:style>
  <w:style w:type="table" w:customStyle="1" w:styleId="25">
    <w:name w:val="25"/>
    <w:basedOn w:val="TableauNormal"/>
    <w:tblPr>
      <w:tblStyleRowBandSize w:val="1"/>
      <w:tblStyleColBandSize w:val="1"/>
      <w:tblCellMar>
        <w:top w:w="38" w:type="dxa"/>
        <w:left w:w="104" w:type="dxa"/>
        <w:right w:w="115" w:type="dxa"/>
      </w:tblCellMar>
    </w:tblPr>
  </w:style>
  <w:style w:type="table" w:customStyle="1" w:styleId="24">
    <w:name w:val="24"/>
    <w:basedOn w:val="TableauNormal"/>
    <w:tblPr>
      <w:tblStyleRowBandSize w:val="1"/>
      <w:tblStyleColBandSize w:val="1"/>
      <w:tblCellMar>
        <w:top w:w="50" w:type="dxa"/>
        <w:left w:w="121" w:type="dxa"/>
        <w:right w:w="111" w:type="dxa"/>
      </w:tblCellMar>
    </w:tblPr>
  </w:style>
  <w:style w:type="table" w:customStyle="1" w:styleId="23">
    <w:name w:val="23"/>
    <w:basedOn w:val="TableauNormal"/>
    <w:tblPr>
      <w:tblStyleRowBandSize w:val="1"/>
      <w:tblStyleColBandSize w:val="1"/>
      <w:tblCellMar>
        <w:top w:w="40" w:type="dxa"/>
        <w:left w:w="88" w:type="dxa"/>
        <w:right w:w="109" w:type="dxa"/>
      </w:tblCellMar>
    </w:tblPr>
  </w:style>
  <w:style w:type="table" w:customStyle="1" w:styleId="22">
    <w:name w:val="22"/>
    <w:basedOn w:val="TableauNormal"/>
    <w:tblPr>
      <w:tblStyleRowBandSize w:val="1"/>
      <w:tblStyleColBandSize w:val="1"/>
      <w:tblCellMar>
        <w:top w:w="38" w:type="dxa"/>
        <w:left w:w="104" w:type="dxa"/>
        <w:right w:w="56" w:type="dxa"/>
      </w:tblCellMar>
    </w:tblPr>
  </w:style>
  <w:style w:type="table" w:customStyle="1" w:styleId="21">
    <w:name w:val="21"/>
    <w:basedOn w:val="TableauNormal"/>
    <w:tblPr>
      <w:tblStyleRowBandSize w:val="1"/>
      <w:tblStyleColBandSize w:val="1"/>
      <w:tblCellMar>
        <w:top w:w="23" w:type="dxa"/>
        <w:left w:w="0" w:type="dxa"/>
        <w:right w:w="115" w:type="dxa"/>
      </w:tblCellMar>
    </w:tblPr>
  </w:style>
  <w:style w:type="table" w:customStyle="1" w:styleId="20">
    <w:name w:val="20"/>
    <w:basedOn w:val="TableauNormal"/>
    <w:tblPr>
      <w:tblStyleRowBandSize w:val="1"/>
      <w:tblStyleColBandSize w:val="1"/>
      <w:tblCellMar>
        <w:left w:w="115" w:type="dxa"/>
        <w:right w:w="115" w:type="dxa"/>
      </w:tblCellMar>
    </w:tblPr>
  </w:style>
  <w:style w:type="table" w:customStyle="1" w:styleId="19">
    <w:name w:val="19"/>
    <w:basedOn w:val="TableauNormal"/>
    <w:tblPr>
      <w:tblStyleRowBandSize w:val="1"/>
      <w:tblStyleColBandSize w:val="1"/>
      <w:tblCellMar>
        <w:left w:w="115" w:type="dxa"/>
        <w:right w:w="115" w:type="dxa"/>
      </w:tblCellMar>
    </w:tblPr>
  </w:style>
  <w:style w:type="table" w:customStyle="1" w:styleId="18">
    <w:name w:val="18"/>
    <w:basedOn w:val="TableauNormal"/>
    <w:pPr>
      <w:spacing w:after="0" w:line="240" w:lineRule="auto"/>
      <w:ind w:left="0" w:right="0" w:firstLine="0"/>
      <w:jc w:val="left"/>
    </w:pPr>
    <w:rPr>
      <w:sz w:val="22"/>
      <w:szCs w:val="22"/>
    </w:rPr>
    <w:tblPr>
      <w:tblStyleRowBandSize w:val="1"/>
      <w:tblStyleColBandSize w:val="1"/>
      <w:tblCellMar>
        <w:top w:w="23" w:type="dxa"/>
        <w:left w:w="115" w:type="dxa"/>
        <w:right w:w="115" w:type="dxa"/>
      </w:tblCellMar>
    </w:tblPr>
  </w:style>
  <w:style w:type="table" w:customStyle="1" w:styleId="17">
    <w:name w:val="17"/>
    <w:basedOn w:val="TableauNormal"/>
    <w:tblPr>
      <w:tblStyleRowBandSize w:val="1"/>
      <w:tblStyleColBandSize w:val="1"/>
      <w:tblCellMar>
        <w:left w:w="70" w:type="dxa"/>
        <w:right w:w="70" w:type="dxa"/>
      </w:tblCellMar>
    </w:tblPr>
  </w:style>
  <w:style w:type="table" w:customStyle="1" w:styleId="16">
    <w:name w:val="16"/>
    <w:basedOn w:val="TableauNormal"/>
    <w:pPr>
      <w:spacing w:after="0" w:line="240" w:lineRule="auto"/>
      <w:ind w:left="0" w:right="0" w:firstLine="0"/>
      <w:jc w:val="left"/>
    </w:pPr>
    <w:rPr>
      <w:sz w:val="22"/>
      <w:szCs w:val="22"/>
    </w:rPr>
    <w:tblPr>
      <w:tblStyleRowBandSize w:val="1"/>
      <w:tblStyleColBandSize w:val="1"/>
      <w:tblCellMar>
        <w:top w:w="23" w:type="dxa"/>
        <w:left w:w="115" w:type="dxa"/>
        <w:right w:w="115" w:type="dxa"/>
      </w:tblCellMar>
    </w:tblPr>
  </w:style>
  <w:style w:type="table" w:customStyle="1" w:styleId="15">
    <w:name w:val="15"/>
    <w:basedOn w:val="TableauNormal"/>
    <w:pPr>
      <w:spacing w:after="0" w:line="240" w:lineRule="auto"/>
      <w:ind w:left="0" w:right="0" w:firstLine="0"/>
      <w:jc w:val="left"/>
    </w:pPr>
    <w:rPr>
      <w:sz w:val="22"/>
      <w:szCs w:val="22"/>
    </w:rPr>
    <w:tblPr>
      <w:tblStyleRowBandSize w:val="1"/>
      <w:tblStyleColBandSize w:val="1"/>
      <w:tblCellMar>
        <w:top w:w="23" w:type="dxa"/>
        <w:left w:w="115" w:type="dxa"/>
        <w:right w:w="115" w:type="dxa"/>
      </w:tblCellMar>
    </w:tblPr>
  </w:style>
  <w:style w:type="table" w:customStyle="1" w:styleId="14">
    <w:name w:val="14"/>
    <w:basedOn w:val="TableauNormal"/>
    <w:pPr>
      <w:spacing w:after="0" w:line="240" w:lineRule="auto"/>
      <w:ind w:left="0" w:right="0" w:firstLine="0"/>
      <w:jc w:val="left"/>
    </w:pPr>
    <w:rPr>
      <w:sz w:val="22"/>
      <w:szCs w:val="22"/>
    </w:rPr>
    <w:tblPr>
      <w:tblStyleRowBandSize w:val="1"/>
      <w:tblStyleColBandSize w:val="1"/>
      <w:tblCellMar>
        <w:top w:w="23" w:type="dxa"/>
        <w:left w:w="115" w:type="dxa"/>
        <w:right w:w="115" w:type="dxa"/>
      </w:tblCellMar>
    </w:tblPr>
  </w:style>
  <w:style w:type="table" w:customStyle="1" w:styleId="13">
    <w:name w:val="13"/>
    <w:basedOn w:val="TableauNormal"/>
    <w:tblPr>
      <w:tblStyleRowBandSize w:val="1"/>
      <w:tblStyleColBandSize w:val="1"/>
      <w:tblCellMar>
        <w:left w:w="70" w:type="dxa"/>
        <w:right w:w="70" w:type="dxa"/>
      </w:tblCellMar>
    </w:tblPr>
  </w:style>
  <w:style w:type="table" w:customStyle="1" w:styleId="12">
    <w:name w:val="12"/>
    <w:basedOn w:val="TableauNormal"/>
    <w:tblPr>
      <w:tblStyleRowBandSize w:val="1"/>
      <w:tblStyleColBandSize w:val="1"/>
      <w:tblCellMar>
        <w:left w:w="70" w:type="dxa"/>
        <w:right w:w="70" w:type="dxa"/>
      </w:tblCellMar>
    </w:tblPr>
  </w:style>
  <w:style w:type="table" w:customStyle="1" w:styleId="11">
    <w:name w:val="11"/>
    <w:basedOn w:val="TableauNormal"/>
    <w:tblPr>
      <w:tblStyleRowBandSize w:val="1"/>
      <w:tblStyleColBandSize w:val="1"/>
      <w:tblCellMar>
        <w:left w:w="70" w:type="dxa"/>
        <w:right w:w="70" w:type="dxa"/>
      </w:tblCellMar>
    </w:tblPr>
  </w:style>
  <w:style w:type="table" w:customStyle="1" w:styleId="10">
    <w:name w:val="10"/>
    <w:basedOn w:val="TableauNormal"/>
    <w:tblPr>
      <w:tblStyleRowBandSize w:val="1"/>
      <w:tblStyleColBandSize w:val="1"/>
      <w:tblCellMar>
        <w:left w:w="70" w:type="dxa"/>
        <w:right w:w="70" w:type="dxa"/>
      </w:tblCellMar>
    </w:tblPr>
  </w:style>
  <w:style w:type="table" w:customStyle="1" w:styleId="9">
    <w:name w:val="9"/>
    <w:basedOn w:val="TableauNormal"/>
    <w:tblPr>
      <w:tblStyleRowBandSize w:val="1"/>
      <w:tblStyleColBandSize w:val="1"/>
      <w:tblCellMar>
        <w:top w:w="15" w:type="dxa"/>
        <w:left w:w="115" w:type="dxa"/>
        <w:bottom w:w="15" w:type="dxa"/>
        <w:right w:w="115" w:type="dxa"/>
      </w:tblCellMar>
    </w:tblPr>
  </w:style>
  <w:style w:type="table" w:customStyle="1" w:styleId="8">
    <w:name w:val="8"/>
    <w:basedOn w:val="TableauNormal"/>
    <w:tblPr>
      <w:tblStyleRowBandSize w:val="1"/>
      <w:tblStyleColBandSize w:val="1"/>
      <w:tblCellMar>
        <w:left w:w="115" w:type="dxa"/>
        <w:right w:w="115" w:type="dxa"/>
      </w:tblCellMar>
    </w:tblPr>
  </w:style>
  <w:style w:type="table" w:customStyle="1" w:styleId="7">
    <w:name w:val="7"/>
    <w:basedOn w:val="TableauNormal"/>
    <w:tblPr>
      <w:tblStyleRowBandSize w:val="1"/>
      <w:tblStyleColBandSize w:val="1"/>
      <w:tblCellMar>
        <w:left w:w="115" w:type="dxa"/>
        <w:right w:w="115" w:type="dxa"/>
      </w:tblCellMar>
    </w:tblPr>
  </w:style>
  <w:style w:type="table" w:customStyle="1" w:styleId="6">
    <w:name w:val="6"/>
    <w:basedOn w:val="TableauNormal"/>
    <w:tblPr>
      <w:tblStyleRowBandSize w:val="1"/>
      <w:tblStyleColBandSize w:val="1"/>
      <w:tblCellMar>
        <w:left w:w="115" w:type="dxa"/>
        <w:right w:w="115" w:type="dxa"/>
      </w:tblCellMar>
    </w:tblPr>
  </w:style>
  <w:style w:type="table" w:customStyle="1" w:styleId="5">
    <w:name w:val="5"/>
    <w:basedOn w:val="TableauNormal"/>
    <w:tblPr>
      <w:tblStyleRowBandSize w:val="1"/>
      <w:tblStyleColBandSize w:val="1"/>
      <w:tblCellMar>
        <w:left w:w="115" w:type="dxa"/>
        <w:right w:w="115" w:type="dxa"/>
      </w:tblCellMar>
    </w:tblPr>
  </w:style>
  <w:style w:type="table" w:customStyle="1" w:styleId="4">
    <w:name w:val="4"/>
    <w:basedOn w:val="TableauNormal"/>
    <w:tblPr>
      <w:tblStyleRowBandSize w:val="1"/>
      <w:tblStyleColBandSize w:val="1"/>
      <w:tblCellMar>
        <w:left w:w="115" w:type="dxa"/>
        <w:right w:w="115" w:type="dxa"/>
      </w:tblCellMar>
    </w:tblPr>
  </w:style>
  <w:style w:type="table" w:customStyle="1" w:styleId="3">
    <w:name w:val="3"/>
    <w:basedOn w:val="TableauNormal"/>
    <w:tblPr>
      <w:tblStyleRowBandSize w:val="1"/>
      <w:tblStyleColBandSize w:val="1"/>
      <w:tblCellMar>
        <w:left w:w="115" w:type="dxa"/>
        <w:right w:w="115" w:type="dxa"/>
      </w:tblCellMar>
    </w:tblPr>
  </w:style>
  <w:style w:type="table" w:customStyle="1" w:styleId="2">
    <w:name w:val="2"/>
    <w:basedOn w:val="TableauNormal"/>
    <w:tblPr>
      <w:tblStyleRowBandSize w:val="1"/>
      <w:tblStyleColBandSize w:val="1"/>
      <w:tblCellMar>
        <w:left w:w="115" w:type="dxa"/>
        <w:right w:w="115" w:type="dxa"/>
      </w:tblCellMar>
    </w:tblPr>
  </w:style>
  <w:style w:type="table" w:customStyle="1" w:styleId="1">
    <w:name w:val="1"/>
    <w:basedOn w:val="TableauNormal"/>
    <w:tblPr>
      <w:tblStyleRowBandSize w:val="1"/>
      <w:tblStyleColBandSize w:val="1"/>
      <w:tblCellMar>
        <w:left w:w="115" w:type="dxa"/>
        <w:right w:w="115" w:type="dxa"/>
      </w:tblCellMar>
    </w:tblPr>
  </w:style>
  <w:style w:type="character" w:customStyle="1" w:styleId="cf01">
    <w:name w:val="cf01"/>
    <w:basedOn w:val="Policepardfaut"/>
    <w:rsid w:val="003C6C57"/>
    <w:rPr>
      <w:rFonts w:ascii="Segoe UI" w:hAnsi="Segoe UI" w:cs="Segoe UI" w:hint="default"/>
      <w:sz w:val="18"/>
      <w:szCs w:val="18"/>
    </w:rPr>
  </w:style>
  <w:style w:type="character" w:styleId="Mention">
    <w:name w:val="Mention"/>
    <w:basedOn w:val="Policepardfaut"/>
    <w:uiPriority w:val="99"/>
    <w:unhideWhenUsed/>
    <w:rsid w:val="00EF6509"/>
    <w:rPr>
      <w:color w:val="2B579A"/>
      <w:shd w:val="clear" w:color="auto" w:fill="E1DFDD"/>
    </w:rPr>
  </w:style>
  <w:style w:type="table" w:customStyle="1" w:styleId="a">
    <w:basedOn w:val="TableauNormal"/>
    <w:pPr>
      <w:spacing w:after="0" w:line="240" w:lineRule="auto"/>
      <w:ind w:left="0" w:right="0" w:firstLine="0"/>
      <w:jc w:val="left"/>
    </w:pPr>
    <w:rPr>
      <w:rFonts w:ascii="Avenir" w:eastAsia="Avenir" w:hAnsi="Avenir" w:cs="Avenir"/>
      <w:sz w:val="22"/>
      <w:szCs w:val="22"/>
    </w:rPr>
    <w:tblPr>
      <w:tblStyleRowBandSize w:val="1"/>
      <w:tblStyleColBandSize w:val="1"/>
      <w:tblCellMar>
        <w:top w:w="15" w:type="dxa"/>
        <w:left w:w="115" w:type="dxa"/>
        <w:bottom w:w="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pPr>
      <w:spacing w:after="0" w:line="240" w:lineRule="auto"/>
      <w:ind w:left="0" w:right="0" w:firstLine="0"/>
      <w:jc w:val="left"/>
    </w:pPr>
    <w:rPr>
      <w:rFonts w:ascii="Avenir" w:eastAsia="Avenir" w:hAnsi="Avenir" w:cs="Avenir"/>
      <w:sz w:val="22"/>
      <w:szCs w:val="22"/>
    </w:rPr>
    <w:tblPr>
      <w:tblStyleRowBandSize w:val="1"/>
      <w:tblStyleColBandSize w:val="1"/>
      <w:tblCellMar>
        <w:top w:w="15" w:type="dxa"/>
        <w:left w:w="115" w:type="dxa"/>
        <w:bottom w:w="15" w:type="dxa"/>
        <w:right w:w="115"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tblPr>
      <w:tblStyleRowBandSize w:val="1"/>
      <w:tblStyleColBandSize w:val="1"/>
      <w:tblCellMar>
        <w:left w:w="70" w:type="dxa"/>
        <w:right w:w="70" w:type="dxa"/>
      </w:tblCellMar>
    </w:tblPr>
  </w:style>
  <w:style w:type="table" w:customStyle="1" w:styleId="a6">
    <w:basedOn w:val="TableauNormal"/>
    <w:tblPr>
      <w:tblStyleRowBandSize w:val="1"/>
      <w:tblStyleColBandSize w:val="1"/>
      <w:tblCellMar>
        <w:left w:w="70" w:type="dxa"/>
        <w:right w:w="70" w:type="dxa"/>
      </w:tblCellMar>
    </w:tblPr>
  </w:style>
  <w:style w:type="table" w:customStyle="1" w:styleId="a7">
    <w:basedOn w:val="TableauNormal"/>
    <w:tblPr>
      <w:tblStyleRowBandSize w:val="1"/>
      <w:tblStyleColBandSize w:val="1"/>
      <w:tblCellMar>
        <w:left w:w="70" w:type="dxa"/>
        <w:right w:w="70" w:type="dxa"/>
      </w:tblCellMar>
    </w:tblPr>
  </w:style>
  <w:style w:type="table" w:customStyle="1" w:styleId="a8">
    <w:basedOn w:val="TableauNormal"/>
    <w:tblPr>
      <w:tblStyleRowBandSize w:val="1"/>
      <w:tblStyleColBandSize w:val="1"/>
      <w:tblCellMar>
        <w:top w:w="15" w:type="dxa"/>
        <w:left w:w="115" w:type="dxa"/>
        <w:bottom w:w="15" w:type="dxa"/>
        <w:right w:w="115" w:type="dxa"/>
      </w:tblCellMar>
    </w:tblPr>
  </w:style>
  <w:style w:type="table" w:customStyle="1" w:styleId="a9">
    <w:basedOn w:val="TableauNormal"/>
    <w:tblPr>
      <w:tblStyleRowBandSize w:val="1"/>
      <w:tblStyleColBandSize w:val="1"/>
      <w:tblCellMar>
        <w:left w:w="115" w:type="dxa"/>
        <w:right w:w="115" w:type="dxa"/>
      </w:tblCellMar>
    </w:tblPr>
  </w:style>
  <w:style w:type="table" w:customStyle="1" w:styleId="aa">
    <w:basedOn w:val="TableauNormal"/>
    <w:tblPr>
      <w:tblStyleRowBandSize w:val="1"/>
      <w:tblStyleColBandSize w:val="1"/>
      <w:tblCellMar>
        <w:left w:w="115" w:type="dxa"/>
        <w:right w:w="115" w:type="dxa"/>
      </w:tblCellMar>
    </w:tblPr>
  </w:style>
  <w:style w:type="table" w:customStyle="1" w:styleId="ab">
    <w:basedOn w:val="TableauNormal"/>
    <w:tblPr>
      <w:tblStyleRowBandSize w:val="1"/>
      <w:tblStyleColBandSize w:val="1"/>
      <w:tblCellMar>
        <w:left w:w="0" w:type="dxa"/>
        <w:right w:w="0" w:type="dxa"/>
      </w:tblCellMar>
    </w:tblPr>
  </w:style>
  <w:style w:type="paragraph" w:customStyle="1" w:styleId="PIREDD1">
    <w:name w:val="PIREDD1"/>
    <w:basedOn w:val="Normal"/>
    <w:next w:val="Normal"/>
    <w:qFormat/>
    <w:rsid w:val="00EB5E11"/>
    <w:pPr>
      <w:spacing w:after="0" w:line="240" w:lineRule="auto"/>
      <w:ind w:left="0" w:right="0" w:firstLine="0"/>
      <w:jc w:val="left"/>
    </w:pPr>
    <w:rPr>
      <w:rFonts w:ascii="Arial Rounded MT Bold" w:eastAsia="Avenir" w:hAnsi="Arial Rounded MT Bold" w:cs="Avenir"/>
      <w:b/>
      <w:bCs/>
      <w:color w:val="00B0F0"/>
      <w:sz w:val="32"/>
      <w:szCs w:val="24"/>
    </w:rPr>
  </w:style>
  <w:style w:type="paragraph" w:customStyle="1" w:styleId="PIREDD2">
    <w:name w:val="PIREDD2"/>
    <w:basedOn w:val="Normal"/>
    <w:next w:val="Normal"/>
    <w:qFormat/>
    <w:rsid w:val="00F516D7"/>
    <w:rPr>
      <w:rFonts w:ascii="Arial Rounded MT Bold" w:hAnsi="Arial Rounded MT Bold"/>
      <w:b/>
      <w:color w:val="00B0F0"/>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spreadsheets/d/14I0z86uQ0z7_reL7FXC1jQ9udOaIve38/edit?usp=drive_link&amp;ouid=108442690432788652504&amp;rtpof=true&amp;sd=true" TargetMode="External"/><Relationship Id="rId18" Type="http://schemas.openxmlformats.org/officeDocument/2006/relationships/footer" Target="footer2.xml"/><Relationship Id="rId26"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docs.google.com/spreadsheets/d/14I0z86uQ0z7_reL7FXC1jQ9udOaIve38/edit?usp=drive_link&amp;ouid=108442690432788652504&amp;rtpof=true&amp;sd=tru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ocs.google.com/spreadsheets/d/1wUYPVGNl9ygwsmQ2OLd9YBMf11tTAIyJ/edit?usp=drive_link&amp;ouid=106550649297514072777&amp;rtpof=true&amp;sd=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jibril.dayamba@enabel.b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28" Type="http://schemas.openxmlformats.org/officeDocument/2006/relationships/customXml" Target="../customXml/item6.xml"/><Relationship Id="rId10" Type="http://schemas.openxmlformats.org/officeDocument/2006/relationships/hyperlink" Target="mailto:krista.verstraelen@enabel.be"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fonaredd-my.sharepoint.com/:b:/g/personal/philippe_nzita_fonaredd-rdc_org/ESvuAOE5yJVPowdHa3Lu9ygBPyoFYXckg7-NxELVrWLG_w?e=FlGhUf" TargetMode="External"/><Relationship Id="rId14" Type="http://schemas.openxmlformats.org/officeDocument/2006/relationships/hyperlink" Target="https://drive.google.com/file/d/1qru1P2T6E8DtGOF3bGlsviDCcXJV1ybM/view?usp=drive_link" TargetMode="External"/><Relationship Id="rId22" Type="http://schemas.openxmlformats.org/officeDocument/2006/relationships/hyperlink" Target="https://drive.google.com/file/d/1gDWS6Xo_QXTAdXuwE_WuF5PjZskMWrg8/view?usp=drive_link" TargetMode="External"/><Relationship Id="rId27"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drive/folders/1RhAT_Hc5jycgw40xr7YZM57jV4zQFadQ"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 Id="rId5" Type="http://schemas.openxmlformats.org/officeDocument/2006/relationships/image" Target="media/image4.jpg"/><Relationship Id="rId4" Type="http://schemas.openxmlformats.org/officeDocument/2006/relationships/image" Target="media/image3.jpg"/></Relationships>
</file>

<file path=word/theme/theme1.xml><?xml version="1.0" encoding="utf-8"?>
<a:theme xmlns:a="http://schemas.openxmlformats.org/drawingml/2006/main" name="Thème Offic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FI">
      <a:majorFont>
        <a:latin typeface="Avenir Next LT Pro"/>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ZbaTSOOhOodjn5YKmL86myxMA==">CgMxLjAaMAoBMBIrCikIB0IlChFRdWF0dHJvY2VudG8gU2FucxIQQXJpYWwgVW5pY29kZSBNUxowCgExEisKKQgHQiUKEVF1YXR0cm9jZW50byBTYW5zEhBBcmlhbCBVbmljb2RlIE1TGjAKATISKwopCAdCJQoRUXVhdHRyb2NlbnRvIFNhbnMSEEFyaWFsIFVuaWNvZGUgTVMaMAoBMxIrCikIB0IlChFRdWF0dHJvY2VudG8gU2FucxIQQXJpYWwgVW5pY29kZSBNUzIIaC5paHY2MzY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3UXVicjdNWW1vZjd6b1NqVHVyWFVnUVhGTkpDTmND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C16AC8DC56F7D4799D051E89F721FB3" ma:contentTypeVersion="18" ma:contentTypeDescription="Create a new document." ma:contentTypeScope="" ma:versionID="c642135dc5ba9ef6c037422ebe122ccf">
  <xsd:schema xmlns:xsd="http://www.w3.org/2001/XMLSchema" xmlns:xs="http://www.w3.org/2001/XMLSchema" xmlns:p="http://schemas.microsoft.com/office/2006/metadata/properties" xmlns:ns2="4e953f92-a56f-4194-9171-1af554cf63d8" xmlns:ns3="b844176a-2e1e-4910-88cf-c2e4bfcd214e" xmlns:ns4="7eea83de-eeb2-4e6a-b60b-921662f49bb3" targetNamespace="http://schemas.microsoft.com/office/2006/metadata/properties" ma:root="true" ma:fieldsID="2bea3f37e05305e2fa81f8a60280b75b" ns2:_="" ns3:_="" ns4:_="">
    <xsd:import namespace="4e953f92-a56f-4194-9171-1af554cf63d8"/>
    <xsd:import namespace="b844176a-2e1e-4910-88cf-c2e4bfcd214e"/>
    <xsd:import namespace="7eea83de-eeb2-4e6a-b60b-921662f49b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element ref="ns2:TranslatedLang" minOccurs="0"/>
                <xsd:element ref="ns4:_dlc_DocId" minOccurs="0"/>
                <xsd:element ref="ns4:_dlc_DocIdUrl" minOccurs="0"/>
                <xsd:element ref="ns4: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53f92-a56f-4194-9171-1af554cf6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anslatedLang" ma:index="24" nillable="true" ma:displayName="Translated Language" ma:internalName="TranslatedLang">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a83de-eeb2-4e6a-b60b-921662f49bb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c865cd3-64b8-48a6-b13c-76804ed251cc}" ma:internalName="TaxCatchAll" ma:showField="CatchAllData" ma:web="7eea83de-eeb2-4e6a-b60b-921662f49bb3">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MPTF_00095_00023</ProjectId>
    <FundCode xmlns="f9695bc1-6109-4dcd-a27a-f8a0370b00e2">MPTF_00095</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64A8AD-5BB4-4236-959E-50377EC9A559}">
  <ds:schemaRefs>
    <ds:schemaRef ds:uri="http://schemas.openxmlformats.org/officeDocument/2006/bibliography"/>
  </ds:schemaRefs>
</ds:datastoreItem>
</file>

<file path=customXml/itemProps3.xml><?xml version="1.0" encoding="utf-8"?>
<ds:datastoreItem xmlns:ds="http://schemas.openxmlformats.org/officeDocument/2006/customXml" ds:itemID="{AA0CB6BA-0086-43D1-BDDD-34B82FE9FE86}"/>
</file>

<file path=customXml/itemProps4.xml><?xml version="1.0" encoding="utf-8"?>
<ds:datastoreItem xmlns:ds="http://schemas.openxmlformats.org/officeDocument/2006/customXml" ds:itemID="{BD9E5FCD-7463-4B69-9E9D-52E263264F11}"/>
</file>

<file path=customXml/itemProps5.xml><?xml version="1.0" encoding="utf-8"?>
<ds:datastoreItem xmlns:ds="http://schemas.openxmlformats.org/officeDocument/2006/customXml" ds:itemID="{165BFAA6-28FE-4EE0-A1E8-715288C490B0}"/>
</file>

<file path=customXml/itemProps6.xml><?xml version="1.0" encoding="utf-8"?>
<ds:datastoreItem xmlns:ds="http://schemas.openxmlformats.org/officeDocument/2006/customXml" ds:itemID="{FA4797A5-BE80-492B-85CB-E2B00B8E7C46}"/>
</file>

<file path=docProps/app.xml><?xml version="1.0" encoding="utf-8"?>
<Properties xmlns="http://schemas.openxmlformats.org/officeDocument/2006/extended-properties" xmlns:vt="http://schemas.openxmlformats.org/officeDocument/2006/docPropsVTypes">
  <Template>Normal.dotm</Template>
  <TotalTime>333</TotalTime>
  <Pages>43</Pages>
  <Words>12165</Words>
  <Characters>66913</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140884_RA_2024_PIREDD_KORLOM.docx</dc:title>
  <dc:creator>FONAREDD04</dc:creator>
  <cp:lastModifiedBy>HAUSWIRTH, Damien</cp:lastModifiedBy>
  <cp:revision>73</cp:revision>
  <cp:lastPrinted>2025-02-27T14:52:00Z</cp:lastPrinted>
  <dcterms:created xsi:type="dcterms:W3CDTF">2025-02-19T20:54:00Z</dcterms:created>
  <dcterms:modified xsi:type="dcterms:W3CDTF">2025-02-27T14:52:00Z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y fmtid="{D5CDD505-2E9C-101B-9397-08002B2CF9AE}" pid="4" name="_dlc_DocIdItemGuid">
    <vt:lpwstr>234c96d1-e92d-48a8-b135-e3f4a5838204</vt:lpwstr>
  </property>
</Properties>
</file>