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8A57" w14:textId="7759D436" w:rsidR="00964821" w:rsidRPr="0071206E" w:rsidRDefault="006249AB" w:rsidP="00964821">
      <w:pPr>
        <w:jc w:val="center"/>
        <w:rPr>
          <w:rFonts w:asciiTheme="minorHAnsi" w:hAnsiTheme="minorHAnsi" w:cstheme="minorHAnsi"/>
          <w:b/>
          <w:iCs/>
          <w:sz w:val="22"/>
          <w:szCs w:val="22"/>
        </w:rPr>
      </w:pPr>
      <w:r w:rsidRPr="0071206E">
        <w:rPr>
          <w:rFonts w:asciiTheme="minorHAnsi" w:hAnsiTheme="minorHAnsi" w:cstheme="minorHAnsi"/>
          <w:b/>
          <w:iCs/>
          <w:noProof/>
          <w:sz w:val="22"/>
          <w:szCs w:val="22"/>
          <w:u w:val="single"/>
        </w:rPr>
        <w:drawing>
          <wp:anchor distT="0" distB="0" distL="114300" distR="114300" simplePos="0" relativeHeight="251658241" behindDoc="0" locked="0" layoutInCell="1" allowOverlap="1" wp14:anchorId="19DDC5D0" wp14:editId="072C4318">
            <wp:simplePos x="0" y="0"/>
            <wp:positionH relativeFrom="column">
              <wp:posOffset>4914899</wp:posOffset>
            </wp:positionH>
            <wp:positionV relativeFrom="paragraph">
              <wp:posOffset>1188</wp:posOffset>
            </wp:positionV>
            <wp:extent cx="1569209" cy="180771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4688" cy="1814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06E">
        <w:rPr>
          <w:rFonts w:asciiTheme="minorHAnsi" w:hAnsiTheme="minorHAnsi" w:cstheme="minorHAnsi"/>
          <w:b/>
          <w:iCs/>
          <w:noProof/>
          <w:sz w:val="22"/>
          <w:szCs w:val="22"/>
        </w:rPr>
        <w:drawing>
          <wp:anchor distT="0" distB="0" distL="114300" distR="114300" simplePos="0" relativeHeight="251658240" behindDoc="0" locked="0" layoutInCell="1" allowOverlap="1" wp14:anchorId="73420A24" wp14:editId="42A25ACB">
            <wp:simplePos x="0" y="0"/>
            <wp:positionH relativeFrom="column">
              <wp:posOffset>1189</wp:posOffset>
            </wp:positionH>
            <wp:positionV relativeFrom="paragraph">
              <wp:posOffset>1189</wp:posOffset>
            </wp:positionV>
            <wp:extent cx="1374374" cy="1941912"/>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993" cy="194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2FD48" w14:textId="77777777" w:rsidR="00964821" w:rsidRPr="0071206E" w:rsidRDefault="00964821" w:rsidP="001E373D">
      <w:pPr>
        <w:jc w:val="center"/>
        <w:rPr>
          <w:rFonts w:asciiTheme="minorHAnsi" w:hAnsiTheme="minorHAnsi" w:cstheme="minorHAnsi"/>
          <w:b/>
          <w:iCs/>
          <w:sz w:val="22"/>
          <w:szCs w:val="22"/>
        </w:rPr>
      </w:pPr>
    </w:p>
    <w:p w14:paraId="25D4AC44" w14:textId="77777777" w:rsidR="000F5A4D" w:rsidRPr="0071206E" w:rsidRDefault="000F5A4D" w:rsidP="001E373D">
      <w:pPr>
        <w:jc w:val="center"/>
        <w:rPr>
          <w:rFonts w:asciiTheme="minorHAnsi" w:hAnsiTheme="minorHAnsi" w:cstheme="minorHAnsi"/>
          <w:b/>
          <w:iCs/>
          <w:sz w:val="22"/>
          <w:szCs w:val="22"/>
        </w:rPr>
      </w:pPr>
    </w:p>
    <w:p w14:paraId="62F5A0F5" w14:textId="77777777" w:rsidR="006249AB" w:rsidRPr="0071206E" w:rsidRDefault="006249AB" w:rsidP="00416018">
      <w:pPr>
        <w:jc w:val="center"/>
        <w:rPr>
          <w:rFonts w:asciiTheme="minorHAnsi" w:hAnsiTheme="minorHAnsi" w:cstheme="minorHAnsi"/>
          <w:b/>
          <w:iCs/>
          <w:sz w:val="22"/>
          <w:szCs w:val="22"/>
          <w:u w:val="single"/>
        </w:rPr>
      </w:pPr>
    </w:p>
    <w:p w14:paraId="46490970" w14:textId="77777777" w:rsidR="006249AB" w:rsidRPr="0071206E" w:rsidRDefault="006249AB" w:rsidP="00416018">
      <w:pPr>
        <w:jc w:val="center"/>
        <w:rPr>
          <w:rFonts w:asciiTheme="minorHAnsi" w:hAnsiTheme="minorHAnsi" w:cstheme="minorHAnsi"/>
          <w:b/>
          <w:iCs/>
          <w:sz w:val="22"/>
          <w:szCs w:val="22"/>
          <w:u w:val="single"/>
        </w:rPr>
      </w:pPr>
    </w:p>
    <w:p w14:paraId="2A55F597" w14:textId="77777777" w:rsidR="006249AB" w:rsidRPr="0071206E" w:rsidRDefault="006249AB" w:rsidP="00416018">
      <w:pPr>
        <w:jc w:val="center"/>
        <w:rPr>
          <w:rFonts w:asciiTheme="minorHAnsi" w:hAnsiTheme="minorHAnsi" w:cstheme="minorHAnsi"/>
          <w:b/>
          <w:iCs/>
          <w:sz w:val="22"/>
          <w:szCs w:val="22"/>
          <w:u w:val="single"/>
        </w:rPr>
      </w:pPr>
    </w:p>
    <w:p w14:paraId="3865BA45" w14:textId="77777777" w:rsidR="006249AB" w:rsidRPr="0071206E" w:rsidRDefault="006249AB" w:rsidP="00416018">
      <w:pPr>
        <w:jc w:val="center"/>
        <w:rPr>
          <w:rFonts w:asciiTheme="minorHAnsi" w:hAnsiTheme="minorHAnsi" w:cstheme="minorHAnsi"/>
          <w:b/>
          <w:iCs/>
          <w:sz w:val="22"/>
          <w:szCs w:val="22"/>
          <w:u w:val="single"/>
        </w:rPr>
      </w:pPr>
    </w:p>
    <w:p w14:paraId="0A6061CE" w14:textId="31314C05" w:rsidR="006249AB" w:rsidRPr="0071206E" w:rsidRDefault="006249AB" w:rsidP="00416018">
      <w:pPr>
        <w:jc w:val="center"/>
        <w:rPr>
          <w:rFonts w:asciiTheme="minorHAnsi" w:hAnsiTheme="minorHAnsi" w:cstheme="minorHAnsi"/>
          <w:b/>
          <w:iCs/>
          <w:sz w:val="22"/>
          <w:szCs w:val="22"/>
          <w:u w:val="single"/>
        </w:rPr>
      </w:pPr>
    </w:p>
    <w:p w14:paraId="1CCE0E27" w14:textId="77777777" w:rsidR="006249AB" w:rsidRPr="0071206E" w:rsidRDefault="006249AB" w:rsidP="00416018">
      <w:pPr>
        <w:jc w:val="center"/>
        <w:rPr>
          <w:rFonts w:asciiTheme="minorHAnsi" w:hAnsiTheme="minorHAnsi" w:cstheme="minorHAnsi"/>
          <w:b/>
          <w:iCs/>
          <w:sz w:val="22"/>
          <w:szCs w:val="22"/>
          <w:u w:val="single"/>
        </w:rPr>
      </w:pPr>
    </w:p>
    <w:p w14:paraId="20C0EA1B" w14:textId="77777777" w:rsidR="006249AB" w:rsidRPr="0071206E" w:rsidRDefault="006249AB" w:rsidP="00416018">
      <w:pPr>
        <w:jc w:val="center"/>
        <w:rPr>
          <w:rFonts w:asciiTheme="minorHAnsi" w:hAnsiTheme="minorHAnsi" w:cstheme="minorHAnsi"/>
          <w:b/>
          <w:iCs/>
          <w:sz w:val="22"/>
          <w:szCs w:val="22"/>
          <w:u w:val="single"/>
        </w:rPr>
      </w:pPr>
    </w:p>
    <w:p w14:paraId="57658B0C" w14:textId="77777777" w:rsidR="006249AB" w:rsidRPr="0071206E" w:rsidRDefault="006249AB" w:rsidP="00416018">
      <w:pPr>
        <w:jc w:val="center"/>
        <w:rPr>
          <w:rFonts w:asciiTheme="minorHAnsi" w:hAnsiTheme="minorHAnsi" w:cstheme="minorHAnsi"/>
          <w:b/>
          <w:iCs/>
          <w:sz w:val="22"/>
          <w:szCs w:val="22"/>
          <w:u w:val="single"/>
        </w:rPr>
      </w:pPr>
    </w:p>
    <w:p w14:paraId="4F936C05" w14:textId="1CE9FB97" w:rsidR="000F5A4D" w:rsidRPr="0071206E" w:rsidRDefault="000F5A4D" w:rsidP="00416018">
      <w:pPr>
        <w:jc w:val="center"/>
        <w:rPr>
          <w:rFonts w:asciiTheme="minorHAnsi" w:hAnsiTheme="minorHAnsi" w:cstheme="minorHAnsi"/>
          <w:b/>
          <w:iCs/>
          <w:sz w:val="22"/>
          <w:szCs w:val="22"/>
        </w:rPr>
      </w:pPr>
      <w:r w:rsidRPr="0071206E">
        <w:rPr>
          <w:rFonts w:asciiTheme="minorHAnsi" w:hAnsiTheme="minorHAnsi" w:cstheme="minorHAnsi"/>
          <w:b/>
          <w:iCs/>
          <w:sz w:val="22"/>
          <w:szCs w:val="22"/>
          <w:u w:val="single"/>
        </w:rPr>
        <w:t>UNDP</w:t>
      </w:r>
      <w:r w:rsidRPr="0071206E">
        <w:rPr>
          <w:rFonts w:asciiTheme="minorHAnsi" w:hAnsiTheme="minorHAnsi" w:cstheme="minorHAnsi"/>
          <w:b/>
          <w:iCs/>
          <w:sz w:val="22"/>
          <w:szCs w:val="22"/>
        </w:rPr>
        <w:t xml:space="preserve"> (Bilateral Report)</w:t>
      </w:r>
    </w:p>
    <w:p w14:paraId="6E2A03A7" w14:textId="77777777" w:rsidR="000F5A4D" w:rsidRPr="0071206E" w:rsidRDefault="000F5A4D" w:rsidP="001E373D">
      <w:pPr>
        <w:jc w:val="center"/>
        <w:rPr>
          <w:rFonts w:asciiTheme="minorHAnsi" w:hAnsiTheme="minorHAnsi" w:cstheme="minorHAnsi"/>
          <w:b/>
          <w:iCs/>
          <w:sz w:val="22"/>
          <w:szCs w:val="22"/>
        </w:rPr>
      </w:pPr>
    </w:p>
    <w:p w14:paraId="625B662E" w14:textId="297650C7" w:rsidR="001E373D" w:rsidRPr="0071206E" w:rsidRDefault="001E373D" w:rsidP="001E373D">
      <w:pPr>
        <w:jc w:val="center"/>
        <w:rPr>
          <w:rFonts w:asciiTheme="minorHAnsi" w:hAnsiTheme="minorHAnsi" w:cstheme="minorHAnsi"/>
          <w:b/>
          <w:iCs/>
          <w:sz w:val="22"/>
          <w:szCs w:val="22"/>
        </w:rPr>
      </w:pPr>
      <w:r w:rsidRPr="0071206E">
        <w:rPr>
          <w:rFonts w:asciiTheme="minorHAnsi" w:hAnsiTheme="minorHAnsi" w:cstheme="minorHAnsi"/>
          <w:b/>
          <w:iCs/>
          <w:sz w:val="22"/>
          <w:szCs w:val="22"/>
        </w:rPr>
        <w:t>Partnership for Action on Green Economy Trust Fund (PAGE)</w:t>
      </w:r>
    </w:p>
    <w:p w14:paraId="38180E9A" w14:textId="77777777" w:rsidR="000F5A4D" w:rsidRPr="0071206E" w:rsidRDefault="000F5A4D" w:rsidP="001E373D">
      <w:pPr>
        <w:jc w:val="center"/>
        <w:rPr>
          <w:rFonts w:asciiTheme="minorHAnsi" w:hAnsiTheme="minorHAnsi" w:cstheme="minorHAnsi"/>
          <w:b/>
          <w:bCs/>
          <w:iCs/>
          <w:sz w:val="22"/>
          <w:szCs w:val="22"/>
        </w:rPr>
      </w:pPr>
    </w:p>
    <w:p w14:paraId="319540BA" w14:textId="167E2F4F" w:rsidR="001E373D" w:rsidRPr="0071206E" w:rsidRDefault="001E373D" w:rsidP="7A1375F1">
      <w:pPr>
        <w:jc w:val="center"/>
        <w:rPr>
          <w:rFonts w:asciiTheme="minorHAnsi" w:hAnsiTheme="minorHAnsi" w:cstheme="minorHAnsi"/>
          <w:b/>
          <w:bCs/>
          <w:sz w:val="22"/>
          <w:szCs w:val="22"/>
        </w:rPr>
      </w:pPr>
      <w:r w:rsidRPr="0071206E">
        <w:rPr>
          <w:rFonts w:asciiTheme="minorHAnsi" w:hAnsiTheme="minorHAnsi" w:cstheme="minorHAnsi"/>
          <w:b/>
          <w:bCs/>
          <w:sz w:val="22"/>
          <w:szCs w:val="22"/>
        </w:rPr>
        <w:t xml:space="preserve">REPORTING PERIOD: 1 </w:t>
      </w:r>
      <w:r w:rsidR="000F5A4D" w:rsidRPr="0071206E">
        <w:rPr>
          <w:rFonts w:asciiTheme="minorHAnsi" w:hAnsiTheme="minorHAnsi" w:cstheme="minorHAnsi"/>
          <w:b/>
          <w:bCs/>
          <w:sz w:val="22"/>
          <w:szCs w:val="22"/>
        </w:rPr>
        <w:t xml:space="preserve">January – 31 December </w:t>
      </w:r>
      <w:r w:rsidR="00AC403C" w:rsidRPr="0071206E">
        <w:rPr>
          <w:rFonts w:asciiTheme="minorHAnsi" w:hAnsiTheme="minorHAnsi" w:cstheme="minorHAnsi"/>
          <w:b/>
          <w:bCs/>
          <w:sz w:val="22"/>
          <w:szCs w:val="22"/>
        </w:rPr>
        <w:t>202</w:t>
      </w:r>
      <w:r w:rsidR="498A40CE" w:rsidRPr="0071206E">
        <w:rPr>
          <w:rFonts w:asciiTheme="minorHAnsi" w:hAnsiTheme="minorHAnsi" w:cstheme="minorHAnsi"/>
          <w:b/>
          <w:bCs/>
          <w:sz w:val="22"/>
          <w:szCs w:val="22"/>
        </w:rPr>
        <w:t>4</w:t>
      </w:r>
    </w:p>
    <w:p w14:paraId="1ACBB14F" w14:textId="2BF9D987" w:rsidR="00AE6BC7" w:rsidRPr="0071206E" w:rsidRDefault="00AE6BC7" w:rsidP="7A1375F1">
      <w:pPr>
        <w:jc w:val="center"/>
        <w:rPr>
          <w:rFonts w:asciiTheme="minorHAnsi" w:hAnsiTheme="minorHAnsi" w:cstheme="minorHAnsi"/>
          <w:b/>
          <w:bCs/>
          <w:color w:val="FF0000"/>
          <w:sz w:val="22"/>
          <w:szCs w:val="22"/>
        </w:rPr>
      </w:pPr>
    </w:p>
    <w:p w14:paraId="58A4C509" w14:textId="1E1BAECB" w:rsidR="00155F8F" w:rsidRPr="0071206E" w:rsidRDefault="00155F8F" w:rsidP="001E373D">
      <w:pPr>
        <w:jc w:val="center"/>
        <w:rPr>
          <w:rFonts w:asciiTheme="minorHAnsi" w:hAnsiTheme="minorHAnsi" w:cstheme="minorHAnsi"/>
          <w:b/>
          <w:iCs/>
          <w:sz w:val="22"/>
          <w:szCs w:val="22"/>
        </w:rPr>
      </w:pPr>
    </w:p>
    <w:p w14:paraId="18A04E57" w14:textId="331A5E90" w:rsidR="00155F8F" w:rsidRPr="0071206E" w:rsidRDefault="00155F8F" w:rsidP="001E373D">
      <w:pPr>
        <w:jc w:val="center"/>
        <w:rPr>
          <w:rFonts w:asciiTheme="minorHAnsi" w:hAnsiTheme="minorHAnsi" w:cstheme="minorHAnsi"/>
          <w:b/>
          <w:iCs/>
          <w:sz w:val="22"/>
          <w:szCs w:val="22"/>
        </w:rPr>
      </w:pPr>
    </w:p>
    <w:p w14:paraId="1E0182FE" w14:textId="77777777" w:rsidR="000F5A4D" w:rsidRPr="0071206E" w:rsidRDefault="000F5A4D" w:rsidP="000F5A4D">
      <w:pPr>
        <w:rPr>
          <w:rFonts w:asciiTheme="minorHAnsi" w:hAnsiTheme="minorHAnsi" w:cstheme="minorHAnsi"/>
          <w:b/>
          <w:iCs/>
          <w:sz w:val="22"/>
          <w:szCs w:val="22"/>
        </w:rPr>
      </w:pPr>
    </w:p>
    <w:p w14:paraId="62E4BACD" w14:textId="7F4A24E4" w:rsidR="000F5A4D" w:rsidRPr="0071206E" w:rsidRDefault="000F5A4D" w:rsidP="007B5561">
      <w:pPr>
        <w:pStyle w:val="ListParagraph"/>
        <w:numPr>
          <w:ilvl w:val="0"/>
          <w:numId w:val="1"/>
        </w:numPr>
        <w:rPr>
          <w:rFonts w:asciiTheme="minorHAnsi" w:hAnsiTheme="minorHAnsi" w:cstheme="minorHAnsi"/>
          <w:b/>
          <w:iCs/>
          <w:sz w:val="22"/>
          <w:szCs w:val="22"/>
        </w:rPr>
      </w:pPr>
      <w:r w:rsidRPr="0071206E">
        <w:rPr>
          <w:rFonts w:asciiTheme="minorHAnsi" w:hAnsiTheme="minorHAnsi" w:cstheme="minorHAnsi"/>
          <w:b/>
          <w:iCs/>
          <w:sz w:val="22"/>
          <w:szCs w:val="22"/>
        </w:rPr>
        <w:t>Project Title:  UNDP – PAGE Workplan (ODA Countries and Global Activities)</w:t>
      </w:r>
    </w:p>
    <w:p w14:paraId="3BF2148D" w14:textId="77777777" w:rsidR="000F5A4D" w:rsidRPr="0071206E" w:rsidRDefault="000F5A4D" w:rsidP="000F5A4D">
      <w:pPr>
        <w:rPr>
          <w:rFonts w:asciiTheme="minorHAnsi" w:hAnsiTheme="minorHAnsi" w:cstheme="minorHAnsi"/>
          <w:b/>
          <w:iCs/>
          <w:sz w:val="22"/>
          <w:szCs w:val="22"/>
        </w:rPr>
      </w:pPr>
    </w:p>
    <w:p w14:paraId="4D481524" w14:textId="1E2AA374" w:rsidR="000F5A4D" w:rsidRPr="0071206E" w:rsidRDefault="000F5A4D" w:rsidP="007B5561">
      <w:pPr>
        <w:pStyle w:val="ListParagraph"/>
        <w:numPr>
          <w:ilvl w:val="0"/>
          <w:numId w:val="2"/>
        </w:numPr>
        <w:rPr>
          <w:rFonts w:asciiTheme="minorHAnsi" w:hAnsiTheme="minorHAnsi" w:cstheme="minorHAnsi"/>
          <w:b/>
          <w:iCs/>
          <w:sz w:val="22"/>
          <w:szCs w:val="22"/>
        </w:rPr>
      </w:pPr>
      <w:r w:rsidRPr="0071206E">
        <w:rPr>
          <w:rFonts w:asciiTheme="minorHAnsi" w:hAnsiTheme="minorHAnsi" w:cstheme="minorHAnsi"/>
          <w:b/>
          <w:iCs/>
          <w:sz w:val="22"/>
          <w:szCs w:val="22"/>
        </w:rPr>
        <w:t>MPTF Project Number:  105892</w:t>
      </w:r>
    </w:p>
    <w:p w14:paraId="42F0D1CC" w14:textId="22B98786" w:rsidR="008E363F" w:rsidRPr="0071206E" w:rsidRDefault="008E363F" w:rsidP="001E373D">
      <w:pPr>
        <w:jc w:val="center"/>
        <w:rPr>
          <w:rFonts w:asciiTheme="minorHAnsi" w:hAnsiTheme="minorHAnsi" w:cstheme="minorHAnsi"/>
          <w:b/>
          <w:iCs/>
          <w:sz w:val="22"/>
          <w:szCs w:val="22"/>
        </w:rPr>
      </w:pPr>
    </w:p>
    <w:p w14:paraId="60B93ABD" w14:textId="3158BCCC" w:rsidR="003057C0" w:rsidRPr="0071206E" w:rsidRDefault="000F5A4D" w:rsidP="008A4F74">
      <w:pPr>
        <w:jc w:val="center"/>
        <w:rPr>
          <w:rFonts w:asciiTheme="minorHAnsi" w:hAnsiTheme="minorHAnsi" w:cstheme="minorHAnsi"/>
          <w:b/>
          <w:iCs/>
          <w:sz w:val="22"/>
          <w:szCs w:val="22"/>
        </w:rPr>
      </w:pPr>
      <w:r w:rsidRPr="0071206E">
        <w:rPr>
          <w:rFonts w:asciiTheme="minorHAnsi" w:hAnsiTheme="minorHAnsi" w:cstheme="minorHAnsi"/>
          <w:b/>
          <w:iCs/>
          <w:sz w:val="22"/>
          <w:szCs w:val="22"/>
        </w:rPr>
        <w:t xml:space="preserve"> </w:t>
      </w:r>
      <w:r w:rsidR="008A4F74" w:rsidRPr="0071206E">
        <w:rPr>
          <w:rFonts w:asciiTheme="minorHAnsi" w:hAnsiTheme="minorHAnsi" w:cstheme="minorHAnsi"/>
          <w:b/>
          <w:iCs/>
          <w:sz w:val="22"/>
          <w:szCs w:val="22"/>
        </w:rPr>
        <w:t xml:space="preserve">UNDP - </w:t>
      </w:r>
      <w:r w:rsidR="003057C0" w:rsidRPr="0071206E">
        <w:rPr>
          <w:rFonts w:asciiTheme="minorHAnsi" w:hAnsiTheme="minorHAnsi" w:cstheme="minorHAnsi"/>
          <w:b/>
          <w:iCs/>
          <w:sz w:val="22"/>
          <w:szCs w:val="22"/>
        </w:rPr>
        <w:t>GLOBAL LEVEL</w:t>
      </w:r>
      <w:r w:rsidR="00AE6BC7" w:rsidRPr="0071206E">
        <w:rPr>
          <w:rFonts w:asciiTheme="minorHAnsi" w:hAnsiTheme="minorHAnsi" w:cstheme="minorHAnsi"/>
          <w:b/>
          <w:iCs/>
          <w:sz w:val="22"/>
          <w:szCs w:val="22"/>
        </w:rPr>
        <w:t xml:space="preserve"> (REGULAR WORK)</w:t>
      </w:r>
    </w:p>
    <w:p w14:paraId="3D0F5F8B" w14:textId="77777777" w:rsidR="003057C0" w:rsidRPr="0071206E" w:rsidRDefault="003057C0" w:rsidP="003057C0">
      <w:pPr>
        <w:jc w:val="center"/>
        <w:rPr>
          <w:rFonts w:asciiTheme="minorHAnsi" w:hAnsiTheme="minorHAnsi" w:cstheme="minorHAnsi"/>
          <w:b/>
          <w:iCs/>
          <w:sz w:val="22"/>
          <w:szCs w:val="22"/>
        </w:rPr>
      </w:pPr>
    </w:p>
    <w:tbl>
      <w:tblPr>
        <w:tblStyle w:val="TableGrid"/>
        <w:tblW w:w="0" w:type="auto"/>
        <w:tblLook w:val="04A0" w:firstRow="1" w:lastRow="0" w:firstColumn="1" w:lastColumn="0" w:noHBand="0" w:noVBand="1"/>
      </w:tblPr>
      <w:tblGrid>
        <w:gridCol w:w="2065"/>
        <w:gridCol w:w="7830"/>
      </w:tblGrid>
      <w:tr w:rsidR="002C0276" w:rsidRPr="0071206E" w14:paraId="6034CCA6" w14:textId="77777777" w:rsidTr="4DEA42C1">
        <w:tc>
          <w:tcPr>
            <w:tcW w:w="9895" w:type="dxa"/>
            <w:gridSpan w:val="2"/>
          </w:tcPr>
          <w:p w14:paraId="06615CE1" w14:textId="6CA4C7A5" w:rsidR="002C0276" w:rsidRPr="0071206E" w:rsidRDefault="002C0276" w:rsidP="00E26B37">
            <w:pPr>
              <w:jc w:val="left"/>
              <w:rPr>
                <w:rFonts w:asciiTheme="minorHAnsi" w:hAnsiTheme="minorHAnsi" w:cstheme="minorHAnsi"/>
                <w:bCs/>
                <w:i/>
                <w:iCs/>
                <w:sz w:val="22"/>
                <w:szCs w:val="22"/>
              </w:rPr>
            </w:pPr>
            <w:r w:rsidRPr="0071206E">
              <w:rPr>
                <w:rFonts w:asciiTheme="minorHAnsi" w:hAnsiTheme="minorHAnsi" w:cstheme="minorHAnsi"/>
                <w:bCs/>
                <w:i/>
                <w:sz w:val="22"/>
                <w:szCs w:val="22"/>
              </w:rPr>
              <w:t xml:space="preserve">Outcome 3 - </w:t>
            </w:r>
            <w:r w:rsidR="00AE6BC7" w:rsidRPr="0071206E">
              <w:rPr>
                <w:rFonts w:asciiTheme="minorHAnsi" w:hAnsiTheme="minorHAnsi" w:cstheme="minorHAnsi"/>
                <w:i/>
                <w:sz w:val="22"/>
                <w:szCs w:val="22"/>
              </w:rPr>
              <w:t>Individuals and institutions representing social partners, public, private and civil society groups and stakeholders have acquired capacities needed to advance IGE approaches at regional, national and sectoral levels.</w:t>
            </w:r>
          </w:p>
        </w:tc>
      </w:tr>
      <w:tr w:rsidR="002C0276" w:rsidRPr="0071206E" w14:paraId="71D88492" w14:textId="77777777" w:rsidTr="4DEA42C1">
        <w:tc>
          <w:tcPr>
            <w:tcW w:w="2065" w:type="dxa"/>
          </w:tcPr>
          <w:p w14:paraId="29A1EDF6" w14:textId="627CD733" w:rsidR="002C0276" w:rsidRPr="0071206E" w:rsidRDefault="69D0B4EE" w:rsidP="7A1375F1">
            <w:pPr>
              <w:jc w:val="left"/>
              <w:rPr>
                <w:rFonts w:asciiTheme="minorHAnsi" w:hAnsiTheme="minorHAnsi" w:cstheme="minorHAnsi"/>
                <w:b/>
                <w:bCs/>
                <w:i/>
                <w:iCs/>
                <w:sz w:val="22"/>
                <w:szCs w:val="22"/>
              </w:rPr>
            </w:pPr>
            <w:r w:rsidRPr="0071206E">
              <w:rPr>
                <w:rFonts w:asciiTheme="minorHAnsi" w:hAnsiTheme="minorHAnsi" w:cstheme="minorHAnsi"/>
                <w:b/>
                <w:bCs/>
                <w:i/>
                <w:iCs/>
                <w:sz w:val="22"/>
                <w:szCs w:val="22"/>
              </w:rPr>
              <w:t>Key achievements</w:t>
            </w:r>
          </w:p>
          <w:p w14:paraId="649BDCE3" w14:textId="52405A2D" w:rsidR="002C0276" w:rsidRPr="0071206E" w:rsidRDefault="69D0B4EE" w:rsidP="7A1375F1">
            <w:pPr>
              <w:jc w:val="left"/>
              <w:rPr>
                <w:rFonts w:asciiTheme="minorHAnsi" w:hAnsiTheme="minorHAnsi" w:cstheme="minorHAnsi"/>
                <w:b/>
                <w:bCs/>
                <w:i/>
                <w:iCs/>
                <w:sz w:val="22"/>
                <w:szCs w:val="22"/>
              </w:rPr>
            </w:pPr>
            <w:r w:rsidRPr="0071206E">
              <w:rPr>
                <w:rFonts w:asciiTheme="minorHAnsi" w:hAnsiTheme="minorHAnsi" w:cstheme="minorHAnsi"/>
                <w:b/>
                <w:bCs/>
                <w:i/>
                <w:iCs/>
                <w:sz w:val="22"/>
                <w:szCs w:val="22"/>
              </w:rPr>
              <w:t xml:space="preserve">in </w:t>
            </w:r>
            <w:r w:rsidR="00EA6DB1" w:rsidRPr="0071206E">
              <w:rPr>
                <w:rFonts w:asciiTheme="minorHAnsi" w:hAnsiTheme="minorHAnsi" w:cstheme="minorHAnsi"/>
                <w:b/>
                <w:bCs/>
                <w:i/>
                <w:iCs/>
                <w:sz w:val="22"/>
                <w:szCs w:val="22"/>
              </w:rPr>
              <w:t>202</w:t>
            </w:r>
            <w:r w:rsidR="4D9657F7" w:rsidRPr="0071206E">
              <w:rPr>
                <w:rFonts w:asciiTheme="minorHAnsi" w:hAnsiTheme="minorHAnsi" w:cstheme="minorHAnsi"/>
                <w:b/>
                <w:bCs/>
                <w:i/>
                <w:iCs/>
                <w:sz w:val="22"/>
                <w:szCs w:val="22"/>
              </w:rPr>
              <w:t>4</w:t>
            </w:r>
          </w:p>
          <w:p w14:paraId="4A75CF79" w14:textId="77777777" w:rsidR="002C0276" w:rsidRPr="0071206E" w:rsidRDefault="002C0276" w:rsidP="002C0276">
            <w:pPr>
              <w:jc w:val="center"/>
              <w:rPr>
                <w:rFonts w:asciiTheme="minorHAnsi" w:hAnsiTheme="minorHAnsi" w:cstheme="minorHAnsi"/>
                <w:b/>
                <w:bCs/>
                <w:i/>
                <w:iCs/>
                <w:sz w:val="22"/>
                <w:szCs w:val="22"/>
              </w:rPr>
            </w:pPr>
          </w:p>
        </w:tc>
        <w:tc>
          <w:tcPr>
            <w:tcW w:w="7830" w:type="dxa"/>
            <w:vAlign w:val="center"/>
          </w:tcPr>
          <w:p w14:paraId="7D006E5D" w14:textId="7C5C3DFE" w:rsidR="001763D2" w:rsidRPr="00AB7611" w:rsidRDefault="001763D2" w:rsidP="001763D2">
            <w:pPr>
              <w:pStyle w:val="Heading3"/>
              <w:rPr>
                <w:rFonts w:asciiTheme="minorHAnsi" w:eastAsiaTheme="minorEastAsia" w:hAnsiTheme="minorHAnsi" w:cstheme="minorHAnsi"/>
                <w:color w:val="1F4E79" w:themeColor="accent1" w:themeShade="80"/>
                <w:sz w:val="22"/>
                <w:szCs w:val="22"/>
                <w:lang w:val="en-US" w:eastAsia="ko-KR"/>
              </w:rPr>
            </w:pPr>
            <w:r w:rsidRPr="00AB7611">
              <w:rPr>
                <w:rFonts w:asciiTheme="minorHAnsi" w:eastAsiaTheme="minorEastAsia" w:hAnsiTheme="minorHAnsi" w:cstheme="minorHAnsi"/>
                <w:color w:val="1F4E79" w:themeColor="accent1" w:themeShade="80"/>
                <w:sz w:val="22"/>
                <w:szCs w:val="22"/>
                <w:lang w:val="en-US" w:eastAsia="ko-KR"/>
              </w:rPr>
              <w:t>PAGE at the Summit of the Future 2024</w:t>
            </w:r>
          </w:p>
          <w:p w14:paraId="6B581FF5" w14:textId="2B1AE7DC" w:rsidR="00E43D9A" w:rsidRPr="0071206E" w:rsidRDefault="00931FFD" w:rsidP="00E43D9A">
            <w:pPr>
              <w:rPr>
                <w:rFonts w:asciiTheme="minorHAnsi" w:eastAsia="Calibri" w:hAnsiTheme="minorHAnsi" w:cstheme="minorHAnsi"/>
                <w:sz w:val="22"/>
                <w:szCs w:val="22"/>
                <w:lang w:val="en-GB"/>
              </w:rPr>
            </w:pPr>
            <w:r w:rsidRPr="0071206E">
              <w:rPr>
                <w:rFonts w:asciiTheme="minorHAnsi" w:hAnsiTheme="minorHAnsi" w:cstheme="minorHAnsi"/>
                <w:sz w:val="22"/>
                <w:szCs w:val="22"/>
              </w:rPr>
              <w:t xml:space="preserve">UNDP </w:t>
            </w:r>
            <w:r w:rsidR="00CF27AC" w:rsidRPr="0071206E">
              <w:rPr>
                <w:rFonts w:asciiTheme="minorHAnsi" w:hAnsiTheme="minorHAnsi" w:cstheme="minorHAnsi"/>
                <w:sz w:val="22"/>
                <w:szCs w:val="22"/>
              </w:rPr>
              <w:t xml:space="preserve">has </w:t>
            </w:r>
            <w:r w:rsidR="00695B3C" w:rsidRPr="0071206E">
              <w:rPr>
                <w:rFonts w:asciiTheme="minorHAnsi" w:hAnsiTheme="minorHAnsi" w:cstheme="minorHAnsi"/>
                <w:sz w:val="22"/>
                <w:szCs w:val="22"/>
              </w:rPr>
              <w:t xml:space="preserve">led </w:t>
            </w:r>
            <w:r w:rsidR="00CF27AC" w:rsidRPr="0071206E">
              <w:rPr>
                <w:rFonts w:asciiTheme="minorHAnsi" w:hAnsiTheme="minorHAnsi" w:cstheme="minorHAnsi"/>
                <w:sz w:val="22"/>
                <w:szCs w:val="22"/>
              </w:rPr>
              <w:t xml:space="preserve">the </w:t>
            </w:r>
            <w:r w:rsidRPr="0071206E">
              <w:rPr>
                <w:rFonts w:asciiTheme="minorHAnsi" w:hAnsiTheme="minorHAnsi" w:cstheme="minorHAnsi"/>
                <w:sz w:val="22"/>
                <w:szCs w:val="22"/>
              </w:rPr>
              <w:t>organiz</w:t>
            </w:r>
            <w:r w:rsidR="00695B3C" w:rsidRPr="0071206E">
              <w:rPr>
                <w:rFonts w:asciiTheme="minorHAnsi" w:hAnsiTheme="minorHAnsi" w:cstheme="minorHAnsi"/>
                <w:sz w:val="22"/>
                <w:szCs w:val="22"/>
              </w:rPr>
              <w:t>ation of</w:t>
            </w:r>
            <w:r w:rsidRPr="0071206E">
              <w:rPr>
                <w:rFonts w:asciiTheme="minorHAnsi" w:hAnsiTheme="minorHAnsi" w:cstheme="minorHAnsi"/>
                <w:sz w:val="22"/>
                <w:szCs w:val="22"/>
              </w:rPr>
              <w:t xml:space="preserve"> a </w:t>
            </w:r>
            <w:r w:rsidRPr="0071206E">
              <w:rPr>
                <w:rFonts w:asciiTheme="minorHAnsi" w:hAnsiTheme="minorHAnsi" w:cstheme="minorHAnsi"/>
                <w:b/>
                <w:bCs/>
                <w:sz w:val="22"/>
                <w:szCs w:val="22"/>
              </w:rPr>
              <w:t>high-level moderated panel discussion</w:t>
            </w:r>
            <w:r w:rsidR="00BE4633" w:rsidRPr="0071206E">
              <w:rPr>
                <w:rFonts w:asciiTheme="minorHAnsi" w:hAnsiTheme="minorHAnsi" w:cstheme="minorHAnsi"/>
                <w:b/>
                <w:bCs/>
                <w:sz w:val="22"/>
                <w:szCs w:val="22"/>
              </w:rPr>
              <w:t xml:space="preserve"> (side event)</w:t>
            </w:r>
            <w:r w:rsidR="00E9549A" w:rsidRPr="0071206E">
              <w:rPr>
                <w:rFonts w:asciiTheme="minorHAnsi" w:hAnsiTheme="minorHAnsi" w:cstheme="minorHAnsi"/>
                <w:b/>
                <w:bCs/>
                <w:sz w:val="22"/>
                <w:szCs w:val="22"/>
              </w:rPr>
              <w:t xml:space="preserve"> during the United Nations Summit of the Future </w:t>
            </w:r>
            <w:r w:rsidR="00A97ED4" w:rsidRPr="0071206E">
              <w:rPr>
                <w:rFonts w:asciiTheme="minorHAnsi" w:hAnsiTheme="minorHAnsi" w:cstheme="minorHAnsi"/>
                <w:b/>
                <w:bCs/>
                <w:sz w:val="22"/>
                <w:szCs w:val="22"/>
              </w:rPr>
              <w:t>“</w:t>
            </w:r>
            <w:r w:rsidR="00BE4633" w:rsidRPr="0071206E">
              <w:rPr>
                <w:rFonts w:asciiTheme="minorHAnsi" w:hAnsiTheme="minorHAnsi" w:cstheme="minorHAnsi"/>
                <w:b/>
                <w:bCs/>
                <w:i/>
                <w:iCs/>
                <w:sz w:val="22"/>
                <w:szCs w:val="22"/>
              </w:rPr>
              <w:t>Green and Circular – Can it be Fair?</w:t>
            </w:r>
            <w:r w:rsidR="00A97ED4" w:rsidRPr="0071206E">
              <w:rPr>
                <w:rFonts w:asciiTheme="minorHAnsi" w:hAnsiTheme="minorHAnsi" w:cstheme="minorHAnsi"/>
                <w:b/>
                <w:bCs/>
                <w:i/>
                <w:iCs/>
                <w:sz w:val="22"/>
                <w:szCs w:val="22"/>
              </w:rPr>
              <w:t xml:space="preserve"> </w:t>
            </w:r>
            <w:r w:rsidR="00BE4633" w:rsidRPr="0071206E">
              <w:rPr>
                <w:rFonts w:asciiTheme="minorHAnsi" w:hAnsiTheme="minorHAnsi" w:cstheme="minorHAnsi"/>
                <w:b/>
                <w:bCs/>
                <w:i/>
                <w:iCs/>
                <w:sz w:val="22"/>
                <w:szCs w:val="22"/>
              </w:rPr>
              <w:t>Joining Forces for a Just Transition</w:t>
            </w:r>
            <w:r w:rsidR="007C3512" w:rsidRPr="0071206E">
              <w:rPr>
                <w:rFonts w:asciiTheme="minorHAnsi" w:hAnsiTheme="minorHAnsi" w:cstheme="minorHAnsi"/>
                <w:b/>
                <w:bCs/>
                <w:sz w:val="22"/>
                <w:szCs w:val="22"/>
              </w:rPr>
              <w:t>”</w:t>
            </w:r>
            <w:r w:rsidR="007C3512" w:rsidRPr="0071206E">
              <w:rPr>
                <w:rFonts w:asciiTheme="minorHAnsi" w:hAnsiTheme="minorHAnsi" w:cstheme="minorHAnsi"/>
                <w:sz w:val="22"/>
                <w:szCs w:val="22"/>
              </w:rPr>
              <w:t xml:space="preserve"> (23 September 2024). </w:t>
            </w:r>
            <w:r w:rsidR="00E43D9A" w:rsidRPr="0071206E">
              <w:rPr>
                <w:rFonts w:asciiTheme="minorHAnsi" w:eastAsia="Calibri" w:hAnsiTheme="minorHAnsi" w:cstheme="minorHAnsi"/>
                <w:sz w:val="22"/>
                <w:szCs w:val="22"/>
                <w:lang w:val="en-GB"/>
              </w:rPr>
              <w:t>The Summit of the Future brought together UN Member States, UN agencies, NGOs, CSOs, academic institutions, the private sector, and youth under the theme, ‘Summit of the Future: Multilateral Solutions for a Better Tomorrow’. The Summit aim</w:t>
            </w:r>
            <w:r w:rsidR="00343A9F" w:rsidRPr="0071206E">
              <w:rPr>
                <w:rFonts w:asciiTheme="minorHAnsi" w:eastAsia="Calibri" w:hAnsiTheme="minorHAnsi" w:cstheme="minorHAnsi"/>
                <w:sz w:val="22"/>
                <w:szCs w:val="22"/>
                <w:lang w:val="en-GB"/>
              </w:rPr>
              <w:t>ed</w:t>
            </w:r>
            <w:r w:rsidR="00E43D9A" w:rsidRPr="0071206E">
              <w:rPr>
                <w:rFonts w:asciiTheme="minorHAnsi" w:eastAsia="Calibri" w:hAnsiTheme="minorHAnsi" w:cstheme="minorHAnsi"/>
                <w:sz w:val="22"/>
                <w:szCs w:val="22"/>
                <w:lang w:val="en-GB"/>
              </w:rPr>
              <w:t xml:space="preserve"> to forge a new global consensus on what our future should look like, and what we can do today to secure it. </w:t>
            </w:r>
          </w:p>
          <w:p w14:paraId="2ECEF15E" w14:textId="77777777" w:rsidR="00E43D9A" w:rsidRPr="0071206E" w:rsidRDefault="00E43D9A" w:rsidP="00E43D9A">
            <w:pPr>
              <w:rPr>
                <w:rFonts w:asciiTheme="minorHAnsi" w:eastAsia="Calibri" w:hAnsiTheme="minorHAnsi" w:cstheme="minorHAnsi"/>
                <w:sz w:val="22"/>
                <w:szCs w:val="22"/>
                <w:lang w:val="en-GB"/>
              </w:rPr>
            </w:pPr>
          </w:p>
          <w:p w14:paraId="47293242" w14:textId="04484B67" w:rsidR="00E43D9A" w:rsidRPr="0071206E" w:rsidRDefault="00774404" w:rsidP="00E43D9A">
            <w:pPr>
              <w:rPr>
                <w:rFonts w:asciiTheme="minorHAnsi" w:eastAsia="Calibri" w:hAnsiTheme="minorHAnsi" w:cstheme="minorHAnsi"/>
                <w:sz w:val="22"/>
                <w:szCs w:val="22"/>
                <w:lang w:val="en-GB"/>
              </w:rPr>
            </w:pPr>
            <w:r>
              <w:rPr>
                <w:rFonts w:asciiTheme="minorHAnsi" w:eastAsia="Calibri" w:hAnsiTheme="minorHAnsi" w:cstheme="minorHAnsi"/>
                <w:sz w:val="22"/>
                <w:szCs w:val="22"/>
                <w:lang w:val="en-GB"/>
              </w:rPr>
              <w:t xml:space="preserve">The </w:t>
            </w:r>
            <w:r w:rsidR="00343A9F" w:rsidRPr="0071206E">
              <w:rPr>
                <w:rFonts w:asciiTheme="minorHAnsi" w:eastAsia="Calibri" w:hAnsiTheme="minorHAnsi" w:cstheme="minorHAnsi"/>
                <w:sz w:val="22"/>
                <w:szCs w:val="22"/>
                <w:lang w:val="en-GB"/>
              </w:rPr>
              <w:t>PAGE</w:t>
            </w:r>
            <w:r w:rsidR="00E43D9A" w:rsidRPr="0071206E">
              <w:rPr>
                <w:rFonts w:asciiTheme="minorHAnsi" w:eastAsia="Calibri" w:hAnsiTheme="minorHAnsi" w:cstheme="minorHAnsi"/>
                <w:sz w:val="22"/>
                <w:szCs w:val="22"/>
                <w:lang w:val="en-GB"/>
              </w:rPr>
              <w:t xml:space="preserve"> high-level event align</w:t>
            </w:r>
            <w:r w:rsidR="00192F6E" w:rsidRPr="0071206E">
              <w:rPr>
                <w:rFonts w:asciiTheme="minorHAnsi" w:eastAsia="Calibri" w:hAnsiTheme="minorHAnsi" w:cstheme="minorHAnsi"/>
                <w:sz w:val="22"/>
                <w:szCs w:val="22"/>
                <w:lang w:val="en-GB"/>
              </w:rPr>
              <w:t>ed</w:t>
            </w:r>
            <w:r w:rsidR="00E43D9A" w:rsidRPr="0071206E">
              <w:rPr>
                <w:rFonts w:asciiTheme="minorHAnsi" w:eastAsia="Calibri" w:hAnsiTheme="minorHAnsi" w:cstheme="minorHAnsi"/>
                <w:sz w:val="22"/>
                <w:szCs w:val="22"/>
                <w:lang w:val="en-GB"/>
              </w:rPr>
              <w:t xml:space="preserve"> with the long-term priorities identified by the Summit and Pact</w:t>
            </w:r>
            <w:r w:rsidR="003723DA" w:rsidRPr="0071206E">
              <w:rPr>
                <w:rFonts w:asciiTheme="minorHAnsi" w:eastAsia="Calibri" w:hAnsiTheme="minorHAnsi" w:cstheme="minorHAnsi"/>
                <w:sz w:val="22"/>
                <w:szCs w:val="22"/>
                <w:lang w:val="en-GB"/>
              </w:rPr>
              <w:t xml:space="preserve"> for the Future</w:t>
            </w:r>
            <w:r w:rsidR="00E43D9A" w:rsidRPr="0071206E">
              <w:rPr>
                <w:rFonts w:asciiTheme="minorHAnsi" w:eastAsia="Calibri" w:hAnsiTheme="minorHAnsi" w:cstheme="minorHAnsi"/>
                <w:sz w:val="22"/>
                <w:szCs w:val="22"/>
                <w:lang w:val="en-GB"/>
              </w:rPr>
              <w:t>.</w:t>
            </w:r>
            <w:r w:rsidR="00192F6E" w:rsidRPr="0071206E">
              <w:rPr>
                <w:rFonts w:asciiTheme="minorHAnsi" w:eastAsia="Calibri" w:hAnsiTheme="minorHAnsi" w:cstheme="minorHAnsi"/>
                <w:sz w:val="22"/>
                <w:szCs w:val="22"/>
                <w:lang w:val="en-GB"/>
              </w:rPr>
              <w:t xml:space="preserve"> </w:t>
            </w:r>
            <w:r w:rsidR="00E43D9A" w:rsidRPr="0071206E">
              <w:rPr>
                <w:rFonts w:asciiTheme="minorHAnsi" w:eastAsia="Calibri" w:hAnsiTheme="minorHAnsi" w:cstheme="minorHAnsi"/>
                <w:sz w:val="22"/>
                <w:szCs w:val="22"/>
                <w:lang w:val="en-GB"/>
              </w:rPr>
              <w:t xml:space="preserve">It </w:t>
            </w:r>
            <w:r w:rsidR="00192F6E" w:rsidRPr="0071206E">
              <w:rPr>
                <w:rFonts w:asciiTheme="minorHAnsi" w:eastAsia="Calibri" w:hAnsiTheme="minorHAnsi" w:cstheme="minorHAnsi"/>
                <w:sz w:val="22"/>
                <w:szCs w:val="22"/>
                <w:lang w:val="en-GB"/>
              </w:rPr>
              <w:t>explored</w:t>
            </w:r>
            <w:r w:rsidR="00E43D9A" w:rsidRPr="0071206E">
              <w:rPr>
                <w:rFonts w:asciiTheme="minorHAnsi" w:eastAsia="Calibri" w:hAnsiTheme="minorHAnsi" w:cstheme="minorHAnsi"/>
                <w:sz w:val="22"/>
                <w:szCs w:val="22"/>
                <w:lang w:val="en-GB"/>
              </w:rPr>
              <w:t xml:space="preserve"> the multifaceted challenges posed by the prevailing global crises on achieving a just, inclusive, resilient, and sustainable economic transformation and its connection with the Pact of the Future. </w:t>
            </w:r>
            <w:r w:rsidR="00025310" w:rsidRPr="0071206E">
              <w:rPr>
                <w:rFonts w:asciiTheme="minorHAnsi" w:eastAsia="Calibri" w:hAnsiTheme="minorHAnsi" w:cstheme="minorHAnsi"/>
                <w:sz w:val="22"/>
                <w:szCs w:val="22"/>
                <w:lang w:val="en-GB"/>
              </w:rPr>
              <w:t>The objectives of the PAGE side events were to</w:t>
            </w:r>
            <w:r w:rsidR="00E43D9A" w:rsidRPr="0071206E">
              <w:rPr>
                <w:rFonts w:asciiTheme="minorHAnsi" w:eastAsia="Calibri" w:hAnsiTheme="minorHAnsi" w:cstheme="minorHAnsi"/>
                <w:sz w:val="22"/>
                <w:szCs w:val="22"/>
                <w:lang w:val="en-GB"/>
              </w:rPr>
              <w:t>:</w:t>
            </w:r>
          </w:p>
          <w:p w14:paraId="6C42F1A0" w14:textId="77777777" w:rsidR="00E43D9A" w:rsidRPr="0071206E" w:rsidRDefault="00E43D9A" w:rsidP="007B5561">
            <w:pPr>
              <w:pStyle w:val="ListParagraph"/>
              <w:numPr>
                <w:ilvl w:val="0"/>
                <w:numId w:val="22"/>
              </w:numPr>
              <w:ind w:left="360"/>
              <w:rPr>
                <w:rFonts w:asciiTheme="minorHAnsi" w:eastAsia="Calibri" w:hAnsiTheme="minorHAnsi" w:cstheme="minorHAnsi"/>
                <w:sz w:val="22"/>
                <w:szCs w:val="22"/>
                <w:lang w:val="en-GB"/>
              </w:rPr>
            </w:pPr>
            <w:r w:rsidRPr="0071206E">
              <w:rPr>
                <w:rFonts w:asciiTheme="minorHAnsi" w:eastAsia="Calibri" w:hAnsiTheme="minorHAnsi" w:cstheme="minorHAnsi"/>
                <w:sz w:val="22"/>
                <w:szCs w:val="22"/>
                <w:lang w:val="en-GB"/>
              </w:rPr>
              <w:t>Showcase inclusive solutions for advancing a just green economic transition including fiscal policies and repurposing of harmful subsidies through whole-of-government and whole-of-society policy frameworks;</w:t>
            </w:r>
          </w:p>
          <w:p w14:paraId="2FB3382E" w14:textId="77777777" w:rsidR="00E43D9A" w:rsidRPr="0071206E" w:rsidRDefault="00E43D9A" w:rsidP="007B5561">
            <w:pPr>
              <w:pStyle w:val="ListParagraph"/>
              <w:numPr>
                <w:ilvl w:val="0"/>
                <w:numId w:val="22"/>
              </w:numPr>
              <w:ind w:left="360"/>
              <w:rPr>
                <w:rFonts w:asciiTheme="minorHAnsi" w:eastAsia="Calibri" w:hAnsiTheme="minorHAnsi" w:cstheme="minorHAnsi"/>
                <w:sz w:val="22"/>
                <w:szCs w:val="22"/>
                <w:lang w:val="en-GB"/>
              </w:rPr>
            </w:pPr>
            <w:r w:rsidRPr="0071206E">
              <w:rPr>
                <w:rFonts w:asciiTheme="minorHAnsi" w:eastAsia="Calibri" w:hAnsiTheme="minorHAnsi" w:cstheme="minorHAnsi"/>
                <w:sz w:val="22"/>
                <w:szCs w:val="22"/>
                <w:lang w:val="en-GB"/>
              </w:rPr>
              <w:t>Advocate for integrated solutions within and across the agendas of the three Rio Convention COPs in 2024 and linked MEAs, and for the incorporation of green and circular considerations into national and sectoral policies;</w:t>
            </w:r>
          </w:p>
          <w:p w14:paraId="6744026D" w14:textId="77777777" w:rsidR="00E43D9A" w:rsidRPr="0071206E" w:rsidRDefault="00E43D9A" w:rsidP="007B5561">
            <w:pPr>
              <w:pStyle w:val="ListParagraph"/>
              <w:numPr>
                <w:ilvl w:val="0"/>
                <w:numId w:val="22"/>
              </w:numPr>
              <w:ind w:left="360"/>
              <w:rPr>
                <w:rFonts w:asciiTheme="minorHAnsi" w:eastAsia="Calibri" w:hAnsiTheme="minorHAnsi" w:cstheme="minorHAnsi"/>
                <w:sz w:val="22"/>
                <w:szCs w:val="22"/>
                <w:lang w:val="en-GB"/>
              </w:rPr>
            </w:pPr>
            <w:r w:rsidRPr="0071206E">
              <w:rPr>
                <w:rFonts w:asciiTheme="minorHAnsi" w:eastAsia="Calibri" w:hAnsiTheme="minorHAnsi" w:cstheme="minorHAnsi"/>
                <w:sz w:val="22"/>
                <w:szCs w:val="22"/>
                <w:lang w:val="en-GB"/>
              </w:rPr>
              <w:lastRenderedPageBreak/>
              <w:t>Provide a platform for South-South and Triangular Cooperation on green and circular economy for the just transition including from informal to formal sector livelihoods.</w:t>
            </w:r>
          </w:p>
          <w:p w14:paraId="371DEE75" w14:textId="77777777" w:rsidR="00E43D9A" w:rsidRPr="0071206E" w:rsidRDefault="00E43D9A" w:rsidP="00E43D9A">
            <w:pPr>
              <w:pStyle w:val="ListParagraph"/>
              <w:ind w:left="360"/>
              <w:rPr>
                <w:rFonts w:asciiTheme="minorHAnsi" w:eastAsia="Calibri" w:hAnsiTheme="minorHAnsi" w:cstheme="minorHAnsi"/>
                <w:sz w:val="22"/>
                <w:szCs w:val="22"/>
                <w:lang w:val="en-GB"/>
              </w:rPr>
            </w:pPr>
          </w:p>
          <w:p w14:paraId="04DCFD76" w14:textId="42904BE9" w:rsidR="00251484" w:rsidRPr="0071206E" w:rsidRDefault="0096637D" w:rsidP="00E43D9A">
            <w:pPr>
              <w:rPr>
                <w:rFonts w:asciiTheme="minorHAnsi" w:eastAsia="Calibri" w:hAnsiTheme="minorHAnsi" w:cstheme="minorHAnsi"/>
                <w:sz w:val="22"/>
                <w:szCs w:val="22"/>
                <w:lang w:val="en-GB"/>
              </w:rPr>
            </w:pPr>
            <w:r w:rsidRPr="0071206E">
              <w:rPr>
                <w:rFonts w:asciiTheme="minorHAnsi" w:eastAsia="Calibri" w:hAnsiTheme="minorHAnsi" w:cstheme="minorHAnsi"/>
                <w:sz w:val="22"/>
                <w:szCs w:val="22"/>
                <w:lang w:val="en-GB"/>
              </w:rPr>
              <w:t>Speakers and participants discussed solutions to accelerate a just green economic transformation including through green and circular economy approaches, innovative capacity and finance solutions, and partnerships for social and environmental justice. Participants also recognized the fundamental role of South-South and Triangular Cooperation to scale up and accelerate the just transition – not only through government-to-government cooperation, but also knowledge sharing and peer-to-peer learning between entrepreneurs and private sector entities, as well as between Indigenous Peoples.</w:t>
            </w:r>
          </w:p>
          <w:p w14:paraId="514168F8" w14:textId="77777777" w:rsidR="0096637D" w:rsidRPr="0071206E" w:rsidRDefault="0096637D" w:rsidP="00E43D9A">
            <w:pPr>
              <w:rPr>
                <w:rFonts w:asciiTheme="minorHAnsi" w:eastAsia="Roboto" w:hAnsiTheme="minorHAnsi" w:cstheme="minorHAnsi"/>
                <w:sz w:val="22"/>
                <w:szCs w:val="22"/>
                <w:lang w:val="en-GB"/>
              </w:rPr>
            </w:pPr>
          </w:p>
          <w:p w14:paraId="4CB2D040" w14:textId="2E6AE915" w:rsidR="00E43D9A" w:rsidRPr="0071206E" w:rsidRDefault="00E43D9A" w:rsidP="00E43D9A">
            <w:pPr>
              <w:rPr>
                <w:rFonts w:asciiTheme="minorHAnsi" w:hAnsiTheme="minorHAnsi" w:cstheme="minorHAnsi"/>
                <w:sz w:val="22"/>
                <w:szCs w:val="22"/>
              </w:rPr>
            </w:pPr>
            <w:r w:rsidRPr="0071206E">
              <w:rPr>
                <w:rFonts w:asciiTheme="minorHAnsi" w:eastAsia="Roboto" w:hAnsiTheme="minorHAnsi" w:cstheme="minorHAnsi"/>
                <w:sz w:val="22"/>
                <w:szCs w:val="22"/>
                <w:lang w:val="en-GB"/>
              </w:rPr>
              <w:t xml:space="preserve">The event </w:t>
            </w:r>
            <w:r w:rsidR="00251484" w:rsidRPr="0071206E">
              <w:rPr>
                <w:rFonts w:asciiTheme="minorHAnsi" w:eastAsia="Roboto" w:hAnsiTheme="minorHAnsi" w:cstheme="minorHAnsi"/>
                <w:sz w:val="22"/>
                <w:szCs w:val="22"/>
                <w:lang w:val="en-GB"/>
              </w:rPr>
              <w:t xml:space="preserve">was co-organized with PAGE partners - </w:t>
            </w:r>
            <w:r w:rsidRPr="0071206E">
              <w:rPr>
                <w:rFonts w:asciiTheme="minorHAnsi" w:eastAsia="Roboto" w:hAnsiTheme="minorHAnsi" w:cstheme="minorHAnsi"/>
                <w:sz w:val="22"/>
                <w:szCs w:val="22"/>
                <w:lang w:val="en-GB"/>
              </w:rPr>
              <w:t xml:space="preserve">global green and circular economy initiatives including </w:t>
            </w:r>
            <w:r w:rsidRPr="0071206E">
              <w:rPr>
                <w:rFonts w:asciiTheme="minorHAnsi" w:hAnsiTheme="minorHAnsi" w:cstheme="minorHAnsi"/>
                <w:sz w:val="22"/>
                <w:szCs w:val="22"/>
              </w:rPr>
              <w:t>GACERE, GFPN, GGKP, GEC, and the EU SWITCH to Green Facility.</w:t>
            </w:r>
          </w:p>
          <w:p w14:paraId="71CC76AF" w14:textId="77777777" w:rsidR="00A4064B" w:rsidRPr="0071206E" w:rsidRDefault="00A4064B" w:rsidP="00E43D9A">
            <w:pPr>
              <w:rPr>
                <w:rFonts w:asciiTheme="minorHAnsi" w:eastAsia="Calibri" w:hAnsiTheme="minorHAnsi" w:cstheme="minorHAnsi"/>
                <w:sz w:val="22"/>
                <w:szCs w:val="22"/>
                <w:lang w:val="en-GB"/>
              </w:rPr>
            </w:pPr>
          </w:p>
          <w:p w14:paraId="1D1D51F1" w14:textId="278F4F6D" w:rsidR="00A4064B" w:rsidRPr="0071206E" w:rsidRDefault="00A4064B" w:rsidP="4DEA42C1">
            <w:pPr>
              <w:rPr>
                <w:rFonts w:asciiTheme="minorHAnsi" w:eastAsia="Calibri" w:hAnsiTheme="minorHAnsi" w:cstheme="minorBidi"/>
                <w:sz w:val="22"/>
                <w:szCs w:val="22"/>
                <w:lang w:val="en-GB"/>
              </w:rPr>
            </w:pPr>
            <w:r w:rsidRPr="4DEA42C1">
              <w:rPr>
                <w:rFonts w:asciiTheme="minorHAnsi" w:eastAsia="Calibri" w:hAnsiTheme="minorHAnsi" w:cstheme="minorBidi"/>
                <w:sz w:val="22"/>
                <w:szCs w:val="22"/>
                <w:lang w:val="en-GB"/>
              </w:rPr>
              <w:t>The discussion included representatives from countries, institutions, academia and private section including </w:t>
            </w:r>
            <w:r w:rsidRPr="4DEA42C1">
              <w:rPr>
                <w:rFonts w:asciiTheme="minorHAnsi" w:eastAsia="Calibri" w:hAnsiTheme="minorHAnsi" w:cstheme="minorBidi"/>
                <w:b/>
                <w:bCs/>
                <w:sz w:val="22"/>
                <w:szCs w:val="22"/>
                <w:lang w:val="en-GB"/>
              </w:rPr>
              <w:t xml:space="preserve"> </w:t>
            </w:r>
            <w:r w:rsidR="007E74A4">
              <w:rPr>
                <w:rFonts w:ascii="Calibri" w:eastAsia="Calibri" w:hAnsi="Calibri" w:cs="Calibri"/>
                <w:lang w:val="en-AU"/>
              </w:rPr>
              <w:t>the</w:t>
            </w:r>
            <w:r w:rsidR="445E3B42" w:rsidRPr="4DEA42C1">
              <w:rPr>
                <w:rFonts w:ascii="Calibri" w:eastAsia="Calibri" w:hAnsi="Calibri" w:cs="Calibri"/>
                <w:b/>
                <w:bCs/>
                <w:lang w:val="en-AU"/>
              </w:rPr>
              <w:t xml:space="preserve"> </w:t>
            </w:r>
            <w:r w:rsidRPr="4DEA42C1">
              <w:rPr>
                <w:rFonts w:asciiTheme="minorHAnsi" w:eastAsia="Calibri" w:hAnsiTheme="minorHAnsi" w:cstheme="minorBidi"/>
                <w:sz w:val="22"/>
                <w:szCs w:val="22"/>
                <w:lang w:val="en-GB"/>
              </w:rPr>
              <w:t xml:space="preserve">Under-Secretary of State for Development Cooperation, Finland;  Minister-Counsellor, Brazil; </w:t>
            </w:r>
            <w:r w:rsidR="009C568C" w:rsidRPr="4DEA42C1">
              <w:rPr>
                <w:rFonts w:asciiTheme="minorHAnsi" w:eastAsia="Calibri" w:hAnsiTheme="minorHAnsi" w:cstheme="minorBidi"/>
                <w:sz w:val="22"/>
                <w:szCs w:val="22"/>
                <w:lang w:val="en-GB"/>
              </w:rPr>
              <w:t xml:space="preserve">Director General, Institute of Strategy and Policy on Natural Resources and Environment, Ministry of Nature Resources and Environment, Vietnam;  </w:t>
            </w:r>
            <w:r w:rsidR="001A1F42" w:rsidRPr="4DEA42C1">
              <w:rPr>
                <w:rFonts w:asciiTheme="minorHAnsi" w:eastAsia="Calibri" w:hAnsiTheme="minorHAnsi" w:cstheme="minorBidi"/>
                <w:sz w:val="22"/>
                <w:szCs w:val="22"/>
                <w:lang w:val="en-GB"/>
              </w:rPr>
              <w:t>Chief of Executive Director’s Office, UNITAR</w:t>
            </w:r>
            <w:r w:rsidR="001A1F42">
              <w:rPr>
                <w:rFonts w:asciiTheme="minorHAnsi" w:eastAsia="Calibri" w:hAnsiTheme="minorHAnsi" w:cstheme="minorBidi"/>
                <w:sz w:val="22"/>
                <w:szCs w:val="22"/>
                <w:lang w:val="en-GB"/>
              </w:rPr>
              <w:t>; as well as representatives from</w:t>
            </w:r>
            <w:r w:rsidR="001A1F42" w:rsidRPr="4DEA42C1" w:rsidDel="007E74A4">
              <w:rPr>
                <w:rFonts w:asciiTheme="minorHAnsi" w:eastAsia="Calibri" w:hAnsiTheme="minorHAnsi" w:cstheme="minorBidi"/>
                <w:sz w:val="22"/>
                <w:szCs w:val="22"/>
                <w:lang w:val="en-GB"/>
              </w:rPr>
              <w:t xml:space="preserve"> </w:t>
            </w:r>
            <w:r w:rsidR="000B3211">
              <w:rPr>
                <w:rFonts w:asciiTheme="minorHAnsi" w:eastAsia="Calibri" w:hAnsiTheme="minorHAnsi" w:cstheme="minorBidi"/>
                <w:sz w:val="22"/>
                <w:szCs w:val="22"/>
                <w:lang w:val="en-GB"/>
              </w:rPr>
              <w:t>the</w:t>
            </w:r>
            <w:r w:rsidRPr="4DEA42C1">
              <w:rPr>
                <w:rFonts w:asciiTheme="minorHAnsi" w:eastAsia="Calibri" w:hAnsiTheme="minorHAnsi" w:cstheme="minorBidi"/>
                <w:sz w:val="22"/>
                <w:szCs w:val="22"/>
                <w:lang w:val="en-GB"/>
              </w:rPr>
              <w:t xml:space="preserve"> Coalition for Digital Environmental Sustainability (CODES), German Environment Agency; </w:t>
            </w:r>
            <w:r w:rsidR="001A1F42">
              <w:rPr>
                <w:rFonts w:asciiTheme="minorHAnsi" w:eastAsia="Calibri" w:hAnsiTheme="minorHAnsi" w:cstheme="minorBidi"/>
                <w:sz w:val="22"/>
                <w:szCs w:val="22"/>
                <w:lang w:val="en-GB"/>
              </w:rPr>
              <w:t>the</w:t>
            </w:r>
            <w:r w:rsidRPr="4DEA42C1">
              <w:rPr>
                <w:rFonts w:asciiTheme="minorHAnsi" w:eastAsia="Calibri" w:hAnsiTheme="minorHAnsi" w:cstheme="minorBidi"/>
                <w:sz w:val="22"/>
                <w:szCs w:val="22"/>
                <w:lang w:val="en-GB"/>
              </w:rPr>
              <w:t xml:space="preserve"> Chatham House; Indigenous Peoples Right Energy Partnership (REP), Malaysia; </w:t>
            </w:r>
            <w:r w:rsidR="00A06465">
              <w:rPr>
                <w:rFonts w:asciiTheme="minorHAnsi" w:eastAsia="Calibri" w:hAnsiTheme="minorHAnsi" w:cstheme="minorBidi"/>
                <w:sz w:val="22"/>
                <w:szCs w:val="22"/>
                <w:lang w:val="en-GB"/>
              </w:rPr>
              <w:t xml:space="preserve">the </w:t>
            </w:r>
            <w:r w:rsidR="00A06465" w:rsidRPr="4DEA42C1">
              <w:rPr>
                <w:rFonts w:asciiTheme="minorHAnsi" w:eastAsia="Calibri" w:hAnsiTheme="minorHAnsi" w:cstheme="minorBidi"/>
                <w:sz w:val="22"/>
                <w:szCs w:val="22"/>
                <w:lang w:val="en-GB"/>
              </w:rPr>
              <w:t>Circular Innovation Lab</w:t>
            </w:r>
            <w:r w:rsidR="00A06465">
              <w:rPr>
                <w:rFonts w:asciiTheme="minorHAnsi" w:eastAsia="Calibri" w:hAnsiTheme="minorHAnsi" w:cstheme="minorBidi"/>
                <w:sz w:val="22"/>
                <w:szCs w:val="22"/>
                <w:lang w:val="en-GB"/>
              </w:rPr>
              <w:t xml:space="preserve">; </w:t>
            </w:r>
            <w:r w:rsidR="00A06465" w:rsidRPr="4DEA42C1" w:rsidDel="00FB09B1">
              <w:rPr>
                <w:rFonts w:asciiTheme="minorHAnsi" w:eastAsia="Calibri" w:hAnsiTheme="minorHAnsi" w:cstheme="minorBidi"/>
                <w:sz w:val="22"/>
                <w:szCs w:val="22"/>
                <w:lang w:val="en-GB"/>
              </w:rPr>
              <w:t xml:space="preserve"> </w:t>
            </w:r>
            <w:r w:rsidRPr="4DEA42C1">
              <w:rPr>
                <w:rFonts w:asciiTheme="minorHAnsi" w:eastAsia="Calibri" w:hAnsiTheme="minorHAnsi" w:cstheme="minorBidi"/>
                <w:sz w:val="22"/>
                <w:szCs w:val="22"/>
                <w:lang w:val="en-GB"/>
              </w:rPr>
              <w:t xml:space="preserve">Sustainability in the Digital Age; </w:t>
            </w:r>
            <w:r w:rsidR="00827EDA">
              <w:rPr>
                <w:rFonts w:asciiTheme="minorHAnsi" w:eastAsia="Calibri" w:hAnsiTheme="minorHAnsi" w:cstheme="minorBidi"/>
                <w:sz w:val="22"/>
                <w:szCs w:val="22"/>
                <w:lang w:val="en-GB"/>
              </w:rPr>
              <w:t>and youth leaders (</w:t>
            </w:r>
            <w:proofErr w:type="spellStart"/>
            <w:r w:rsidRPr="4DEA42C1">
              <w:rPr>
                <w:rFonts w:asciiTheme="minorHAnsi" w:eastAsia="Calibri" w:hAnsiTheme="minorHAnsi" w:cstheme="minorBidi"/>
                <w:sz w:val="22"/>
                <w:szCs w:val="22"/>
                <w:lang w:val="en-GB"/>
              </w:rPr>
              <w:t>Wastezon</w:t>
            </w:r>
            <w:proofErr w:type="spellEnd"/>
            <w:r w:rsidRPr="4DEA42C1">
              <w:rPr>
                <w:rFonts w:asciiTheme="minorHAnsi" w:eastAsia="Calibri" w:hAnsiTheme="minorHAnsi" w:cstheme="minorBidi"/>
                <w:sz w:val="22"/>
                <w:szCs w:val="22"/>
                <w:lang w:val="en-GB"/>
              </w:rPr>
              <w:t xml:space="preserve">, </w:t>
            </w:r>
            <w:proofErr w:type="spellStart"/>
            <w:r w:rsidRPr="4DEA42C1">
              <w:rPr>
                <w:rFonts w:asciiTheme="minorHAnsi" w:eastAsia="Calibri" w:hAnsiTheme="minorHAnsi" w:cstheme="minorBidi"/>
                <w:sz w:val="22"/>
                <w:szCs w:val="22"/>
                <w:lang w:val="en-GB"/>
              </w:rPr>
              <w:t>Greenpreneur</w:t>
            </w:r>
            <w:proofErr w:type="spellEnd"/>
            <w:r w:rsidR="00827EDA">
              <w:rPr>
                <w:rFonts w:asciiTheme="minorHAnsi" w:eastAsia="Calibri" w:hAnsiTheme="minorHAnsi" w:cstheme="minorBidi"/>
                <w:sz w:val="22"/>
                <w:szCs w:val="22"/>
                <w:lang w:val="en-GB"/>
              </w:rPr>
              <w:t>)</w:t>
            </w:r>
            <w:r w:rsidRPr="4DEA42C1">
              <w:rPr>
                <w:rFonts w:asciiTheme="minorHAnsi" w:eastAsia="Calibri" w:hAnsiTheme="minorHAnsi" w:cstheme="minorBidi"/>
                <w:sz w:val="22"/>
                <w:szCs w:val="22"/>
                <w:lang w:val="en-GB"/>
              </w:rPr>
              <w:t>.</w:t>
            </w:r>
          </w:p>
          <w:p w14:paraId="46524DDA" w14:textId="2B4F063C" w:rsidR="00C53EF3" w:rsidRPr="0071206E" w:rsidRDefault="00C53EF3" w:rsidP="001763D2">
            <w:pPr>
              <w:pStyle w:val="Heading3"/>
              <w:rPr>
                <w:rFonts w:asciiTheme="minorHAnsi" w:eastAsiaTheme="minorEastAsia" w:hAnsiTheme="minorHAnsi" w:cstheme="minorHAnsi"/>
                <w:b w:val="0"/>
                <w:bCs w:val="0"/>
                <w:sz w:val="22"/>
                <w:szCs w:val="22"/>
                <w:lang w:val="en-US"/>
              </w:rPr>
            </w:pPr>
            <w:r w:rsidRPr="0071206E">
              <w:rPr>
                <w:rFonts w:asciiTheme="minorHAnsi" w:eastAsiaTheme="minorEastAsia" w:hAnsiTheme="minorHAnsi" w:cstheme="minorHAnsi"/>
                <w:color w:val="1F4D78" w:themeColor="accent1" w:themeShade="7F"/>
                <w:sz w:val="22"/>
                <w:szCs w:val="22"/>
                <w:lang w:val="en-US" w:eastAsia="ko-KR"/>
              </w:rPr>
              <w:t>World Circular Economy Forum (WCEF)</w:t>
            </w:r>
          </w:p>
          <w:p w14:paraId="23E93F38" w14:textId="16955F5B" w:rsidR="00F16E68" w:rsidRPr="0071206E" w:rsidRDefault="00F16E68" w:rsidP="00916DFB">
            <w:pPr>
              <w:pStyle w:val="Default"/>
              <w:jc w:val="both"/>
              <w:rPr>
                <w:rFonts w:asciiTheme="minorHAnsi" w:eastAsia="Times New Roman" w:hAnsiTheme="minorHAnsi" w:cstheme="minorHAnsi"/>
                <w:color w:val="auto"/>
                <w:sz w:val="22"/>
                <w:szCs w:val="22"/>
                <w:lang w:val="en-US"/>
              </w:rPr>
            </w:pPr>
            <w:r w:rsidRPr="0071206E">
              <w:rPr>
                <w:rFonts w:asciiTheme="minorHAnsi" w:eastAsia="Times New Roman" w:hAnsiTheme="minorHAnsi" w:cstheme="minorHAnsi"/>
                <w:color w:val="auto"/>
                <w:sz w:val="22"/>
                <w:szCs w:val="22"/>
                <w:lang w:val="en-US"/>
              </w:rPr>
              <w:t>UNDP</w:t>
            </w:r>
            <w:r w:rsidR="008A19EA" w:rsidRPr="0071206E">
              <w:rPr>
                <w:rFonts w:asciiTheme="minorHAnsi" w:eastAsia="Times New Roman" w:hAnsiTheme="minorHAnsi" w:cstheme="minorHAnsi"/>
                <w:color w:val="auto"/>
                <w:sz w:val="22"/>
                <w:szCs w:val="22"/>
                <w:lang w:val="en-US"/>
              </w:rPr>
              <w:t xml:space="preserve"> participated in</w:t>
            </w:r>
            <w:r w:rsidRPr="0071206E">
              <w:rPr>
                <w:rFonts w:asciiTheme="minorHAnsi" w:eastAsia="Times New Roman" w:hAnsiTheme="minorHAnsi" w:cstheme="minorHAnsi"/>
                <w:color w:val="auto"/>
                <w:sz w:val="22"/>
                <w:szCs w:val="22"/>
                <w:lang w:val="en-US"/>
              </w:rPr>
              <w:t xml:space="preserve"> </w:t>
            </w:r>
            <w:r w:rsidR="008A19EA" w:rsidRPr="0071206E">
              <w:rPr>
                <w:rFonts w:asciiTheme="minorHAnsi" w:eastAsia="Times New Roman" w:hAnsiTheme="minorHAnsi" w:cstheme="minorHAnsi"/>
                <w:color w:val="auto"/>
                <w:sz w:val="22"/>
                <w:szCs w:val="22"/>
                <w:lang w:val="en-US"/>
              </w:rPr>
              <w:t xml:space="preserve">the </w:t>
            </w:r>
            <w:r w:rsidRPr="0071206E">
              <w:rPr>
                <w:rFonts w:asciiTheme="minorHAnsi" w:eastAsia="Times New Roman" w:hAnsiTheme="minorHAnsi" w:cstheme="minorHAnsi"/>
                <w:color w:val="auto"/>
                <w:sz w:val="22"/>
                <w:szCs w:val="22"/>
                <w:lang w:val="en-US"/>
              </w:rPr>
              <w:t xml:space="preserve">World Circular Economy Forum (WCEF) </w:t>
            </w:r>
            <w:r w:rsidR="008A19EA" w:rsidRPr="0071206E">
              <w:rPr>
                <w:rFonts w:asciiTheme="minorHAnsi" w:eastAsia="Times New Roman" w:hAnsiTheme="minorHAnsi" w:cstheme="minorHAnsi"/>
                <w:color w:val="auto"/>
                <w:sz w:val="22"/>
                <w:szCs w:val="22"/>
                <w:lang w:val="en-US"/>
              </w:rPr>
              <w:t xml:space="preserve">2024 </w:t>
            </w:r>
            <w:r w:rsidRPr="0071206E">
              <w:rPr>
                <w:rFonts w:asciiTheme="minorHAnsi" w:eastAsia="Times New Roman" w:hAnsiTheme="minorHAnsi" w:cstheme="minorHAnsi"/>
                <w:color w:val="auto"/>
                <w:sz w:val="22"/>
                <w:szCs w:val="22"/>
                <w:lang w:val="en-US"/>
              </w:rPr>
              <w:t xml:space="preserve">and </w:t>
            </w:r>
            <w:r w:rsidR="00777348" w:rsidRPr="0071206E">
              <w:rPr>
                <w:rFonts w:asciiTheme="minorHAnsi" w:eastAsia="Times New Roman" w:hAnsiTheme="minorHAnsi" w:cstheme="minorHAnsi"/>
                <w:color w:val="auto"/>
                <w:sz w:val="22"/>
                <w:szCs w:val="22"/>
                <w:lang w:val="en-US"/>
              </w:rPr>
              <w:t>associated</w:t>
            </w:r>
            <w:r w:rsidRPr="0071206E">
              <w:rPr>
                <w:rFonts w:asciiTheme="minorHAnsi" w:eastAsia="Times New Roman" w:hAnsiTheme="minorHAnsi" w:cstheme="minorHAnsi"/>
                <w:color w:val="auto"/>
                <w:sz w:val="22"/>
                <w:szCs w:val="22"/>
                <w:lang w:val="en-US"/>
              </w:rPr>
              <w:t xml:space="preserve"> events in Brussels </w:t>
            </w:r>
            <w:r w:rsidR="00F02CF1" w:rsidRPr="0071206E">
              <w:rPr>
                <w:rFonts w:asciiTheme="minorHAnsi" w:eastAsia="Times New Roman" w:hAnsiTheme="minorHAnsi" w:cstheme="minorHAnsi"/>
                <w:color w:val="auto"/>
                <w:sz w:val="22"/>
                <w:szCs w:val="22"/>
                <w:lang w:val="en-US"/>
              </w:rPr>
              <w:t>to promote and strengthen</w:t>
            </w:r>
            <w:r w:rsidRPr="0071206E">
              <w:rPr>
                <w:rFonts w:asciiTheme="minorHAnsi" w:eastAsia="Times New Roman" w:hAnsiTheme="minorHAnsi" w:cstheme="minorHAnsi"/>
                <w:color w:val="auto"/>
                <w:sz w:val="22"/>
                <w:szCs w:val="22"/>
                <w:lang w:val="en-US"/>
              </w:rPr>
              <w:t xml:space="preserve"> partnerships with technical and funding partners</w:t>
            </w:r>
            <w:r w:rsidR="0049716D" w:rsidRPr="0071206E">
              <w:rPr>
                <w:rFonts w:asciiTheme="minorHAnsi" w:eastAsia="Times New Roman" w:hAnsiTheme="minorHAnsi" w:cstheme="minorHAnsi"/>
                <w:color w:val="auto"/>
                <w:sz w:val="22"/>
                <w:szCs w:val="22"/>
                <w:lang w:val="en-US"/>
              </w:rPr>
              <w:t>, including</w:t>
            </w:r>
            <w:r w:rsidRPr="0071206E">
              <w:rPr>
                <w:rFonts w:asciiTheme="minorHAnsi" w:eastAsia="Times New Roman" w:hAnsiTheme="minorHAnsi" w:cstheme="minorHAnsi"/>
                <w:color w:val="auto"/>
                <w:sz w:val="22"/>
                <w:szCs w:val="22"/>
                <w:lang w:val="en-US"/>
              </w:rPr>
              <w:t xml:space="preserve"> </w:t>
            </w:r>
            <w:proofErr w:type="spellStart"/>
            <w:r w:rsidRPr="0071206E">
              <w:rPr>
                <w:rFonts w:asciiTheme="minorHAnsi" w:eastAsia="Times New Roman" w:hAnsiTheme="minorHAnsi" w:cstheme="minorHAnsi"/>
                <w:color w:val="auto"/>
                <w:sz w:val="22"/>
                <w:szCs w:val="22"/>
                <w:lang w:val="en-US"/>
              </w:rPr>
              <w:t>Sitra</w:t>
            </w:r>
            <w:proofErr w:type="spellEnd"/>
            <w:r w:rsidRPr="0071206E">
              <w:rPr>
                <w:rFonts w:asciiTheme="minorHAnsi" w:eastAsia="Times New Roman" w:hAnsiTheme="minorHAnsi" w:cstheme="minorHAnsi"/>
                <w:color w:val="auto"/>
                <w:sz w:val="22"/>
                <w:szCs w:val="22"/>
                <w:lang w:val="en-US"/>
              </w:rPr>
              <w:t xml:space="preserve"> (the Finnish Innovation Fund), EC, Germany, </w:t>
            </w:r>
            <w:r w:rsidR="00916DFB" w:rsidRPr="0071206E">
              <w:rPr>
                <w:rFonts w:asciiTheme="minorHAnsi" w:eastAsia="Times New Roman" w:hAnsiTheme="minorHAnsi" w:cstheme="minorHAnsi"/>
                <w:color w:val="auto"/>
                <w:sz w:val="22"/>
                <w:szCs w:val="22"/>
                <w:lang w:val="en-US"/>
              </w:rPr>
              <w:t>t</w:t>
            </w:r>
            <w:r w:rsidRPr="0071206E">
              <w:rPr>
                <w:rFonts w:asciiTheme="minorHAnsi" w:eastAsia="Times New Roman" w:hAnsiTheme="minorHAnsi" w:cstheme="minorHAnsi"/>
                <w:color w:val="auto"/>
                <w:sz w:val="22"/>
                <w:szCs w:val="22"/>
                <w:lang w:val="en-US"/>
              </w:rPr>
              <w:t xml:space="preserve">he Netherlands, and </w:t>
            </w:r>
            <w:r w:rsidR="00774404">
              <w:rPr>
                <w:rFonts w:asciiTheme="minorHAnsi" w:eastAsia="Times New Roman" w:hAnsiTheme="minorHAnsi" w:cstheme="minorHAnsi"/>
                <w:color w:val="auto"/>
                <w:sz w:val="22"/>
                <w:szCs w:val="22"/>
                <w:lang w:val="en-US"/>
              </w:rPr>
              <w:t>other</w:t>
            </w:r>
            <w:r w:rsidRPr="0071206E">
              <w:rPr>
                <w:rFonts w:asciiTheme="minorHAnsi" w:eastAsia="Times New Roman" w:hAnsiTheme="minorHAnsi" w:cstheme="minorHAnsi"/>
                <w:color w:val="auto"/>
                <w:sz w:val="22"/>
                <w:szCs w:val="22"/>
                <w:lang w:val="en-US"/>
              </w:rPr>
              <w:t xml:space="preserve"> UN agencies. </w:t>
            </w:r>
            <w:r w:rsidR="007E3814" w:rsidRPr="0071206E">
              <w:rPr>
                <w:rFonts w:asciiTheme="minorHAnsi" w:eastAsia="Times New Roman" w:hAnsiTheme="minorHAnsi" w:cstheme="minorHAnsi"/>
                <w:color w:val="auto"/>
                <w:sz w:val="22"/>
                <w:szCs w:val="22"/>
                <w:lang w:val="en-US"/>
              </w:rPr>
              <w:t xml:space="preserve">The </w:t>
            </w:r>
            <w:r w:rsidR="00F575BC" w:rsidRPr="0071206E">
              <w:rPr>
                <w:rFonts w:asciiTheme="minorHAnsi" w:eastAsia="Times New Roman" w:hAnsiTheme="minorHAnsi" w:cstheme="minorHAnsi"/>
                <w:color w:val="auto"/>
                <w:sz w:val="22"/>
                <w:szCs w:val="22"/>
                <w:lang w:val="en-US"/>
              </w:rPr>
              <w:t xml:space="preserve">PAGE </w:t>
            </w:r>
            <w:r w:rsidR="007E3814" w:rsidRPr="0071206E">
              <w:rPr>
                <w:rFonts w:asciiTheme="minorHAnsi" w:eastAsia="Times New Roman" w:hAnsiTheme="minorHAnsi" w:cstheme="minorHAnsi"/>
                <w:color w:val="auto"/>
                <w:sz w:val="22"/>
                <w:szCs w:val="22"/>
                <w:lang w:val="en-US"/>
              </w:rPr>
              <w:t xml:space="preserve">meeting </w:t>
            </w:r>
            <w:r w:rsidR="00F575BC" w:rsidRPr="0071206E">
              <w:rPr>
                <w:rFonts w:asciiTheme="minorHAnsi" w:eastAsia="Times New Roman" w:hAnsiTheme="minorHAnsi" w:cstheme="minorHAnsi"/>
                <w:color w:val="auto"/>
                <w:sz w:val="22"/>
                <w:szCs w:val="22"/>
                <w:lang w:val="en-US"/>
              </w:rPr>
              <w:t xml:space="preserve">with funding partners </w:t>
            </w:r>
            <w:r w:rsidR="009A0A7A" w:rsidRPr="0071206E">
              <w:rPr>
                <w:rFonts w:asciiTheme="minorHAnsi" w:eastAsia="Times New Roman" w:hAnsiTheme="minorHAnsi" w:cstheme="minorHAnsi"/>
                <w:color w:val="auto"/>
                <w:sz w:val="22"/>
                <w:szCs w:val="22"/>
                <w:lang w:val="en-US"/>
              </w:rPr>
              <w:t xml:space="preserve">at WCEF2024 </w:t>
            </w:r>
            <w:r w:rsidR="007E3814" w:rsidRPr="0071206E">
              <w:rPr>
                <w:rFonts w:asciiTheme="minorHAnsi" w:eastAsia="Times New Roman" w:hAnsiTheme="minorHAnsi" w:cstheme="minorHAnsi"/>
                <w:color w:val="auto"/>
                <w:sz w:val="22"/>
                <w:szCs w:val="22"/>
                <w:lang w:val="en-US"/>
              </w:rPr>
              <w:t>was used to launch the PAGE 2030 Strategy and to discuss and validate the PAGE global and country workplans for 2024 including on CE.</w:t>
            </w:r>
            <w:r w:rsidR="00916DFB" w:rsidRPr="0071206E">
              <w:rPr>
                <w:rFonts w:asciiTheme="minorHAnsi" w:eastAsia="Times New Roman" w:hAnsiTheme="minorHAnsi" w:cstheme="minorHAnsi"/>
                <w:color w:val="auto"/>
                <w:sz w:val="22"/>
                <w:szCs w:val="22"/>
                <w:lang w:val="en-US"/>
              </w:rPr>
              <w:t xml:space="preserve"> </w:t>
            </w:r>
            <w:r w:rsidR="00B45263" w:rsidRPr="0071206E">
              <w:rPr>
                <w:rFonts w:asciiTheme="minorHAnsi" w:eastAsia="Times New Roman" w:hAnsiTheme="minorHAnsi" w:cstheme="minorHAnsi"/>
                <w:color w:val="auto"/>
                <w:sz w:val="22"/>
                <w:szCs w:val="22"/>
                <w:lang w:val="en-US"/>
              </w:rPr>
              <w:t xml:space="preserve">WCEF2024 gathered circular economy professionals from 168 countries. </w:t>
            </w:r>
            <w:r w:rsidR="00774404">
              <w:rPr>
                <w:rFonts w:asciiTheme="minorHAnsi" w:eastAsia="Times New Roman" w:hAnsiTheme="minorHAnsi" w:cstheme="minorHAnsi"/>
                <w:color w:val="auto"/>
                <w:sz w:val="22"/>
                <w:szCs w:val="22"/>
                <w:lang w:val="en-US"/>
              </w:rPr>
              <w:t>Complementing PAGE activities</w:t>
            </w:r>
            <w:r w:rsidR="0049716D" w:rsidRPr="0071206E">
              <w:rPr>
                <w:rFonts w:asciiTheme="minorHAnsi" w:eastAsia="Times New Roman" w:hAnsiTheme="minorHAnsi" w:cstheme="minorHAnsi"/>
                <w:color w:val="auto"/>
                <w:sz w:val="22"/>
                <w:szCs w:val="22"/>
                <w:lang w:val="en-US"/>
              </w:rPr>
              <w:t xml:space="preserve">, UNDP </w:t>
            </w:r>
            <w:r w:rsidRPr="0071206E">
              <w:rPr>
                <w:rFonts w:asciiTheme="minorHAnsi" w:eastAsia="Times New Roman" w:hAnsiTheme="minorHAnsi" w:cstheme="minorHAnsi"/>
                <w:color w:val="auto"/>
                <w:sz w:val="22"/>
                <w:szCs w:val="22"/>
                <w:lang w:val="en-US"/>
              </w:rPr>
              <w:t xml:space="preserve">organized </w:t>
            </w:r>
            <w:r w:rsidR="0049716D" w:rsidRPr="0071206E">
              <w:rPr>
                <w:rFonts w:asciiTheme="minorHAnsi" w:eastAsia="Times New Roman" w:hAnsiTheme="minorHAnsi" w:cstheme="minorHAnsi"/>
                <w:color w:val="auto"/>
                <w:sz w:val="22"/>
                <w:szCs w:val="22"/>
                <w:lang w:val="en-US"/>
              </w:rPr>
              <w:t>two</w:t>
            </w:r>
            <w:r w:rsidRPr="0071206E">
              <w:rPr>
                <w:rFonts w:asciiTheme="minorHAnsi" w:eastAsia="Times New Roman" w:hAnsiTheme="minorHAnsi" w:cstheme="minorHAnsi"/>
                <w:color w:val="auto"/>
                <w:sz w:val="22"/>
                <w:szCs w:val="22"/>
                <w:lang w:val="en-US"/>
              </w:rPr>
              <w:t xml:space="preserve"> accelerator session</w:t>
            </w:r>
            <w:r w:rsidR="0049716D" w:rsidRPr="0071206E">
              <w:rPr>
                <w:rFonts w:asciiTheme="minorHAnsi" w:eastAsia="Times New Roman" w:hAnsiTheme="minorHAnsi" w:cstheme="minorHAnsi"/>
                <w:color w:val="auto"/>
                <w:sz w:val="22"/>
                <w:szCs w:val="22"/>
                <w:lang w:val="en-US"/>
              </w:rPr>
              <w:t>s</w:t>
            </w:r>
            <w:r w:rsidR="00BD7A07" w:rsidRPr="0071206E">
              <w:rPr>
                <w:rFonts w:asciiTheme="minorHAnsi" w:eastAsia="Times New Roman" w:hAnsiTheme="minorHAnsi" w:cstheme="minorHAnsi"/>
                <w:color w:val="auto"/>
                <w:sz w:val="22"/>
                <w:szCs w:val="22"/>
                <w:lang w:val="en-US"/>
              </w:rPr>
              <w:t>, including a session</w:t>
            </w:r>
            <w:r w:rsidR="0023638D" w:rsidRPr="0071206E">
              <w:rPr>
                <w:rFonts w:asciiTheme="minorHAnsi" w:eastAsia="Times New Roman" w:hAnsiTheme="minorHAnsi" w:cstheme="minorHAnsi"/>
                <w:color w:val="auto"/>
                <w:sz w:val="22"/>
                <w:szCs w:val="22"/>
                <w:lang w:val="en-US"/>
              </w:rPr>
              <w:t xml:space="preserve"> on circularity and NDCs. </w:t>
            </w:r>
            <w:r w:rsidRPr="0071206E">
              <w:rPr>
                <w:rFonts w:asciiTheme="minorHAnsi" w:eastAsia="Times New Roman" w:hAnsiTheme="minorHAnsi" w:cstheme="minorHAnsi"/>
                <w:color w:val="auto"/>
                <w:sz w:val="22"/>
                <w:szCs w:val="22"/>
                <w:lang w:val="en-US"/>
              </w:rPr>
              <w:t>WCEF</w:t>
            </w:r>
            <w:r w:rsidR="00D32D4C" w:rsidRPr="0071206E">
              <w:rPr>
                <w:rFonts w:asciiTheme="minorHAnsi" w:eastAsia="Times New Roman" w:hAnsiTheme="minorHAnsi" w:cstheme="minorHAnsi"/>
                <w:color w:val="auto"/>
                <w:sz w:val="22"/>
                <w:szCs w:val="22"/>
                <w:lang w:val="en-US"/>
              </w:rPr>
              <w:t>2024</w:t>
            </w:r>
            <w:r w:rsidRPr="0071206E">
              <w:rPr>
                <w:rFonts w:asciiTheme="minorHAnsi" w:eastAsia="Times New Roman" w:hAnsiTheme="minorHAnsi" w:cstheme="minorHAnsi"/>
                <w:color w:val="auto"/>
                <w:sz w:val="22"/>
                <w:szCs w:val="22"/>
                <w:lang w:val="en-US"/>
              </w:rPr>
              <w:t xml:space="preserve"> and its affiliated events and workshops confirmed the growing demand for CE approaches in both developed and developing countries and the role that </w:t>
            </w:r>
            <w:r w:rsidR="00BD7A07" w:rsidRPr="0071206E">
              <w:rPr>
                <w:rFonts w:asciiTheme="minorHAnsi" w:eastAsia="Times New Roman" w:hAnsiTheme="minorHAnsi" w:cstheme="minorHAnsi"/>
                <w:color w:val="auto"/>
                <w:sz w:val="22"/>
                <w:szCs w:val="22"/>
                <w:lang w:val="en-US"/>
              </w:rPr>
              <w:t>P</w:t>
            </w:r>
            <w:r w:rsidR="00503558" w:rsidRPr="0071206E">
              <w:rPr>
                <w:rFonts w:asciiTheme="minorHAnsi" w:eastAsia="Times New Roman" w:hAnsiTheme="minorHAnsi" w:cstheme="minorHAnsi"/>
                <w:color w:val="auto"/>
                <w:sz w:val="22"/>
                <w:szCs w:val="22"/>
                <w:lang w:val="en-US"/>
              </w:rPr>
              <w:t>AGE</w:t>
            </w:r>
            <w:r w:rsidRPr="0071206E">
              <w:rPr>
                <w:rFonts w:asciiTheme="minorHAnsi" w:eastAsia="Times New Roman" w:hAnsiTheme="minorHAnsi" w:cstheme="minorHAnsi"/>
                <w:color w:val="auto"/>
                <w:sz w:val="22"/>
                <w:szCs w:val="22"/>
                <w:lang w:val="en-US"/>
              </w:rPr>
              <w:t xml:space="preserve"> </w:t>
            </w:r>
            <w:r w:rsidR="00503558" w:rsidRPr="0071206E">
              <w:rPr>
                <w:rFonts w:asciiTheme="minorHAnsi" w:eastAsia="Times New Roman" w:hAnsiTheme="minorHAnsi" w:cstheme="minorHAnsi"/>
                <w:color w:val="auto"/>
                <w:sz w:val="22"/>
                <w:szCs w:val="22"/>
                <w:lang w:val="en-US"/>
              </w:rPr>
              <w:t>could play to address</w:t>
            </w:r>
            <w:r w:rsidRPr="0071206E">
              <w:rPr>
                <w:rFonts w:asciiTheme="minorHAnsi" w:eastAsia="Times New Roman" w:hAnsiTheme="minorHAnsi" w:cstheme="minorHAnsi"/>
                <w:color w:val="auto"/>
                <w:sz w:val="22"/>
                <w:szCs w:val="22"/>
                <w:lang w:val="en-US"/>
              </w:rPr>
              <w:t xml:space="preserve"> this demand.</w:t>
            </w:r>
            <w:r w:rsidR="00503558" w:rsidRPr="0071206E">
              <w:rPr>
                <w:rFonts w:asciiTheme="minorHAnsi" w:eastAsia="Times New Roman" w:hAnsiTheme="minorHAnsi" w:cstheme="minorHAnsi"/>
                <w:color w:val="auto"/>
                <w:sz w:val="22"/>
                <w:szCs w:val="22"/>
                <w:lang w:val="en-US"/>
              </w:rPr>
              <w:t xml:space="preserve"> The f</w:t>
            </w:r>
            <w:r w:rsidRPr="0071206E">
              <w:rPr>
                <w:rFonts w:asciiTheme="minorHAnsi" w:eastAsia="Times New Roman" w:hAnsiTheme="minorHAnsi" w:cstheme="minorHAnsi"/>
                <w:color w:val="auto"/>
                <w:sz w:val="22"/>
                <w:szCs w:val="22"/>
                <w:lang w:val="en-US"/>
              </w:rPr>
              <w:t>ocus throughout the WCEF and affiliated sessions was on CE finance, food systems, sustainable development, and critical raw materials/minerals (CRM), peace and security risks, and the role of CRMs in the just and circular energy transition.</w:t>
            </w:r>
          </w:p>
          <w:p w14:paraId="462AFA5F" w14:textId="77777777" w:rsidR="00F16E68" w:rsidRPr="0071206E" w:rsidRDefault="00F16E68" w:rsidP="00F16E68">
            <w:pPr>
              <w:pStyle w:val="Default"/>
              <w:jc w:val="both"/>
              <w:rPr>
                <w:rFonts w:asciiTheme="minorHAnsi" w:eastAsia="Times New Roman" w:hAnsiTheme="minorHAnsi" w:cstheme="minorHAnsi"/>
                <w:color w:val="auto"/>
                <w:sz w:val="22"/>
                <w:szCs w:val="22"/>
                <w:lang w:val="en-US"/>
              </w:rPr>
            </w:pPr>
          </w:p>
          <w:p w14:paraId="3AA5649F" w14:textId="07A9126E" w:rsidR="000402B6" w:rsidRPr="0071206E" w:rsidRDefault="000402B6" w:rsidP="00F16E68">
            <w:pPr>
              <w:pStyle w:val="Default"/>
              <w:jc w:val="both"/>
              <w:rPr>
                <w:rFonts w:asciiTheme="minorHAnsi" w:eastAsia="Times New Roman" w:hAnsiTheme="minorHAnsi" w:cstheme="minorHAnsi"/>
                <w:color w:val="auto"/>
                <w:sz w:val="22"/>
                <w:szCs w:val="22"/>
                <w:lang w:val="en-US"/>
              </w:rPr>
            </w:pPr>
            <w:r w:rsidRPr="0071206E">
              <w:rPr>
                <w:rFonts w:asciiTheme="minorHAnsi" w:eastAsia="Times New Roman" w:hAnsiTheme="minorHAnsi" w:cstheme="minorHAnsi"/>
                <w:color w:val="auto"/>
                <w:sz w:val="22"/>
                <w:szCs w:val="22"/>
                <w:lang w:val="en-US"/>
              </w:rPr>
              <w:t xml:space="preserve">Later in 2024, UNDP </w:t>
            </w:r>
            <w:r w:rsidR="00CD0FAC" w:rsidRPr="0071206E">
              <w:rPr>
                <w:rFonts w:asciiTheme="minorHAnsi" w:eastAsia="Times New Roman" w:hAnsiTheme="minorHAnsi" w:cstheme="minorHAnsi"/>
                <w:color w:val="auto"/>
                <w:sz w:val="22"/>
                <w:szCs w:val="22"/>
                <w:lang w:val="en-US"/>
              </w:rPr>
              <w:t>joined preparations for the WCE</w:t>
            </w:r>
            <w:r w:rsidR="0043722A" w:rsidRPr="0071206E">
              <w:rPr>
                <w:rFonts w:asciiTheme="minorHAnsi" w:eastAsia="Times New Roman" w:hAnsiTheme="minorHAnsi" w:cstheme="minorHAnsi"/>
                <w:color w:val="auto"/>
                <w:sz w:val="22"/>
                <w:szCs w:val="22"/>
                <w:lang w:val="en-US"/>
              </w:rPr>
              <w:t>F</w:t>
            </w:r>
            <w:r w:rsidR="00CD0FAC" w:rsidRPr="0071206E">
              <w:rPr>
                <w:rFonts w:asciiTheme="minorHAnsi" w:eastAsia="Times New Roman" w:hAnsiTheme="minorHAnsi" w:cstheme="minorHAnsi"/>
                <w:color w:val="auto"/>
                <w:sz w:val="22"/>
                <w:szCs w:val="22"/>
                <w:lang w:val="en-US"/>
              </w:rPr>
              <w:t xml:space="preserve">2025 in Brazil. </w:t>
            </w:r>
            <w:r w:rsidR="00774404">
              <w:rPr>
                <w:rFonts w:asciiTheme="minorHAnsi" w:eastAsia="Times New Roman" w:hAnsiTheme="minorHAnsi" w:cstheme="minorHAnsi"/>
                <w:color w:val="auto"/>
                <w:sz w:val="22"/>
                <w:szCs w:val="22"/>
                <w:lang w:val="en-US"/>
              </w:rPr>
              <w:t xml:space="preserve">Beyond PAGE activities planned in the upcoming WCEF, </w:t>
            </w:r>
            <w:r w:rsidR="00CD0FAC" w:rsidRPr="0071206E">
              <w:rPr>
                <w:rFonts w:asciiTheme="minorHAnsi" w:eastAsia="Times New Roman" w:hAnsiTheme="minorHAnsi" w:cstheme="minorHAnsi"/>
                <w:color w:val="auto"/>
                <w:sz w:val="22"/>
                <w:szCs w:val="22"/>
                <w:lang w:val="en-US"/>
              </w:rPr>
              <w:t xml:space="preserve">UNDP is leading </w:t>
            </w:r>
            <w:r w:rsidR="00774404">
              <w:rPr>
                <w:rFonts w:asciiTheme="minorHAnsi" w:eastAsia="Times New Roman" w:hAnsiTheme="minorHAnsi" w:cstheme="minorHAnsi"/>
                <w:color w:val="auto"/>
                <w:sz w:val="22"/>
                <w:szCs w:val="22"/>
                <w:lang w:val="en-US"/>
              </w:rPr>
              <w:t xml:space="preserve">the </w:t>
            </w:r>
            <w:r w:rsidR="00CD0FAC" w:rsidRPr="0071206E">
              <w:rPr>
                <w:rFonts w:asciiTheme="minorHAnsi" w:eastAsia="Times New Roman" w:hAnsiTheme="minorHAnsi" w:cstheme="minorHAnsi"/>
                <w:color w:val="auto"/>
                <w:sz w:val="22"/>
                <w:szCs w:val="22"/>
                <w:lang w:val="en-US"/>
              </w:rPr>
              <w:t>organization of the Parallel Session on Transition Materials</w:t>
            </w:r>
            <w:r w:rsidR="00DC4D1B" w:rsidRPr="0071206E">
              <w:rPr>
                <w:rFonts w:asciiTheme="minorHAnsi" w:eastAsia="Times New Roman" w:hAnsiTheme="minorHAnsi" w:cstheme="minorHAnsi"/>
                <w:color w:val="auto"/>
                <w:sz w:val="22"/>
                <w:szCs w:val="22"/>
                <w:lang w:val="en-US"/>
              </w:rPr>
              <w:t xml:space="preserve">, co-leading the Plenary Session on circularity for nature and climate, and organizing several accelerator sessions. </w:t>
            </w:r>
            <w:r w:rsidR="00266594" w:rsidRPr="0071206E">
              <w:rPr>
                <w:rFonts w:asciiTheme="minorHAnsi" w:eastAsia="Times New Roman" w:hAnsiTheme="minorHAnsi" w:cstheme="minorHAnsi"/>
                <w:color w:val="auto"/>
                <w:sz w:val="22"/>
                <w:szCs w:val="22"/>
                <w:lang w:val="en-US"/>
              </w:rPr>
              <w:t xml:space="preserve">Concepts for these events were prepared in the reporting period and will be further elaborated in 2025. </w:t>
            </w:r>
            <w:r w:rsidR="008E0210" w:rsidRPr="0071206E">
              <w:rPr>
                <w:rFonts w:asciiTheme="minorHAnsi" w:eastAsia="Times New Roman" w:hAnsiTheme="minorHAnsi" w:cstheme="minorHAnsi"/>
                <w:color w:val="auto"/>
                <w:sz w:val="22"/>
                <w:szCs w:val="22"/>
                <w:lang w:val="en-US"/>
              </w:rPr>
              <w:t xml:space="preserve">In doing so, UNDP has been promoting </w:t>
            </w:r>
            <w:r w:rsidR="00774404">
              <w:rPr>
                <w:rFonts w:asciiTheme="minorHAnsi" w:eastAsia="Times New Roman" w:hAnsiTheme="minorHAnsi" w:cstheme="minorHAnsi"/>
                <w:color w:val="auto"/>
                <w:sz w:val="22"/>
                <w:szCs w:val="22"/>
                <w:lang w:val="en-US"/>
              </w:rPr>
              <w:t xml:space="preserve">the </w:t>
            </w:r>
            <w:r w:rsidR="008E0210" w:rsidRPr="0071206E">
              <w:rPr>
                <w:rFonts w:asciiTheme="minorHAnsi" w:eastAsia="Times New Roman" w:hAnsiTheme="minorHAnsi" w:cstheme="minorHAnsi"/>
                <w:color w:val="auto"/>
                <w:sz w:val="22"/>
                <w:szCs w:val="22"/>
                <w:lang w:val="en-US"/>
              </w:rPr>
              <w:t xml:space="preserve">PAGE </w:t>
            </w:r>
            <w:r w:rsidR="00C04F38" w:rsidRPr="0071206E">
              <w:rPr>
                <w:rFonts w:asciiTheme="minorHAnsi" w:eastAsia="Times New Roman" w:hAnsiTheme="minorHAnsi" w:cstheme="minorHAnsi"/>
                <w:color w:val="auto"/>
                <w:sz w:val="22"/>
                <w:szCs w:val="22"/>
                <w:lang w:val="en-US"/>
              </w:rPr>
              <w:t>vision, strategy</w:t>
            </w:r>
            <w:r w:rsidR="00CD0FAC" w:rsidRPr="0071206E">
              <w:rPr>
                <w:rFonts w:asciiTheme="minorHAnsi" w:eastAsia="Times New Roman" w:hAnsiTheme="minorHAnsi" w:cstheme="minorHAnsi"/>
                <w:color w:val="auto"/>
                <w:sz w:val="22"/>
                <w:szCs w:val="22"/>
                <w:lang w:val="en-US"/>
              </w:rPr>
              <w:t xml:space="preserve"> </w:t>
            </w:r>
            <w:r w:rsidR="00C04F38" w:rsidRPr="0071206E">
              <w:rPr>
                <w:rFonts w:asciiTheme="minorHAnsi" w:eastAsia="Times New Roman" w:hAnsiTheme="minorHAnsi" w:cstheme="minorHAnsi"/>
                <w:color w:val="auto"/>
                <w:sz w:val="22"/>
                <w:szCs w:val="22"/>
                <w:lang w:val="en-US"/>
              </w:rPr>
              <w:t xml:space="preserve">and key messages </w:t>
            </w:r>
            <w:r w:rsidR="00C04F38" w:rsidRPr="0071206E">
              <w:rPr>
                <w:rFonts w:asciiTheme="minorHAnsi" w:eastAsia="Times New Roman" w:hAnsiTheme="minorHAnsi" w:cstheme="minorHAnsi"/>
                <w:color w:val="auto"/>
                <w:sz w:val="22"/>
                <w:szCs w:val="22"/>
                <w:lang w:val="en-US"/>
              </w:rPr>
              <w:lastRenderedPageBreak/>
              <w:t>with the external partners</w:t>
            </w:r>
            <w:r w:rsidR="00B16CA9" w:rsidRPr="0071206E">
              <w:rPr>
                <w:rFonts w:asciiTheme="minorHAnsi" w:eastAsia="Times New Roman" w:hAnsiTheme="minorHAnsi" w:cstheme="minorHAnsi"/>
                <w:color w:val="auto"/>
                <w:sz w:val="22"/>
                <w:szCs w:val="22"/>
                <w:lang w:val="en-US"/>
              </w:rPr>
              <w:t xml:space="preserve"> and will further </w:t>
            </w:r>
            <w:r w:rsidR="000363A0" w:rsidRPr="0071206E">
              <w:rPr>
                <w:rFonts w:asciiTheme="minorHAnsi" w:eastAsia="Times New Roman" w:hAnsiTheme="minorHAnsi" w:cstheme="minorHAnsi"/>
                <w:color w:val="auto"/>
                <w:sz w:val="22"/>
                <w:szCs w:val="22"/>
                <w:lang w:val="en-US"/>
              </w:rPr>
              <w:t>contribut</w:t>
            </w:r>
            <w:r w:rsidR="00B16CA9" w:rsidRPr="0071206E">
              <w:rPr>
                <w:rFonts w:asciiTheme="minorHAnsi" w:eastAsia="Times New Roman" w:hAnsiTheme="minorHAnsi" w:cstheme="minorHAnsi"/>
                <w:color w:val="auto"/>
                <w:sz w:val="22"/>
                <w:szCs w:val="22"/>
                <w:lang w:val="en-US"/>
              </w:rPr>
              <w:t>e</w:t>
            </w:r>
            <w:r w:rsidR="000363A0" w:rsidRPr="0071206E">
              <w:rPr>
                <w:rFonts w:asciiTheme="minorHAnsi" w:eastAsia="Times New Roman" w:hAnsiTheme="minorHAnsi" w:cstheme="minorHAnsi"/>
                <w:color w:val="auto"/>
                <w:sz w:val="22"/>
                <w:szCs w:val="22"/>
                <w:lang w:val="en-US"/>
              </w:rPr>
              <w:t xml:space="preserve"> to the design of other PAGE side</w:t>
            </w:r>
            <w:r w:rsidR="00171684" w:rsidRPr="0071206E">
              <w:rPr>
                <w:rFonts w:asciiTheme="minorHAnsi" w:eastAsia="Times New Roman" w:hAnsiTheme="minorHAnsi" w:cstheme="minorHAnsi"/>
                <w:color w:val="auto"/>
                <w:sz w:val="22"/>
                <w:szCs w:val="22"/>
                <w:lang w:val="en-US"/>
              </w:rPr>
              <w:t>-</w:t>
            </w:r>
            <w:r w:rsidR="000363A0" w:rsidRPr="0071206E">
              <w:rPr>
                <w:rFonts w:asciiTheme="minorHAnsi" w:eastAsia="Times New Roman" w:hAnsiTheme="minorHAnsi" w:cstheme="minorHAnsi"/>
                <w:color w:val="auto"/>
                <w:sz w:val="22"/>
                <w:szCs w:val="22"/>
                <w:lang w:val="en-US"/>
              </w:rPr>
              <w:t>events</w:t>
            </w:r>
            <w:r w:rsidR="00171684" w:rsidRPr="0071206E">
              <w:rPr>
                <w:rFonts w:asciiTheme="minorHAnsi" w:eastAsia="Times New Roman" w:hAnsiTheme="minorHAnsi" w:cstheme="minorHAnsi"/>
                <w:color w:val="auto"/>
                <w:sz w:val="22"/>
                <w:szCs w:val="22"/>
                <w:lang w:val="en-US"/>
              </w:rPr>
              <w:t xml:space="preserve"> at the Forum.</w:t>
            </w:r>
          </w:p>
          <w:p w14:paraId="06DF9DC9" w14:textId="77777777" w:rsidR="006E4E15" w:rsidRDefault="006E4E15" w:rsidP="006E4E15">
            <w:pPr>
              <w:rPr>
                <w:b/>
                <w:bCs/>
                <w:lang w:val="en-GB"/>
              </w:rPr>
            </w:pPr>
          </w:p>
          <w:p w14:paraId="1D94CFB7" w14:textId="3E0953C6" w:rsidR="006E4E15" w:rsidRDefault="006E4E15" w:rsidP="006E4E15">
            <w:pPr>
              <w:rPr>
                <w:rFonts w:asciiTheme="minorHAnsi" w:eastAsiaTheme="minorEastAsia" w:hAnsiTheme="minorHAnsi" w:cstheme="minorHAnsi"/>
                <w:b/>
                <w:bCs/>
                <w:color w:val="1F4D78" w:themeColor="accent1" w:themeShade="7F"/>
                <w:sz w:val="22"/>
                <w:szCs w:val="22"/>
              </w:rPr>
            </w:pPr>
            <w:r w:rsidRPr="004750AE">
              <w:rPr>
                <w:rFonts w:asciiTheme="minorHAnsi" w:eastAsiaTheme="minorEastAsia" w:hAnsiTheme="minorHAnsi" w:cstheme="minorHAnsi"/>
                <w:b/>
                <w:bCs/>
                <w:color w:val="1F4D78" w:themeColor="accent1" w:themeShade="7F"/>
                <w:sz w:val="22"/>
                <w:szCs w:val="22"/>
              </w:rPr>
              <w:t>PAGE at COP 16</w:t>
            </w:r>
          </w:p>
          <w:p w14:paraId="36119CA2" w14:textId="77777777" w:rsidR="00D26CA5" w:rsidRPr="004750AE" w:rsidRDefault="00D26CA5" w:rsidP="006E4E15">
            <w:pPr>
              <w:rPr>
                <w:rFonts w:asciiTheme="minorHAnsi" w:eastAsiaTheme="minorEastAsia" w:hAnsiTheme="minorHAnsi" w:cstheme="minorHAnsi"/>
                <w:b/>
                <w:bCs/>
                <w:color w:val="1F4D78" w:themeColor="accent1" w:themeShade="7F"/>
                <w:sz w:val="22"/>
                <w:szCs w:val="22"/>
              </w:rPr>
            </w:pPr>
          </w:p>
          <w:p w14:paraId="70F159FF" w14:textId="7C34C951" w:rsidR="006E4E15" w:rsidRDefault="006E4E15" w:rsidP="006E4E15">
            <w:pPr>
              <w:rPr>
                <w:rFonts w:asciiTheme="minorHAnsi" w:hAnsiTheme="minorHAnsi" w:cstheme="minorHAnsi"/>
                <w:sz w:val="22"/>
                <w:szCs w:val="22"/>
                <w:lang w:val="en-GB"/>
              </w:rPr>
            </w:pPr>
            <w:r w:rsidRPr="004750AE">
              <w:rPr>
                <w:rFonts w:asciiTheme="minorHAnsi" w:hAnsiTheme="minorHAnsi" w:cstheme="minorHAnsi"/>
                <w:sz w:val="22"/>
                <w:szCs w:val="22"/>
                <w:lang w:val="en-GB"/>
              </w:rPr>
              <w:t xml:space="preserve">The 2024 </w:t>
            </w:r>
            <w:r w:rsidR="002B0E99">
              <w:rPr>
                <w:rFonts w:asciiTheme="minorHAnsi" w:hAnsiTheme="minorHAnsi" w:cstheme="minorHAnsi"/>
                <w:sz w:val="22"/>
                <w:szCs w:val="22"/>
                <w:lang w:val="en-GB"/>
              </w:rPr>
              <w:t>UN</w:t>
            </w:r>
            <w:r w:rsidRPr="004750AE">
              <w:rPr>
                <w:rFonts w:asciiTheme="minorHAnsi" w:hAnsiTheme="minorHAnsi" w:cstheme="minorHAnsi"/>
                <w:sz w:val="22"/>
                <w:szCs w:val="22"/>
                <w:lang w:val="en-GB"/>
              </w:rPr>
              <w:t xml:space="preserve"> Biodiversity Conference of the Parties (COP16) to the UN Convention on Biological Diversity was held from 21 October to 1 November 1 in Cali, Colombia. PAGE, through UNDP, contributed to a series of events exploring nature-positive solutions. Aligned with the PAGE updated Strategy 2021-2030, these events leveraged the experiences of PAGE countries and partners to promote South-South dialogue among stakeholders by sharing insights and innovations on topics such as green finance, natural capital valuation and accounting, the circular economy, and comprehensive approaches involving both government and society. </w:t>
            </w:r>
          </w:p>
          <w:p w14:paraId="101C33F2" w14:textId="7E5A5DBC" w:rsidR="00774404" w:rsidRDefault="00774404" w:rsidP="006E4E15">
            <w:pPr>
              <w:rPr>
                <w:rFonts w:asciiTheme="minorHAnsi" w:hAnsiTheme="minorHAnsi" w:cstheme="minorHAnsi"/>
                <w:sz w:val="22"/>
                <w:szCs w:val="22"/>
                <w:lang w:val="en-GB"/>
              </w:rPr>
            </w:pPr>
            <w:hyperlink r:id="rId13" w:history="1">
              <w:r w:rsidRPr="00774404">
                <w:rPr>
                  <w:rStyle w:val="Hyperlink"/>
                  <w:rFonts w:asciiTheme="minorHAnsi" w:hAnsiTheme="minorHAnsi" w:cstheme="minorHAnsi"/>
                  <w:sz w:val="22"/>
                  <w:szCs w:val="22"/>
                </w:rPr>
                <w:t>Summary: PAGE at COP16 - UN PAGE - Partnership for Action on Green Economy</w:t>
              </w:r>
            </w:hyperlink>
          </w:p>
          <w:p w14:paraId="695334FD" w14:textId="77777777" w:rsidR="00257D2C" w:rsidRDefault="00257D2C" w:rsidP="006E4E15">
            <w:pPr>
              <w:rPr>
                <w:rFonts w:asciiTheme="minorHAnsi" w:hAnsiTheme="minorHAnsi" w:cstheme="minorHAnsi"/>
                <w:sz w:val="22"/>
                <w:szCs w:val="22"/>
                <w:lang w:val="en-GB"/>
              </w:rPr>
            </w:pPr>
          </w:p>
          <w:p w14:paraId="7301CE60" w14:textId="166F8950" w:rsidR="00257D2C" w:rsidRPr="00257D2C" w:rsidRDefault="00257D2C" w:rsidP="006E4E15">
            <w:pPr>
              <w:rPr>
                <w:rFonts w:asciiTheme="minorHAnsi" w:eastAsiaTheme="minorEastAsia" w:hAnsiTheme="minorHAnsi" w:cstheme="minorHAnsi"/>
                <w:b/>
                <w:bCs/>
                <w:color w:val="1F4D78" w:themeColor="accent1" w:themeShade="7F"/>
                <w:sz w:val="22"/>
                <w:szCs w:val="22"/>
              </w:rPr>
            </w:pPr>
            <w:r w:rsidRPr="00257D2C">
              <w:rPr>
                <w:rFonts w:asciiTheme="minorHAnsi" w:eastAsiaTheme="minorEastAsia" w:hAnsiTheme="minorHAnsi" w:cstheme="minorHAnsi"/>
                <w:b/>
                <w:bCs/>
                <w:color w:val="1F4D78" w:themeColor="accent1" w:themeShade="7F"/>
                <w:sz w:val="22"/>
                <w:szCs w:val="22"/>
              </w:rPr>
              <w:t>Capacity building, knowledge management and training</w:t>
            </w:r>
          </w:p>
          <w:p w14:paraId="24A53B16" w14:textId="45E4EB01" w:rsidR="002C0276" w:rsidRPr="00AB7611" w:rsidRDefault="00171684" w:rsidP="008215B3">
            <w:pPr>
              <w:pStyle w:val="Heading3"/>
              <w:rPr>
                <w:rFonts w:asciiTheme="minorHAnsi" w:hAnsiTheme="minorHAnsi" w:cstheme="minorHAnsi"/>
                <w:i/>
                <w:sz w:val="22"/>
                <w:szCs w:val="22"/>
                <w:lang w:val="en-US"/>
              </w:rPr>
            </w:pPr>
            <w:r w:rsidRPr="001659DE">
              <w:rPr>
                <w:rFonts w:asciiTheme="minorHAnsi" w:hAnsiTheme="minorHAnsi" w:cstheme="minorHAnsi"/>
                <w:b w:val="0"/>
                <w:bCs w:val="0"/>
                <w:sz w:val="22"/>
                <w:szCs w:val="22"/>
                <w:lang w:val="en-GB" w:eastAsia="ko-KR"/>
              </w:rPr>
              <w:t>W</w:t>
            </w:r>
            <w:r w:rsidR="00E25619" w:rsidRPr="001659DE">
              <w:rPr>
                <w:rFonts w:asciiTheme="minorHAnsi" w:hAnsiTheme="minorHAnsi" w:cstheme="minorHAnsi"/>
                <w:b w:val="0"/>
                <w:bCs w:val="0"/>
                <w:sz w:val="22"/>
                <w:szCs w:val="22"/>
                <w:lang w:val="en-GB" w:eastAsia="ko-KR"/>
              </w:rPr>
              <w:t xml:space="preserve">orking closely with PAGE colleagues, </w:t>
            </w:r>
            <w:r w:rsidR="009E1EC4" w:rsidRPr="001659DE">
              <w:rPr>
                <w:rFonts w:asciiTheme="minorHAnsi" w:hAnsiTheme="minorHAnsi" w:cstheme="minorHAnsi"/>
                <w:b w:val="0"/>
                <w:bCs w:val="0"/>
                <w:sz w:val="22"/>
                <w:szCs w:val="22"/>
                <w:lang w:val="en-GB" w:eastAsia="ko-KR"/>
              </w:rPr>
              <w:t>UNDP has been contributing to the design</w:t>
            </w:r>
            <w:r w:rsidR="00B519DC" w:rsidRPr="001659DE">
              <w:rPr>
                <w:rFonts w:asciiTheme="minorHAnsi" w:hAnsiTheme="minorHAnsi" w:cstheme="minorHAnsi"/>
                <w:b w:val="0"/>
                <w:bCs w:val="0"/>
                <w:sz w:val="22"/>
                <w:szCs w:val="22"/>
                <w:lang w:val="en-GB" w:eastAsia="ko-KR"/>
              </w:rPr>
              <w:t xml:space="preserve"> </w:t>
            </w:r>
            <w:r w:rsidR="00B03FB0" w:rsidRPr="001659DE">
              <w:rPr>
                <w:rFonts w:asciiTheme="minorHAnsi" w:hAnsiTheme="minorHAnsi" w:cstheme="minorHAnsi"/>
                <w:b w:val="0"/>
                <w:bCs w:val="0"/>
                <w:sz w:val="22"/>
                <w:szCs w:val="22"/>
                <w:lang w:val="en-GB" w:eastAsia="ko-KR"/>
              </w:rPr>
              <w:t xml:space="preserve">and delivery </w:t>
            </w:r>
            <w:r w:rsidR="00B519DC" w:rsidRPr="001659DE">
              <w:rPr>
                <w:rFonts w:asciiTheme="minorHAnsi" w:hAnsiTheme="minorHAnsi" w:cstheme="minorHAnsi"/>
                <w:b w:val="0"/>
                <w:bCs w:val="0"/>
                <w:sz w:val="22"/>
                <w:szCs w:val="22"/>
                <w:lang w:val="en-GB" w:eastAsia="ko-KR"/>
              </w:rPr>
              <w:t xml:space="preserve">of the </w:t>
            </w:r>
            <w:r w:rsidR="009A5B96" w:rsidRPr="001659DE">
              <w:rPr>
                <w:rFonts w:asciiTheme="minorHAnsi" w:hAnsiTheme="minorHAnsi" w:cstheme="minorHAnsi"/>
                <w:b w:val="0"/>
                <w:bCs w:val="0"/>
                <w:sz w:val="22"/>
                <w:szCs w:val="22"/>
                <w:lang w:val="en-GB" w:eastAsia="ko-KR"/>
              </w:rPr>
              <w:t xml:space="preserve">capacity building events </w:t>
            </w:r>
            <w:r w:rsidR="003E5D36">
              <w:rPr>
                <w:rFonts w:asciiTheme="minorHAnsi" w:hAnsiTheme="minorHAnsi" w:cstheme="minorHAnsi"/>
                <w:b w:val="0"/>
                <w:bCs w:val="0"/>
                <w:sz w:val="22"/>
                <w:szCs w:val="22"/>
                <w:lang w:val="en-GB" w:eastAsia="ko-KR"/>
              </w:rPr>
              <w:t xml:space="preserve">and </w:t>
            </w:r>
            <w:r w:rsidR="00295C06">
              <w:rPr>
                <w:rFonts w:asciiTheme="minorHAnsi" w:hAnsiTheme="minorHAnsi" w:cstheme="minorHAnsi"/>
                <w:b w:val="0"/>
                <w:bCs w:val="0"/>
                <w:sz w:val="22"/>
                <w:szCs w:val="22"/>
                <w:lang w:val="en-GB" w:eastAsia="ko-KR"/>
              </w:rPr>
              <w:t xml:space="preserve">thematic </w:t>
            </w:r>
            <w:r w:rsidR="003E5D36">
              <w:rPr>
                <w:rFonts w:asciiTheme="minorHAnsi" w:hAnsiTheme="minorHAnsi" w:cstheme="minorHAnsi"/>
                <w:b w:val="0"/>
                <w:bCs w:val="0"/>
                <w:sz w:val="22"/>
                <w:szCs w:val="22"/>
                <w:lang w:val="en-GB" w:eastAsia="ko-KR"/>
              </w:rPr>
              <w:t>dialogues</w:t>
            </w:r>
            <w:r w:rsidR="009A5B96" w:rsidRPr="001659DE">
              <w:rPr>
                <w:rFonts w:asciiTheme="minorHAnsi" w:hAnsiTheme="minorHAnsi" w:cstheme="minorHAnsi"/>
                <w:b w:val="0"/>
                <w:bCs w:val="0"/>
                <w:sz w:val="22"/>
                <w:szCs w:val="22"/>
                <w:lang w:val="en-GB" w:eastAsia="ko-KR"/>
              </w:rPr>
              <w:t xml:space="preserve"> led </w:t>
            </w:r>
            <w:r w:rsidR="00D26CA5" w:rsidRPr="001659DE">
              <w:rPr>
                <w:rFonts w:asciiTheme="minorHAnsi" w:hAnsiTheme="minorHAnsi" w:cstheme="minorHAnsi"/>
                <w:b w:val="0"/>
                <w:bCs w:val="0"/>
                <w:sz w:val="22"/>
                <w:szCs w:val="22"/>
                <w:lang w:val="en-GB" w:eastAsia="ko-KR"/>
              </w:rPr>
              <w:t>UNIDO</w:t>
            </w:r>
            <w:r w:rsidR="00295C06">
              <w:rPr>
                <w:rFonts w:asciiTheme="minorHAnsi" w:hAnsiTheme="minorHAnsi" w:cstheme="minorHAnsi"/>
                <w:b w:val="0"/>
                <w:bCs w:val="0"/>
                <w:sz w:val="22"/>
                <w:szCs w:val="22"/>
                <w:lang w:val="en-GB" w:eastAsia="ko-KR"/>
              </w:rPr>
              <w:t xml:space="preserve"> and PAGE Secretariat</w:t>
            </w:r>
            <w:r w:rsidR="009A5B96" w:rsidRPr="001659DE">
              <w:rPr>
                <w:rFonts w:asciiTheme="minorHAnsi" w:hAnsiTheme="minorHAnsi" w:cstheme="minorHAnsi"/>
                <w:b w:val="0"/>
                <w:bCs w:val="0"/>
                <w:sz w:val="22"/>
                <w:szCs w:val="22"/>
                <w:lang w:val="en-GB" w:eastAsia="ko-KR"/>
              </w:rPr>
              <w:t xml:space="preserve">, including the </w:t>
            </w:r>
            <w:r w:rsidR="00823DDD" w:rsidRPr="001659DE">
              <w:rPr>
                <w:rFonts w:asciiTheme="minorHAnsi" w:hAnsiTheme="minorHAnsi" w:cstheme="minorHAnsi"/>
                <w:b w:val="0"/>
                <w:bCs w:val="0"/>
                <w:sz w:val="22"/>
                <w:szCs w:val="22"/>
                <w:lang w:val="en-GB" w:eastAsia="ko-KR"/>
              </w:rPr>
              <w:t>3rd PAGE Green Industry Summer School</w:t>
            </w:r>
            <w:r w:rsidR="001659DE" w:rsidRPr="001659DE">
              <w:rPr>
                <w:rFonts w:asciiTheme="minorHAnsi" w:hAnsiTheme="minorHAnsi" w:cstheme="minorHAnsi"/>
                <w:b w:val="0"/>
                <w:bCs w:val="0"/>
                <w:sz w:val="22"/>
                <w:szCs w:val="22"/>
                <w:lang w:val="en-GB" w:eastAsia="ko-KR"/>
              </w:rPr>
              <w:t xml:space="preserve"> </w:t>
            </w:r>
            <w:r w:rsidR="00823DDD" w:rsidRPr="001659DE">
              <w:rPr>
                <w:rFonts w:asciiTheme="minorHAnsi" w:hAnsiTheme="minorHAnsi" w:cstheme="minorHAnsi"/>
                <w:b w:val="0"/>
                <w:bCs w:val="0"/>
                <w:sz w:val="22"/>
                <w:szCs w:val="22"/>
                <w:lang w:val="en-GB" w:eastAsia="ko-KR"/>
              </w:rPr>
              <w:t>led by UNIDO</w:t>
            </w:r>
            <w:r w:rsidR="0043354F" w:rsidRPr="001659DE">
              <w:rPr>
                <w:rFonts w:asciiTheme="minorHAnsi" w:hAnsiTheme="minorHAnsi" w:cstheme="minorHAnsi"/>
                <w:b w:val="0"/>
                <w:bCs w:val="0"/>
                <w:sz w:val="22"/>
                <w:szCs w:val="22"/>
                <w:lang w:val="en-GB" w:eastAsia="ko-KR"/>
              </w:rPr>
              <w:t xml:space="preserve"> where UNDP presented on the </w:t>
            </w:r>
            <w:r w:rsidR="00F43FB2" w:rsidRPr="001659DE">
              <w:rPr>
                <w:rFonts w:asciiTheme="minorHAnsi" w:hAnsiTheme="minorHAnsi" w:cstheme="minorHAnsi"/>
                <w:b w:val="0"/>
                <w:bCs w:val="0"/>
                <w:sz w:val="22"/>
                <w:szCs w:val="22"/>
                <w:lang w:val="en-GB" w:eastAsia="ko-KR"/>
              </w:rPr>
              <w:t>mainstreaming circularity and sustainable industrial development in NDCs</w:t>
            </w:r>
            <w:r w:rsidR="008215B3" w:rsidRPr="001659DE">
              <w:rPr>
                <w:rFonts w:asciiTheme="minorHAnsi" w:hAnsiTheme="minorHAnsi" w:cstheme="minorHAnsi"/>
                <w:b w:val="0"/>
                <w:bCs w:val="0"/>
                <w:sz w:val="22"/>
                <w:szCs w:val="22"/>
                <w:lang w:val="en-GB" w:eastAsia="ko-KR"/>
              </w:rPr>
              <w:t>.</w:t>
            </w:r>
            <w:r w:rsidR="008215B3" w:rsidRPr="00AB7611">
              <w:rPr>
                <w:rFonts w:asciiTheme="minorHAnsi" w:hAnsiTheme="minorHAnsi" w:cstheme="minorHAnsi"/>
                <w:sz w:val="22"/>
                <w:szCs w:val="22"/>
                <w:lang w:val="en-US"/>
              </w:rPr>
              <w:t xml:space="preserve"> </w:t>
            </w:r>
            <w:r w:rsidR="00E25619" w:rsidRPr="00AB7611">
              <w:rPr>
                <w:rFonts w:asciiTheme="minorHAnsi" w:hAnsiTheme="minorHAnsi" w:cstheme="minorHAnsi"/>
                <w:sz w:val="22"/>
                <w:szCs w:val="22"/>
                <w:lang w:val="en-US"/>
              </w:rPr>
              <w:t xml:space="preserve"> </w:t>
            </w:r>
          </w:p>
        </w:tc>
      </w:tr>
      <w:tr w:rsidR="002C0276" w:rsidRPr="0071206E" w14:paraId="1F906FA2" w14:textId="77777777" w:rsidTr="4DEA42C1">
        <w:tc>
          <w:tcPr>
            <w:tcW w:w="2065" w:type="dxa"/>
          </w:tcPr>
          <w:p w14:paraId="1A62BD1E" w14:textId="08122BE6" w:rsidR="002C0276" w:rsidRPr="0071206E" w:rsidRDefault="69D0B4EE" w:rsidP="7A1375F1">
            <w:pPr>
              <w:jc w:val="left"/>
              <w:rPr>
                <w:rFonts w:asciiTheme="minorHAnsi" w:hAnsiTheme="minorHAnsi" w:cstheme="minorHAnsi"/>
                <w:i/>
                <w:iCs/>
                <w:sz w:val="22"/>
                <w:szCs w:val="22"/>
              </w:rPr>
            </w:pPr>
            <w:r w:rsidRPr="0071206E">
              <w:rPr>
                <w:rFonts w:asciiTheme="minorHAnsi" w:hAnsiTheme="minorHAnsi" w:cstheme="minorHAnsi"/>
                <w:b/>
                <w:bCs/>
                <w:i/>
                <w:iCs/>
                <w:sz w:val="22"/>
                <w:szCs w:val="22"/>
              </w:rPr>
              <w:lastRenderedPageBreak/>
              <w:t xml:space="preserve">Key </w:t>
            </w:r>
            <w:r w:rsidR="631FA3DD" w:rsidRPr="0071206E">
              <w:rPr>
                <w:rFonts w:asciiTheme="minorHAnsi" w:hAnsiTheme="minorHAnsi" w:cstheme="minorHAnsi"/>
                <w:b/>
                <w:bCs/>
                <w:i/>
                <w:iCs/>
                <w:sz w:val="22"/>
                <w:szCs w:val="22"/>
              </w:rPr>
              <w:t>a</w:t>
            </w:r>
            <w:r w:rsidRPr="0071206E">
              <w:rPr>
                <w:rFonts w:asciiTheme="minorHAnsi" w:hAnsiTheme="minorHAnsi" w:cstheme="minorHAnsi"/>
                <w:b/>
                <w:bCs/>
                <w:i/>
                <w:iCs/>
                <w:sz w:val="22"/>
                <w:szCs w:val="22"/>
              </w:rPr>
              <w:t xml:space="preserve">chievements </w:t>
            </w:r>
            <w:r w:rsidR="00EA6DB1" w:rsidRPr="0071206E">
              <w:rPr>
                <w:rFonts w:asciiTheme="minorHAnsi" w:hAnsiTheme="minorHAnsi" w:cstheme="minorHAnsi"/>
                <w:b/>
                <w:bCs/>
                <w:i/>
                <w:iCs/>
                <w:sz w:val="22"/>
                <w:szCs w:val="22"/>
              </w:rPr>
              <w:t>202</w:t>
            </w:r>
            <w:r w:rsidR="67F375D9" w:rsidRPr="0071206E">
              <w:rPr>
                <w:rFonts w:asciiTheme="minorHAnsi" w:hAnsiTheme="minorHAnsi" w:cstheme="minorHAnsi"/>
                <w:b/>
                <w:bCs/>
                <w:i/>
                <w:iCs/>
                <w:sz w:val="22"/>
                <w:szCs w:val="22"/>
              </w:rPr>
              <w:t>4</w:t>
            </w:r>
            <w:r w:rsidRPr="0071206E">
              <w:rPr>
                <w:rFonts w:asciiTheme="minorHAnsi" w:hAnsiTheme="minorHAnsi" w:cstheme="minorHAnsi"/>
                <w:i/>
                <w:iCs/>
                <w:sz w:val="22"/>
                <w:szCs w:val="22"/>
              </w:rPr>
              <w:t xml:space="preserve"> (Add. Support for Green Recovery)</w:t>
            </w:r>
          </w:p>
        </w:tc>
        <w:tc>
          <w:tcPr>
            <w:tcW w:w="7830" w:type="dxa"/>
            <w:vAlign w:val="center"/>
          </w:tcPr>
          <w:p w14:paraId="58FDE6E9" w14:textId="17ECDF23" w:rsidR="002C0276" w:rsidRPr="0071206E" w:rsidRDefault="00704277" w:rsidP="00E26B37">
            <w:pPr>
              <w:jc w:val="left"/>
              <w:rPr>
                <w:rFonts w:asciiTheme="minorHAnsi" w:hAnsiTheme="minorHAnsi" w:cstheme="minorHAnsi"/>
                <w:bCs/>
                <w:i/>
                <w:sz w:val="22"/>
                <w:szCs w:val="22"/>
              </w:rPr>
            </w:pPr>
            <w:r w:rsidRPr="0071206E">
              <w:rPr>
                <w:rFonts w:asciiTheme="minorHAnsi" w:hAnsiTheme="minorHAnsi" w:cstheme="minorHAnsi"/>
                <w:bCs/>
                <w:i/>
                <w:sz w:val="22"/>
                <w:szCs w:val="22"/>
              </w:rPr>
              <w:t>n/a</w:t>
            </w:r>
          </w:p>
        </w:tc>
      </w:tr>
    </w:tbl>
    <w:p w14:paraId="03175E6A" w14:textId="77777777" w:rsidR="002C0276" w:rsidRPr="0071206E" w:rsidRDefault="002C0276" w:rsidP="002C0276">
      <w:pPr>
        <w:jc w:val="center"/>
        <w:rPr>
          <w:rFonts w:asciiTheme="minorHAnsi" w:hAnsiTheme="minorHAnsi" w:cstheme="minorHAnsi"/>
          <w:b/>
          <w:bCs/>
          <w:i/>
          <w:iCs/>
          <w:sz w:val="22"/>
          <w:szCs w:val="22"/>
        </w:rPr>
      </w:pPr>
    </w:p>
    <w:tbl>
      <w:tblPr>
        <w:tblStyle w:val="TableGrid"/>
        <w:tblW w:w="0" w:type="auto"/>
        <w:tblLook w:val="04A0" w:firstRow="1" w:lastRow="0" w:firstColumn="1" w:lastColumn="0" w:noHBand="0" w:noVBand="1"/>
      </w:tblPr>
      <w:tblGrid>
        <w:gridCol w:w="2065"/>
        <w:gridCol w:w="7830"/>
      </w:tblGrid>
      <w:tr w:rsidR="002C0276" w:rsidRPr="0071206E" w14:paraId="363EE37A" w14:textId="77777777" w:rsidTr="4DEA42C1">
        <w:tc>
          <w:tcPr>
            <w:tcW w:w="9895" w:type="dxa"/>
            <w:gridSpan w:val="2"/>
          </w:tcPr>
          <w:p w14:paraId="328DC3B4" w14:textId="6FCF0028" w:rsidR="002C0276" w:rsidRPr="0071206E" w:rsidRDefault="002C0276" w:rsidP="002C0276">
            <w:pPr>
              <w:jc w:val="left"/>
              <w:rPr>
                <w:rFonts w:asciiTheme="minorHAnsi" w:hAnsiTheme="minorHAnsi" w:cstheme="minorHAnsi"/>
                <w:bCs/>
                <w:i/>
                <w:sz w:val="22"/>
                <w:szCs w:val="22"/>
              </w:rPr>
            </w:pPr>
            <w:r w:rsidRPr="0071206E">
              <w:rPr>
                <w:rFonts w:asciiTheme="minorHAnsi" w:hAnsiTheme="minorHAnsi" w:cstheme="minorHAnsi"/>
                <w:bCs/>
                <w:i/>
                <w:sz w:val="22"/>
                <w:szCs w:val="22"/>
              </w:rPr>
              <w:t xml:space="preserve">Outcome 4 - </w:t>
            </w:r>
            <w:r w:rsidR="00AE6BC7" w:rsidRPr="0071206E">
              <w:rPr>
                <w:rFonts w:asciiTheme="minorHAnsi" w:hAnsiTheme="minorHAnsi" w:cstheme="minorHAnsi"/>
                <w:bCs/>
                <w:i/>
                <w:sz w:val="22"/>
                <w:szCs w:val="22"/>
              </w:rPr>
              <w:t>National and regional stakeholders, including green economy champions, decision-makers, practitioners, and youth representatives, access and apply knowledge for advancing IGE.</w:t>
            </w:r>
          </w:p>
          <w:p w14:paraId="039996E8" w14:textId="77777777" w:rsidR="002C0276" w:rsidRPr="0071206E" w:rsidRDefault="002C0276" w:rsidP="002C0276">
            <w:pPr>
              <w:jc w:val="center"/>
              <w:rPr>
                <w:rFonts w:asciiTheme="minorHAnsi" w:hAnsiTheme="minorHAnsi" w:cstheme="minorHAnsi"/>
                <w:bCs/>
                <w:i/>
                <w:sz w:val="22"/>
                <w:szCs w:val="22"/>
              </w:rPr>
            </w:pPr>
          </w:p>
        </w:tc>
      </w:tr>
      <w:tr w:rsidR="002C0276" w:rsidRPr="0071206E" w14:paraId="1C842C70" w14:textId="77777777" w:rsidTr="4DEA42C1">
        <w:tc>
          <w:tcPr>
            <w:tcW w:w="2065" w:type="dxa"/>
          </w:tcPr>
          <w:p w14:paraId="25A984B5" w14:textId="28412747" w:rsidR="002C0276" w:rsidRPr="0071206E" w:rsidRDefault="69D0B4EE" w:rsidP="7A1375F1">
            <w:pPr>
              <w:jc w:val="left"/>
              <w:rPr>
                <w:rFonts w:asciiTheme="minorHAnsi" w:hAnsiTheme="minorHAnsi" w:cstheme="minorHAnsi"/>
                <w:b/>
                <w:bCs/>
                <w:i/>
                <w:iCs/>
                <w:sz w:val="22"/>
                <w:szCs w:val="22"/>
              </w:rPr>
            </w:pPr>
            <w:r w:rsidRPr="0071206E">
              <w:rPr>
                <w:rFonts w:asciiTheme="minorHAnsi" w:hAnsiTheme="minorHAnsi" w:cstheme="minorHAnsi"/>
                <w:b/>
                <w:bCs/>
                <w:i/>
                <w:iCs/>
                <w:sz w:val="22"/>
                <w:szCs w:val="22"/>
              </w:rPr>
              <w:t xml:space="preserve">Key achievements in </w:t>
            </w:r>
            <w:r w:rsidR="00EA6DB1" w:rsidRPr="0071206E">
              <w:rPr>
                <w:rFonts w:asciiTheme="minorHAnsi" w:hAnsiTheme="minorHAnsi" w:cstheme="minorHAnsi"/>
                <w:b/>
                <w:bCs/>
                <w:i/>
                <w:iCs/>
                <w:sz w:val="22"/>
                <w:szCs w:val="22"/>
              </w:rPr>
              <w:t>202</w:t>
            </w:r>
            <w:r w:rsidR="7781253D" w:rsidRPr="0071206E">
              <w:rPr>
                <w:rFonts w:asciiTheme="minorHAnsi" w:hAnsiTheme="minorHAnsi" w:cstheme="minorHAnsi"/>
                <w:b/>
                <w:bCs/>
                <w:i/>
                <w:iCs/>
                <w:sz w:val="22"/>
                <w:szCs w:val="22"/>
              </w:rPr>
              <w:t>4</w:t>
            </w:r>
          </w:p>
          <w:p w14:paraId="7354CEDF" w14:textId="77777777" w:rsidR="002C0276" w:rsidRPr="0071206E" w:rsidRDefault="002C0276" w:rsidP="002C0276">
            <w:pPr>
              <w:jc w:val="center"/>
              <w:rPr>
                <w:rFonts w:asciiTheme="minorHAnsi" w:hAnsiTheme="minorHAnsi" w:cstheme="minorHAnsi"/>
                <w:b/>
                <w:bCs/>
                <w:i/>
                <w:iCs/>
                <w:sz w:val="22"/>
                <w:szCs w:val="22"/>
              </w:rPr>
            </w:pPr>
          </w:p>
        </w:tc>
        <w:tc>
          <w:tcPr>
            <w:tcW w:w="7830" w:type="dxa"/>
            <w:vAlign w:val="center"/>
          </w:tcPr>
          <w:p w14:paraId="1692892A" w14:textId="77777777" w:rsidR="005A4A69" w:rsidRPr="0071206E" w:rsidRDefault="005A4A69" w:rsidP="005A4A69">
            <w:pPr>
              <w:pStyle w:val="Heading3"/>
              <w:rPr>
                <w:rFonts w:asciiTheme="minorHAnsi" w:hAnsiTheme="minorHAnsi" w:cstheme="minorHAnsi"/>
                <w:color w:val="44546A" w:themeColor="text2"/>
                <w:sz w:val="22"/>
                <w:szCs w:val="22"/>
                <w:lang w:val="en-US"/>
              </w:rPr>
            </w:pPr>
            <w:r w:rsidRPr="0071206E">
              <w:rPr>
                <w:rFonts w:asciiTheme="minorHAnsi" w:hAnsiTheme="minorHAnsi" w:cstheme="minorHAnsi"/>
                <w:color w:val="44546A" w:themeColor="text2"/>
                <w:sz w:val="22"/>
                <w:szCs w:val="22"/>
                <w:lang w:val="en-US"/>
              </w:rPr>
              <w:t>South-South and Triangular Cooperation (SSTC) on inclusive green economy</w:t>
            </w:r>
          </w:p>
          <w:p w14:paraId="76263520" w14:textId="77777777" w:rsidR="00165AD2"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The </w:t>
            </w:r>
            <w:r w:rsidRPr="0071206E">
              <w:rPr>
                <w:rFonts w:asciiTheme="minorHAnsi" w:hAnsiTheme="minorHAnsi" w:cstheme="minorHAnsi"/>
                <w:b/>
                <w:bCs/>
                <w:i/>
                <w:iCs/>
                <w:sz w:val="22"/>
                <w:szCs w:val="22"/>
              </w:rPr>
              <w:t>Central Asia and Mongolia South-South Workshop on Green Finance for a Just Sustainable Transition</w:t>
            </w:r>
            <w:r w:rsidRPr="0071206E">
              <w:rPr>
                <w:rFonts w:asciiTheme="minorHAnsi" w:hAnsiTheme="minorHAnsi" w:cstheme="minorHAnsi"/>
                <w:sz w:val="22"/>
                <w:szCs w:val="22"/>
              </w:rPr>
              <w:t xml:space="preserve"> was held from 2-5 September 2024 in Issyk-Kul, Kyrgyzstan. The event was </w:t>
            </w:r>
            <w:r w:rsidR="00B57172" w:rsidRPr="0071206E">
              <w:rPr>
                <w:rFonts w:asciiTheme="minorHAnsi" w:hAnsiTheme="minorHAnsi" w:cstheme="minorHAnsi"/>
                <w:sz w:val="22"/>
                <w:szCs w:val="22"/>
              </w:rPr>
              <w:t xml:space="preserve">organized by </w:t>
            </w:r>
            <w:r w:rsidRPr="0071206E">
              <w:rPr>
                <w:rFonts w:asciiTheme="minorHAnsi" w:hAnsiTheme="minorHAnsi" w:cstheme="minorHAnsi"/>
                <w:sz w:val="22"/>
                <w:szCs w:val="22"/>
              </w:rPr>
              <w:t xml:space="preserve">PAGE in collaboration with the Biodiversity Finance Initiative (BIOFIN). The event succeeded in strengthening regional and bilateral cooperation on green finance including identification of next steps for sustainable development, green and circular economy, and climate and biodiversity finance initiatives across the region. The workshop brought together 31 senior experts from Mongolia, Kazakhstan, Uzbekistan, and Kyrgyzstan. These experts represented Ministries of Economy, Commerce, Finance, Development, Climate Change, Ecology and Natural Resources, Environmental Protection, Forest, Agriculture, Emergency Situations, Cabinet of Ministers Secretariats and Finance Centers, State Development Banks, Entrepreneurship Development Funds, and Sustainable Finance Association. Representatives from UNDP and ILO provided technical expertise and facilitation throughout the event. </w:t>
            </w:r>
          </w:p>
          <w:p w14:paraId="18FA11EF" w14:textId="77777777" w:rsidR="00165AD2" w:rsidRPr="0071206E" w:rsidRDefault="00165AD2" w:rsidP="005F48DA">
            <w:pPr>
              <w:rPr>
                <w:rFonts w:asciiTheme="minorHAnsi" w:hAnsiTheme="minorHAnsi" w:cstheme="minorHAnsi"/>
                <w:sz w:val="22"/>
                <w:szCs w:val="22"/>
              </w:rPr>
            </w:pPr>
          </w:p>
          <w:p w14:paraId="1CA720F2" w14:textId="77777777" w:rsidR="00165AD2"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The workshop achieved the following objectives: </w:t>
            </w:r>
          </w:p>
          <w:p w14:paraId="1DE5D8DF" w14:textId="77777777" w:rsidR="00AF6430"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 strengthen regional and bilateral cooperation on green finance for a just transition; </w:t>
            </w:r>
          </w:p>
          <w:p w14:paraId="7CFC8577" w14:textId="77777777" w:rsidR="00AF6430"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 exchange insights and solutions on various inclusive green finance themes. </w:t>
            </w:r>
          </w:p>
          <w:p w14:paraId="52A3D63F" w14:textId="77777777" w:rsidR="00AF6430"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 identify next steps for advancing green finance in each participating country. </w:t>
            </w:r>
          </w:p>
          <w:p w14:paraId="4BF67A7A" w14:textId="77777777" w:rsidR="00634AFD"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lastRenderedPageBreak/>
              <w:t xml:space="preserve">• advance green and circular economy through PAGE/BIOFIN supported workplans. </w:t>
            </w:r>
          </w:p>
          <w:p w14:paraId="369E9F39" w14:textId="77777777" w:rsidR="00634AFD" w:rsidRPr="0071206E" w:rsidRDefault="00634AFD" w:rsidP="005F48DA">
            <w:pPr>
              <w:rPr>
                <w:rFonts w:asciiTheme="minorHAnsi" w:hAnsiTheme="minorHAnsi" w:cstheme="minorHAnsi"/>
                <w:sz w:val="22"/>
                <w:szCs w:val="22"/>
              </w:rPr>
            </w:pPr>
          </w:p>
          <w:p w14:paraId="42771DE6" w14:textId="7A18596E" w:rsidR="00AF6430"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To deliver these objectives, the </w:t>
            </w:r>
            <w:r w:rsidR="00D905E6">
              <w:rPr>
                <w:rFonts w:asciiTheme="minorHAnsi" w:hAnsiTheme="minorHAnsi" w:cstheme="minorHAnsi"/>
                <w:sz w:val="22"/>
                <w:szCs w:val="22"/>
              </w:rPr>
              <w:t>w</w:t>
            </w:r>
            <w:r w:rsidRPr="0071206E">
              <w:rPr>
                <w:rFonts w:asciiTheme="minorHAnsi" w:hAnsiTheme="minorHAnsi" w:cstheme="minorHAnsi"/>
                <w:sz w:val="22"/>
                <w:szCs w:val="22"/>
              </w:rPr>
              <w:t xml:space="preserve">orkshop included presentations and moderated discussion on the following topics: </w:t>
            </w:r>
          </w:p>
          <w:p w14:paraId="43722FAD" w14:textId="77777777" w:rsidR="00AF6430"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 Country Overviews on Green and Circular Economy; </w:t>
            </w:r>
          </w:p>
          <w:p w14:paraId="0A6898B8" w14:textId="77777777" w:rsidR="00AF6430"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 Aligning subsidies with national sustainable development priorities; </w:t>
            </w:r>
          </w:p>
          <w:p w14:paraId="3F9E1FA7" w14:textId="77777777" w:rsidR="00AF6430"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 Developing and implementing green taxonomies for a green transition; </w:t>
            </w:r>
          </w:p>
          <w:p w14:paraId="6535260A" w14:textId="77777777" w:rsidR="00AF6430"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 Integrating social priorities into green finance solutions; </w:t>
            </w:r>
          </w:p>
          <w:p w14:paraId="2053C79C" w14:textId="77777777" w:rsidR="00AF6430"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 Designing and issuing green bonds, with a focus on inclusivity and effective monitoring; </w:t>
            </w:r>
          </w:p>
          <w:p w14:paraId="0BD44D0F" w14:textId="77777777" w:rsidR="00AF6430"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 Implementing green and social standards, safeguards, and disclosure mechanisms; </w:t>
            </w:r>
          </w:p>
          <w:p w14:paraId="22C2E15F" w14:textId="77777777" w:rsidR="00AF6430"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xml:space="preserve">• National environmental policies to achieve global commitments, including Nationally Determined Contributions and National Biodiversity Strategies and Action Plans; and </w:t>
            </w:r>
          </w:p>
          <w:p w14:paraId="7E430AFC" w14:textId="6A9CF729" w:rsidR="00461408" w:rsidRPr="0071206E" w:rsidRDefault="00461408" w:rsidP="005F48DA">
            <w:pPr>
              <w:rPr>
                <w:rFonts w:asciiTheme="minorHAnsi" w:hAnsiTheme="minorHAnsi" w:cstheme="minorHAnsi"/>
                <w:sz w:val="22"/>
                <w:szCs w:val="22"/>
              </w:rPr>
            </w:pPr>
            <w:r w:rsidRPr="0071206E">
              <w:rPr>
                <w:rFonts w:asciiTheme="minorHAnsi" w:hAnsiTheme="minorHAnsi" w:cstheme="minorHAnsi"/>
                <w:sz w:val="22"/>
                <w:szCs w:val="22"/>
              </w:rPr>
              <w:t>• Post-workshop planning and next steps for advancing green finance.</w:t>
            </w:r>
          </w:p>
          <w:p w14:paraId="0F9E1FDB" w14:textId="77777777" w:rsidR="00CD6F5D" w:rsidRPr="0071206E" w:rsidRDefault="00CD6F5D" w:rsidP="005F48DA">
            <w:pPr>
              <w:rPr>
                <w:rFonts w:asciiTheme="minorHAnsi" w:hAnsiTheme="minorHAnsi" w:cstheme="minorHAnsi"/>
                <w:sz w:val="22"/>
                <w:szCs w:val="22"/>
              </w:rPr>
            </w:pPr>
          </w:p>
          <w:p w14:paraId="22411697" w14:textId="4EAC1F40" w:rsidR="005F48DA" w:rsidRPr="0071206E" w:rsidRDefault="00CD6F5D" w:rsidP="005F48DA">
            <w:pPr>
              <w:rPr>
                <w:rFonts w:asciiTheme="minorHAnsi" w:hAnsiTheme="minorHAnsi" w:cstheme="minorHAnsi"/>
                <w:sz w:val="22"/>
                <w:szCs w:val="22"/>
              </w:rPr>
            </w:pPr>
            <w:r w:rsidRPr="0071206E">
              <w:rPr>
                <w:rFonts w:asciiTheme="minorHAnsi" w:hAnsiTheme="minorHAnsi" w:cstheme="minorHAnsi"/>
                <w:sz w:val="22"/>
                <w:szCs w:val="22"/>
              </w:rPr>
              <w:t>T</w:t>
            </w:r>
            <w:r w:rsidR="005F48DA" w:rsidRPr="0071206E">
              <w:rPr>
                <w:rFonts w:asciiTheme="minorHAnsi" w:hAnsiTheme="minorHAnsi" w:cstheme="minorHAnsi"/>
                <w:sz w:val="22"/>
                <w:szCs w:val="22"/>
              </w:rPr>
              <w:t xml:space="preserve">he event </w:t>
            </w:r>
            <w:r w:rsidR="005E4760" w:rsidRPr="0071206E">
              <w:rPr>
                <w:rFonts w:asciiTheme="minorHAnsi" w:hAnsiTheme="minorHAnsi" w:cstheme="minorHAnsi"/>
                <w:sz w:val="22"/>
                <w:szCs w:val="22"/>
              </w:rPr>
              <w:t xml:space="preserve">resulted in </w:t>
            </w:r>
            <w:r w:rsidR="005F48DA" w:rsidRPr="0071206E">
              <w:rPr>
                <w:rFonts w:asciiTheme="minorHAnsi" w:hAnsiTheme="minorHAnsi" w:cstheme="minorHAnsi"/>
                <w:sz w:val="22"/>
                <w:szCs w:val="22"/>
              </w:rPr>
              <w:t>strengthened partnerships and identified actionable steps for promoting green and circular economy initiatives, subsidy reforms, and climate and biodiversity finance. It also emphasized the importance of capacity building, stakeholder engagement, and green finance tools like bonds and concessional loans.</w:t>
            </w:r>
          </w:p>
          <w:p w14:paraId="102DAF84" w14:textId="77777777" w:rsidR="00CD6F5D" w:rsidRPr="0071206E" w:rsidRDefault="00CD6F5D" w:rsidP="005F48DA">
            <w:pPr>
              <w:rPr>
                <w:rFonts w:asciiTheme="minorHAnsi" w:hAnsiTheme="minorHAnsi" w:cstheme="minorHAnsi"/>
                <w:sz w:val="22"/>
                <w:szCs w:val="22"/>
              </w:rPr>
            </w:pPr>
          </w:p>
          <w:p w14:paraId="4B6DAB8D" w14:textId="77777777" w:rsidR="00E903AB" w:rsidRPr="0071206E" w:rsidRDefault="005F48DA" w:rsidP="005E4760">
            <w:pPr>
              <w:rPr>
                <w:rFonts w:asciiTheme="minorHAnsi" w:hAnsiTheme="minorHAnsi" w:cstheme="minorHAnsi"/>
                <w:sz w:val="22"/>
                <w:szCs w:val="22"/>
              </w:rPr>
            </w:pPr>
            <w:r w:rsidRPr="0071206E">
              <w:rPr>
                <w:rFonts w:asciiTheme="minorHAnsi" w:hAnsiTheme="minorHAnsi" w:cstheme="minorHAnsi"/>
                <w:sz w:val="22"/>
                <w:szCs w:val="22"/>
              </w:rPr>
              <w:t xml:space="preserve">The workshop highlighted critical themes such as dynamic green taxonomies, subsidy monitoring, and climate finance innovations, while fostering cross-border knowledge sharing to accelerate green transitions. Participants outlined short- and medium-term plans, including leveraging South-South cooperation and scaling green finance mechanisms regionally. These outcomes underscore PAGE’s pivotal role in catalyzing collaboration and advancing sustainable development in Kyrgyzstan and beyond. </w:t>
            </w:r>
          </w:p>
          <w:p w14:paraId="471AA873" w14:textId="77777777" w:rsidR="00E903AB" w:rsidRPr="0071206E" w:rsidRDefault="00E903AB" w:rsidP="005E4760">
            <w:pPr>
              <w:rPr>
                <w:rFonts w:asciiTheme="minorHAnsi" w:hAnsiTheme="minorHAnsi" w:cstheme="minorHAnsi"/>
                <w:bCs/>
                <w:i/>
                <w:sz w:val="22"/>
                <w:szCs w:val="22"/>
              </w:rPr>
            </w:pPr>
          </w:p>
          <w:p w14:paraId="1D712975" w14:textId="325A5DB2" w:rsidR="00DA2CD8" w:rsidRPr="0071206E" w:rsidRDefault="00E903AB" w:rsidP="00136DC9">
            <w:pPr>
              <w:rPr>
                <w:rFonts w:asciiTheme="minorHAnsi" w:hAnsiTheme="minorHAnsi" w:cstheme="minorHAnsi"/>
                <w:sz w:val="22"/>
                <w:szCs w:val="22"/>
              </w:rPr>
            </w:pPr>
            <w:r w:rsidRPr="0071206E">
              <w:rPr>
                <w:rFonts w:asciiTheme="minorHAnsi" w:hAnsiTheme="minorHAnsi" w:cstheme="minorHAnsi"/>
                <w:sz w:val="22"/>
                <w:szCs w:val="22"/>
              </w:rPr>
              <w:t xml:space="preserve">In addition to the </w:t>
            </w:r>
            <w:r w:rsidR="00136DC9" w:rsidRPr="0071206E">
              <w:rPr>
                <w:rFonts w:asciiTheme="minorHAnsi" w:hAnsiTheme="minorHAnsi" w:cstheme="minorHAnsi"/>
                <w:sz w:val="22"/>
                <w:szCs w:val="22"/>
              </w:rPr>
              <w:t xml:space="preserve">above </w:t>
            </w:r>
            <w:r w:rsidRPr="0071206E">
              <w:rPr>
                <w:rFonts w:asciiTheme="minorHAnsi" w:hAnsiTheme="minorHAnsi" w:cstheme="minorHAnsi"/>
                <w:sz w:val="22"/>
                <w:szCs w:val="22"/>
              </w:rPr>
              <w:t xml:space="preserve">SSTC exchange, UNDP </w:t>
            </w:r>
            <w:r w:rsidR="004A52EE" w:rsidRPr="0071206E">
              <w:rPr>
                <w:rFonts w:asciiTheme="minorHAnsi" w:hAnsiTheme="minorHAnsi" w:cstheme="minorHAnsi"/>
                <w:sz w:val="22"/>
                <w:szCs w:val="22"/>
              </w:rPr>
              <w:t xml:space="preserve">also </w:t>
            </w:r>
            <w:r w:rsidRPr="0071206E">
              <w:rPr>
                <w:rFonts w:asciiTheme="minorHAnsi" w:hAnsiTheme="minorHAnsi" w:cstheme="minorHAnsi"/>
                <w:sz w:val="22"/>
                <w:szCs w:val="22"/>
              </w:rPr>
              <w:t xml:space="preserve">supported the </w:t>
            </w:r>
            <w:r w:rsidR="00CF048F" w:rsidRPr="0071206E">
              <w:rPr>
                <w:rFonts w:asciiTheme="minorHAnsi" w:hAnsiTheme="minorHAnsi" w:cstheme="minorHAnsi"/>
                <w:b/>
                <w:bCs/>
                <w:i/>
                <w:iCs/>
                <w:sz w:val="22"/>
                <w:szCs w:val="22"/>
              </w:rPr>
              <w:t xml:space="preserve">COP29 cross-regional South-South </w:t>
            </w:r>
            <w:r w:rsidR="00447E65" w:rsidRPr="0071206E">
              <w:rPr>
                <w:rFonts w:asciiTheme="minorHAnsi" w:hAnsiTheme="minorHAnsi" w:cstheme="minorHAnsi"/>
                <w:b/>
                <w:bCs/>
                <w:i/>
                <w:iCs/>
                <w:sz w:val="22"/>
                <w:szCs w:val="22"/>
              </w:rPr>
              <w:t>p</w:t>
            </w:r>
            <w:r w:rsidR="00CF048F" w:rsidRPr="0071206E">
              <w:rPr>
                <w:rFonts w:asciiTheme="minorHAnsi" w:hAnsiTheme="minorHAnsi" w:cstheme="minorHAnsi"/>
                <w:b/>
                <w:bCs/>
                <w:i/>
                <w:iCs/>
                <w:sz w:val="22"/>
                <w:szCs w:val="22"/>
              </w:rPr>
              <w:t xml:space="preserve">olicy </w:t>
            </w:r>
            <w:r w:rsidR="00447E65" w:rsidRPr="0071206E">
              <w:rPr>
                <w:rFonts w:asciiTheme="minorHAnsi" w:hAnsiTheme="minorHAnsi" w:cstheme="minorHAnsi"/>
                <w:b/>
                <w:bCs/>
                <w:i/>
                <w:iCs/>
                <w:sz w:val="22"/>
                <w:szCs w:val="22"/>
              </w:rPr>
              <w:t>d</w:t>
            </w:r>
            <w:r w:rsidR="00CF048F" w:rsidRPr="0071206E">
              <w:rPr>
                <w:rFonts w:asciiTheme="minorHAnsi" w:hAnsiTheme="minorHAnsi" w:cstheme="minorHAnsi"/>
                <w:b/>
                <w:bCs/>
                <w:i/>
                <w:iCs/>
                <w:sz w:val="22"/>
                <w:szCs w:val="22"/>
              </w:rPr>
              <w:t>ialogue on just transition</w:t>
            </w:r>
            <w:r w:rsidR="00CF048F" w:rsidRPr="0071206E">
              <w:rPr>
                <w:rFonts w:asciiTheme="minorHAnsi" w:hAnsiTheme="minorHAnsi" w:cstheme="minorHAnsi"/>
                <w:sz w:val="22"/>
                <w:szCs w:val="22"/>
              </w:rPr>
              <w:t xml:space="preserve"> </w:t>
            </w:r>
            <w:r w:rsidR="009C461B" w:rsidRPr="0071206E">
              <w:rPr>
                <w:rFonts w:asciiTheme="minorHAnsi" w:hAnsiTheme="minorHAnsi" w:cstheme="minorHAnsi"/>
                <w:sz w:val="22"/>
                <w:szCs w:val="22"/>
              </w:rPr>
              <w:t xml:space="preserve">led by ILO. </w:t>
            </w:r>
            <w:r w:rsidR="00D95A40" w:rsidRPr="0071206E">
              <w:rPr>
                <w:rFonts w:asciiTheme="minorHAnsi" w:hAnsiTheme="minorHAnsi" w:cstheme="minorHAnsi"/>
                <w:sz w:val="22"/>
                <w:szCs w:val="22"/>
              </w:rPr>
              <w:t xml:space="preserve">UNDP facilitated </w:t>
            </w:r>
            <w:r w:rsidR="00786C9A" w:rsidRPr="0071206E">
              <w:rPr>
                <w:rFonts w:asciiTheme="minorHAnsi" w:hAnsiTheme="minorHAnsi" w:cstheme="minorHAnsi"/>
                <w:sz w:val="22"/>
                <w:szCs w:val="22"/>
              </w:rPr>
              <w:t xml:space="preserve">participation of the COP29 country delegations from Central Asia in the policy dialogue. </w:t>
            </w:r>
            <w:r w:rsidR="00C2272C" w:rsidRPr="0071206E">
              <w:rPr>
                <w:rFonts w:asciiTheme="minorHAnsi" w:hAnsiTheme="minorHAnsi" w:cstheme="minorHAnsi"/>
                <w:sz w:val="22"/>
                <w:szCs w:val="22"/>
              </w:rPr>
              <w:t xml:space="preserve">UNDP Director of the Bureau of Policy and Programme Support delivered high level opening remarks and </w:t>
            </w:r>
            <w:r w:rsidR="00EF5D55" w:rsidRPr="0071206E">
              <w:rPr>
                <w:rFonts w:asciiTheme="minorHAnsi" w:hAnsiTheme="minorHAnsi" w:cstheme="minorHAnsi"/>
                <w:sz w:val="22"/>
                <w:szCs w:val="22"/>
              </w:rPr>
              <w:t>contribute</w:t>
            </w:r>
            <w:r w:rsidR="000F2D60" w:rsidRPr="0071206E">
              <w:rPr>
                <w:rFonts w:asciiTheme="minorHAnsi" w:hAnsiTheme="minorHAnsi" w:cstheme="minorHAnsi"/>
                <w:sz w:val="22"/>
                <w:szCs w:val="22"/>
              </w:rPr>
              <w:t>d</w:t>
            </w:r>
            <w:r w:rsidR="00EF5D55" w:rsidRPr="0071206E">
              <w:rPr>
                <w:rFonts w:asciiTheme="minorHAnsi" w:hAnsiTheme="minorHAnsi" w:cstheme="minorHAnsi"/>
                <w:sz w:val="22"/>
                <w:szCs w:val="22"/>
              </w:rPr>
              <w:t xml:space="preserve"> to the video</w:t>
            </w:r>
            <w:r w:rsidR="00D20D21" w:rsidRPr="0071206E">
              <w:rPr>
                <w:rFonts w:asciiTheme="minorHAnsi" w:hAnsiTheme="minorHAnsi" w:cstheme="minorHAnsi"/>
                <w:sz w:val="22"/>
                <w:szCs w:val="22"/>
              </w:rPr>
              <w:t xml:space="preserve">-reel for the joint event. Another </w:t>
            </w:r>
            <w:r w:rsidR="00786C9A" w:rsidRPr="0071206E">
              <w:rPr>
                <w:rFonts w:asciiTheme="minorHAnsi" w:hAnsiTheme="minorHAnsi" w:cstheme="minorHAnsi"/>
                <w:sz w:val="22"/>
                <w:szCs w:val="22"/>
              </w:rPr>
              <w:t xml:space="preserve">UNDP speaker </w:t>
            </w:r>
            <w:r w:rsidR="00E87D46" w:rsidRPr="0071206E">
              <w:rPr>
                <w:rFonts w:asciiTheme="minorHAnsi" w:hAnsiTheme="minorHAnsi" w:cstheme="minorHAnsi"/>
                <w:sz w:val="22"/>
                <w:szCs w:val="22"/>
              </w:rPr>
              <w:t>delivered presentation during</w:t>
            </w:r>
            <w:r w:rsidR="00136DC9" w:rsidRPr="0071206E">
              <w:rPr>
                <w:rFonts w:asciiTheme="minorHAnsi" w:hAnsiTheme="minorHAnsi" w:cstheme="minorHAnsi"/>
                <w:sz w:val="22"/>
                <w:szCs w:val="22"/>
              </w:rPr>
              <w:t xml:space="preserve"> the segment on achieving ambition in the Long-Term Low-Emission Development Strategies and enhanced NDCs for 2025: Delivering the Climate Promise.</w:t>
            </w:r>
          </w:p>
          <w:p w14:paraId="5198D03C" w14:textId="132BC986" w:rsidR="004F6D89" w:rsidRPr="0071206E" w:rsidRDefault="07A85807" w:rsidP="4DEA42C1">
            <w:pPr>
              <w:spacing w:before="100" w:beforeAutospacing="1" w:after="100" w:afterAutospacing="1"/>
              <w:outlineLvl w:val="2"/>
              <w:rPr>
                <w:rFonts w:asciiTheme="minorHAnsi" w:hAnsiTheme="minorHAnsi" w:cstheme="minorBidi"/>
                <w:sz w:val="22"/>
                <w:szCs w:val="22"/>
              </w:rPr>
            </w:pPr>
            <w:r w:rsidRPr="4DEA42C1">
              <w:rPr>
                <w:rFonts w:asciiTheme="minorHAnsi" w:hAnsiTheme="minorHAnsi" w:cstheme="minorBidi"/>
                <w:sz w:val="22"/>
                <w:szCs w:val="22"/>
              </w:rPr>
              <w:t xml:space="preserve">UNDP initiated the design of the </w:t>
            </w:r>
            <w:r w:rsidR="058ACF6D" w:rsidRPr="4DEA42C1">
              <w:rPr>
                <w:rFonts w:asciiTheme="minorHAnsi" w:hAnsiTheme="minorHAnsi" w:cstheme="minorBidi"/>
                <w:b/>
                <w:bCs/>
                <w:i/>
                <w:iCs/>
                <w:sz w:val="22"/>
                <w:szCs w:val="22"/>
              </w:rPr>
              <w:t>knowledge product</w:t>
            </w:r>
            <w:r w:rsidRPr="4DEA42C1">
              <w:rPr>
                <w:rFonts w:asciiTheme="minorHAnsi" w:hAnsiTheme="minorHAnsi" w:cstheme="minorBidi"/>
                <w:b/>
                <w:bCs/>
                <w:i/>
                <w:iCs/>
                <w:sz w:val="22"/>
                <w:szCs w:val="22"/>
              </w:rPr>
              <w:t xml:space="preserve"> PAGE: South-South and Triangular Cooperation for Green and Circular Economies</w:t>
            </w:r>
            <w:r w:rsidR="058ACF6D" w:rsidRPr="4DEA42C1">
              <w:rPr>
                <w:rFonts w:asciiTheme="minorHAnsi" w:hAnsiTheme="minorHAnsi" w:cstheme="minorBidi"/>
                <w:sz w:val="22"/>
                <w:szCs w:val="22"/>
              </w:rPr>
              <w:t xml:space="preserve">. The </w:t>
            </w:r>
            <w:r w:rsidR="003C5991">
              <w:rPr>
                <w:rFonts w:asciiTheme="minorHAnsi" w:hAnsiTheme="minorHAnsi" w:cstheme="minorBidi"/>
                <w:sz w:val="22"/>
                <w:szCs w:val="22"/>
              </w:rPr>
              <w:t>o</w:t>
            </w:r>
            <w:r w:rsidR="058ACF6D" w:rsidRPr="4DEA42C1">
              <w:rPr>
                <w:rFonts w:asciiTheme="minorHAnsi" w:hAnsiTheme="minorHAnsi" w:cstheme="minorBidi"/>
                <w:sz w:val="22"/>
                <w:szCs w:val="22"/>
              </w:rPr>
              <w:t xml:space="preserve">utline of the publication has been </w:t>
            </w:r>
            <w:r w:rsidR="070C19E2" w:rsidRPr="4DEA42C1">
              <w:rPr>
                <w:rFonts w:asciiTheme="minorHAnsi" w:hAnsiTheme="minorHAnsi" w:cstheme="minorBidi"/>
                <w:sz w:val="22"/>
                <w:szCs w:val="22"/>
              </w:rPr>
              <w:t>developed,</w:t>
            </w:r>
            <w:r w:rsidR="058ACF6D" w:rsidRPr="4DEA42C1">
              <w:rPr>
                <w:rFonts w:asciiTheme="minorHAnsi" w:hAnsiTheme="minorHAnsi" w:cstheme="minorBidi"/>
                <w:sz w:val="22"/>
                <w:szCs w:val="22"/>
              </w:rPr>
              <w:t xml:space="preserve"> and </w:t>
            </w:r>
            <w:r w:rsidR="55A04936" w:rsidRPr="4DEA42C1">
              <w:rPr>
                <w:rFonts w:asciiTheme="minorHAnsi" w:hAnsiTheme="minorHAnsi" w:cstheme="minorBidi"/>
                <w:sz w:val="22"/>
                <w:szCs w:val="22"/>
              </w:rPr>
              <w:t xml:space="preserve">an initial mapping of the best practices has been carried out. The publication will be developed in the next reporting period. </w:t>
            </w:r>
          </w:p>
          <w:p w14:paraId="368EBA0C" w14:textId="5822FEE1" w:rsidR="002C0276" w:rsidRPr="0071206E" w:rsidRDefault="00B37FE9" w:rsidP="004F6D89">
            <w:pPr>
              <w:spacing w:before="100" w:beforeAutospacing="1" w:after="100" w:afterAutospacing="1"/>
              <w:outlineLvl w:val="2"/>
              <w:rPr>
                <w:rFonts w:asciiTheme="minorHAnsi" w:hAnsiTheme="minorHAnsi" w:cstheme="minorHAnsi"/>
                <w:bCs/>
                <w:i/>
                <w:iCs/>
                <w:sz w:val="22"/>
                <w:szCs w:val="22"/>
              </w:rPr>
            </w:pPr>
            <w:r w:rsidRPr="0071206E">
              <w:rPr>
                <w:rFonts w:asciiTheme="minorHAnsi" w:hAnsiTheme="minorHAnsi" w:cstheme="minorHAnsi"/>
                <w:sz w:val="22"/>
                <w:szCs w:val="22"/>
              </w:rPr>
              <w:t>Finally, in the reporting period UNDP initiated desi</w:t>
            </w:r>
            <w:r w:rsidR="00591EBC" w:rsidRPr="0071206E">
              <w:rPr>
                <w:rFonts w:asciiTheme="minorHAnsi" w:hAnsiTheme="minorHAnsi" w:cstheme="minorHAnsi"/>
                <w:sz w:val="22"/>
                <w:szCs w:val="22"/>
              </w:rPr>
              <w:t xml:space="preserve">gn of another </w:t>
            </w:r>
            <w:r w:rsidR="00591EBC" w:rsidRPr="0071206E">
              <w:rPr>
                <w:rFonts w:asciiTheme="minorHAnsi" w:hAnsiTheme="minorHAnsi" w:cstheme="minorHAnsi"/>
                <w:b/>
                <w:bCs/>
                <w:i/>
                <w:iCs/>
                <w:sz w:val="22"/>
                <w:szCs w:val="22"/>
              </w:rPr>
              <w:t>bilateral government-to-government South-South exchange on green and circular economy, just transition, and sustainable finance for China and Indonesia</w:t>
            </w:r>
            <w:r w:rsidR="00591EBC" w:rsidRPr="0071206E">
              <w:rPr>
                <w:rFonts w:asciiTheme="minorHAnsi" w:hAnsiTheme="minorHAnsi" w:cstheme="minorHAnsi"/>
                <w:sz w:val="22"/>
                <w:szCs w:val="22"/>
              </w:rPr>
              <w:t>. The initial consultations with countries were carried out and the Concept Note for the learning exchange was developed.</w:t>
            </w:r>
            <w:r w:rsidR="00993783" w:rsidRPr="0071206E">
              <w:rPr>
                <w:rFonts w:asciiTheme="minorHAnsi" w:hAnsiTheme="minorHAnsi" w:cstheme="minorHAnsi"/>
                <w:sz w:val="22"/>
                <w:szCs w:val="22"/>
              </w:rPr>
              <w:t xml:space="preserve"> The exchange will be organized in 2025. </w:t>
            </w:r>
          </w:p>
        </w:tc>
      </w:tr>
      <w:tr w:rsidR="002C0276" w:rsidRPr="0071206E" w14:paraId="60E5FCC3" w14:textId="77777777" w:rsidTr="4DEA42C1">
        <w:tc>
          <w:tcPr>
            <w:tcW w:w="2065" w:type="dxa"/>
          </w:tcPr>
          <w:p w14:paraId="15A98282" w14:textId="52049D78" w:rsidR="002C0276" w:rsidRPr="0071206E" w:rsidRDefault="69D0B4EE" w:rsidP="7A1375F1">
            <w:pPr>
              <w:jc w:val="left"/>
              <w:rPr>
                <w:rFonts w:asciiTheme="minorHAnsi" w:hAnsiTheme="minorHAnsi" w:cstheme="minorHAnsi"/>
                <w:i/>
                <w:iCs/>
                <w:sz w:val="22"/>
                <w:szCs w:val="22"/>
              </w:rPr>
            </w:pPr>
            <w:r w:rsidRPr="0071206E">
              <w:rPr>
                <w:rFonts w:asciiTheme="minorHAnsi" w:hAnsiTheme="minorHAnsi" w:cstheme="minorHAnsi"/>
                <w:b/>
                <w:bCs/>
                <w:i/>
                <w:iCs/>
                <w:sz w:val="22"/>
                <w:szCs w:val="22"/>
              </w:rPr>
              <w:lastRenderedPageBreak/>
              <w:t xml:space="preserve">Key </w:t>
            </w:r>
            <w:r w:rsidR="56E13BA8" w:rsidRPr="0071206E">
              <w:rPr>
                <w:rFonts w:asciiTheme="minorHAnsi" w:hAnsiTheme="minorHAnsi" w:cstheme="minorHAnsi"/>
                <w:b/>
                <w:bCs/>
                <w:i/>
                <w:iCs/>
                <w:sz w:val="22"/>
                <w:szCs w:val="22"/>
              </w:rPr>
              <w:t>a</w:t>
            </w:r>
            <w:r w:rsidRPr="0071206E">
              <w:rPr>
                <w:rFonts w:asciiTheme="minorHAnsi" w:hAnsiTheme="minorHAnsi" w:cstheme="minorHAnsi"/>
                <w:b/>
                <w:bCs/>
                <w:i/>
                <w:iCs/>
                <w:sz w:val="22"/>
                <w:szCs w:val="22"/>
              </w:rPr>
              <w:t xml:space="preserve">chievements </w:t>
            </w:r>
            <w:r w:rsidR="00EA6DB1" w:rsidRPr="0071206E">
              <w:rPr>
                <w:rFonts w:asciiTheme="minorHAnsi" w:hAnsiTheme="minorHAnsi" w:cstheme="minorHAnsi"/>
                <w:b/>
                <w:bCs/>
                <w:i/>
                <w:iCs/>
                <w:sz w:val="22"/>
                <w:szCs w:val="22"/>
              </w:rPr>
              <w:t>202</w:t>
            </w:r>
            <w:r w:rsidR="78228524" w:rsidRPr="0071206E">
              <w:rPr>
                <w:rFonts w:asciiTheme="minorHAnsi" w:hAnsiTheme="minorHAnsi" w:cstheme="minorHAnsi"/>
                <w:b/>
                <w:bCs/>
                <w:i/>
                <w:iCs/>
                <w:sz w:val="22"/>
                <w:szCs w:val="22"/>
              </w:rPr>
              <w:t>4</w:t>
            </w:r>
            <w:r w:rsidRPr="0071206E">
              <w:rPr>
                <w:rFonts w:asciiTheme="minorHAnsi" w:hAnsiTheme="minorHAnsi" w:cstheme="minorHAnsi"/>
                <w:i/>
                <w:iCs/>
                <w:sz w:val="22"/>
                <w:szCs w:val="22"/>
              </w:rPr>
              <w:t xml:space="preserve"> (Add. Support for Green Recovery)</w:t>
            </w:r>
          </w:p>
        </w:tc>
        <w:tc>
          <w:tcPr>
            <w:tcW w:w="7830" w:type="dxa"/>
          </w:tcPr>
          <w:p w14:paraId="23006316" w14:textId="63C2145F" w:rsidR="002C0276" w:rsidRPr="0071206E" w:rsidRDefault="005A4A69" w:rsidP="00AB7611">
            <w:pPr>
              <w:jc w:val="left"/>
              <w:rPr>
                <w:rFonts w:asciiTheme="minorHAnsi" w:hAnsiTheme="minorHAnsi" w:cstheme="minorHAnsi"/>
                <w:bCs/>
                <w:i/>
                <w:sz w:val="22"/>
                <w:szCs w:val="22"/>
              </w:rPr>
            </w:pPr>
            <w:r w:rsidRPr="0071206E">
              <w:rPr>
                <w:rFonts w:asciiTheme="minorHAnsi" w:hAnsiTheme="minorHAnsi" w:cstheme="minorHAnsi"/>
                <w:bCs/>
                <w:i/>
                <w:sz w:val="22"/>
                <w:szCs w:val="22"/>
              </w:rPr>
              <w:t>n/a</w:t>
            </w:r>
          </w:p>
        </w:tc>
      </w:tr>
    </w:tbl>
    <w:p w14:paraId="5770A672" w14:textId="77777777" w:rsidR="001F233F" w:rsidRPr="0071206E" w:rsidRDefault="001F233F" w:rsidP="005A62A2">
      <w:pPr>
        <w:jc w:val="center"/>
        <w:rPr>
          <w:rFonts w:asciiTheme="minorHAnsi" w:hAnsiTheme="minorHAnsi" w:cstheme="minorHAnsi"/>
          <w:b/>
          <w:iCs/>
          <w:sz w:val="22"/>
          <w:szCs w:val="22"/>
        </w:rPr>
      </w:pPr>
    </w:p>
    <w:p w14:paraId="625F2698" w14:textId="77777777" w:rsidR="00AE6BC7" w:rsidRPr="0071206E" w:rsidRDefault="00AE6BC7" w:rsidP="005A62A2">
      <w:pPr>
        <w:jc w:val="center"/>
        <w:rPr>
          <w:rFonts w:asciiTheme="minorHAnsi" w:hAnsiTheme="minorHAnsi" w:cstheme="minorHAnsi"/>
          <w:b/>
          <w:iCs/>
          <w:sz w:val="22"/>
          <w:szCs w:val="22"/>
        </w:rPr>
      </w:pPr>
    </w:p>
    <w:p w14:paraId="4D554258" w14:textId="10955C6D" w:rsidR="00EA6DB1" w:rsidRPr="0071206E" w:rsidRDefault="00215FB8" w:rsidP="00971388">
      <w:pPr>
        <w:spacing w:after="160" w:line="259" w:lineRule="auto"/>
        <w:jc w:val="center"/>
        <w:rPr>
          <w:rFonts w:asciiTheme="minorHAnsi" w:hAnsiTheme="minorHAnsi" w:cstheme="minorHAnsi"/>
          <w:b/>
          <w:iCs/>
          <w:sz w:val="22"/>
          <w:szCs w:val="22"/>
        </w:rPr>
      </w:pPr>
      <w:bookmarkStart w:id="0" w:name="_Hlk1383771"/>
      <w:r w:rsidRPr="0071206E">
        <w:rPr>
          <w:rFonts w:asciiTheme="minorHAnsi" w:hAnsiTheme="minorHAnsi" w:cstheme="minorHAnsi"/>
          <w:b/>
          <w:iCs/>
          <w:sz w:val="22"/>
          <w:szCs w:val="22"/>
        </w:rPr>
        <w:t>UNDP</w:t>
      </w:r>
      <w:r w:rsidR="00EA6DB1" w:rsidRPr="0071206E">
        <w:rPr>
          <w:rFonts w:asciiTheme="minorHAnsi" w:hAnsiTheme="minorHAnsi" w:cstheme="minorHAnsi"/>
          <w:b/>
          <w:iCs/>
          <w:sz w:val="22"/>
          <w:szCs w:val="22"/>
        </w:rPr>
        <w:t xml:space="preserve"> </w:t>
      </w:r>
      <w:r w:rsidR="00EB26CF" w:rsidRPr="0071206E">
        <w:rPr>
          <w:rFonts w:asciiTheme="minorHAnsi" w:hAnsiTheme="minorHAnsi" w:cstheme="minorHAnsi"/>
          <w:b/>
          <w:iCs/>
          <w:sz w:val="22"/>
          <w:szCs w:val="22"/>
        </w:rPr>
        <w:t>–</w:t>
      </w:r>
      <w:r w:rsidR="00EA6DB1" w:rsidRPr="0071206E">
        <w:rPr>
          <w:rFonts w:asciiTheme="minorHAnsi" w:hAnsiTheme="minorHAnsi" w:cstheme="minorHAnsi"/>
          <w:b/>
          <w:iCs/>
          <w:sz w:val="22"/>
          <w:szCs w:val="22"/>
        </w:rPr>
        <w:t xml:space="preserve"> MONGOLIA</w:t>
      </w:r>
    </w:p>
    <w:p w14:paraId="3384A23A" w14:textId="504DCD6A" w:rsidR="00EA6DB1" w:rsidRPr="0071206E" w:rsidRDefault="00EB26CF" w:rsidP="00EB26CF">
      <w:pPr>
        <w:jc w:val="center"/>
        <w:rPr>
          <w:rFonts w:asciiTheme="minorHAnsi" w:hAnsiTheme="minorHAnsi" w:cstheme="minorHAnsi"/>
          <w:bCs/>
          <w:iCs/>
          <w:sz w:val="22"/>
          <w:szCs w:val="22"/>
        </w:rPr>
      </w:pPr>
      <w:r w:rsidRPr="0071206E">
        <w:rPr>
          <w:rFonts w:asciiTheme="minorHAnsi" w:hAnsiTheme="minorHAnsi" w:cstheme="minorHAnsi"/>
          <w:bCs/>
          <w:iCs/>
          <w:sz w:val="22"/>
          <w:szCs w:val="22"/>
        </w:rPr>
        <w:t>N/A no more activities in 2024</w:t>
      </w:r>
      <w:bookmarkEnd w:id="0"/>
    </w:p>
    <w:p w14:paraId="27F2D3BD" w14:textId="77777777" w:rsidR="00EB26CF" w:rsidRPr="0071206E" w:rsidRDefault="00EB26CF" w:rsidP="00EB26CF">
      <w:pPr>
        <w:jc w:val="center"/>
        <w:rPr>
          <w:rFonts w:asciiTheme="minorHAnsi" w:hAnsiTheme="minorHAnsi" w:cstheme="minorHAnsi"/>
          <w:bCs/>
          <w:iCs/>
          <w:sz w:val="22"/>
          <w:szCs w:val="22"/>
        </w:rPr>
      </w:pPr>
    </w:p>
    <w:p w14:paraId="02505C5F" w14:textId="78C4821A" w:rsidR="00EA6DB1" w:rsidRPr="0071206E" w:rsidRDefault="00215FB8" w:rsidP="00EA6DB1">
      <w:pPr>
        <w:jc w:val="center"/>
        <w:rPr>
          <w:rFonts w:asciiTheme="minorHAnsi" w:hAnsiTheme="minorHAnsi" w:cstheme="minorHAnsi"/>
          <w:b/>
          <w:iCs/>
          <w:sz w:val="22"/>
          <w:szCs w:val="22"/>
        </w:rPr>
      </w:pPr>
      <w:r w:rsidRPr="0071206E">
        <w:rPr>
          <w:rFonts w:asciiTheme="minorHAnsi" w:hAnsiTheme="minorHAnsi" w:cstheme="minorHAnsi"/>
          <w:b/>
          <w:iCs/>
          <w:sz w:val="22"/>
          <w:szCs w:val="22"/>
        </w:rPr>
        <w:t>UNDP</w:t>
      </w:r>
      <w:r w:rsidR="00EA6DB1" w:rsidRPr="0071206E">
        <w:rPr>
          <w:rFonts w:asciiTheme="minorHAnsi" w:hAnsiTheme="minorHAnsi" w:cstheme="minorHAnsi"/>
          <w:b/>
          <w:iCs/>
          <w:sz w:val="22"/>
          <w:szCs w:val="22"/>
        </w:rPr>
        <w:t xml:space="preserve"> - PERU</w:t>
      </w:r>
    </w:p>
    <w:p w14:paraId="754B3AC8" w14:textId="77777777" w:rsidR="00BF6B9D" w:rsidRPr="0071206E" w:rsidRDefault="00BF6B9D" w:rsidP="00BF6B9D">
      <w:pPr>
        <w:pStyle w:val="NormalWeb"/>
        <w:shd w:val="clear" w:color="auto" w:fill="FFFFFF"/>
        <w:spacing w:before="0" w:beforeAutospacing="0" w:after="0" w:afterAutospacing="0"/>
        <w:rPr>
          <w:rFonts w:asciiTheme="minorHAnsi" w:hAnsiTheme="minorHAnsi" w:cstheme="minorHAnsi"/>
          <w:sz w:val="22"/>
          <w:szCs w:val="22"/>
          <w:lang w:val="en-US" w:eastAsia="en-US"/>
        </w:rPr>
      </w:pPr>
    </w:p>
    <w:tbl>
      <w:tblPr>
        <w:tblW w:w="0" w:type="auto"/>
        <w:shd w:val="clear" w:color="auto" w:fill="FFFFFF"/>
        <w:tblCellMar>
          <w:left w:w="0" w:type="dxa"/>
          <w:right w:w="0" w:type="dxa"/>
        </w:tblCellMar>
        <w:tblLook w:val="04A0" w:firstRow="1" w:lastRow="0" w:firstColumn="1" w:lastColumn="0" w:noHBand="0" w:noVBand="1"/>
      </w:tblPr>
      <w:tblGrid>
        <w:gridCol w:w="1885"/>
        <w:gridCol w:w="8160"/>
      </w:tblGrid>
      <w:tr w:rsidR="00BF6B9D" w:rsidRPr="0071206E" w14:paraId="43682110" w14:textId="77777777" w:rsidTr="00BF6B9D">
        <w:trPr>
          <w:trHeight w:val="540"/>
        </w:trPr>
        <w:tc>
          <w:tcPr>
            <w:tcW w:w="9895" w:type="dxa"/>
            <w:gridSpan w:val="2"/>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21B1100" w14:textId="77777777" w:rsidR="00BF6B9D" w:rsidRPr="0071206E" w:rsidRDefault="00BF6B9D">
            <w:pPr>
              <w:pStyle w:val="elementtoproof"/>
              <w:rPr>
                <w:rFonts w:asciiTheme="minorHAnsi" w:hAnsiTheme="minorHAnsi" w:cstheme="minorHAnsi"/>
              </w:rPr>
            </w:pPr>
            <w:r w:rsidRPr="0071206E">
              <w:rPr>
                <w:rFonts w:asciiTheme="minorHAnsi" w:hAnsiTheme="minorHAnsi" w:cstheme="minorHAnsi"/>
                <w:i/>
                <w:iCs/>
              </w:rPr>
              <w:t>Outcome 1 - Countries have reinforced and integrated inclusive green economy (IGE) goals targets into SDG aligned national economic and development planning through multi-stakeholder collaboration.</w:t>
            </w:r>
          </w:p>
        </w:tc>
      </w:tr>
      <w:tr w:rsidR="00BF6B9D" w:rsidRPr="0071206E" w14:paraId="62A1A74D" w14:textId="77777777" w:rsidTr="007C5B8D">
        <w:trPr>
          <w:trHeight w:val="516"/>
        </w:trPr>
        <w:tc>
          <w:tcPr>
            <w:tcW w:w="1885"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13C6C6B" w14:textId="6643EDB8" w:rsidR="00BF6B9D" w:rsidRPr="0071206E" w:rsidRDefault="00BF6B9D" w:rsidP="007C5B8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Key achievements in 2024</w:t>
            </w:r>
          </w:p>
        </w:tc>
        <w:tc>
          <w:tcPr>
            <w:tcW w:w="8160"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tcPr>
          <w:p w14:paraId="0148D861" w14:textId="77777777" w:rsidR="00BF6B9D" w:rsidRPr="0071206E" w:rsidRDefault="00BF6B9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sz w:val="22"/>
                <w:szCs w:val="22"/>
                <w:lang w:val="en-US"/>
              </w:rPr>
              <w:t>N/A</w:t>
            </w:r>
          </w:p>
        </w:tc>
      </w:tr>
      <w:tr w:rsidR="00BF6B9D" w:rsidRPr="0071206E" w14:paraId="008D16F5" w14:textId="77777777" w:rsidTr="00BF6B9D">
        <w:trPr>
          <w:trHeight w:val="1320"/>
        </w:trPr>
        <w:tc>
          <w:tcPr>
            <w:tcW w:w="1885"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E9C194D" w14:textId="77777777" w:rsidR="00BF6B9D" w:rsidRPr="0071206E" w:rsidRDefault="00BF6B9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Key Achievements 2024</w:t>
            </w:r>
            <w:r w:rsidRPr="0071206E">
              <w:rPr>
                <w:rFonts w:asciiTheme="minorHAnsi" w:hAnsiTheme="minorHAnsi" w:cstheme="minorHAnsi"/>
                <w:sz w:val="22"/>
                <w:szCs w:val="22"/>
                <w:lang w:val="en-US"/>
              </w:rPr>
              <w:t> (Add. Support for Green Recovery)</w:t>
            </w:r>
          </w:p>
        </w:tc>
        <w:tc>
          <w:tcPr>
            <w:tcW w:w="8010"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tcPr>
          <w:p w14:paraId="75838C97" w14:textId="6CED96A0" w:rsidR="00BF6B9D" w:rsidRPr="0071206E" w:rsidRDefault="00BF6B9D">
            <w:pPr>
              <w:pStyle w:val="elementtoproof"/>
              <w:spacing w:after="200"/>
              <w:rPr>
                <w:rFonts w:asciiTheme="minorHAnsi" w:hAnsiTheme="minorHAnsi" w:cstheme="minorHAnsi"/>
              </w:rPr>
            </w:pPr>
            <w:r w:rsidRPr="0071206E">
              <w:rPr>
                <w:rFonts w:asciiTheme="minorHAnsi" w:hAnsiTheme="minorHAnsi" w:cstheme="minorHAnsi"/>
              </w:rPr>
              <w:t>A draft of the Roadmap for Green Growth for San Martin region has been elaborated , to be validated in a participatory workshop in February 2025 with local and national stakeholders such as the Regional Government of San Martin, Ministry of the Environment, Ministry of Economy and Finance, civil society, indigenous communities, and the private sector. </w:t>
            </w:r>
          </w:p>
          <w:p w14:paraId="16100B45" w14:textId="77777777" w:rsidR="00BF6B9D" w:rsidRPr="0071206E" w:rsidRDefault="00BF6B9D">
            <w:pPr>
              <w:pStyle w:val="elementtoproof"/>
              <w:shd w:val="clear" w:color="auto" w:fill="FFFFFF"/>
              <w:rPr>
                <w:rFonts w:asciiTheme="minorHAnsi" w:hAnsiTheme="minorHAnsi" w:cstheme="minorHAnsi"/>
              </w:rPr>
            </w:pPr>
            <w:r w:rsidRPr="0071206E">
              <w:rPr>
                <w:rFonts w:asciiTheme="minorHAnsi" w:hAnsiTheme="minorHAnsi" w:cstheme="minorHAnsi"/>
              </w:rPr>
              <w:t>The Roadmap is aligned with national &amp; regional policies and priorities, and includes an inventory of good practices in the San Martín region that contribute to green growth, which can be replicated in other territories of Peru.</w:t>
            </w:r>
          </w:p>
        </w:tc>
      </w:tr>
    </w:tbl>
    <w:p w14:paraId="3FB67405" w14:textId="77777777" w:rsidR="00BF6B9D" w:rsidRPr="0071206E" w:rsidRDefault="00BF6B9D" w:rsidP="00BF6B9D">
      <w:pPr>
        <w:pStyle w:val="NormalWeb"/>
        <w:shd w:val="clear" w:color="auto" w:fill="FFFFFF"/>
        <w:spacing w:before="0" w:beforeAutospacing="0" w:after="0" w:afterAutospacing="0"/>
        <w:rPr>
          <w:rFonts w:asciiTheme="minorHAnsi" w:eastAsiaTheme="minorHAnsi" w:hAnsiTheme="minorHAnsi" w:cstheme="minorHAnsi"/>
          <w:sz w:val="22"/>
          <w:szCs w:val="22"/>
          <w:lang w:val="en-US"/>
        </w:rPr>
      </w:pPr>
      <w:r w:rsidRPr="0071206E">
        <w:rPr>
          <w:rFonts w:asciiTheme="minorHAnsi" w:hAnsiTheme="minorHAnsi" w:cstheme="minorHAnsi"/>
          <w:b/>
          <w:bCs/>
          <w:sz w:val="22"/>
          <w:szCs w:val="22"/>
          <w:lang w:val="en-US"/>
        </w:rPr>
        <w:t> </w:t>
      </w:r>
    </w:p>
    <w:tbl>
      <w:tblPr>
        <w:tblW w:w="0" w:type="auto"/>
        <w:shd w:val="clear" w:color="auto" w:fill="FFFFFF"/>
        <w:tblCellMar>
          <w:left w:w="0" w:type="dxa"/>
          <w:right w:w="0" w:type="dxa"/>
        </w:tblCellMar>
        <w:tblLook w:val="04A0" w:firstRow="1" w:lastRow="0" w:firstColumn="1" w:lastColumn="0" w:noHBand="0" w:noVBand="1"/>
      </w:tblPr>
      <w:tblGrid>
        <w:gridCol w:w="1885"/>
        <w:gridCol w:w="8010"/>
      </w:tblGrid>
      <w:tr w:rsidR="00BF6B9D" w:rsidRPr="0071206E" w14:paraId="38502313" w14:textId="77777777" w:rsidTr="00BF6B9D">
        <w:trPr>
          <w:trHeight w:val="540"/>
        </w:trPr>
        <w:tc>
          <w:tcPr>
            <w:tcW w:w="9895" w:type="dxa"/>
            <w:gridSpan w:val="2"/>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58DB470" w14:textId="77777777" w:rsidR="00BF6B9D" w:rsidRPr="0071206E" w:rsidRDefault="00BF6B9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i/>
                <w:iCs/>
                <w:sz w:val="22"/>
                <w:szCs w:val="22"/>
                <w:lang w:val="en-US"/>
              </w:rPr>
              <w:t>Outcome 2 - Countries are implementing evidence based sectoral and thematic reforms in line with national IGE priorities</w:t>
            </w:r>
            <w:r w:rsidRPr="0071206E">
              <w:rPr>
                <w:rFonts w:asciiTheme="minorHAnsi" w:hAnsiTheme="minorHAnsi" w:cstheme="minorHAnsi"/>
                <w:sz w:val="22"/>
                <w:szCs w:val="22"/>
                <w:lang w:val="en-US"/>
              </w:rPr>
              <w:t>.</w:t>
            </w:r>
          </w:p>
        </w:tc>
      </w:tr>
      <w:tr w:rsidR="00BF6B9D" w:rsidRPr="0071206E" w14:paraId="12AF31A5" w14:textId="77777777" w:rsidTr="00BF6B9D">
        <w:trPr>
          <w:trHeight w:val="560"/>
        </w:trPr>
        <w:tc>
          <w:tcPr>
            <w:tcW w:w="1885"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55E6970" w14:textId="77777777" w:rsidR="00BF6B9D" w:rsidRPr="0071206E" w:rsidRDefault="00BF6B9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Key achievements in 2024</w:t>
            </w:r>
          </w:p>
        </w:tc>
        <w:tc>
          <w:tcPr>
            <w:tcW w:w="8010"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1FFF036" w14:textId="77777777" w:rsidR="00BF6B9D" w:rsidRPr="0071206E" w:rsidRDefault="00BF6B9D">
            <w:pPr>
              <w:pStyle w:val="elementtoproof"/>
              <w:rPr>
                <w:rFonts w:asciiTheme="minorHAnsi" w:hAnsiTheme="minorHAnsi" w:cstheme="minorHAnsi"/>
              </w:rPr>
            </w:pPr>
            <w:r w:rsidRPr="0071206E">
              <w:rPr>
                <w:rFonts w:asciiTheme="minorHAnsi" w:hAnsiTheme="minorHAnsi" w:cstheme="minorHAnsi"/>
              </w:rPr>
              <w:t>N/A</w:t>
            </w:r>
          </w:p>
        </w:tc>
      </w:tr>
      <w:tr w:rsidR="00BF6B9D" w:rsidRPr="0071206E" w14:paraId="4EDE4E1D" w14:textId="77777777" w:rsidTr="00BF6B9D">
        <w:trPr>
          <w:trHeight w:val="1320"/>
        </w:trPr>
        <w:tc>
          <w:tcPr>
            <w:tcW w:w="1885"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66103B3D" w14:textId="77777777" w:rsidR="00BF6B9D" w:rsidRPr="0071206E" w:rsidRDefault="00BF6B9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Key Achievements 2024</w:t>
            </w:r>
            <w:r w:rsidRPr="0071206E">
              <w:rPr>
                <w:rFonts w:asciiTheme="minorHAnsi" w:hAnsiTheme="minorHAnsi" w:cstheme="minorHAnsi"/>
                <w:sz w:val="22"/>
                <w:szCs w:val="22"/>
                <w:lang w:val="en-US"/>
              </w:rPr>
              <w:t> (Add. Support for Green Recovery)</w:t>
            </w:r>
          </w:p>
        </w:tc>
        <w:tc>
          <w:tcPr>
            <w:tcW w:w="8010"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tcPr>
          <w:p w14:paraId="17BD8B20" w14:textId="6CEEAFE2" w:rsidR="00BF6B9D" w:rsidRPr="0071206E" w:rsidRDefault="00BF6B9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sz w:val="22"/>
                <w:szCs w:val="22"/>
                <w:lang w:val="en-US"/>
              </w:rPr>
              <w:t xml:space="preserve">A mapping and analysis of the current state and progress of prioritized sectors for the transition towards green growth in the San Martín region </w:t>
            </w:r>
            <w:r w:rsidR="00807094">
              <w:rPr>
                <w:rFonts w:asciiTheme="minorHAnsi" w:hAnsiTheme="minorHAnsi" w:cstheme="minorHAnsi"/>
                <w:sz w:val="22"/>
                <w:szCs w:val="22"/>
                <w:lang w:val="en-US"/>
              </w:rPr>
              <w:t>w</w:t>
            </w:r>
            <w:r w:rsidRPr="0071206E">
              <w:rPr>
                <w:rFonts w:asciiTheme="minorHAnsi" w:hAnsiTheme="minorHAnsi" w:cstheme="minorHAnsi"/>
                <w:sz w:val="22"/>
                <w:szCs w:val="22"/>
                <w:lang w:val="en-US"/>
              </w:rPr>
              <w:t xml:space="preserve">as carried out, including </w:t>
            </w:r>
            <w:r w:rsidR="00807094">
              <w:rPr>
                <w:rFonts w:asciiTheme="minorHAnsi" w:hAnsiTheme="minorHAnsi" w:cstheme="minorHAnsi"/>
                <w:sz w:val="22"/>
                <w:szCs w:val="22"/>
                <w:lang w:val="en-US"/>
              </w:rPr>
              <w:t>the</w:t>
            </w:r>
            <w:r w:rsidRPr="0071206E">
              <w:rPr>
                <w:rFonts w:asciiTheme="minorHAnsi" w:hAnsiTheme="minorHAnsi" w:cstheme="minorHAnsi"/>
                <w:sz w:val="22"/>
                <w:szCs w:val="22"/>
                <w:lang w:val="en-US"/>
              </w:rPr>
              <w:t xml:space="preserve"> mapping of sectoral indicators of green growth (economic, social and environmental </w:t>
            </w:r>
            <w:r w:rsidRPr="0071206E">
              <w:rPr>
                <w:rFonts w:asciiTheme="minorHAnsi" w:hAnsiTheme="minorHAnsi" w:cstheme="minorHAnsi"/>
                <w:sz w:val="22"/>
                <w:szCs w:val="22"/>
                <w:shd w:val="clear" w:color="auto" w:fill="FFFFFF"/>
                <w:lang w:val="en-US"/>
              </w:rPr>
              <w:t>indicators</w:t>
            </w:r>
            <w:r w:rsidRPr="0071206E">
              <w:rPr>
                <w:rFonts w:asciiTheme="minorHAnsi" w:hAnsiTheme="minorHAnsi" w:cstheme="minorHAnsi"/>
                <w:sz w:val="22"/>
                <w:szCs w:val="22"/>
                <w:lang w:val="en-US"/>
              </w:rPr>
              <w:t xml:space="preserve">). These indicators have been included in the draft of the </w:t>
            </w:r>
            <w:r w:rsidRPr="0071206E">
              <w:rPr>
                <w:rFonts w:asciiTheme="minorHAnsi" w:hAnsiTheme="minorHAnsi" w:cstheme="minorHAnsi"/>
                <w:sz w:val="22"/>
                <w:szCs w:val="22"/>
                <w:shd w:val="clear" w:color="auto" w:fill="FFFFFF"/>
                <w:lang w:val="en-US"/>
              </w:rPr>
              <w:t>Roadmap for Green Growth for San Martín region</w:t>
            </w:r>
            <w:r w:rsidRPr="0071206E">
              <w:rPr>
                <w:rFonts w:asciiTheme="minorHAnsi" w:hAnsiTheme="minorHAnsi" w:cstheme="minorHAnsi"/>
                <w:sz w:val="22"/>
                <w:szCs w:val="22"/>
                <w:lang w:val="en-US"/>
              </w:rPr>
              <w:t>.</w:t>
            </w:r>
          </w:p>
          <w:p w14:paraId="5D8EF6AE" w14:textId="77777777" w:rsidR="00BF6B9D" w:rsidRPr="0071206E" w:rsidRDefault="00BF6B9D">
            <w:pPr>
              <w:pStyle w:val="NormalWeb"/>
              <w:shd w:val="clear" w:color="auto" w:fill="FFFFFF"/>
              <w:spacing w:before="0" w:beforeAutospacing="0" w:after="0" w:afterAutospacing="0"/>
              <w:rPr>
                <w:rFonts w:asciiTheme="minorHAnsi" w:hAnsiTheme="minorHAnsi" w:cstheme="minorHAnsi"/>
                <w:sz w:val="22"/>
                <w:szCs w:val="22"/>
                <w:lang w:val="en-US"/>
              </w:rPr>
            </w:pPr>
          </w:p>
          <w:p w14:paraId="509A69EB" w14:textId="77777777" w:rsidR="00BF6B9D" w:rsidRPr="0071206E" w:rsidRDefault="00BF6B9D">
            <w:pPr>
              <w:pStyle w:val="NormalWeb"/>
              <w:shd w:val="clear" w:color="auto" w:fill="FFFFFF"/>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sz w:val="22"/>
                <w:szCs w:val="22"/>
                <w:lang w:val="en-US"/>
              </w:rPr>
              <w:t>In addition, a diverse and resilient portfolio of financing sources (international, national and local) has been developed to promote eco-businesses and bio-businesses in the San Martín region, as well as various channels to facilitate access to these financing sources.</w:t>
            </w:r>
          </w:p>
        </w:tc>
      </w:tr>
    </w:tbl>
    <w:p w14:paraId="41677E09" w14:textId="77777777" w:rsidR="00BF6B9D" w:rsidRPr="0071206E" w:rsidRDefault="00BF6B9D" w:rsidP="00BF6B9D">
      <w:pPr>
        <w:pStyle w:val="NormalWeb"/>
        <w:shd w:val="clear" w:color="auto" w:fill="FFFFFF"/>
        <w:spacing w:before="0" w:beforeAutospacing="0" w:after="0" w:afterAutospacing="0"/>
        <w:rPr>
          <w:rFonts w:asciiTheme="minorHAnsi" w:eastAsiaTheme="minorHAnsi" w:hAnsiTheme="minorHAnsi" w:cstheme="minorHAnsi"/>
          <w:sz w:val="22"/>
          <w:szCs w:val="22"/>
          <w:lang w:val="en-US"/>
        </w:rPr>
      </w:pPr>
      <w:r w:rsidRPr="0071206E">
        <w:rPr>
          <w:rFonts w:asciiTheme="minorHAnsi" w:hAnsiTheme="minorHAnsi" w:cstheme="minorHAnsi"/>
          <w:b/>
          <w:bCs/>
          <w:sz w:val="22"/>
          <w:szCs w:val="22"/>
          <w:lang w:val="en-US"/>
        </w:rPr>
        <w:t> </w:t>
      </w:r>
    </w:p>
    <w:tbl>
      <w:tblPr>
        <w:tblW w:w="0" w:type="auto"/>
        <w:shd w:val="clear" w:color="auto" w:fill="FFFFFF"/>
        <w:tblCellMar>
          <w:left w:w="0" w:type="dxa"/>
          <w:right w:w="0" w:type="dxa"/>
        </w:tblCellMar>
        <w:tblLook w:val="04A0" w:firstRow="1" w:lastRow="0" w:firstColumn="1" w:lastColumn="0" w:noHBand="0" w:noVBand="1"/>
      </w:tblPr>
      <w:tblGrid>
        <w:gridCol w:w="1885"/>
        <w:gridCol w:w="8010"/>
      </w:tblGrid>
      <w:tr w:rsidR="00BF6B9D" w:rsidRPr="0071206E" w14:paraId="4D786B56" w14:textId="77777777" w:rsidTr="00BF6B9D">
        <w:trPr>
          <w:trHeight w:val="540"/>
        </w:trPr>
        <w:tc>
          <w:tcPr>
            <w:tcW w:w="9895" w:type="dxa"/>
            <w:gridSpan w:val="2"/>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3A5AEE65" w14:textId="77777777" w:rsidR="00BF6B9D" w:rsidRPr="0071206E" w:rsidRDefault="00BF6B9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i/>
                <w:iCs/>
                <w:sz w:val="22"/>
                <w:szCs w:val="22"/>
                <w:lang w:val="en-US"/>
              </w:rPr>
              <w:t xml:space="preserve">Outcome 3 - Individual, institutional and planning capacities for IGE action strengthened at the </w:t>
            </w:r>
            <w:r w:rsidRPr="0071206E">
              <w:rPr>
                <w:rFonts w:asciiTheme="minorHAnsi" w:hAnsiTheme="minorHAnsi" w:cstheme="minorHAnsi"/>
                <w:i/>
                <w:iCs/>
                <w:sz w:val="22"/>
                <w:szCs w:val="22"/>
                <w:u w:val="single"/>
                <w:lang w:val="en-US"/>
              </w:rPr>
              <w:t>national</w:t>
            </w:r>
            <w:r w:rsidRPr="0071206E">
              <w:rPr>
                <w:rFonts w:asciiTheme="minorHAnsi" w:hAnsiTheme="minorHAnsi" w:cstheme="minorHAnsi"/>
                <w:i/>
                <w:iCs/>
                <w:sz w:val="22"/>
                <w:szCs w:val="22"/>
                <w:lang w:val="en-US"/>
              </w:rPr>
              <w:t> and (global) level.</w:t>
            </w:r>
          </w:p>
        </w:tc>
      </w:tr>
      <w:tr w:rsidR="00BF6B9D" w:rsidRPr="0071206E" w14:paraId="7C7BA4CA" w14:textId="77777777" w:rsidTr="007C5B8D">
        <w:trPr>
          <w:trHeight w:val="579"/>
        </w:trPr>
        <w:tc>
          <w:tcPr>
            <w:tcW w:w="1885"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FBAA97F" w14:textId="77777777" w:rsidR="00BF6B9D" w:rsidRPr="0071206E" w:rsidRDefault="00BF6B9D">
            <w:pPr>
              <w:pStyle w:val="elementtoproof"/>
              <w:rPr>
                <w:rFonts w:asciiTheme="minorHAnsi" w:hAnsiTheme="minorHAnsi" w:cstheme="minorHAnsi"/>
              </w:rPr>
            </w:pPr>
            <w:r w:rsidRPr="0071206E">
              <w:rPr>
                <w:rFonts w:asciiTheme="minorHAnsi" w:hAnsiTheme="minorHAnsi" w:cstheme="minorHAnsi"/>
                <w:b/>
                <w:bCs/>
              </w:rPr>
              <w:t>Key achievements in 2024</w:t>
            </w:r>
          </w:p>
        </w:tc>
        <w:tc>
          <w:tcPr>
            <w:tcW w:w="8010"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57052C26" w14:textId="77777777" w:rsidR="00BF6B9D" w:rsidRPr="0071206E" w:rsidRDefault="00BF6B9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sz w:val="22"/>
                <w:szCs w:val="22"/>
                <w:lang w:val="en-US"/>
              </w:rPr>
              <w:t>N/A</w:t>
            </w:r>
          </w:p>
        </w:tc>
      </w:tr>
      <w:tr w:rsidR="00BF6B9D" w:rsidRPr="0071206E" w14:paraId="52878892" w14:textId="77777777" w:rsidTr="00BF6B9D">
        <w:trPr>
          <w:trHeight w:val="1320"/>
        </w:trPr>
        <w:tc>
          <w:tcPr>
            <w:tcW w:w="1885"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2E6DC44F" w14:textId="77777777" w:rsidR="00BF6B9D" w:rsidRPr="0071206E" w:rsidRDefault="00BF6B9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Key Achievements 2024</w:t>
            </w:r>
            <w:r w:rsidRPr="0071206E">
              <w:rPr>
                <w:rFonts w:asciiTheme="minorHAnsi" w:hAnsiTheme="minorHAnsi" w:cstheme="minorHAnsi"/>
                <w:sz w:val="22"/>
                <w:szCs w:val="22"/>
                <w:lang w:val="en-US"/>
              </w:rPr>
              <w:t> (Add. Support for Green Recovery)</w:t>
            </w:r>
          </w:p>
        </w:tc>
        <w:tc>
          <w:tcPr>
            <w:tcW w:w="8010"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410C5F8" w14:textId="2C4A2661" w:rsidR="00BF6B9D" w:rsidRPr="0071206E" w:rsidRDefault="00BF6B9D">
            <w:pPr>
              <w:pStyle w:val="NormalWeb"/>
              <w:spacing w:before="0" w:beforeAutospacing="0" w:after="200" w:afterAutospacing="0"/>
              <w:rPr>
                <w:rFonts w:asciiTheme="minorHAnsi" w:hAnsiTheme="minorHAnsi" w:cstheme="minorHAnsi"/>
                <w:sz w:val="22"/>
                <w:szCs w:val="22"/>
                <w:lang w:val="en-US"/>
              </w:rPr>
            </w:pPr>
            <w:r w:rsidRPr="0071206E">
              <w:rPr>
                <w:rFonts w:asciiTheme="minorHAnsi" w:hAnsiTheme="minorHAnsi" w:cstheme="minorHAnsi"/>
                <w:sz w:val="22"/>
                <w:szCs w:val="22"/>
                <w:lang w:val="en-US"/>
              </w:rPr>
              <w:t xml:space="preserve">A Green Growth Training Program has been developed. </w:t>
            </w:r>
            <w:r w:rsidR="005A5ECE">
              <w:rPr>
                <w:rFonts w:asciiTheme="minorHAnsi" w:hAnsiTheme="minorHAnsi" w:cstheme="minorHAnsi"/>
                <w:sz w:val="22"/>
                <w:szCs w:val="22"/>
                <w:lang w:val="en-US"/>
              </w:rPr>
              <w:t>It will</w:t>
            </w:r>
            <w:r w:rsidRPr="0071206E">
              <w:rPr>
                <w:rFonts w:asciiTheme="minorHAnsi" w:hAnsiTheme="minorHAnsi" w:cstheme="minorHAnsi"/>
                <w:sz w:val="22"/>
                <w:szCs w:val="22"/>
                <w:lang w:val="en-US"/>
              </w:rPr>
              <w:t xml:space="preserve"> target </w:t>
            </w:r>
            <w:r w:rsidR="005A5ECE">
              <w:rPr>
                <w:rFonts w:asciiTheme="minorHAnsi" w:hAnsiTheme="minorHAnsi" w:cstheme="minorHAnsi"/>
                <w:sz w:val="22"/>
                <w:szCs w:val="22"/>
                <w:lang w:val="en-US"/>
              </w:rPr>
              <w:t xml:space="preserve">the </w:t>
            </w:r>
            <w:r w:rsidRPr="0071206E">
              <w:rPr>
                <w:rFonts w:asciiTheme="minorHAnsi" w:hAnsiTheme="minorHAnsi" w:cstheme="minorHAnsi"/>
                <w:sz w:val="22"/>
                <w:szCs w:val="22"/>
                <w:lang w:val="en-US"/>
              </w:rPr>
              <w:t>government officials from regional governments, local governments and other public sector institutions. Training is expected to take place during 2025.</w:t>
            </w:r>
            <w:r w:rsidR="009808FD" w:rsidRPr="0071206E">
              <w:rPr>
                <w:rFonts w:asciiTheme="minorHAnsi" w:hAnsiTheme="minorHAnsi" w:cstheme="minorHAnsi"/>
                <w:sz w:val="22"/>
                <w:szCs w:val="22"/>
                <w:shd w:val="clear" w:color="auto" w:fill="FFFFFF"/>
                <w:lang w:val="en-US"/>
              </w:rPr>
              <w:t xml:space="preserve"> </w:t>
            </w:r>
            <w:r w:rsidR="009808FD">
              <w:rPr>
                <w:rFonts w:asciiTheme="minorHAnsi" w:hAnsiTheme="minorHAnsi" w:cstheme="minorHAnsi"/>
                <w:sz w:val="22"/>
                <w:szCs w:val="22"/>
                <w:shd w:val="clear" w:color="auto" w:fill="FFFFFF"/>
                <w:lang w:val="en-US"/>
              </w:rPr>
              <w:t>T</w:t>
            </w:r>
            <w:r w:rsidR="009808FD" w:rsidRPr="0071206E">
              <w:rPr>
                <w:rFonts w:asciiTheme="minorHAnsi" w:hAnsiTheme="minorHAnsi" w:cstheme="minorHAnsi"/>
                <w:sz w:val="22"/>
                <w:szCs w:val="22"/>
                <w:shd w:val="clear" w:color="auto" w:fill="FFFFFF"/>
                <w:lang w:val="en-US"/>
              </w:rPr>
              <w:t xml:space="preserve">he Green Growth Training Program will be installed on a virtual platform of the Ministry of the Environment, where different stakeholders will </w:t>
            </w:r>
            <w:r w:rsidR="00845EEB">
              <w:rPr>
                <w:rFonts w:asciiTheme="minorHAnsi" w:hAnsiTheme="minorHAnsi" w:cstheme="minorHAnsi"/>
                <w:sz w:val="22"/>
                <w:szCs w:val="22"/>
                <w:shd w:val="clear" w:color="auto" w:fill="FFFFFF"/>
                <w:lang w:val="en-US"/>
              </w:rPr>
              <w:t xml:space="preserve">be able to access the training modules at their own pace. </w:t>
            </w:r>
          </w:p>
        </w:tc>
      </w:tr>
    </w:tbl>
    <w:p w14:paraId="348F1BD6" w14:textId="77777777" w:rsidR="00BF6B9D" w:rsidRPr="0071206E" w:rsidRDefault="00BF6B9D" w:rsidP="00BF6B9D">
      <w:pPr>
        <w:pStyle w:val="NormalWeb"/>
        <w:shd w:val="clear" w:color="auto" w:fill="FFFFFF"/>
        <w:spacing w:before="0" w:beforeAutospacing="0" w:after="0" w:afterAutospacing="0"/>
        <w:rPr>
          <w:rFonts w:asciiTheme="minorHAnsi" w:eastAsiaTheme="minorHAnsi" w:hAnsiTheme="minorHAnsi" w:cstheme="minorHAnsi"/>
          <w:sz w:val="22"/>
          <w:szCs w:val="22"/>
          <w:lang w:val="en-US"/>
        </w:rPr>
      </w:pPr>
      <w:r w:rsidRPr="0071206E">
        <w:rPr>
          <w:rFonts w:asciiTheme="minorHAnsi" w:hAnsiTheme="minorHAnsi" w:cstheme="minorHAnsi"/>
          <w:b/>
          <w:bCs/>
          <w:sz w:val="22"/>
          <w:szCs w:val="22"/>
          <w:lang w:val="en-US"/>
        </w:rPr>
        <w:t> </w:t>
      </w:r>
    </w:p>
    <w:tbl>
      <w:tblPr>
        <w:tblW w:w="0" w:type="auto"/>
        <w:shd w:val="clear" w:color="auto" w:fill="FFFFFF"/>
        <w:tblCellMar>
          <w:left w:w="0" w:type="dxa"/>
          <w:right w:w="0" w:type="dxa"/>
        </w:tblCellMar>
        <w:tblLook w:val="04A0" w:firstRow="1" w:lastRow="0" w:firstColumn="1" w:lastColumn="0" w:noHBand="0" w:noVBand="1"/>
      </w:tblPr>
      <w:tblGrid>
        <w:gridCol w:w="1852"/>
        <w:gridCol w:w="8042"/>
      </w:tblGrid>
      <w:tr w:rsidR="00BF6B9D" w:rsidRPr="0071206E" w14:paraId="33FB2AD0" w14:textId="77777777" w:rsidTr="00BF6B9D">
        <w:trPr>
          <w:trHeight w:val="540"/>
        </w:trPr>
        <w:tc>
          <w:tcPr>
            <w:tcW w:w="1852" w:type="dxa"/>
            <w:gridSpan w:val="2"/>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712BAF90" w14:textId="77777777" w:rsidR="00BF6B9D" w:rsidRPr="0071206E" w:rsidRDefault="00BF6B9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sz w:val="22"/>
                <w:szCs w:val="22"/>
                <w:lang w:val="en-US"/>
              </w:rPr>
              <w:lastRenderedPageBreak/>
              <w:t xml:space="preserve">Outcome 4 - </w:t>
            </w:r>
            <w:r w:rsidRPr="0071206E">
              <w:rPr>
                <w:rFonts w:asciiTheme="minorHAnsi" w:hAnsiTheme="minorHAnsi" w:cstheme="minorHAnsi"/>
                <w:i/>
                <w:iCs/>
                <w:sz w:val="22"/>
                <w:szCs w:val="22"/>
                <w:lang w:val="en-US"/>
              </w:rPr>
              <w:t>National and regional stakeholders, including green economy champions, decision-makers, practitioners, and youth representatives, access and apply knowledge for advancing IGE.</w:t>
            </w:r>
          </w:p>
        </w:tc>
      </w:tr>
      <w:tr w:rsidR="00BF6B9D" w:rsidRPr="0071206E" w14:paraId="56B701E7" w14:textId="77777777" w:rsidTr="007C5B8D">
        <w:trPr>
          <w:trHeight w:val="53"/>
        </w:trPr>
        <w:tc>
          <w:tcPr>
            <w:tcW w:w="1852"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15CC1A94" w14:textId="0C828580" w:rsidR="00BF6B9D" w:rsidRPr="0071206E" w:rsidRDefault="00BF6B9D" w:rsidP="007C5B8D">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Key achievements in 2024</w:t>
            </w:r>
          </w:p>
        </w:tc>
        <w:tc>
          <w:tcPr>
            <w:tcW w:w="8042" w:type="dxa"/>
            <w:tcBorders>
              <w:top w:val="single" w:sz="6" w:space="0" w:color="ABABAB"/>
              <w:left w:val="single" w:sz="6" w:space="0" w:color="ABABAB"/>
              <w:bottom w:val="single" w:sz="6" w:space="0" w:color="ABABAB"/>
              <w:right w:val="single" w:sz="6" w:space="0" w:color="ABABAB"/>
            </w:tcBorders>
            <w:shd w:val="clear" w:color="auto" w:fill="FFFFFF"/>
            <w:tcMar>
              <w:top w:w="0" w:type="dxa"/>
              <w:left w:w="108" w:type="dxa"/>
              <w:bottom w:w="0" w:type="dxa"/>
              <w:right w:w="108" w:type="dxa"/>
            </w:tcMar>
            <w:hideMark/>
          </w:tcPr>
          <w:p w14:paraId="470E223B" w14:textId="77777777" w:rsidR="008529FF" w:rsidRDefault="008529FF">
            <w:pPr>
              <w:pStyle w:val="NormalWeb"/>
              <w:rPr>
                <w:rFonts w:asciiTheme="minorHAnsi" w:hAnsiTheme="minorHAnsi" w:cstheme="minorHAnsi"/>
                <w:sz w:val="22"/>
                <w:szCs w:val="22"/>
                <w:shd w:val="clear" w:color="auto" w:fill="FFFFFF"/>
                <w:lang w:val="en-US"/>
              </w:rPr>
            </w:pPr>
            <w:r>
              <w:rPr>
                <w:rFonts w:asciiTheme="minorHAnsi" w:hAnsiTheme="minorHAnsi" w:cstheme="minorHAnsi"/>
                <w:sz w:val="22"/>
                <w:szCs w:val="22"/>
                <w:shd w:val="clear" w:color="auto" w:fill="FFFFFF"/>
                <w:lang w:val="en-US"/>
              </w:rPr>
              <w:t xml:space="preserve">n/a </w:t>
            </w:r>
          </w:p>
          <w:p w14:paraId="522453FD" w14:textId="4CF59FF3" w:rsidR="00BF6B9D" w:rsidRPr="0071206E" w:rsidRDefault="00BF6B9D">
            <w:pPr>
              <w:pStyle w:val="NormalWeb"/>
              <w:rPr>
                <w:rFonts w:asciiTheme="minorHAnsi" w:hAnsiTheme="minorHAnsi" w:cstheme="minorHAnsi"/>
                <w:sz w:val="22"/>
                <w:szCs w:val="22"/>
                <w:lang w:val="en-US"/>
              </w:rPr>
            </w:pPr>
          </w:p>
        </w:tc>
      </w:tr>
    </w:tbl>
    <w:p w14:paraId="45D0D176" w14:textId="77777777" w:rsidR="00BF6B9D" w:rsidRPr="0071206E" w:rsidRDefault="00BF6B9D" w:rsidP="00BF6B9D">
      <w:pPr>
        <w:pStyle w:val="elementtoproof"/>
        <w:shd w:val="clear" w:color="auto" w:fill="FFFFFF"/>
        <w:rPr>
          <w:rFonts w:asciiTheme="minorHAnsi" w:hAnsiTheme="minorHAnsi" w:cstheme="minorHAnsi"/>
        </w:rPr>
      </w:pPr>
      <w:r w:rsidRPr="0071206E">
        <w:rPr>
          <w:rFonts w:asciiTheme="minorHAnsi" w:hAnsiTheme="minorHAnsi" w:cstheme="minorHAnsi"/>
          <w:b/>
          <w:bCs/>
        </w:rPr>
        <w:t> </w:t>
      </w:r>
    </w:p>
    <w:p w14:paraId="09464BB7" w14:textId="1E6073E8" w:rsidR="002D3926" w:rsidRPr="0071206E" w:rsidRDefault="002D3926" w:rsidP="002D3926">
      <w:pPr>
        <w:jc w:val="center"/>
        <w:rPr>
          <w:rFonts w:asciiTheme="minorHAnsi" w:hAnsiTheme="minorHAnsi" w:cstheme="minorHAnsi"/>
          <w:b/>
          <w:iCs/>
          <w:sz w:val="22"/>
          <w:szCs w:val="22"/>
        </w:rPr>
      </w:pPr>
      <w:r w:rsidRPr="0071206E">
        <w:rPr>
          <w:rFonts w:asciiTheme="minorHAnsi" w:hAnsiTheme="minorHAnsi" w:cstheme="minorHAnsi"/>
          <w:b/>
          <w:iCs/>
          <w:sz w:val="22"/>
          <w:szCs w:val="22"/>
        </w:rPr>
        <w:t>UNDP – SENEGAL</w:t>
      </w:r>
    </w:p>
    <w:p w14:paraId="68D35B0F" w14:textId="25EC99D0" w:rsidR="002D3926" w:rsidRPr="0071206E" w:rsidRDefault="002D3926" w:rsidP="002D3926">
      <w:pPr>
        <w:jc w:val="center"/>
        <w:rPr>
          <w:rFonts w:asciiTheme="minorHAnsi" w:hAnsiTheme="minorHAnsi" w:cstheme="minorHAnsi"/>
          <w:bCs/>
          <w:iCs/>
          <w:sz w:val="22"/>
          <w:szCs w:val="22"/>
        </w:rPr>
      </w:pPr>
      <w:r w:rsidRPr="0071206E">
        <w:rPr>
          <w:rFonts w:asciiTheme="minorHAnsi" w:hAnsiTheme="minorHAnsi" w:cstheme="minorHAnsi"/>
          <w:bCs/>
          <w:iCs/>
          <w:sz w:val="22"/>
          <w:szCs w:val="22"/>
        </w:rPr>
        <w:t>N/A no more activities in 2024</w:t>
      </w:r>
    </w:p>
    <w:p w14:paraId="0F593567" w14:textId="77777777" w:rsidR="002D3926" w:rsidRPr="0071206E" w:rsidRDefault="002D3926" w:rsidP="002D3926">
      <w:pPr>
        <w:jc w:val="center"/>
        <w:rPr>
          <w:rFonts w:asciiTheme="minorHAnsi" w:hAnsiTheme="minorHAnsi" w:cstheme="minorHAnsi"/>
          <w:b/>
          <w:iCs/>
          <w:sz w:val="22"/>
          <w:szCs w:val="22"/>
        </w:rPr>
      </w:pPr>
    </w:p>
    <w:p w14:paraId="6C6279EC" w14:textId="77777777" w:rsidR="002D3926" w:rsidRPr="0071206E" w:rsidRDefault="002D3926" w:rsidP="002D3926">
      <w:pPr>
        <w:jc w:val="center"/>
        <w:rPr>
          <w:rFonts w:asciiTheme="minorHAnsi" w:hAnsiTheme="minorHAnsi" w:cstheme="minorHAnsi"/>
          <w:b/>
          <w:iCs/>
          <w:sz w:val="22"/>
          <w:szCs w:val="22"/>
        </w:rPr>
      </w:pPr>
      <w:r w:rsidRPr="0071206E">
        <w:rPr>
          <w:rFonts w:asciiTheme="minorHAnsi" w:hAnsiTheme="minorHAnsi" w:cstheme="minorHAnsi"/>
          <w:b/>
          <w:iCs/>
          <w:sz w:val="22"/>
          <w:szCs w:val="22"/>
        </w:rPr>
        <w:t>UNDP – GHANA</w:t>
      </w:r>
    </w:p>
    <w:p w14:paraId="18EC33D8" w14:textId="1D07394D" w:rsidR="002D3926" w:rsidRPr="0071206E" w:rsidRDefault="002D3926" w:rsidP="002D3926">
      <w:pPr>
        <w:jc w:val="center"/>
        <w:rPr>
          <w:rFonts w:asciiTheme="minorHAnsi" w:hAnsiTheme="minorHAnsi" w:cstheme="minorHAnsi"/>
          <w:bCs/>
          <w:iCs/>
          <w:sz w:val="22"/>
          <w:szCs w:val="22"/>
        </w:rPr>
      </w:pPr>
      <w:r w:rsidRPr="0071206E">
        <w:rPr>
          <w:rFonts w:asciiTheme="minorHAnsi" w:hAnsiTheme="minorHAnsi" w:cstheme="minorHAnsi"/>
          <w:bCs/>
          <w:iCs/>
          <w:sz w:val="22"/>
          <w:szCs w:val="22"/>
        </w:rPr>
        <w:t>N/A no more activities in 2024</w:t>
      </w:r>
    </w:p>
    <w:p w14:paraId="388DA888" w14:textId="77777777" w:rsidR="002D3926" w:rsidRPr="0071206E" w:rsidRDefault="002D3926" w:rsidP="002D3926">
      <w:pPr>
        <w:jc w:val="center"/>
        <w:rPr>
          <w:rFonts w:asciiTheme="minorHAnsi" w:hAnsiTheme="minorHAnsi" w:cstheme="minorHAnsi"/>
          <w:b/>
          <w:iCs/>
          <w:sz w:val="22"/>
          <w:szCs w:val="22"/>
        </w:rPr>
      </w:pPr>
    </w:p>
    <w:p w14:paraId="2D8732B0" w14:textId="77777777" w:rsidR="002D3926" w:rsidRPr="0071206E" w:rsidRDefault="002D3926" w:rsidP="002D3926">
      <w:pPr>
        <w:jc w:val="center"/>
        <w:rPr>
          <w:rFonts w:asciiTheme="minorHAnsi" w:hAnsiTheme="minorHAnsi" w:cstheme="minorHAnsi"/>
          <w:b/>
          <w:iCs/>
          <w:sz w:val="22"/>
          <w:szCs w:val="22"/>
        </w:rPr>
      </w:pPr>
      <w:r w:rsidRPr="0071206E">
        <w:rPr>
          <w:rFonts w:asciiTheme="minorHAnsi" w:hAnsiTheme="minorHAnsi" w:cstheme="minorHAnsi"/>
          <w:b/>
          <w:iCs/>
          <w:sz w:val="22"/>
          <w:szCs w:val="22"/>
        </w:rPr>
        <w:t>UNDP – MAURITIUS</w:t>
      </w:r>
    </w:p>
    <w:p w14:paraId="36B05624" w14:textId="338FB962" w:rsidR="002D3926" w:rsidRPr="0071206E" w:rsidRDefault="002D3926" w:rsidP="002D3926">
      <w:pPr>
        <w:jc w:val="center"/>
        <w:rPr>
          <w:rFonts w:asciiTheme="minorHAnsi" w:hAnsiTheme="minorHAnsi" w:cstheme="minorHAnsi"/>
          <w:bCs/>
          <w:iCs/>
          <w:sz w:val="22"/>
          <w:szCs w:val="22"/>
        </w:rPr>
      </w:pPr>
      <w:r w:rsidRPr="0071206E">
        <w:rPr>
          <w:rFonts w:asciiTheme="minorHAnsi" w:hAnsiTheme="minorHAnsi" w:cstheme="minorHAnsi"/>
          <w:bCs/>
          <w:iCs/>
          <w:sz w:val="22"/>
          <w:szCs w:val="22"/>
        </w:rPr>
        <w:t>N/A no more activities in 2024</w:t>
      </w:r>
    </w:p>
    <w:p w14:paraId="25E57281" w14:textId="77777777" w:rsidR="002D3926" w:rsidRPr="0071206E" w:rsidRDefault="002D3926" w:rsidP="002D3926">
      <w:pPr>
        <w:jc w:val="center"/>
        <w:rPr>
          <w:rFonts w:asciiTheme="minorHAnsi" w:hAnsiTheme="minorHAnsi" w:cstheme="minorHAnsi"/>
          <w:b/>
          <w:iCs/>
          <w:sz w:val="22"/>
          <w:szCs w:val="22"/>
        </w:rPr>
      </w:pPr>
    </w:p>
    <w:p w14:paraId="6E668704" w14:textId="77777777" w:rsidR="002D3926" w:rsidRPr="0071206E" w:rsidRDefault="002D3926" w:rsidP="002D3926">
      <w:pPr>
        <w:jc w:val="center"/>
        <w:rPr>
          <w:rFonts w:asciiTheme="minorHAnsi" w:hAnsiTheme="minorHAnsi" w:cstheme="minorHAnsi"/>
          <w:b/>
          <w:iCs/>
          <w:sz w:val="22"/>
          <w:szCs w:val="22"/>
        </w:rPr>
      </w:pPr>
      <w:r w:rsidRPr="0071206E">
        <w:rPr>
          <w:rFonts w:asciiTheme="minorHAnsi" w:hAnsiTheme="minorHAnsi" w:cstheme="minorHAnsi"/>
          <w:b/>
          <w:iCs/>
          <w:sz w:val="22"/>
          <w:szCs w:val="22"/>
        </w:rPr>
        <w:t>UNDP - BURKINA FASO</w:t>
      </w:r>
    </w:p>
    <w:p w14:paraId="6E56A195" w14:textId="258C0D22" w:rsidR="002D3926" w:rsidRPr="0071206E" w:rsidRDefault="002D3926" w:rsidP="002D3926">
      <w:pPr>
        <w:jc w:val="center"/>
        <w:rPr>
          <w:rFonts w:asciiTheme="minorHAnsi" w:hAnsiTheme="minorHAnsi" w:cstheme="minorHAnsi"/>
          <w:bCs/>
          <w:iCs/>
          <w:sz w:val="22"/>
          <w:szCs w:val="22"/>
        </w:rPr>
      </w:pPr>
      <w:r w:rsidRPr="0071206E">
        <w:rPr>
          <w:rFonts w:asciiTheme="minorHAnsi" w:hAnsiTheme="minorHAnsi" w:cstheme="minorHAnsi"/>
          <w:bCs/>
          <w:iCs/>
          <w:sz w:val="22"/>
          <w:szCs w:val="22"/>
        </w:rPr>
        <w:t>N/A no more activities in 2024</w:t>
      </w:r>
    </w:p>
    <w:p w14:paraId="0C81B829" w14:textId="77777777" w:rsidR="002D3926" w:rsidRPr="0071206E" w:rsidRDefault="002D3926" w:rsidP="002D3926">
      <w:pPr>
        <w:rPr>
          <w:rFonts w:asciiTheme="minorHAnsi" w:hAnsiTheme="minorHAnsi" w:cstheme="minorHAnsi"/>
          <w:b/>
          <w:iCs/>
          <w:sz w:val="22"/>
          <w:szCs w:val="22"/>
        </w:rPr>
      </w:pPr>
    </w:p>
    <w:p w14:paraId="6782A714" w14:textId="77777777" w:rsidR="002D3926" w:rsidRPr="0071206E" w:rsidRDefault="002D3926" w:rsidP="002D3926">
      <w:pPr>
        <w:jc w:val="center"/>
        <w:rPr>
          <w:rFonts w:asciiTheme="minorHAnsi" w:hAnsiTheme="minorHAnsi" w:cstheme="minorHAnsi"/>
          <w:b/>
          <w:iCs/>
          <w:sz w:val="22"/>
          <w:szCs w:val="22"/>
        </w:rPr>
      </w:pPr>
      <w:r w:rsidRPr="0071206E">
        <w:rPr>
          <w:rFonts w:asciiTheme="minorHAnsi" w:hAnsiTheme="minorHAnsi" w:cstheme="minorHAnsi"/>
          <w:b/>
          <w:iCs/>
          <w:sz w:val="22"/>
          <w:szCs w:val="22"/>
        </w:rPr>
        <w:t>UNDP - JIANGSU PROVINCE, CHINA</w:t>
      </w:r>
    </w:p>
    <w:p w14:paraId="1A508E39" w14:textId="2D762F96" w:rsidR="002D3926" w:rsidRPr="0071206E" w:rsidRDefault="002D3926" w:rsidP="002D3926">
      <w:pPr>
        <w:jc w:val="center"/>
        <w:rPr>
          <w:rFonts w:asciiTheme="minorHAnsi" w:hAnsiTheme="minorHAnsi" w:cstheme="minorHAnsi"/>
          <w:bCs/>
          <w:iCs/>
          <w:sz w:val="22"/>
          <w:szCs w:val="22"/>
        </w:rPr>
      </w:pPr>
      <w:r w:rsidRPr="0071206E">
        <w:rPr>
          <w:rFonts w:asciiTheme="minorHAnsi" w:hAnsiTheme="minorHAnsi" w:cstheme="minorHAnsi"/>
          <w:bCs/>
          <w:iCs/>
          <w:sz w:val="22"/>
          <w:szCs w:val="22"/>
        </w:rPr>
        <w:t>N/A no more activities in 2024</w:t>
      </w:r>
    </w:p>
    <w:p w14:paraId="1F6CE006" w14:textId="77777777" w:rsidR="002D3926" w:rsidRPr="0071206E" w:rsidRDefault="002D3926" w:rsidP="002D3926">
      <w:pPr>
        <w:rPr>
          <w:rFonts w:asciiTheme="minorHAnsi" w:hAnsiTheme="minorHAnsi" w:cstheme="minorHAnsi"/>
          <w:b/>
          <w:iCs/>
          <w:sz w:val="22"/>
          <w:szCs w:val="22"/>
        </w:rPr>
      </w:pPr>
    </w:p>
    <w:p w14:paraId="2EDB0C50" w14:textId="77777777" w:rsidR="002D3926" w:rsidRPr="0071206E" w:rsidRDefault="002D3926" w:rsidP="002D3926">
      <w:pPr>
        <w:jc w:val="center"/>
        <w:rPr>
          <w:rFonts w:asciiTheme="minorHAnsi" w:hAnsiTheme="minorHAnsi" w:cstheme="minorHAnsi"/>
          <w:b/>
          <w:iCs/>
          <w:sz w:val="22"/>
          <w:szCs w:val="22"/>
        </w:rPr>
      </w:pPr>
      <w:r w:rsidRPr="0071206E">
        <w:rPr>
          <w:rFonts w:asciiTheme="minorHAnsi" w:hAnsiTheme="minorHAnsi" w:cstheme="minorHAnsi"/>
          <w:b/>
          <w:iCs/>
          <w:sz w:val="22"/>
          <w:szCs w:val="22"/>
        </w:rPr>
        <w:t>UNDP - SOUTH AFRICA</w:t>
      </w:r>
    </w:p>
    <w:p w14:paraId="24743381" w14:textId="384CA068" w:rsidR="002D3926" w:rsidRPr="0071206E" w:rsidRDefault="002D3926" w:rsidP="002D3926">
      <w:pPr>
        <w:jc w:val="center"/>
        <w:rPr>
          <w:rFonts w:asciiTheme="minorHAnsi" w:hAnsiTheme="minorHAnsi" w:cstheme="minorHAnsi"/>
          <w:bCs/>
          <w:iCs/>
          <w:sz w:val="22"/>
          <w:szCs w:val="22"/>
        </w:rPr>
      </w:pPr>
      <w:r w:rsidRPr="0071206E">
        <w:rPr>
          <w:rFonts w:asciiTheme="minorHAnsi" w:hAnsiTheme="minorHAnsi" w:cstheme="minorHAnsi"/>
          <w:bCs/>
          <w:iCs/>
          <w:sz w:val="22"/>
          <w:szCs w:val="22"/>
        </w:rPr>
        <w:t>N/A no more activities in 2024</w:t>
      </w:r>
    </w:p>
    <w:p w14:paraId="18E8988F" w14:textId="77777777" w:rsidR="002D3926" w:rsidRPr="0071206E" w:rsidRDefault="002D3926" w:rsidP="002D3926">
      <w:pPr>
        <w:jc w:val="center"/>
        <w:rPr>
          <w:rFonts w:asciiTheme="minorHAnsi" w:hAnsiTheme="minorHAnsi" w:cstheme="minorHAnsi"/>
          <w:b/>
          <w:iCs/>
          <w:sz w:val="22"/>
          <w:szCs w:val="22"/>
        </w:rPr>
      </w:pPr>
    </w:p>
    <w:p w14:paraId="2E315E5F" w14:textId="77777777" w:rsidR="002D3926" w:rsidRPr="0071206E" w:rsidRDefault="002D3926" w:rsidP="002D3926">
      <w:pPr>
        <w:jc w:val="center"/>
        <w:rPr>
          <w:rFonts w:asciiTheme="minorHAnsi" w:hAnsiTheme="minorHAnsi" w:cstheme="minorHAnsi"/>
          <w:b/>
          <w:iCs/>
          <w:sz w:val="22"/>
          <w:szCs w:val="22"/>
          <w:lang w:val="it-IT"/>
        </w:rPr>
      </w:pPr>
      <w:r w:rsidRPr="0071206E">
        <w:rPr>
          <w:rFonts w:asciiTheme="minorHAnsi" w:hAnsiTheme="minorHAnsi" w:cstheme="minorHAnsi"/>
          <w:b/>
          <w:iCs/>
          <w:sz w:val="22"/>
          <w:szCs w:val="22"/>
          <w:lang w:val="it-IT"/>
        </w:rPr>
        <w:t>UNDP - MATO GROSSO STATE, BRAZIL</w:t>
      </w:r>
    </w:p>
    <w:p w14:paraId="70529610" w14:textId="51680D83" w:rsidR="00EA6DB1" w:rsidRPr="0071206E" w:rsidRDefault="002D3926" w:rsidP="002D3926">
      <w:pPr>
        <w:jc w:val="center"/>
        <w:rPr>
          <w:rFonts w:asciiTheme="minorHAnsi" w:hAnsiTheme="minorHAnsi" w:cstheme="minorHAnsi"/>
          <w:b/>
          <w:iCs/>
          <w:sz w:val="22"/>
          <w:szCs w:val="22"/>
        </w:rPr>
      </w:pPr>
      <w:r w:rsidRPr="0071206E">
        <w:rPr>
          <w:rFonts w:asciiTheme="minorHAnsi" w:hAnsiTheme="minorHAnsi" w:cstheme="minorHAnsi"/>
          <w:bCs/>
          <w:iCs/>
          <w:sz w:val="22"/>
          <w:szCs w:val="22"/>
        </w:rPr>
        <w:t>N/A no more activities in 2024</w:t>
      </w:r>
    </w:p>
    <w:p w14:paraId="053A8305" w14:textId="6BFD131D" w:rsidR="00EA6DB1" w:rsidRPr="0071206E" w:rsidRDefault="00EA6DB1" w:rsidP="00EA6DB1">
      <w:pPr>
        <w:rPr>
          <w:rFonts w:asciiTheme="minorHAnsi" w:hAnsiTheme="minorHAnsi" w:cstheme="minorHAnsi"/>
          <w:b/>
          <w:iCs/>
          <w:sz w:val="22"/>
          <w:szCs w:val="22"/>
        </w:rPr>
      </w:pPr>
      <w:r w:rsidRPr="0071206E">
        <w:rPr>
          <w:rFonts w:asciiTheme="minorHAnsi" w:hAnsiTheme="minorHAnsi" w:cstheme="minorHAnsi"/>
          <w:b/>
          <w:iCs/>
          <w:sz w:val="22"/>
          <w:szCs w:val="22"/>
        </w:rPr>
        <w:br w:type="page"/>
      </w:r>
    </w:p>
    <w:p w14:paraId="30C115C2" w14:textId="74A436F4" w:rsidR="00EA6DB1" w:rsidRPr="0071206E" w:rsidRDefault="00215FB8" w:rsidP="00EA6DB1">
      <w:pPr>
        <w:jc w:val="center"/>
        <w:rPr>
          <w:rFonts w:asciiTheme="minorHAnsi" w:hAnsiTheme="minorHAnsi" w:cstheme="minorHAnsi"/>
          <w:b/>
          <w:iCs/>
          <w:sz w:val="22"/>
          <w:szCs w:val="22"/>
        </w:rPr>
      </w:pPr>
      <w:r w:rsidRPr="0071206E">
        <w:rPr>
          <w:rFonts w:asciiTheme="minorHAnsi" w:hAnsiTheme="minorHAnsi" w:cstheme="minorHAnsi"/>
          <w:b/>
          <w:iCs/>
          <w:sz w:val="22"/>
          <w:szCs w:val="22"/>
        </w:rPr>
        <w:lastRenderedPageBreak/>
        <w:t>UNDP</w:t>
      </w:r>
      <w:r w:rsidR="00EA6DB1" w:rsidRPr="0071206E">
        <w:rPr>
          <w:rFonts w:asciiTheme="minorHAnsi" w:hAnsiTheme="minorHAnsi" w:cstheme="minorHAnsi"/>
          <w:b/>
          <w:iCs/>
          <w:sz w:val="22"/>
          <w:szCs w:val="22"/>
        </w:rPr>
        <w:t xml:space="preserve"> - KYRGYZ REPUBLIC</w:t>
      </w:r>
    </w:p>
    <w:p w14:paraId="7A6C7D21" w14:textId="77777777" w:rsidR="00EA6DB1" w:rsidRPr="0071206E" w:rsidRDefault="00EA6DB1" w:rsidP="00EA6DB1">
      <w:pPr>
        <w:rPr>
          <w:rFonts w:asciiTheme="minorHAnsi" w:hAnsiTheme="minorHAnsi" w:cstheme="minorHAnsi"/>
          <w:b/>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1269F63E" w14:textId="77777777" w:rsidTr="7A1375F1">
        <w:tc>
          <w:tcPr>
            <w:tcW w:w="9895" w:type="dxa"/>
            <w:gridSpan w:val="2"/>
          </w:tcPr>
          <w:p w14:paraId="2F094A09" w14:textId="77777777" w:rsidR="00EA6DB1" w:rsidRPr="0071206E" w:rsidRDefault="00EA6DB1" w:rsidP="00610125">
            <w:pPr>
              <w:rPr>
                <w:rFonts w:asciiTheme="minorHAnsi" w:hAnsiTheme="minorHAnsi" w:cstheme="minorHAnsi"/>
                <w:i/>
                <w:iCs/>
                <w:sz w:val="22"/>
                <w:szCs w:val="22"/>
              </w:rPr>
            </w:pPr>
            <w:r w:rsidRPr="0071206E">
              <w:rPr>
                <w:rFonts w:asciiTheme="minorHAnsi" w:hAnsiTheme="minorHAnsi" w:cstheme="minorHAnsi"/>
                <w:i/>
                <w:iCs/>
                <w:sz w:val="22"/>
                <w:szCs w:val="22"/>
              </w:rPr>
              <w:t>Outcome 1- Countries have reinforced and integrated inclusive green economy (IGE) goals targets into SDG aligned national economic and development planning through multi-stakeholder collaboration.</w:t>
            </w:r>
          </w:p>
        </w:tc>
      </w:tr>
      <w:tr w:rsidR="00EA6DB1" w:rsidRPr="0071206E" w14:paraId="7E133287" w14:textId="77777777" w:rsidTr="7A1375F1">
        <w:tc>
          <w:tcPr>
            <w:tcW w:w="2547" w:type="dxa"/>
          </w:tcPr>
          <w:p w14:paraId="06185A21" w14:textId="143C7453"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3323F7FB" w:rsidRPr="0071206E">
              <w:rPr>
                <w:rFonts w:asciiTheme="minorHAnsi" w:hAnsiTheme="minorHAnsi" w:cstheme="minorHAnsi"/>
                <w:b/>
                <w:bCs/>
                <w:sz w:val="22"/>
                <w:szCs w:val="22"/>
              </w:rPr>
              <w:t>4</w:t>
            </w:r>
          </w:p>
          <w:p w14:paraId="6F4660E7" w14:textId="77777777" w:rsidR="00EA6DB1" w:rsidRPr="0071206E" w:rsidRDefault="00EA6DB1" w:rsidP="00610125">
            <w:pPr>
              <w:rPr>
                <w:rFonts w:asciiTheme="minorHAnsi" w:hAnsiTheme="minorHAnsi" w:cstheme="minorHAnsi"/>
                <w:b/>
                <w:i/>
                <w:iCs/>
                <w:sz w:val="22"/>
                <w:szCs w:val="22"/>
              </w:rPr>
            </w:pPr>
          </w:p>
        </w:tc>
        <w:tc>
          <w:tcPr>
            <w:tcW w:w="7348" w:type="dxa"/>
          </w:tcPr>
          <w:p w14:paraId="02A47D4C" w14:textId="06060852" w:rsidR="00405B73" w:rsidRDefault="00405B73" w:rsidP="00405B73">
            <w:pPr>
              <w:rPr>
                <w:rFonts w:asciiTheme="minorHAnsi" w:hAnsiTheme="minorHAnsi" w:cstheme="minorHAnsi"/>
                <w:sz w:val="22"/>
                <w:szCs w:val="22"/>
              </w:rPr>
            </w:pPr>
            <w:r w:rsidRPr="0071206E">
              <w:rPr>
                <w:rFonts w:asciiTheme="minorHAnsi" w:hAnsiTheme="minorHAnsi" w:cstheme="minorHAnsi"/>
                <w:sz w:val="22"/>
                <w:szCs w:val="22"/>
              </w:rPr>
              <w:t>In 2024, UNDP continued its support to national stakeholders to advance green financing in Kyrgyzstan. Building on the partnership established with the State Development Bank (SDB) in 2023, UNDP</w:t>
            </w:r>
            <w:r w:rsidR="00147B65">
              <w:rPr>
                <w:rFonts w:asciiTheme="minorHAnsi" w:hAnsiTheme="minorHAnsi" w:cstheme="minorHAnsi"/>
                <w:sz w:val="22"/>
                <w:szCs w:val="22"/>
              </w:rPr>
              <w:t xml:space="preserve"> provided advisory </w:t>
            </w:r>
            <w:r w:rsidR="00942845">
              <w:rPr>
                <w:rFonts w:asciiTheme="minorHAnsi" w:hAnsiTheme="minorHAnsi" w:cstheme="minorHAnsi"/>
                <w:sz w:val="22"/>
                <w:szCs w:val="22"/>
              </w:rPr>
              <w:t xml:space="preserve">and capacity building </w:t>
            </w:r>
            <w:r w:rsidR="00147B65">
              <w:rPr>
                <w:rFonts w:asciiTheme="minorHAnsi" w:hAnsiTheme="minorHAnsi" w:cstheme="minorHAnsi"/>
                <w:sz w:val="22"/>
                <w:szCs w:val="22"/>
              </w:rPr>
              <w:t xml:space="preserve">support and </w:t>
            </w:r>
            <w:r w:rsidRPr="0071206E">
              <w:rPr>
                <w:rFonts w:asciiTheme="minorHAnsi" w:hAnsiTheme="minorHAnsi" w:cstheme="minorHAnsi"/>
                <w:sz w:val="22"/>
                <w:szCs w:val="22"/>
              </w:rPr>
              <w:t xml:space="preserve"> facilitated the launch of the Green Financing Programme, with an initial capitalization of over USD 8 million. This milestone marks a significant step toward strengthening sustainable economic transformation by providing dedicated financial mechanisms for green investments.</w:t>
            </w:r>
          </w:p>
          <w:p w14:paraId="6860AC57" w14:textId="77777777" w:rsidR="00E61A35" w:rsidRPr="0071206E" w:rsidRDefault="00E61A35" w:rsidP="00405B73">
            <w:pPr>
              <w:rPr>
                <w:rFonts w:asciiTheme="minorHAnsi" w:hAnsiTheme="minorHAnsi" w:cstheme="minorHAnsi"/>
                <w:sz w:val="22"/>
                <w:szCs w:val="22"/>
              </w:rPr>
            </w:pPr>
          </w:p>
          <w:p w14:paraId="7B6777B1" w14:textId="741207C2" w:rsidR="00405B73" w:rsidRPr="0071206E" w:rsidRDefault="00405B73" w:rsidP="00405B73">
            <w:pPr>
              <w:rPr>
                <w:rFonts w:asciiTheme="minorHAnsi" w:hAnsiTheme="minorHAnsi" w:cstheme="minorHAnsi"/>
                <w:sz w:val="22"/>
                <w:szCs w:val="22"/>
              </w:rPr>
            </w:pPr>
            <w:r w:rsidRPr="0071206E">
              <w:rPr>
                <w:rFonts w:asciiTheme="minorHAnsi" w:hAnsiTheme="minorHAnsi" w:cstheme="minorHAnsi"/>
                <w:sz w:val="22"/>
                <w:szCs w:val="22"/>
              </w:rPr>
              <w:t xml:space="preserve">The Green Financing Programme is designed </w:t>
            </w:r>
            <w:r w:rsidR="00942845">
              <w:rPr>
                <w:rFonts w:asciiTheme="minorHAnsi" w:hAnsiTheme="minorHAnsi" w:cstheme="minorHAnsi"/>
                <w:sz w:val="22"/>
                <w:szCs w:val="22"/>
              </w:rPr>
              <w:t xml:space="preserve">by the State Development Bank of Kyrgyzstan </w:t>
            </w:r>
            <w:r w:rsidRPr="0071206E">
              <w:rPr>
                <w:rFonts w:asciiTheme="minorHAnsi" w:hAnsiTheme="minorHAnsi" w:cstheme="minorHAnsi"/>
                <w:sz w:val="22"/>
                <w:szCs w:val="22"/>
              </w:rPr>
              <w:t>to catalyze green projects across priority sectors, including energy, transport, and sustainable industry, supporting Kyrgyzstan’s transition to a low-carbon and resilient economy. The funding will be disbursed through two channels:</w:t>
            </w:r>
          </w:p>
          <w:p w14:paraId="4B67AC27" w14:textId="77777777" w:rsidR="00405B73" w:rsidRPr="0071206E" w:rsidRDefault="00405B73" w:rsidP="00405B73">
            <w:pPr>
              <w:rPr>
                <w:rFonts w:asciiTheme="minorHAnsi" w:hAnsiTheme="minorHAnsi" w:cstheme="minorHAnsi"/>
                <w:sz w:val="22"/>
                <w:szCs w:val="22"/>
              </w:rPr>
            </w:pPr>
            <w:r w:rsidRPr="0071206E">
              <w:rPr>
                <w:rFonts w:asciiTheme="minorHAnsi" w:hAnsiTheme="minorHAnsi" w:cstheme="minorHAnsi"/>
                <w:sz w:val="22"/>
                <w:szCs w:val="22"/>
              </w:rPr>
              <w:t>1.</w:t>
            </w:r>
            <w:r w:rsidRPr="0071206E">
              <w:rPr>
                <w:rFonts w:asciiTheme="minorHAnsi" w:hAnsiTheme="minorHAnsi" w:cstheme="minorHAnsi"/>
                <w:sz w:val="22"/>
                <w:szCs w:val="22"/>
              </w:rPr>
              <w:tab/>
              <w:t>Partner Financial Institutions: Partner commercial banks will provide concessional funding to entrepreneurs and businesses for eligible green projects.</w:t>
            </w:r>
          </w:p>
          <w:p w14:paraId="7A00719B" w14:textId="0BEF63A1" w:rsidR="00EA6DB1" w:rsidRPr="0071206E" w:rsidRDefault="00405B73" w:rsidP="009D37C9">
            <w:pPr>
              <w:rPr>
                <w:rFonts w:asciiTheme="minorHAnsi" w:hAnsiTheme="minorHAnsi" w:cstheme="minorHAnsi"/>
                <w:sz w:val="22"/>
                <w:szCs w:val="22"/>
              </w:rPr>
            </w:pPr>
            <w:r w:rsidRPr="0071206E">
              <w:rPr>
                <w:rFonts w:asciiTheme="minorHAnsi" w:hAnsiTheme="minorHAnsi" w:cstheme="minorHAnsi"/>
                <w:sz w:val="22"/>
                <w:szCs w:val="22"/>
              </w:rPr>
              <w:t>2.</w:t>
            </w:r>
            <w:r w:rsidRPr="0071206E">
              <w:rPr>
                <w:rFonts w:asciiTheme="minorHAnsi" w:hAnsiTheme="minorHAnsi" w:cstheme="minorHAnsi"/>
                <w:sz w:val="22"/>
                <w:szCs w:val="22"/>
              </w:rPr>
              <w:tab/>
              <w:t>Direct Support to Entrepreneurs: The State Development Bank will directly finance initiatives that align with green economy priorities.</w:t>
            </w:r>
          </w:p>
        </w:tc>
      </w:tr>
      <w:tr w:rsidR="00EA6DB1" w:rsidRPr="0071206E" w14:paraId="44368A25" w14:textId="77777777" w:rsidTr="7A1375F1">
        <w:tc>
          <w:tcPr>
            <w:tcW w:w="2547" w:type="dxa"/>
          </w:tcPr>
          <w:p w14:paraId="4186628C" w14:textId="2945734F"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6EAA51B5"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2463A61B"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5B7F784A" w14:textId="68A7F886" w:rsidR="00EA6DB1" w:rsidRPr="0071206E" w:rsidRDefault="009D37C9" w:rsidP="00610125">
            <w:pPr>
              <w:spacing w:after="200"/>
              <w:rPr>
                <w:rFonts w:asciiTheme="minorHAnsi" w:hAnsiTheme="minorHAnsi" w:cstheme="minorHAnsi"/>
                <w:sz w:val="22"/>
                <w:szCs w:val="22"/>
              </w:rPr>
            </w:pPr>
            <w:r>
              <w:rPr>
                <w:rFonts w:asciiTheme="minorHAnsi" w:hAnsiTheme="minorHAnsi" w:cstheme="minorHAnsi"/>
                <w:sz w:val="22"/>
                <w:szCs w:val="22"/>
              </w:rPr>
              <w:t>n/a</w:t>
            </w:r>
          </w:p>
        </w:tc>
      </w:tr>
    </w:tbl>
    <w:p w14:paraId="7B5E906B" w14:textId="77777777" w:rsidR="00EA6DB1" w:rsidRPr="0071206E" w:rsidRDefault="00EA6DB1" w:rsidP="00EA6DB1">
      <w:pPr>
        <w:rPr>
          <w:rFonts w:asciiTheme="minorHAnsi" w:hAnsiTheme="minorHAnsi" w:cstheme="minorHAnsi"/>
          <w:b/>
          <w:i/>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61336310" w14:textId="77777777" w:rsidTr="7A1375F1">
        <w:tc>
          <w:tcPr>
            <w:tcW w:w="9895" w:type="dxa"/>
            <w:gridSpan w:val="2"/>
          </w:tcPr>
          <w:p w14:paraId="75D7570C" w14:textId="0A9F2FE7" w:rsidR="00EA6DB1" w:rsidRPr="0071206E" w:rsidRDefault="00EA6DB1" w:rsidP="7A1375F1">
            <w:pPr>
              <w:rPr>
                <w:rFonts w:asciiTheme="minorHAnsi" w:hAnsiTheme="minorHAnsi" w:cstheme="minorHAnsi"/>
                <w:b/>
                <w:bCs/>
                <w:i/>
                <w:iCs/>
                <w:sz w:val="22"/>
                <w:szCs w:val="22"/>
              </w:rPr>
            </w:pPr>
            <w:r w:rsidRPr="0071206E">
              <w:rPr>
                <w:rFonts w:asciiTheme="minorHAnsi" w:hAnsiTheme="minorHAnsi" w:cstheme="minorHAnsi"/>
                <w:i/>
                <w:iCs/>
                <w:sz w:val="22"/>
                <w:szCs w:val="22"/>
              </w:rPr>
              <w:t xml:space="preserve">Outcome 2 - Countries are implementing </w:t>
            </w:r>
            <w:r w:rsidR="50733AFD" w:rsidRPr="0071206E">
              <w:rPr>
                <w:rFonts w:asciiTheme="minorHAnsi" w:hAnsiTheme="minorHAnsi" w:cstheme="minorHAnsi"/>
                <w:i/>
                <w:iCs/>
                <w:sz w:val="22"/>
                <w:szCs w:val="22"/>
              </w:rPr>
              <w:t>evidence-based</w:t>
            </w:r>
            <w:r w:rsidRPr="0071206E">
              <w:rPr>
                <w:rFonts w:asciiTheme="minorHAnsi" w:hAnsiTheme="minorHAnsi" w:cstheme="minorHAnsi"/>
                <w:i/>
                <w:iCs/>
                <w:sz w:val="22"/>
                <w:szCs w:val="22"/>
              </w:rPr>
              <w:t xml:space="preserve"> sectoral and thematic reforms in line with national IGE priorities.</w:t>
            </w:r>
          </w:p>
        </w:tc>
      </w:tr>
      <w:tr w:rsidR="00EA6DB1" w:rsidRPr="0071206E" w14:paraId="5990A152" w14:textId="77777777" w:rsidTr="7A1375F1">
        <w:tc>
          <w:tcPr>
            <w:tcW w:w="2547" w:type="dxa"/>
            <w:shd w:val="clear" w:color="auto" w:fill="auto"/>
          </w:tcPr>
          <w:p w14:paraId="0B6C58D3" w14:textId="500036E5"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58E80953" w:rsidRPr="0071206E">
              <w:rPr>
                <w:rFonts w:asciiTheme="minorHAnsi" w:hAnsiTheme="minorHAnsi" w:cstheme="minorHAnsi"/>
                <w:b/>
                <w:bCs/>
                <w:sz w:val="22"/>
                <w:szCs w:val="22"/>
              </w:rPr>
              <w:t>4</w:t>
            </w:r>
          </w:p>
          <w:p w14:paraId="56983B5E" w14:textId="77777777" w:rsidR="00EA6DB1" w:rsidRPr="0071206E" w:rsidRDefault="00EA6DB1" w:rsidP="00610125">
            <w:pPr>
              <w:rPr>
                <w:rFonts w:asciiTheme="minorHAnsi" w:hAnsiTheme="minorHAnsi" w:cstheme="minorHAnsi"/>
                <w:b/>
                <w:i/>
                <w:iCs/>
                <w:sz w:val="22"/>
                <w:szCs w:val="22"/>
              </w:rPr>
            </w:pPr>
            <w:r w:rsidRPr="0071206E">
              <w:rPr>
                <w:rFonts w:asciiTheme="minorHAnsi" w:hAnsiTheme="minorHAnsi" w:cstheme="minorHAnsi"/>
                <w:b/>
                <w:i/>
                <w:iCs/>
                <w:sz w:val="22"/>
                <w:szCs w:val="22"/>
              </w:rPr>
              <w:t xml:space="preserve"> </w:t>
            </w:r>
          </w:p>
        </w:tc>
        <w:tc>
          <w:tcPr>
            <w:tcW w:w="7348" w:type="dxa"/>
            <w:shd w:val="clear" w:color="auto" w:fill="auto"/>
          </w:tcPr>
          <w:p w14:paraId="65B125C1" w14:textId="77777777" w:rsidR="00302AEA" w:rsidRDefault="00302AEA" w:rsidP="00302AEA">
            <w:pPr>
              <w:rPr>
                <w:rFonts w:asciiTheme="minorHAnsi" w:hAnsiTheme="minorHAnsi" w:cstheme="minorHAnsi"/>
                <w:sz w:val="22"/>
                <w:szCs w:val="22"/>
              </w:rPr>
            </w:pPr>
            <w:r w:rsidRPr="0071206E">
              <w:rPr>
                <w:rFonts w:asciiTheme="minorHAnsi" w:hAnsiTheme="minorHAnsi" w:cstheme="minorHAnsi"/>
                <w:sz w:val="22"/>
                <w:szCs w:val="22"/>
              </w:rPr>
              <w:t>As of mid-2024, the State Development Bank has signed formal partnership agreements with several leading commercial banks. These agreements enable the provision of concessional loans to incentivize green projects, including renewable energy, energy-efficient solutions, sustainable agriculture, and low-emission transport systems. This structured financial support is expected to unlock private sector participation in green financing, reduce barriers for small and medium enterprises (SMEs), and accelerate investments into sustainable solutions.</w:t>
            </w:r>
          </w:p>
          <w:p w14:paraId="58025A05" w14:textId="77777777" w:rsidR="00302AEA" w:rsidRPr="0071206E" w:rsidRDefault="00302AEA" w:rsidP="00302AEA">
            <w:pPr>
              <w:rPr>
                <w:rFonts w:asciiTheme="minorHAnsi" w:hAnsiTheme="minorHAnsi" w:cstheme="minorHAnsi"/>
                <w:sz w:val="22"/>
                <w:szCs w:val="22"/>
              </w:rPr>
            </w:pPr>
          </w:p>
          <w:p w14:paraId="292A5F24" w14:textId="6D4443C9" w:rsidR="00EA6DB1" w:rsidRPr="0071206E" w:rsidRDefault="00302AEA" w:rsidP="00302AEA">
            <w:pPr>
              <w:rPr>
                <w:rFonts w:asciiTheme="minorHAnsi" w:hAnsiTheme="minorHAnsi" w:cstheme="minorHAnsi"/>
                <w:iCs/>
                <w:sz w:val="22"/>
                <w:szCs w:val="22"/>
              </w:rPr>
            </w:pPr>
            <w:r w:rsidRPr="0071206E">
              <w:rPr>
                <w:rFonts w:asciiTheme="minorHAnsi" w:hAnsiTheme="minorHAnsi" w:cstheme="minorHAnsi"/>
                <w:sz w:val="22"/>
                <w:szCs w:val="22"/>
              </w:rPr>
              <w:t>The Green Financing Programme aligns with the government’s Green Economy Development Program (2024–2028) and is a tangible outcome of PAGE-supported efforts to strengthen policy conditions for sustainable finance. Moving forward, UNDP will continue to work closely with the State Development Bank and other stakeholders to monitor implementation progress, assess impacts, and ensure effective scaling of green finance mechanisms.</w:t>
            </w:r>
            <w:r>
              <w:rPr>
                <w:rFonts w:asciiTheme="minorHAnsi" w:hAnsiTheme="minorHAnsi" w:cstheme="minorHAnsi"/>
                <w:sz w:val="22"/>
                <w:szCs w:val="22"/>
              </w:rPr>
              <w:t xml:space="preserve"> </w:t>
            </w:r>
            <w:r w:rsidRPr="0071206E">
              <w:rPr>
                <w:rFonts w:asciiTheme="minorHAnsi" w:hAnsiTheme="minorHAnsi" w:cstheme="minorHAnsi"/>
                <w:sz w:val="22"/>
                <w:szCs w:val="22"/>
              </w:rPr>
              <w:t>By providing accessible funding for green projects and fostering public-private collaboration, this initiative contributes to achieving Kyrgyzstan’s climate action targets and advancing an inclusive green economy.</w:t>
            </w:r>
          </w:p>
        </w:tc>
      </w:tr>
      <w:tr w:rsidR="00EA6DB1" w:rsidRPr="0071206E" w14:paraId="6B8554FC" w14:textId="77777777" w:rsidTr="7A1375F1">
        <w:tc>
          <w:tcPr>
            <w:tcW w:w="2547" w:type="dxa"/>
          </w:tcPr>
          <w:p w14:paraId="1C89BE4D" w14:textId="19A13178"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3BF8A4BF"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08EB642B"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6B565EF2" w14:textId="0800A93D" w:rsidR="00EA6DB1" w:rsidRPr="0071206E" w:rsidRDefault="009D37C9" w:rsidP="00610125">
            <w:pPr>
              <w:spacing w:after="200"/>
              <w:rPr>
                <w:rFonts w:asciiTheme="minorHAnsi" w:hAnsiTheme="minorHAnsi" w:cstheme="minorHAnsi"/>
                <w:sz w:val="22"/>
                <w:szCs w:val="22"/>
              </w:rPr>
            </w:pPr>
            <w:r>
              <w:rPr>
                <w:rFonts w:asciiTheme="minorHAnsi" w:hAnsiTheme="minorHAnsi" w:cstheme="minorHAnsi"/>
                <w:sz w:val="22"/>
                <w:szCs w:val="22"/>
              </w:rPr>
              <w:t>n/a</w:t>
            </w:r>
          </w:p>
        </w:tc>
      </w:tr>
    </w:tbl>
    <w:p w14:paraId="751A371D" w14:textId="77777777" w:rsidR="00EA6DB1" w:rsidRPr="0071206E" w:rsidRDefault="00EA6DB1" w:rsidP="00EA6DB1">
      <w:pPr>
        <w:rPr>
          <w:rFonts w:asciiTheme="minorHAnsi" w:hAnsiTheme="minorHAnsi" w:cstheme="minorHAnsi"/>
          <w:b/>
          <w:i/>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55A2AED7" w14:textId="77777777" w:rsidTr="7A1375F1">
        <w:tc>
          <w:tcPr>
            <w:tcW w:w="9895" w:type="dxa"/>
            <w:gridSpan w:val="2"/>
          </w:tcPr>
          <w:p w14:paraId="09C13F36" w14:textId="77777777" w:rsidR="00EA6DB1" w:rsidRPr="0071206E" w:rsidRDefault="00EA6DB1" w:rsidP="00610125">
            <w:pPr>
              <w:rPr>
                <w:rFonts w:asciiTheme="minorHAnsi" w:hAnsiTheme="minorHAnsi" w:cstheme="minorHAnsi"/>
                <w:i/>
                <w:iCs/>
                <w:sz w:val="22"/>
                <w:szCs w:val="22"/>
              </w:rPr>
            </w:pPr>
            <w:r w:rsidRPr="0071206E">
              <w:rPr>
                <w:rFonts w:asciiTheme="minorHAnsi" w:hAnsiTheme="minorHAnsi" w:cstheme="minorHAnsi"/>
                <w:i/>
                <w:iCs/>
                <w:sz w:val="22"/>
                <w:szCs w:val="22"/>
              </w:rPr>
              <w:lastRenderedPageBreak/>
              <w:t xml:space="preserve">Outcome 3 - Individual, institutional and planning capacities for IGE action strengthened at the </w:t>
            </w:r>
            <w:r w:rsidRPr="0071206E">
              <w:rPr>
                <w:rFonts w:asciiTheme="minorHAnsi" w:hAnsiTheme="minorHAnsi" w:cstheme="minorHAnsi"/>
                <w:i/>
                <w:iCs/>
                <w:sz w:val="22"/>
                <w:szCs w:val="22"/>
                <w:u w:val="single"/>
              </w:rPr>
              <w:t>national</w:t>
            </w:r>
            <w:r w:rsidRPr="0071206E">
              <w:rPr>
                <w:rFonts w:asciiTheme="minorHAnsi" w:hAnsiTheme="minorHAnsi" w:cstheme="minorHAnsi"/>
                <w:i/>
                <w:iCs/>
                <w:sz w:val="22"/>
                <w:szCs w:val="22"/>
              </w:rPr>
              <w:t xml:space="preserve"> and (global) level.</w:t>
            </w:r>
          </w:p>
        </w:tc>
      </w:tr>
      <w:tr w:rsidR="00EA6DB1" w:rsidRPr="0071206E" w14:paraId="4F7881FB" w14:textId="77777777" w:rsidTr="7A1375F1">
        <w:tc>
          <w:tcPr>
            <w:tcW w:w="2547" w:type="dxa"/>
          </w:tcPr>
          <w:p w14:paraId="5D1A5F19" w14:textId="4AAFF7ED"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6ADA1E15" w:rsidRPr="0071206E">
              <w:rPr>
                <w:rFonts w:asciiTheme="minorHAnsi" w:hAnsiTheme="minorHAnsi" w:cstheme="minorHAnsi"/>
                <w:b/>
                <w:bCs/>
                <w:sz w:val="22"/>
                <w:szCs w:val="22"/>
              </w:rPr>
              <w:t>4</w:t>
            </w:r>
          </w:p>
          <w:p w14:paraId="57BF18A0" w14:textId="77777777" w:rsidR="00EA6DB1" w:rsidRPr="0071206E" w:rsidRDefault="00EA6DB1" w:rsidP="00610125">
            <w:pPr>
              <w:rPr>
                <w:rFonts w:asciiTheme="minorHAnsi" w:hAnsiTheme="minorHAnsi" w:cstheme="minorHAnsi"/>
                <w:b/>
                <w:i/>
                <w:iCs/>
                <w:sz w:val="22"/>
                <w:szCs w:val="22"/>
              </w:rPr>
            </w:pPr>
            <w:r w:rsidRPr="0071206E">
              <w:rPr>
                <w:rFonts w:asciiTheme="minorHAnsi" w:hAnsiTheme="minorHAnsi" w:cstheme="minorHAnsi"/>
                <w:b/>
                <w:i/>
                <w:iCs/>
                <w:sz w:val="22"/>
                <w:szCs w:val="22"/>
              </w:rPr>
              <w:t xml:space="preserve"> </w:t>
            </w:r>
          </w:p>
        </w:tc>
        <w:tc>
          <w:tcPr>
            <w:tcW w:w="7348" w:type="dxa"/>
          </w:tcPr>
          <w:p w14:paraId="59208418" w14:textId="2BE93A33" w:rsidR="00EA6DB1" w:rsidRPr="0071206E" w:rsidRDefault="00253217" w:rsidP="00610125">
            <w:pPr>
              <w:rPr>
                <w:rFonts w:asciiTheme="minorHAnsi" w:hAnsiTheme="minorHAnsi" w:cstheme="minorHAnsi"/>
                <w:iCs/>
                <w:sz w:val="22"/>
                <w:szCs w:val="22"/>
              </w:rPr>
            </w:pPr>
            <w:r>
              <w:rPr>
                <w:rFonts w:asciiTheme="minorHAnsi" w:hAnsiTheme="minorHAnsi" w:cstheme="minorHAnsi"/>
                <w:iCs/>
                <w:sz w:val="22"/>
                <w:szCs w:val="22"/>
              </w:rPr>
              <w:t>n/a</w:t>
            </w:r>
          </w:p>
        </w:tc>
      </w:tr>
      <w:tr w:rsidR="00EA6DB1" w:rsidRPr="0071206E" w14:paraId="669E9E9B" w14:textId="77777777" w:rsidTr="7A1375F1">
        <w:tc>
          <w:tcPr>
            <w:tcW w:w="2547" w:type="dxa"/>
          </w:tcPr>
          <w:p w14:paraId="5D1F5E49" w14:textId="03D4C3A9"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2B677802"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04EF4490"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17710A23" w14:textId="672BD73E" w:rsidR="00EA6DB1" w:rsidRPr="0071206E" w:rsidRDefault="00253217" w:rsidP="00610125">
            <w:pPr>
              <w:spacing w:after="200"/>
              <w:rPr>
                <w:rFonts w:asciiTheme="minorHAnsi" w:hAnsiTheme="minorHAnsi" w:cstheme="minorHAnsi"/>
                <w:sz w:val="22"/>
                <w:szCs w:val="22"/>
              </w:rPr>
            </w:pPr>
            <w:r>
              <w:rPr>
                <w:rFonts w:asciiTheme="minorHAnsi" w:hAnsiTheme="minorHAnsi" w:cstheme="minorHAnsi"/>
                <w:sz w:val="22"/>
                <w:szCs w:val="22"/>
              </w:rPr>
              <w:t>n/a</w:t>
            </w:r>
          </w:p>
        </w:tc>
      </w:tr>
    </w:tbl>
    <w:p w14:paraId="6E377B7E" w14:textId="77777777" w:rsidR="00EA6DB1" w:rsidRPr="0071206E" w:rsidRDefault="00EA6DB1" w:rsidP="00EA6DB1">
      <w:pPr>
        <w:rPr>
          <w:rFonts w:asciiTheme="minorHAnsi" w:hAnsiTheme="minorHAnsi" w:cstheme="minorHAnsi"/>
          <w:b/>
          <w:iCs/>
          <w:sz w:val="22"/>
          <w:szCs w:val="22"/>
        </w:rPr>
      </w:pPr>
    </w:p>
    <w:tbl>
      <w:tblPr>
        <w:tblStyle w:val="TableGrid"/>
        <w:tblW w:w="9895" w:type="dxa"/>
        <w:tblLook w:val="04A0" w:firstRow="1" w:lastRow="0" w:firstColumn="1" w:lastColumn="0" w:noHBand="0" w:noVBand="1"/>
      </w:tblPr>
      <w:tblGrid>
        <w:gridCol w:w="2520"/>
        <w:gridCol w:w="7375"/>
      </w:tblGrid>
      <w:tr w:rsidR="00EA6DB1" w:rsidRPr="0071206E" w14:paraId="75DEF4BD" w14:textId="77777777" w:rsidTr="7A1375F1">
        <w:tc>
          <w:tcPr>
            <w:tcW w:w="9895" w:type="dxa"/>
            <w:gridSpan w:val="2"/>
          </w:tcPr>
          <w:p w14:paraId="61899326" w14:textId="77777777" w:rsidR="00EA6DB1" w:rsidRPr="0071206E" w:rsidRDefault="00EA6DB1" w:rsidP="00610125">
            <w:pPr>
              <w:rPr>
                <w:rFonts w:asciiTheme="minorHAnsi" w:hAnsiTheme="minorHAnsi" w:cstheme="minorHAnsi"/>
                <w:iCs/>
                <w:sz w:val="22"/>
                <w:szCs w:val="22"/>
              </w:rPr>
            </w:pPr>
            <w:r w:rsidRPr="0071206E">
              <w:rPr>
                <w:rFonts w:asciiTheme="minorHAnsi" w:hAnsiTheme="minorHAnsi" w:cstheme="minorHAnsi"/>
                <w:bCs/>
                <w:iCs/>
                <w:sz w:val="22"/>
                <w:szCs w:val="22"/>
              </w:rPr>
              <w:t xml:space="preserve">Outcome 4 - </w:t>
            </w:r>
            <w:r w:rsidRPr="0071206E">
              <w:rPr>
                <w:rFonts w:asciiTheme="minorHAnsi" w:hAnsiTheme="minorHAnsi" w:cstheme="minorHAnsi"/>
                <w:bCs/>
                <w:i/>
                <w:sz w:val="22"/>
                <w:szCs w:val="22"/>
              </w:rPr>
              <w:t>National and regional stakeholders, including green economy champions, decision-makers, practitioners, and youth representatives, access and apply knowledge for advancing IGE.</w:t>
            </w:r>
          </w:p>
        </w:tc>
      </w:tr>
      <w:tr w:rsidR="00EA6DB1" w:rsidRPr="0071206E" w14:paraId="443D2C85" w14:textId="77777777" w:rsidTr="7A1375F1">
        <w:tc>
          <w:tcPr>
            <w:tcW w:w="2520" w:type="dxa"/>
          </w:tcPr>
          <w:p w14:paraId="055FF1FF" w14:textId="23FBC4F4"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08B5FF06" w:rsidRPr="0071206E">
              <w:rPr>
                <w:rFonts w:asciiTheme="minorHAnsi" w:hAnsiTheme="minorHAnsi" w:cstheme="minorHAnsi"/>
                <w:b/>
                <w:bCs/>
                <w:sz w:val="22"/>
                <w:szCs w:val="22"/>
              </w:rPr>
              <w:t>4</w:t>
            </w:r>
          </w:p>
          <w:p w14:paraId="4CD37683" w14:textId="77777777" w:rsidR="00EA6DB1" w:rsidRPr="0071206E" w:rsidRDefault="00EA6DB1" w:rsidP="00610125">
            <w:pPr>
              <w:rPr>
                <w:rFonts w:asciiTheme="minorHAnsi" w:hAnsiTheme="minorHAnsi" w:cstheme="minorHAnsi"/>
                <w:b/>
                <w:iCs/>
                <w:sz w:val="22"/>
                <w:szCs w:val="22"/>
              </w:rPr>
            </w:pPr>
          </w:p>
        </w:tc>
        <w:tc>
          <w:tcPr>
            <w:tcW w:w="7375" w:type="dxa"/>
            <w:vAlign w:val="center"/>
          </w:tcPr>
          <w:p w14:paraId="1B61067F" w14:textId="77777777" w:rsidR="00216D3E" w:rsidRPr="0071206E" w:rsidRDefault="00216D3E" w:rsidP="00216D3E">
            <w:pPr>
              <w:rPr>
                <w:rFonts w:asciiTheme="minorHAnsi" w:hAnsiTheme="minorHAnsi" w:cstheme="minorHAnsi"/>
                <w:sz w:val="22"/>
                <w:szCs w:val="22"/>
              </w:rPr>
            </w:pPr>
            <w:r w:rsidRPr="0071206E">
              <w:rPr>
                <w:rFonts w:asciiTheme="minorHAnsi" w:hAnsiTheme="minorHAnsi" w:cstheme="minorHAnsi"/>
                <w:sz w:val="22"/>
                <w:szCs w:val="22"/>
              </w:rPr>
              <w:t>In 2024, the Green Economy Forum was successfully expanded to a regional scale, becoming the Regional Forum “Green Economy 2024: Green Way of Development of Central Asia”. Held on 23 October in Bishkek under the leadership of the Ministry of Economy and Commerce of the Kyrgyz Republic and the Association JIA, the forum brought together over 1,000 participants from five Central Asian countries. Attendees included representatives of business associations, the private sector, civil society, expert communities, public sector, academia, educational institutions, international organizations, and mass media.</w:t>
            </w:r>
          </w:p>
          <w:p w14:paraId="2B417427" w14:textId="1E7EA15F" w:rsidR="00783994" w:rsidRPr="00783994" w:rsidRDefault="00216D3E" w:rsidP="00783994">
            <w:pPr>
              <w:rPr>
                <w:rFonts w:asciiTheme="minorHAnsi" w:hAnsiTheme="minorHAnsi" w:cstheme="minorHAnsi"/>
                <w:sz w:val="22"/>
                <w:szCs w:val="22"/>
              </w:rPr>
            </w:pPr>
            <w:r w:rsidRPr="0071206E">
              <w:rPr>
                <w:rFonts w:asciiTheme="minorHAnsi" w:hAnsiTheme="minorHAnsi" w:cstheme="minorHAnsi"/>
                <w:sz w:val="22"/>
                <w:szCs w:val="22"/>
              </w:rPr>
              <w:t>The participants acknowledged the forum as a key regional platform for increasing awareness, fostering discussions, and facilitating cooperation on green economy issues across Central Asia. The event provided an opportunity for multi-stakeholder dialogue, emphasizing the need for cross-border collaboration to promote sustainable economic development.</w:t>
            </w:r>
            <w:r w:rsidR="00783994">
              <w:rPr>
                <w:rFonts w:asciiTheme="minorHAnsi" w:hAnsiTheme="minorHAnsi" w:cstheme="minorHAnsi"/>
                <w:sz w:val="22"/>
                <w:szCs w:val="22"/>
              </w:rPr>
              <w:t xml:space="preserve"> UNDP </w:t>
            </w:r>
            <w:r w:rsidR="00A27741">
              <w:rPr>
                <w:rFonts w:asciiTheme="minorHAnsi" w:hAnsiTheme="minorHAnsi" w:cstheme="minorHAnsi"/>
                <w:sz w:val="22"/>
                <w:szCs w:val="22"/>
              </w:rPr>
              <w:t xml:space="preserve">supported </w:t>
            </w:r>
            <w:r w:rsidR="00783994" w:rsidRPr="00783994">
              <w:rPr>
                <w:rFonts w:asciiTheme="minorHAnsi" w:hAnsiTheme="minorHAnsi" w:cstheme="minorHAnsi"/>
                <w:sz w:val="22"/>
                <w:szCs w:val="22"/>
              </w:rPr>
              <w:t>the organization</w:t>
            </w:r>
            <w:r w:rsidR="00A27741">
              <w:rPr>
                <w:rFonts w:asciiTheme="minorHAnsi" w:hAnsiTheme="minorHAnsi" w:cstheme="minorHAnsi"/>
                <w:sz w:val="22"/>
                <w:szCs w:val="22"/>
              </w:rPr>
              <w:t xml:space="preserve"> of the Forum</w:t>
            </w:r>
            <w:r w:rsidR="00783994" w:rsidRPr="00783994">
              <w:rPr>
                <w:rFonts w:asciiTheme="minorHAnsi" w:hAnsiTheme="minorHAnsi" w:cstheme="minorHAnsi"/>
                <w:sz w:val="22"/>
                <w:szCs w:val="22"/>
              </w:rPr>
              <w:t xml:space="preserve">, </w:t>
            </w:r>
            <w:r w:rsidR="005B5B71">
              <w:rPr>
                <w:rFonts w:asciiTheme="minorHAnsi" w:hAnsiTheme="minorHAnsi" w:cstheme="minorHAnsi"/>
                <w:sz w:val="22"/>
                <w:szCs w:val="22"/>
              </w:rPr>
              <w:t xml:space="preserve">including </w:t>
            </w:r>
            <w:r w:rsidR="00A27741">
              <w:rPr>
                <w:rFonts w:asciiTheme="minorHAnsi" w:hAnsiTheme="minorHAnsi" w:cstheme="minorHAnsi"/>
                <w:sz w:val="22"/>
                <w:szCs w:val="22"/>
              </w:rPr>
              <w:t xml:space="preserve">design of the session </w:t>
            </w:r>
            <w:r w:rsidR="005B5B71">
              <w:rPr>
                <w:rFonts w:asciiTheme="minorHAnsi" w:hAnsiTheme="minorHAnsi" w:cstheme="minorHAnsi"/>
                <w:sz w:val="22"/>
                <w:szCs w:val="22"/>
              </w:rPr>
              <w:t xml:space="preserve">on Green Financing and </w:t>
            </w:r>
            <w:r w:rsidR="00783994" w:rsidRPr="00783994">
              <w:rPr>
                <w:rFonts w:asciiTheme="minorHAnsi" w:hAnsiTheme="minorHAnsi" w:cstheme="minorHAnsi"/>
                <w:sz w:val="22"/>
                <w:szCs w:val="22"/>
              </w:rPr>
              <w:t xml:space="preserve">engagement of the speakers on from </w:t>
            </w:r>
            <w:r w:rsidR="009D3841">
              <w:rPr>
                <w:rFonts w:asciiTheme="minorHAnsi" w:hAnsiTheme="minorHAnsi" w:cstheme="minorHAnsi"/>
                <w:sz w:val="22"/>
                <w:szCs w:val="22"/>
              </w:rPr>
              <w:t xml:space="preserve">the </w:t>
            </w:r>
            <w:r w:rsidR="00783994" w:rsidRPr="00783994">
              <w:rPr>
                <w:rFonts w:asciiTheme="minorHAnsi" w:hAnsiTheme="minorHAnsi" w:cstheme="minorHAnsi"/>
                <w:sz w:val="22"/>
                <w:szCs w:val="22"/>
              </w:rPr>
              <w:t>State Development Bank</w:t>
            </w:r>
            <w:r w:rsidR="009D3841">
              <w:rPr>
                <w:rFonts w:asciiTheme="minorHAnsi" w:hAnsiTheme="minorHAnsi" w:cstheme="minorHAnsi"/>
                <w:sz w:val="22"/>
                <w:szCs w:val="22"/>
              </w:rPr>
              <w:t xml:space="preserve"> and other Kazakhstan stakeholders</w:t>
            </w:r>
            <w:r w:rsidR="00783994" w:rsidRPr="00783994">
              <w:rPr>
                <w:rFonts w:asciiTheme="minorHAnsi" w:hAnsiTheme="minorHAnsi" w:cstheme="minorHAnsi"/>
                <w:sz w:val="22"/>
                <w:szCs w:val="22"/>
              </w:rPr>
              <w:t xml:space="preserve">. </w:t>
            </w:r>
          </w:p>
          <w:p w14:paraId="27B6CEE9" w14:textId="77777777" w:rsidR="00225610" w:rsidRPr="0071206E" w:rsidRDefault="00225610" w:rsidP="00216D3E">
            <w:pPr>
              <w:rPr>
                <w:rFonts w:asciiTheme="minorHAnsi" w:hAnsiTheme="minorHAnsi" w:cstheme="minorHAnsi"/>
                <w:sz w:val="22"/>
                <w:szCs w:val="22"/>
              </w:rPr>
            </w:pPr>
          </w:p>
          <w:p w14:paraId="45BE4112" w14:textId="77777777" w:rsidR="00216D3E" w:rsidRDefault="00216D3E" w:rsidP="00216D3E">
            <w:pPr>
              <w:rPr>
                <w:rFonts w:asciiTheme="minorHAnsi" w:hAnsiTheme="minorHAnsi" w:cstheme="minorHAnsi"/>
                <w:sz w:val="22"/>
                <w:szCs w:val="22"/>
              </w:rPr>
            </w:pPr>
            <w:r w:rsidRPr="0071206E">
              <w:rPr>
                <w:rFonts w:asciiTheme="minorHAnsi" w:hAnsiTheme="minorHAnsi" w:cstheme="minorHAnsi"/>
                <w:sz w:val="22"/>
                <w:szCs w:val="22"/>
              </w:rPr>
              <w:t xml:space="preserve">As a result of the forum, it was agreed to enhance dialogue and collaboration between representatives of the public sector, businesses, business associations, and educational institutions, focusing on key topics such as green energy, sustainable tourism, green construction, and waste management; and support the presentation of green innovative projects and technologies, while promoting the exchange of experiences and dissemination of best practices across the countries in the region. </w:t>
            </w:r>
          </w:p>
          <w:p w14:paraId="48562B44" w14:textId="77777777" w:rsidR="00225610" w:rsidRPr="0071206E" w:rsidRDefault="00225610" w:rsidP="00216D3E">
            <w:pPr>
              <w:rPr>
                <w:rFonts w:asciiTheme="minorHAnsi" w:hAnsiTheme="minorHAnsi" w:cstheme="minorHAnsi"/>
                <w:sz w:val="22"/>
                <w:szCs w:val="22"/>
              </w:rPr>
            </w:pPr>
          </w:p>
          <w:p w14:paraId="6776663D" w14:textId="3B3D1DCB" w:rsidR="00EA6DB1" w:rsidRPr="0071206E" w:rsidRDefault="00216D3E" w:rsidP="00225610">
            <w:pPr>
              <w:rPr>
                <w:rFonts w:asciiTheme="minorHAnsi" w:hAnsiTheme="minorHAnsi" w:cstheme="minorHAnsi"/>
                <w:iCs/>
                <w:sz w:val="22"/>
                <w:szCs w:val="22"/>
              </w:rPr>
            </w:pPr>
            <w:r w:rsidRPr="0071206E">
              <w:rPr>
                <w:rFonts w:asciiTheme="minorHAnsi" w:hAnsiTheme="minorHAnsi" w:cstheme="minorHAnsi"/>
                <w:sz w:val="22"/>
                <w:szCs w:val="22"/>
              </w:rPr>
              <w:t>The Regional Forum “Green Economy 2024” marks a significant milestone in advancing regional cooperation and strengthening partnerships to accelerate the transition toward greener and more sustainable development pathways in Central Asia.</w:t>
            </w:r>
          </w:p>
        </w:tc>
      </w:tr>
    </w:tbl>
    <w:p w14:paraId="79E1B58B" w14:textId="77777777" w:rsidR="00EA6DB1" w:rsidRPr="0071206E" w:rsidRDefault="00EA6DB1" w:rsidP="00EA6DB1">
      <w:pPr>
        <w:rPr>
          <w:rFonts w:asciiTheme="minorHAnsi" w:hAnsiTheme="minorHAnsi" w:cstheme="minorHAnsi"/>
          <w:b/>
          <w:iCs/>
          <w:sz w:val="22"/>
          <w:szCs w:val="22"/>
        </w:rPr>
      </w:pPr>
    </w:p>
    <w:p w14:paraId="62FE7D6B" w14:textId="77777777" w:rsidR="00EA6DB1" w:rsidRPr="0071206E" w:rsidRDefault="00EA6DB1" w:rsidP="00EA6DB1">
      <w:pPr>
        <w:rPr>
          <w:rFonts w:asciiTheme="minorHAnsi" w:hAnsiTheme="minorHAnsi" w:cstheme="minorHAnsi"/>
          <w:b/>
          <w:iCs/>
          <w:sz w:val="22"/>
          <w:szCs w:val="22"/>
        </w:rPr>
      </w:pPr>
    </w:p>
    <w:p w14:paraId="581E6FAD" w14:textId="77777777" w:rsidR="00EA6DB1" w:rsidRPr="0071206E" w:rsidRDefault="00EA6DB1" w:rsidP="00EA6DB1">
      <w:pPr>
        <w:rPr>
          <w:rFonts w:asciiTheme="minorHAnsi" w:hAnsiTheme="minorHAnsi" w:cstheme="minorHAnsi"/>
          <w:b/>
          <w:iCs/>
          <w:sz w:val="22"/>
          <w:szCs w:val="22"/>
        </w:rPr>
      </w:pPr>
    </w:p>
    <w:p w14:paraId="22AF18B7" w14:textId="77777777" w:rsidR="00EA6DB1" w:rsidRPr="0071206E" w:rsidRDefault="00EA6DB1" w:rsidP="00EA6DB1">
      <w:pPr>
        <w:rPr>
          <w:rFonts w:asciiTheme="minorHAnsi" w:hAnsiTheme="minorHAnsi" w:cstheme="minorHAnsi"/>
          <w:b/>
          <w:iCs/>
          <w:sz w:val="22"/>
          <w:szCs w:val="22"/>
        </w:rPr>
      </w:pPr>
      <w:r w:rsidRPr="0071206E">
        <w:rPr>
          <w:rFonts w:asciiTheme="minorHAnsi" w:hAnsiTheme="minorHAnsi" w:cstheme="minorHAnsi"/>
          <w:b/>
          <w:iCs/>
          <w:sz w:val="22"/>
          <w:szCs w:val="22"/>
        </w:rPr>
        <w:br w:type="page"/>
      </w:r>
    </w:p>
    <w:p w14:paraId="34F204B2" w14:textId="77777777" w:rsidR="00D37028" w:rsidRPr="0071206E" w:rsidRDefault="00D37028" w:rsidP="00D37028">
      <w:pPr>
        <w:jc w:val="center"/>
        <w:rPr>
          <w:rFonts w:asciiTheme="minorHAnsi" w:hAnsiTheme="minorHAnsi" w:cstheme="minorHAnsi"/>
          <w:b/>
          <w:iCs/>
          <w:sz w:val="22"/>
          <w:szCs w:val="22"/>
        </w:rPr>
      </w:pPr>
      <w:r w:rsidRPr="0071206E">
        <w:rPr>
          <w:rFonts w:asciiTheme="minorHAnsi" w:hAnsiTheme="minorHAnsi" w:cstheme="minorHAnsi"/>
          <w:b/>
          <w:iCs/>
          <w:sz w:val="22"/>
          <w:szCs w:val="22"/>
        </w:rPr>
        <w:lastRenderedPageBreak/>
        <w:t>UNDP – GUYANA</w:t>
      </w:r>
    </w:p>
    <w:p w14:paraId="43AAF69B" w14:textId="5179E333" w:rsidR="00D37028" w:rsidRPr="0071206E" w:rsidRDefault="00D37028" w:rsidP="00D37028">
      <w:pPr>
        <w:jc w:val="center"/>
        <w:rPr>
          <w:rFonts w:asciiTheme="minorHAnsi" w:hAnsiTheme="minorHAnsi" w:cstheme="minorHAnsi"/>
          <w:bCs/>
          <w:iCs/>
          <w:sz w:val="22"/>
          <w:szCs w:val="22"/>
        </w:rPr>
      </w:pPr>
      <w:r w:rsidRPr="0071206E">
        <w:rPr>
          <w:rFonts w:asciiTheme="minorHAnsi" w:hAnsiTheme="minorHAnsi" w:cstheme="minorHAnsi"/>
          <w:bCs/>
          <w:iCs/>
          <w:sz w:val="22"/>
          <w:szCs w:val="22"/>
        </w:rPr>
        <w:t>N/A no more activities in 2024</w:t>
      </w:r>
    </w:p>
    <w:p w14:paraId="22BB3A4C" w14:textId="77777777" w:rsidR="007C5B8D" w:rsidRDefault="007C5B8D" w:rsidP="007C5B8D">
      <w:pPr>
        <w:jc w:val="center"/>
        <w:rPr>
          <w:rFonts w:asciiTheme="minorHAnsi" w:hAnsiTheme="minorHAnsi" w:cstheme="minorHAnsi"/>
          <w:b/>
          <w:iCs/>
          <w:sz w:val="22"/>
          <w:szCs w:val="22"/>
        </w:rPr>
      </w:pPr>
    </w:p>
    <w:p w14:paraId="4C9C90B0" w14:textId="77777777" w:rsidR="007C5B8D" w:rsidRDefault="007C5B8D" w:rsidP="007C5B8D">
      <w:pPr>
        <w:jc w:val="center"/>
        <w:rPr>
          <w:rFonts w:asciiTheme="minorHAnsi" w:hAnsiTheme="minorHAnsi" w:cstheme="minorHAnsi"/>
          <w:b/>
          <w:iCs/>
          <w:sz w:val="22"/>
          <w:szCs w:val="22"/>
        </w:rPr>
      </w:pPr>
    </w:p>
    <w:p w14:paraId="67536F12" w14:textId="10D6EFAC" w:rsidR="00EA6DB1" w:rsidRDefault="00280E0B" w:rsidP="007C5B8D">
      <w:pPr>
        <w:jc w:val="center"/>
        <w:rPr>
          <w:rFonts w:asciiTheme="minorHAnsi" w:hAnsiTheme="minorHAnsi" w:cstheme="minorHAnsi"/>
          <w:b/>
          <w:iCs/>
          <w:sz w:val="22"/>
          <w:szCs w:val="22"/>
        </w:rPr>
      </w:pPr>
      <w:r w:rsidRPr="006B76BC">
        <w:rPr>
          <w:rFonts w:asciiTheme="minorHAnsi" w:hAnsiTheme="minorHAnsi" w:cstheme="minorHAnsi"/>
          <w:b/>
          <w:iCs/>
          <w:sz w:val="22"/>
          <w:szCs w:val="22"/>
        </w:rPr>
        <w:t>UNDP</w:t>
      </w:r>
      <w:r w:rsidR="00EA6DB1" w:rsidRPr="006B76BC">
        <w:rPr>
          <w:rFonts w:asciiTheme="minorHAnsi" w:hAnsiTheme="minorHAnsi" w:cstheme="minorHAnsi"/>
          <w:b/>
          <w:iCs/>
          <w:sz w:val="22"/>
          <w:szCs w:val="22"/>
        </w:rPr>
        <w:t xml:space="preserve"> </w:t>
      </w:r>
      <w:r w:rsidR="006B76BC" w:rsidRPr="006B76BC">
        <w:rPr>
          <w:rFonts w:asciiTheme="minorHAnsi" w:hAnsiTheme="minorHAnsi" w:cstheme="minorHAnsi"/>
          <w:b/>
          <w:iCs/>
          <w:sz w:val="22"/>
          <w:szCs w:val="22"/>
        </w:rPr>
        <w:t>–</w:t>
      </w:r>
      <w:r w:rsidR="00EA6DB1" w:rsidRPr="006B76BC">
        <w:rPr>
          <w:rFonts w:asciiTheme="minorHAnsi" w:hAnsiTheme="minorHAnsi" w:cstheme="minorHAnsi"/>
          <w:b/>
          <w:iCs/>
          <w:sz w:val="22"/>
          <w:szCs w:val="22"/>
        </w:rPr>
        <w:t xml:space="preserve"> ARGENTINA</w:t>
      </w:r>
    </w:p>
    <w:p w14:paraId="5CA66044" w14:textId="77777777" w:rsidR="006B76BC" w:rsidRPr="006B76BC" w:rsidRDefault="006B76BC" w:rsidP="007C5B8D">
      <w:pPr>
        <w:jc w:val="center"/>
        <w:rPr>
          <w:rFonts w:asciiTheme="minorHAnsi" w:hAnsiTheme="minorHAnsi" w:cstheme="minorHAnsi"/>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6B76BC" w:rsidRPr="006B76BC" w14:paraId="7AB9F3D9" w14:textId="77777777" w:rsidTr="00153CAB">
        <w:tc>
          <w:tcPr>
            <w:tcW w:w="9895" w:type="dxa"/>
            <w:gridSpan w:val="2"/>
            <w:tcMar>
              <w:top w:w="0" w:type="dxa"/>
              <w:left w:w="108" w:type="dxa"/>
              <w:bottom w:w="0" w:type="dxa"/>
              <w:right w:w="108" w:type="dxa"/>
            </w:tcMar>
            <w:hideMark/>
          </w:tcPr>
          <w:p w14:paraId="5FCA9B70" w14:textId="77777777" w:rsidR="006B76BC" w:rsidRPr="006B76BC" w:rsidRDefault="006B76BC" w:rsidP="009B4DF8">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i/>
                <w:iCs/>
                <w:color w:val="222222"/>
                <w:sz w:val="22"/>
                <w:szCs w:val="22"/>
                <w:lang w:eastAsia="es-MX"/>
              </w:rPr>
              <w:t>Outcome 1 - Countries have reinforced and integrated inclusive green economy (IGE) goals targets into SDG aligned national economic and development planning through multi-stakeholder collaboration.</w:t>
            </w:r>
          </w:p>
        </w:tc>
      </w:tr>
      <w:tr w:rsidR="006B76BC" w:rsidRPr="006B76BC" w14:paraId="39806ABD" w14:textId="77777777" w:rsidTr="00153CAB">
        <w:tc>
          <w:tcPr>
            <w:tcW w:w="1885" w:type="dxa"/>
            <w:tcMar>
              <w:top w:w="0" w:type="dxa"/>
              <w:left w:w="108" w:type="dxa"/>
              <w:bottom w:w="0" w:type="dxa"/>
              <w:right w:w="108" w:type="dxa"/>
            </w:tcMar>
            <w:hideMark/>
          </w:tcPr>
          <w:p w14:paraId="4ACCB5B5" w14:textId="77777777" w:rsidR="006B76BC" w:rsidRPr="006B76BC" w:rsidRDefault="006B76BC" w:rsidP="009B4DF8">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b/>
                <w:bCs/>
                <w:color w:val="222222"/>
                <w:sz w:val="22"/>
                <w:szCs w:val="22"/>
                <w:lang w:eastAsia="es-MX"/>
              </w:rPr>
              <w:t>Key achievements in 2024</w:t>
            </w:r>
          </w:p>
          <w:p w14:paraId="2A63AD8F" w14:textId="77777777" w:rsidR="006B76BC" w:rsidRPr="006B76BC" w:rsidRDefault="006B76BC" w:rsidP="009B4DF8">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b/>
                <w:bCs/>
                <w:color w:val="222222"/>
                <w:sz w:val="22"/>
                <w:szCs w:val="22"/>
                <w:lang w:eastAsia="es-MX"/>
              </w:rPr>
              <w:t> </w:t>
            </w:r>
          </w:p>
        </w:tc>
        <w:tc>
          <w:tcPr>
            <w:tcW w:w="8010" w:type="dxa"/>
            <w:tcMar>
              <w:top w:w="0" w:type="dxa"/>
              <w:left w:w="108" w:type="dxa"/>
              <w:bottom w:w="0" w:type="dxa"/>
              <w:right w:w="108" w:type="dxa"/>
            </w:tcMar>
            <w:hideMark/>
          </w:tcPr>
          <w:p w14:paraId="3AF21E02" w14:textId="0D61502D" w:rsidR="004F1A16" w:rsidRDefault="00FE4815" w:rsidP="004F1A16">
            <w:pPr>
              <w:spacing w:before="100" w:beforeAutospacing="1" w:after="100" w:afterAutospacing="1"/>
              <w:rPr>
                <w:rFonts w:asciiTheme="minorHAnsi" w:eastAsia="Times New Roman" w:hAnsiTheme="minorHAnsi" w:cstheme="minorHAnsi"/>
                <w:b/>
                <w:bCs/>
                <w:color w:val="000000"/>
                <w:sz w:val="22"/>
                <w:szCs w:val="22"/>
                <w:lang w:eastAsia="es-MX"/>
              </w:rPr>
            </w:pPr>
            <w:proofErr w:type="spellStart"/>
            <w:r w:rsidRPr="00FE4815">
              <w:rPr>
                <w:rFonts w:asciiTheme="minorHAnsi" w:eastAsia="Times New Roman" w:hAnsiTheme="minorHAnsi" w:cstheme="minorHAnsi"/>
                <w:b/>
                <w:bCs/>
                <w:color w:val="000000"/>
                <w:sz w:val="22"/>
                <w:szCs w:val="22"/>
                <w:lang w:eastAsia="es-MX"/>
              </w:rPr>
              <w:t>Fábrica</w:t>
            </w:r>
            <w:proofErr w:type="spellEnd"/>
            <w:r w:rsidRPr="00FE4815">
              <w:rPr>
                <w:rFonts w:asciiTheme="minorHAnsi" w:eastAsia="Times New Roman" w:hAnsiTheme="minorHAnsi" w:cstheme="minorHAnsi"/>
                <w:b/>
                <w:bCs/>
                <w:color w:val="000000"/>
                <w:sz w:val="22"/>
                <w:szCs w:val="22"/>
                <w:lang w:eastAsia="es-MX"/>
              </w:rPr>
              <w:t xml:space="preserve"> Social TECHO </w:t>
            </w:r>
            <w:r w:rsidR="0041466B" w:rsidRPr="006B76BC">
              <w:rPr>
                <w:rFonts w:asciiTheme="minorHAnsi" w:eastAsia="Times New Roman" w:hAnsiTheme="minorHAnsi" w:cstheme="minorHAnsi"/>
                <w:b/>
                <w:bCs/>
                <w:color w:val="000000"/>
                <w:sz w:val="22"/>
                <w:szCs w:val="22"/>
                <w:lang w:eastAsia="es-MX"/>
              </w:rPr>
              <w:t>(</w:t>
            </w:r>
            <w:r w:rsidR="0041466B">
              <w:rPr>
                <w:rFonts w:asciiTheme="minorHAnsi" w:eastAsia="Times New Roman" w:hAnsiTheme="minorHAnsi" w:cstheme="minorHAnsi"/>
                <w:b/>
                <w:bCs/>
                <w:color w:val="000000"/>
                <w:sz w:val="22"/>
                <w:szCs w:val="22"/>
                <w:lang w:eastAsia="es-MX"/>
              </w:rPr>
              <w:t>TSF</w:t>
            </w:r>
            <w:r w:rsidR="0041466B" w:rsidRPr="006B76BC">
              <w:rPr>
                <w:rFonts w:asciiTheme="minorHAnsi" w:eastAsia="Times New Roman" w:hAnsiTheme="minorHAnsi" w:cstheme="minorHAnsi"/>
                <w:b/>
                <w:bCs/>
                <w:color w:val="000000"/>
                <w:sz w:val="22"/>
                <w:szCs w:val="22"/>
                <w:lang w:eastAsia="es-MX"/>
              </w:rPr>
              <w:t xml:space="preserve">) </w:t>
            </w:r>
            <w:r w:rsidR="0041466B">
              <w:rPr>
                <w:rFonts w:asciiTheme="minorHAnsi" w:eastAsia="Times New Roman" w:hAnsiTheme="minorHAnsi" w:cstheme="minorHAnsi"/>
                <w:b/>
                <w:bCs/>
                <w:color w:val="000000"/>
                <w:sz w:val="22"/>
                <w:szCs w:val="22"/>
                <w:lang w:eastAsia="es-MX"/>
              </w:rPr>
              <w:t>A</w:t>
            </w:r>
            <w:r w:rsidR="0041466B" w:rsidRPr="006B76BC">
              <w:rPr>
                <w:rFonts w:asciiTheme="minorHAnsi" w:eastAsia="Times New Roman" w:hAnsiTheme="minorHAnsi" w:cstheme="minorHAnsi"/>
                <w:b/>
                <w:bCs/>
                <w:color w:val="000000"/>
                <w:sz w:val="22"/>
                <w:szCs w:val="22"/>
                <w:lang w:eastAsia="es-MX"/>
              </w:rPr>
              <w:t>rgentina</w:t>
            </w:r>
            <w:r w:rsidR="004F1A16">
              <w:rPr>
                <w:rFonts w:asciiTheme="minorHAnsi" w:eastAsia="Times New Roman" w:hAnsiTheme="minorHAnsi" w:cstheme="minorHAnsi"/>
                <w:b/>
                <w:bCs/>
                <w:color w:val="000000"/>
                <w:sz w:val="22"/>
                <w:szCs w:val="22"/>
                <w:lang w:eastAsia="es-MX"/>
              </w:rPr>
              <w:t xml:space="preserve"> </w:t>
            </w:r>
          </w:p>
          <w:p w14:paraId="41501D4A" w14:textId="694D8771" w:rsidR="006B76BC" w:rsidRPr="006B76BC" w:rsidRDefault="000034E8" w:rsidP="004F1A16">
            <w:pPr>
              <w:spacing w:before="100" w:beforeAutospacing="1" w:after="100" w:afterAutospacing="1"/>
              <w:rPr>
                <w:rFonts w:asciiTheme="minorHAnsi" w:eastAsia="Times New Roman" w:hAnsiTheme="minorHAnsi" w:cstheme="minorHAnsi"/>
                <w:color w:val="222222"/>
                <w:sz w:val="22"/>
                <w:szCs w:val="22"/>
                <w:lang w:eastAsia="es-MX"/>
              </w:rPr>
            </w:pPr>
            <w:r>
              <w:rPr>
                <w:rFonts w:asciiTheme="minorHAnsi" w:eastAsia="Times New Roman" w:hAnsiTheme="minorHAnsi" w:cstheme="minorHAnsi"/>
                <w:color w:val="000000"/>
                <w:sz w:val="22"/>
                <w:szCs w:val="22"/>
                <w:lang w:eastAsia="es-MX"/>
              </w:rPr>
              <w:t>UNDP</w:t>
            </w:r>
            <w:r w:rsidR="006B76BC" w:rsidRPr="006B76BC">
              <w:rPr>
                <w:rFonts w:asciiTheme="minorHAnsi" w:eastAsia="Times New Roman" w:hAnsiTheme="minorHAnsi" w:cstheme="minorHAnsi"/>
                <w:color w:val="000000"/>
                <w:sz w:val="22"/>
                <w:szCs w:val="22"/>
                <w:lang w:eastAsia="es-MX"/>
              </w:rPr>
              <w:t>-PAGE and TSF</w:t>
            </w:r>
            <w:r w:rsidR="00C24035">
              <w:rPr>
                <w:rFonts w:asciiTheme="minorHAnsi" w:eastAsia="Times New Roman" w:hAnsiTheme="minorHAnsi" w:cstheme="minorHAnsi"/>
                <w:color w:val="000000"/>
                <w:sz w:val="22"/>
                <w:szCs w:val="22"/>
                <w:lang w:eastAsia="es-MX"/>
              </w:rPr>
              <w:t xml:space="preserve">, </w:t>
            </w:r>
            <w:r w:rsidR="0087744E" w:rsidRPr="0087744E">
              <w:rPr>
                <w:rFonts w:asciiTheme="minorHAnsi" w:eastAsia="Times New Roman" w:hAnsiTheme="minorHAnsi" w:cstheme="minorHAnsi"/>
                <w:color w:val="000000"/>
                <w:sz w:val="22"/>
                <w:szCs w:val="22"/>
                <w:lang w:eastAsia="es-MX"/>
              </w:rPr>
              <w:t xml:space="preserve">a social enterprise that </w:t>
            </w:r>
            <w:r w:rsidR="007559C3">
              <w:rPr>
                <w:rFonts w:asciiTheme="minorHAnsi" w:eastAsia="Times New Roman" w:hAnsiTheme="minorHAnsi" w:cstheme="minorHAnsi"/>
                <w:color w:val="000000"/>
                <w:sz w:val="22"/>
                <w:szCs w:val="22"/>
                <w:lang w:eastAsia="es-MX"/>
              </w:rPr>
              <w:t xml:space="preserve">provides </w:t>
            </w:r>
            <w:r w:rsidR="0087744E" w:rsidRPr="0087744E">
              <w:rPr>
                <w:rFonts w:asciiTheme="minorHAnsi" w:eastAsia="Times New Roman" w:hAnsiTheme="minorHAnsi" w:cstheme="minorHAnsi"/>
                <w:color w:val="000000"/>
                <w:sz w:val="22"/>
                <w:szCs w:val="22"/>
                <w:lang w:eastAsia="es-MX"/>
              </w:rPr>
              <w:t>hous</w:t>
            </w:r>
            <w:r w:rsidR="007559C3">
              <w:rPr>
                <w:rFonts w:asciiTheme="minorHAnsi" w:eastAsia="Times New Roman" w:hAnsiTheme="minorHAnsi" w:cstheme="minorHAnsi"/>
                <w:color w:val="000000"/>
                <w:sz w:val="22"/>
                <w:szCs w:val="22"/>
                <w:lang w:eastAsia="es-MX"/>
              </w:rPr>
              <w:t>ing</w:t>
            </w:r>
            <w:r w:rsidR="0087744E" w:rsidRPr="0087744E">
              <w:rPr>
                <w:rFonts w:asciiTheme="minorHAnsi" w:eastAsia="Times New Roman" w:hAnsiTheme="minorHAnsi" w:cstheme="minorHAnsi"/>
                <w:color w:val="000000"/>
                <w:sz w:val="22"/>
                <w:szCs w:val="22"/>
                <w:lang w:eastAsia="es-MX"/>
              </w:rPr>
              <w:t xml:space="preserve"> for people</w:t>
            </w:r>
            <w:r w:rsidR="001C6B8F">
              <w:rPr>
                <w:rFonts w:asciiTheme="minorHAnsi" w:eastAsia="Times New Roman" w:hAnsiTheme="minorHAnsi" w:cstheme="minorHAnsi"/>
                <w:color w:val="000000"/>
                <w:sz w:val="22"/>
                <w:szCs w:val="22"/>
                <w:lang w:eastAsia="es-MX"/>
              </w:rPr>
              <w:t xml:space="preserve"> living</w:t>
            </w:r>
            <w:r w:rsidR="0087744E" w:rsidRPr="0087744E">
              <w:rPr>
                <w:rFonts w:asciiTheme="minorHAnsi" w:eastAsia="Times New Roman" w:hAnsiTheme="minorHAnsi" w:cstheme="minorHAnsi"/>
                <w:color w:val="000000"/>
                <w:sz w:val="22"/>
                <w:szCs w:val="22"/>
                <w:lang w:eastAsia="es-MX"/>
              </w:rPr>
              <w:t xml:space="preserve"> in poverty</w:t>
            </w:r>
            <w:r w:rsidR="00C24035">
              <w:rPr>
                <w:rFonts w:asciiTheme="minorHAnsi" w:eastAsia="Times New Roman" w:hAnsiTheme="minorHAnsi" w:cstheme="minorHAnsi"/>
                <w:color w:val="000000"/>
                <w:sz w:val="22"/>
                <w:szCs w:val="22"/>
                <w:lang w:eastAsia="es-MX"/>
              </w:rPr>
              <w:t>,</w:t>
            </w:r>
            <w:r w:rsidR="001C6B8F">
              <w:rPr>
                <w:rFonts w:asciiTheme="minorHAnsi" w:eastAsia="Times New Roman" w:hAnsiTheme="minorHAnsi" w:cstheme="minorHAnsi"/>
                <w:color w:val="000000"/>
                <w:sz w:val="22"/>
                <w:szCs w:val="22"/>
                <w:lang w:eastAsia="es-MX"/>
              </w:rPr>
              <w:t xml:space="preserve"> </w:t>
            </w:r>
            <w:r w:rsidR="006B76BC" w:rsidRPr="006B76BC">
              <w:rPr>
                <w:rFonts w:asciiTheme="minorHAnsi" w:eastAsia="Times New Roman" w:hAnsiTheme="minorHAnsi" w:cstheme="minorHAnsi"/>
                <w:color w:val="000000"/>
                <w:sz w:val="22"/>
                <w:szCs w:val="22"/>
                <w:lang w:eastAsia="es-MX"/>
              </w:rPr>
              <w:t>analyzed the potential demand for the construction of progressive and sustainable housing for households in situations of social vulnerability, as a significant contribution to address the housing deficit in Argentina while generating inclusive green employment.</w:t>
            </w:r>
            <w:r>
              <w:rPr>
                <w:rFonts w:asciiTheme="minorHAnsi" w:eastAsia="Times New Roman" w:hAnsiTheme="minorHAnsi" w:cstheme="minorHAnsi"/>
                <w:color w:val="000000"/>
                <w:sz w:val="22"/>
                <w:szCs w:val="22"/>
                <w:lang w:eastAsia="es-MX"/>
              </w:rPr>
              <w:t xml:space="preserve"> </w:t>
            </w:r>
            <w:r w:rsidR="006B76BC" w:rsidRPr="006B76BC">
              <w:rPr>
                <w:rFonts w:asciiTheme="minorHAnsi" w:eastAsia="Times New Roman" w:hAnsiTheme="minorHAnsi" w:cstheme="minorHAnsi"/>
                <w:color w:val="000000"/>
                <w:sz w:val="22"/>
                <w:szCs w:val="22"/>
                <w:lang w:eastAsia="es-MX"/>
              </w:rPr>
              <w:t>Field research was carried out in several Municipalities of different provinces of Argentina, in order to collect data and information about the commercial and financial behavior of low-income sectors regarding affordable housing. This research will serve as the basis for developing a business model that aligns with the socioeconomic and cultural context, considering the social, economic, financial, and technical capabilities of the target population, regarding their interest in obtaining progressive housing solutions.</w:t>
            </w:r>
          </w:p>
        </w:tc>
      </w:tr>
      <w:tr w:rsidR="006B76BC" w:rsidRPr="006B76BC" w14:paraId="40A47BA9" w14:textId="77777777" w:rsidTr="00153CAB">
        <w:tc>
          <w:tcPr>
            <w:tcW w:w="1885" w:type="dxa"/>
            <w:tcMar>
              <w:top w:w="0" w:type="dxa"/>
              <w:left w:w="108" w:type="dxa"/>
              <w:bottom w:w="0" w:type="dxa"/>
              <w:right w:w="108" w:type="dxa"/>
            </w:tcMar>
            <w:hideMark/>
          </w:tcPr>
          <w:p w14:paraId="0E8B99BF" w14:textId="77777777" w:rsidR="006B76BC" w:rsidRPr="006B76BC" w:rsidRDefault="006B76BC" w:rsidP="009B4DF8">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b/>
                <w:bCs/>
                <w:color w:val="222222"/>
                <w:sz w:val="22"/>
                <w:szCs w:val="22"/>
                <w:lang w:eastAsia="es-MX"/>
              </w:rPr>
              <w:t>Key Achievements 2024</w:t>
            </w:r>
            <w:r w:rsidRPr="006B76BC">
              <w:rPr>
                <w:rFonts w:asciiTheme="minorHAnsi" w:eastAsia="Times New Roman" w:hAnsiTheme="minorHAnsi" w:cstheme="minorHAnsi"/>
                <w:color w:val="222222"/>
                <w:sz w:val="22"/>
                <w:szCs w:val="22"/>
                <w:lang w:eastAsia="es-MX"/>
              </w:rPr>
              <w:t> (Add. Support for Green Recovery)</w:t>
            </w:r>
          </w:p>
        </w:tc>
        <w:tc>
          <w:tcPr>
            <w:tcW w:w="8010" w:type="dxa"/>
            <w:tcMar>
              <w:top w:w="0" w:type="dxa"/>
              <w:left w:w="108" w:type="dxa"/>
              <w:bottom w:w="0" w:type="dxa"/>
              <w:right w:w="108" w:type="dxa"/>
            </w:tcMar>
            <w:hideMark/>
          </w:tcPr>
          <w:p w14:paraId="1C95F9FF" w14:textId="222C3265" w:rsidR="006B76BC" w:rsidRPr="006B76BC" w:rsidRDefault="006B76BC" w:rsidP="009B4DF8">
            <w:pPr>
              <w:spacing w:after="200"/>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color w:val="222222"/>
                <w:sz w:val="22"/>
                <w:szCs w:val="22"/>
                <w:lang w:eastAsia="es-MX"/>
              </w:rPr>
              <w:t> </w:t>
            </w:r>
            <w:r w:rsidR="00AD1409">
              <w:rPr>
                <w:rFonts w:asciiTheme="minorHAnsi" w:eastAsia="Times New Roman" w:hAnsiTheme="minorHAnsi" w:cstheme="minorHAnsi"/>
                <w:color w:val="222222"/>
                <w:sz w:val="22"/>
                <w:szCs w:val="22"/>
                <w:lang w:eastAsia="es-MX"/>
              </w:rPr>
              <w:t>n/a</w:t>
            </w:r>
          </w:p>
        </w:tc>
      </w:tr>
    </w:tbl>
    <w:p w14:paraId="0128DBF0" w14:textId="77777777" w:rsidR="006B76BC" w:rsidRPr="006B76BC" w:rsidRDefault="006B76BC" w:rsidP="006B76BC">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b/>
          <w:bCs/>
          <w:color w:val="222222"/>
          <w:sz w:val="22"/>
          <w:szCs w:val="22"/>
          <w:lang w:eastAsia="es-MX"/>
        </w:rPr>
        <w:t> </w:t>
      </w:r>
    </w:p>
    <w:tbl>
      <w:tblPr>
        <w:tblW w:w="0" w:type="auto"/>
        <w:tblCellMar>
          <w:left w:w="0" w:type="dxa"/>
          <w:right w:w="0" w:type="dxa"/>
        </w:tblCellMar>
        <w:tblLook w:val="04A0" w:firstRow="1" w:lastRow="0" w:firstColumn="1" w:lastColumn="0" w:noHBand="0" w:noVBand="1"/>
      </w:tblPr>
      <w:tblGrid>
        <w:gridCol w:w="1885"/>
        <w:gridCol w:w="8010"/>
      </w:tblGrid>
      <w:tr w:rsidR="006B76BC" w:rsidRPr="006B76BC" w14:paraId="2D2C1C6C" w14:textId="77777777" w:rsidTr="00153CAB">
        <w:tc>
          <w:tcPr>
            <w:tcW w:w="98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A3BFD" w14:textId="77777777" w:rsidR="006B76BC" w:rsidRPr="006B76BC" w:rsidRDefault="006B76BC" w:rsidP="009B4DF8">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i/>
                <w:iCs/>
                <w:color w:val="222222"/>
                <w:sz w:val="22"/>
                <w:szCs w:val="22"/>
                <w:lang w:eastAsia="es-MX"/>
              </w:rPr>
              <w:t>Outcome 2 - Countries are implementing evidence based sectoral and thematic reforms in line with national IGE priorities</w:t>
            </w:r>
            <w:r w:rsidRPr="006B76BC">
              <w:rPr>
                <w:rFonts w:asciiTheme="minorHAnsi" w:eastAsia="Times New Roman" w:hAnsiTheme="minorHAnsi" w:cstheme="minorHAnsi"/>
                <w:color w:val="222222"/>
                <w:sz w:val="22"/>
                <w:szCs w:val="22"/>
                <w:lang w:eastAsia="es-MX"/>
              </w:rPr>
              <w:t>.</w:t>
            </w:r>
          </w:p>
        </w:tc>
      </w:tr>
      <w:tr w:rsidR="006B76BC" w:rsidRPr="006B76BC" w14:paraId="157331D1" w14:textId="77777777" w:rsidTr="00153CAB">
        <w:tc>
          <w:tcPr>
            <w:tcW w:w="18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4B3377" w14:textId="77777777" w:rsidR="006B76BC" w:rsidRPr="006B76BC" w:rsidRDefault="006B76BC" w:rsidP="009B4DF8">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b/>
                <w:bCs/>
                <w:color w:val="222222"/>
                <w:sz w:val="22"/>
                <w:szCs w:val="22"/>
                <w:lang w:eastAsia="es-MX"/>
              </w:rPr>
              <w:t>Key achievements in 2024</w:t>
            </w:r>
          </w:p>
        </w:tc>
        <w:tc>
          <w:tcPr>
            <w:tcW w:w="8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021E5B" w14:textId="1ACA6161" w:rsidR="006B76BC" w:rsidRPr="00837069" w:rsidRDefault="00882A49" w:rsidP="009B4DF8">
            <w:pPr>
              <w:spacing w:before="100" w:beforeAutospacing="1" w:after="100" w:afterAutospacing="1"/>
              <w:rPr>
                <w:rFonts w:asciiTheme="minorHAnsi" w:eastAsia="Times New Roman" w:hAnsiTheme="minorHAnsi" w:cstheme="minorHAnsi"/>
                <w:b/>
                <w:bCs/>
                <w:color w:val="000000"/>
                <w:sz w:val="22"/>
                <w:szCs w:val="22"/>
                <w:lang w:eastAsia="es-MX"/>
              </w:rPr>
            </w:pPr>
            <w:r w:rsidRPr="00837069">
              <w:rPr>
                <w:rFonts w:asciiTheme="minorHAnsi" w:eastAsia="Times New Roman" w:hAnsiTheme="minorHAnsi" w:cstheme="minorHAnsi"/>
                <w:b/>
                <w:bCs/>
                <w:color w:val="000000"/>
                <w:sz w:val="22"/>
                <w:szCs w:val="22"/>
                <w:lang w:eastAsia="es-MX"/>
              </w:rPr>
              <w:t>Sustainable finance</w:t>
            </w:r>
          </w:p>
          <w:p w14:paraId="3E17F7A3" w14:textId="5F28EF50" w:rsidR="006B76BC" w:rsidRPr="00837069" w:rsidRDefault="006B76BC" w:rsidP="00882A49">
            <w:pPr>
              <w:pStyle w:val="NormalWeb"/>
              <w:jc w:val="both"/>
              <w:rPr>
                <w:rFonts w:asciiTheme="minorHAnsi" w:hAnsiTheme="minorHAnsi" w:cstheme="minorHAnsi"/>
                <w:color w:val="000000"/>
                <w:sz w:val="22"/>
                <w:szCs w:val="22"/>
                <w:lang w:val="en-US"/>
              </w:rPr>
            </w:pPr>
            <w:r w:rsidRPr="00837069">
              <w:rPr>
                <w:rFonts w:asciiTheme="minorHAnsi" w:hAnsiTheme="minorHAnsi" w:cstheme="minorHAnsi"/>
                <w:color w:val="000000"/>
                <w:sz w:val="22"/>
                <w:szCs w:val="22"/>
                <w:lang w:val="en-US"/>
              </w:rPr>
              <w:t xml:space="preserve">UNDP-PAGE </w:t>
            </w:r>
            <w:r w:rsidR="00AF716A" w:rsidRPr="00837069">
              <w:rPr>
                <w:rFonts w:asciiTheme="minorHAnsi" w:hAnsiTheme="minorHAnsi" w:cstheme="minorHAnsi"/>
                <w:color w:val="000000"/>
                <w:sz w:val="22"/>
                <w:szCs w:val="22"/>
                <w:lang w:val="en-US"/>
              </w:rPr>
              <w:t xml:space="preserve">contributed to </w:t>
            </w:r>
            <w:r w:rsidR="006E799B" w:rsidRPr="00837069">
              <w:rPr>
                <w:rFonts w:asciiTheme="minorHAnsi" w:hAnsiTheme="minorHAnsi" w:cstheme="minorHAnsi"/>
                <w:color w:val="000000"/>
                <w:sz w:val="22"/>
                <w:szCs w:val="22"/>
                <w:lang w:val="en-US"/>
              </w:rPr>
              <w:t xml:space="preserve">several </w:t>
            </w:r>
            <w:r w:rsidR="005E1F94">
              <w:rPr>
                <w:rFonts w:asciiTheme="minorHAnsi" w:hAnsiTheme="minorHAnsi" w:cstheme="minorHAnsi"/>
                <w:color w:val="000000"/>
                <w:sz w:val="22"/>
                <w:szCs w:val="22"/>
                <w:lang w:val="en-US"/>
              </w:rPr>
              <w:t xml:space="preserve">national </w:t>
            </w:r>
            <w:r w:rsidR="006E799B" w:rsidRPr="00837069">
              <w:rPr>
                <w:rFonts w:asciiTheme="minorHAnsi" w:hAnsiTheme="minorHAnsi" w:cstheme="minorHAnsi"/>
                <w:color w:val="000000"/>
                <w:sz w:val="22"/>
                <w:szCs w:val="22"/>
                <w:lang w:val="en-US"/>
              </w:rPr>
              <w:t>initiatives promoting</w:t>
            </w:r>
            <w:r w:rsidRPr="00837069">
              <w:rPr>
                <w:rFonts w:asciiTheme="minorHAnsi" w:hAnsiTheme="minorHAnsi" w:cstheme="minorHAnsi"/>
                <w:color w:val="000000"/>
                <w:sz w:val="22"/>
                <w:szCs w:val="22"/>
                <w:lang w:val="en-US"/>
              </w:rPr>
              <w:t xml:space="preserve"> </w:t>
            </w:r>
            <w:r w:rsidR="00001C92" w:rsidRPr="00837069">
              <w:rPr>
                <w:rFonts w:asciiTheme="minorHAnsi" w:hAnsiTheme="minorHAnsi" w:cstheme="minorHAnsi"/>
                <w:color w:val="000000"/>
                <w:sz w:val="22"/>
                <w:szCs w:val="22"/>
                <w:lang w:val="en-US"/>
              </w:rPr>
              <w:t>s</w:t>
            </w:r>
            <w:r w:rsidRPr="00837069">
              <w:rPr>
                <w:rFonts w:asciiTheme="minorHAnsi" w:hAnsiTheme="minorHAnsi" w:cstheme="minorHAnsi"/>
                <w:color w:val="000000"/>
                <w:sz w:val="22"/>
                <w:szCs w:val="22"/>
                <w:lang w:val="en-US"/>
              </w:rPr>
              <w:t xml:space="preserve">ustainable </w:t>
            </w:r>
            <w:r w:rsidR="00001C92" w:rsidRPr="00837069">
              <w:rPr>
                <w:rFonts w:asciiTheme="minorHAnsi" w:hAnsiTheme="minorHAnsi" w:cstheme="minorHAnsi"/>
                <w:color w:val="000000"/>
                <w:sz w:val="22"/>
                <w:szCs w:val="22"/>
                <w:lang w:val="en-US"/>
              </w:rPr>
              <w:t>f</w:t>
            </w:r>
            <w:r w:rsidRPr="00837069">
              <w:rPr>
                <w:rFonts w:asciiTheme="minorHAnsi" w:hAnsiTheme="minorHAnsi" w:cstheme="minorHAnsi"/>
                <w:color w:val="000000"/>
                <w:sz w:val="22"/>
                <w:szCs w:val="22"/>
                <w:lang w:val="en-US"/>
              </w:rPr>
              <w:t>inance</w:t>
            </w:r>
            <w:r w:rsidR="00676415" w:rsidRPr="00837069">
              <w:rPr>
                <w:rFonts w:asciiTheme="minorHAnsi" w:hAnsiTheme="minorHAnsi" w:cstheme="minorHAnsi"/>
                <w:color w:val="000000"/>
                <w:sz w:val="22"/>
                <w:szCs w:val="22"/>
                <w:lang w:val="en-US"/>
              </w:rPr>
              <w:t>. This</w:t>
            </w:r>
            <w:r w:rsidRPr="00837069">
              <w:rPr>
                <w:rFonts w:asciiTheme="minorHAnsi" w:hAnsiTheme="minorHAnsi" w:cstheme="minorHAnsi"/>
                <w:color w:val="000000"/>
                <w:sz w:val="22"/>
                <w:szCs w:val="22"/>
                <w:lang w:val="en-US"/>
              </w:rPr>
              <w:t xml:space="preserve"> </w:t>
            </w:r>
            <w:r w:rsidR="006E799B" w:rsidRPr="00837069">
              <w:rPr>
                <w:rFonts w:asciiTheme="minorHAnsi" w:hAnsiTheme="minorHAnsi" w:cstheme="minorHAnsi"/>
                <w:color w:val="000000"/>
                <w:sz w:val="22"/>
                <w:szCs w:val="22"/>
                <w:lang w:val="en-US"/>
              </w:rPr>
              <w:t>includ</w:t>
            </w:r>
            <w:r w:rsidR="00676415" w:rsidRPr="00837069">
              <w:rPr>
                <w:rFonts w:asciiTheme="minorHAnsi" w:hAnsiTheme="minorHAnsi" w:cstheme="minorHAnsi"/>
                <w:color w:val="000000"/>
                <w:sz w:val="22"/>
                <w:szCs w:val="22"/>
                <w:lang w:val="en-US"/>
              </w:rPr>
              <w:t>ed</w:t>
            </w:r>
            <w:r w:rsidR="006E799B" w:rsidRPr="00837069">
              <w:rPr>
                <w:rFonts w:asciiTheme="minorHAnsi" w:hAnsiTheme="minorHAnsi" w:cstheme="minorHAnsi"/>
                <w:color w:val="000000"/>
                <w:sz w:val="22"/>
                <w:szCs w:val="22"/>
                <w:lang w:val="en-US"/>
              </w:rPr>
              <w:t xml:space="preserve"> exploring </w:t>
            </w:r>
            <w:r w:rsidRPr="00837069">
              <w:rPr>
                <w:rFonts w:asciiTheme="minorHAnsi" w:hAnsiTheme="minorHAnsi" w:cstheme="minorHAnsi"/>
                <w:color w:val="000000"/>
                <w:sz w:val="22"/>
                <w:szCs w:val="22"/>
                <w:lang w:val="en-US"/>
              </w:rPr>
              <w:t xml:space="preserve">best practices, and lessons learned both nationally and globally, in order to foster local initiatives in this field, </w:t>
            </w:r>
            <w:r w:rsidR="0016511E" w:rsidRPr="00837069">
              <w:rPr>
                <w:rFonts w:asciiTheme="minorHAnsi" w:hAnsiTheme="minorHAnsi" w:cstheme="minorHAnsi"/>
                <w:color w:val="000000"/>
                <w:sz w:val="22"/>
                <w:szCs w:val="22"/>
                <w:lang w:val="en-US"/>
              </w:rPr>
              <w:t>build</w:t>
            </w:r>
            <w:r w:rsidRPr="00837069">
              <w:rPr>
                <w:rFonts w:asciiTheme="minorHAnsi" w:hAnsiTheme="minorHAnsi" w:cstheme="minorHAnsi"/>
                <w:color w:val="000000"/>
                <w:sz w:val="22"/>
                <w:szCs w:val="22"/>
                <w:lang w:val="en-US"/>
              </w:rPr>
              <w:t xml:space="preserve"> capacities, strategies </w:t>
            </w:r>
            <w:r w:rsidR="00676415" w:rsidRPr="00837069">
              <w:rPr>
                <w:rFonts w:asciiTheme="minorHAnsi" w:hAnsiTheme="minorHAnsi" w:cstheme="minorHAnsi"/>
                <w:color w:val="000000"/>
                <w:sz w:val="22"/>
                <w:szCs w:val="22"/>
                <w:lang w:val="en-US"/>
              </w:rPr>
              <w:t xml:space="preserve">and enabling environment </w:t>
            </w:r>
            <w:r w:rsidRPr="00837069">
              <w:rPr>
                <w:rFonts w:asciiTheme="minorHAnsi" w:hAnsiTheme="minorHAnsi" w:cstheme="minorHAnsi"/>
                <w:color w:val="000000"/>
                <w:sz w:val="22"/>
                <w:szCs w:val="22"/>
                <w:lang w:val="en-US"/>
              </w:rPr>
              <w:t>to promote sustainable finance in the country</w:t>
            </w:r>
            <w:r w:rsidR="00987DFE" w:rsidRPr="00837069">
              <w:rPr>
                <w:rFonts w:asciiTheme="minorHAnsi" w:hAnsiTheme="minorHAnsi" w:cstheme="minorHAnsi"/>
                <w:color w:val="000000"/>
                <w:sz w:val="22"/>
                <w:szCs w:val="22"/>
                <w:lang w:val="en-US"/>
              </w:rPr>
              <w:t xml:space="preserve">. </w:t>
            </w:r>
            <w:r w:rsidRPr="00837069">
              <w:rPr>
                <w:rFonts w:asciiTheme="minorHAnsi" w:hAnsiTheme="minorHAnsi" w:cstheme="minorHAnsi"/>
                <w:color w:val="000000"/>
                <w:sz w:val="22"/>
                <w:szCs w:val="22"/>
                <w:lang w:val="en-US"/>
              </w:rPr>
              <w:t>Sustainable finance represents a highly significant tool for accelerating just transition toward</w:t>
            </w:r>
            <w:r w:rsidR="00987DFE" w:rsidRPr="00837069">
              <w:rPr>
                <w:rFonts w:asciiTheme="minorHAnsi" w:hAnsiTheme="minorHAnsi" w:cstheme="minorHAnsi"/>
                <w:color w:val="000000"/>
                <w:sz w:val="22"/>
                <w:szCs w:val="22"/>
                <w:lang w:val="en-US"/>
              </w:rPr>
              <w:t>s</w:t>
            </w:r>
            <w:r w:rsidRPr="00837069">
              <w:rPr>
                <w:rFonts w:asciiTheme="minorHAnsi" w:hAnsiTheme="minorHAnsi" w:cstheme="minorHAnsi"/>
                <w:color w:val="000000"/>
                <w:sz w:val="22"/>
                <w:szCs w:val="22"/>
                <w:lang w:val="en-US"/>
              </w:rPr>
              <w:t xml:space="preserve"> a low-carbon, environmentally friendly economy. </w:t>
            </w:r>
          </w:p>
          <w:p w14:paraId="08DFB99D" w14:textId="0CBDAD1D" w:rsidR="00987DFE" w:rsidRPr="00837069" w:rsidRDefault="00D63124" w:rsidP="00987DFE">
            <w:pPr>
              <w:spacing w:before="120" w:after="120"/>
              <w:rPr>
                <w:rFonts w:asciiTheme="minorHAnsi" w:hAnsiTheme="minorHAnsi" w:cstheme="minorHAnsi"/>
                <w:sz w:val="22"/>
                <w:szCs w:val="22"/>
              </w:rPr>
            </w:pPr>
            <w:r w:rsidRPr="00837069">
              <w:rPr>
                <w:rFonts w:asciiTheme="minorHAnsi" w:hAnsiTheme="minorHAnsi" w:cstheme="minorHAnsi"/>
                <w:sz w:val="22"/>
                <w:szCs w:val="22"/>
              </w:rPr>
              <w:t>As part of this workstream</w:t>
            </w:r>
            <w:r w:rsidR="00987DFE" w:rsidRPr="00837069">
              <w:rPr>
                <w:rFonts w:asciiTheme="minorHAnsi" w:hAnsiTheme="minorHAnsi" w:cstheme="minorHAnsi"/>
                <w:sz w:val="22"/>
                <w:szCs w:val="22"/>
              </w:rPr>
              <w:t xml:space="preserve">, UNDP-PAGE has carried out </w:t>
            </w:r>
            <w:r w:rsidRPr="00837069">
              <w:rPr>
                <w:rFonts w:asciiTheme="minorHAnsi" w:hAnsiTheme="minorHAnsi" w:cstheme="minorHAnsi"/>
                <w:sz w:val="22"/>
                <w:szCs w:val="22"/>
              </w:rPr>
              <w:t>the following</w:t>
            </w:r>
            <w:r w:rsidR="00987DFE" w:rsidRPr="00837069">
              <w:rPr>
                <w:rFonts w:asciiTheme="minorHAnsi" w:hAnsiTheme="minorHAnsi" w:cstheme="minorHAnsi"/>
                <w:sz w:val="22"/>
                <w:szCs w:val="22"/>
              </w:rPr>
              <w:t xml:space="preserve"> key activities:</w:t>
            </w:r>
          </w:p>
          <w:p w14:paraId="2020BF1E" w14:textId="0C29178E" w:rsidR="00D63124" w:rsidRPr="00837069" w:rsidRDefault="00987DFE" w:rsidP="00987DFE">
            <w:pPr>
              <w:spacing w:before="120" w:after="120"/>
              <w:rPr>
                <w:rFonts w:asciiTheme="minorHAnsi" w:hAnsiTheme="minorHAnsi" w:cstheme="minorHAnsi"/>
                <w:b/>
                <w:bCs/>
                <w:sz w:val="22"/>
                <w:szCs w:val="22"/>
              </w:rPr>
            </w:pPr>
            <w:r w:rsidRPr="00837069">
              <w:rPr>
                <w:rFonts w:asciiTheme="minorHAnsi" w:hAnsiTheme="minorHAnsi" w:cstheme="minorHAnsi"/>
                <w:b/>
                <w:bCs/>
                <w:sz w:val="22"/>
                <w:szCs w:val="22"/>
              </w:rPr>
              <w:t>High-Level Workshops and Dialogues</w:t>
            </w:r>
            <w:r w:rsidR="00D63124" w:rsidRPr="00837069">
              <w:rPr>
                <w:rFonts w:asciiTheme="minorHAnsi" w:hAnsiTheme="minorHAnsi" w:cstheme="minorHAnsi"/>
                <w:b/>
                <w:bCs/>
                <w:sz w:val="22"/>
                <w:szCs w:val="22"/>
              </w:rPr>
              <w:t>.</w:t>
            </w:r>
          </w:p>
          <w:p w14:paraId="09E05E95" w14:textId="6BCE9DE7" w:rsidR="00987DFE" w:rsidRPr="00837069" w:rsidRDefault="00987DFE" w:rsidP="00987DFE">
            <w:pPr>
              <w:spacing w:before="120" w:after="120"/>
              <w:rPr>
                <w:rFonts w:asciiTheme="minorHAnsi" w:hAnsiTheme="minorHAnsi" w:cstheme="minorHAnsi"/>
                <w:sz w:val="22"/>
                <w:szCs w:val="22"/>
              </w:rPr>
            </w:pPr>
            <w:r w:rsidRPr="00837069">
              <w:rPr>
                <w:rFonts w:asciiTheme="minorHAnsi" w:hAnsiTheme="minorHAnsi" w:cstheme="minorHAnsi"/>
                <w:sz w:val="22"/>
                <w:szCs w:val="22"/>
              </w:rPr>
              <w:t xml:space="preserve">These events facilitated in-depth discussions </w:t>
            </w:r>
            <w:r w:rsidR="00E23AFF">
              <w:rPr>
                <w:rFonts w:asciiTheme="minorHAnsi" w:hAnsiTheme="minorHAnsi" w:cstheme="minorHAnsi"/>
                <w:sz w:val="22"/>
                <w:szCs w:val="22"/>
              </w:rPr>
              <w:t xml:space="preserve">among the key government agencies, including the </w:t>
            </w:r>
            <w:r w:rsidR="00E23AFF" w:rsidRPr="00E23AFF">
              <w:rPr>
                <w:rFonts w:asciiTheme="minorHAnsi" w:hAnsiTheme="minorHAnsi" w:cstheme="minorHAnsi"/>
                <w:sz w:val="22"/>
                <w:szCs w:val="22"/>
              </w:rPr>
              <w:t>Ministry of Economy, the Ministry of Environment and Sustainable Development,</w:t>
            </w:r>
            <w:r w:rsidR="00CB1BFD">
              <w:rPr>
                <w:rFonts w:asciiTheme="minorHAnsi" w:hAnsiTheme="minorHAnsi" w:cstheme="minorHAnsi"/>
                <w:sz w:val="22"/>
                <w:szCs w:val="22"/>
              </w:rPr>
              <w:t xml:space="preserve"> the national </w:t>
            </w:r>
            <w:r w:rsidR="001C679D">
              <w:rPr>
                <w:rFonts w:asciiTheme="minorHAnsi" w:hAnsiTheme="minorHAnsi" w:cstheme="minorHAnsi"/>
                <w:sz w:val="22"/>
                <w:szCs w:val="22"/>
              </w:rPr>
              <w:t xml:space="preserve">banking and </w:t>
            </w:r>
            <w:r w:rsidR="00CB1BFD">
              <w:rPr>
                <w:rFonts w:asciiTheme="minorHAnsi" w:hAnsiTheme="minorHAnsi" w:cstheme="minorHAnsi"/>
                <w:sz w:val="22"/>
                <w:szCs w:val="22"/>
              </w:rPr>
              <w:t>financ</w:t>
            </w:r>
            <w:r w:rsidR="00F57543">
              <w:rPr>
                <w:rFonts w:asciiTheme="minorHAnsi" w:hAnsiTheme="minorHAnsi" w:cstheme="minorHAnsi"/>
                <w:sz w:val="22"/>
                <w:szCs w:val="22"/>
              </w:rPr>
              <w:t>e sector</w:t>
            </w:r>
            <w:r w:rsidR="001C679D">
              <w:rPr>
                <w:rFonts w:asciiTheme="minorHAnsi" w:hAnsiTheme="minorHAnsi" w:cstheme="minorHAnsi"/>
                <w:sz w:val="22"/>
                <w:szCs w:val="22"/>
              </w:rPr>
              <w:t>,</w:t>
            </w:r>
            <w:r w:rsidR="00F57543">
              <w:rPr>
                <w:rFonts w:asciiTheme="minorHAnsi" w:hAnsiTheme="minorHAnsi" w:cstheme="minorHAnsi"/>
                <w:sz w:val="22"/>
                <w:szCs w:val="22"/>
              </w:rPr>
              <w:t xml:space="preserve"> </w:t>
            </w:r>
            <w:r w:rsidRPr="00837069">
              <w:rPr>
                <w:rFonts w:asciiTheme="minorHAnsi" w:hAnsiTheme="minorHAnsi" w:cstheme="minorHAnsi"/>
                <w:sz w:val="22"/>
                <w:szCs w:val="22"/>
              </w:rPr>
              <w:t>on critical topics, including:</w:t>
            </w:r>
          </w:p>
          <w:p w14:paraId="7F99237C" w14:textId="77777777" w:rsidR="00987DFE" w:rsidRPr="00837069" w:rsidRDefault="00987DFE" w:rsidP="007B5561">
            <w:pPr>
              <w:numPr>
                <w:ilvl w:val="0"/>
                <w:numId w:val="24"/>
              </w:numPr>
              <w:spacing w:before="120" w:after="120"/>
              <w:jc w:val="left"/>
              <w:rPr>
                <w:rFonts w:asciiTheme="minorHAnsi" w:eastAsia="Times New Roman" w:hAnsiTheme="minorHAnsi" w:cstheme="minorHAnsi"/>
                <w:sz w:val="22"/>
                <w:szCs w:val="22"/>
              </w:rPr>
            </w:pPr>
            <w:r w:rsidRPr="00837069">
              <w:rPr>
                <w:rFonts w:asciiTheme="minorHAnsi" w:eastAsia="Times New Roman" w:hAnsiTheme="minorHAnsi" w:cstheme="minorHAnsi"/>
                <w:sz w:val="22"/>
                <w:szCs w:val="22"/>
              </w:rPr>
              <w:t>Definition of Sustainable Finance</w:t>
            </w:r>
          </w:p>
          <w:p w14:paraId="30F35671" w14:textId="77777777" w:rsidR="00987DFE" w:rsidRPr="00837069" w:rsidRDefault="00987DFE" w:rsidP="007B5561">
            <w:pPr>
              <w:numPr>
                <w:ilvl w:val="0"/>
                <w:numId w:val="24"/>
              </w:numPr>
              <w:spacing w:before="120" w:after="120"/>
              <w:jc w:val="left"/>
              <w:rPr>
                <w:rFonts w:asciiTheme="minorHAnsi" w:eastAsia="Times New Roman" w:hAnsiTheme="minorHAnsi" w:cstheme="minorHAnsi"/>
                <w:sz w:val="22"/>
                <w:szCs w:val="22"/>
              </w:rPr>
            </w:pPr>
            <w:r w:rsidRPr="00837069">
              <w:rPr>
                <w:rFonts w:asciiTheme="minorHAnsi" w:eastAsia="Times New Roman" w:hAnsiTheme="minorHAnsi" w:cstheme="minorHAnsi"/>
                <w:sz w:val="22"/>
                <w:szCs w:val="22"/>
              </w:rPr>
              <w:t>Sustainable Finance Strategies and International Best Practices</w:t>
            </w:r>
          </w:p>
          <w:p w14:paraId="0247F36A" w14:textId="77777777" w:rsidR="00987DFE" w:rsidRPr="00837069" w:rsidRDefault="00987DFE" w:rsidP="007B5561">
            <w:pPr>
              <w:numPr>
                <w:ilvl w:val="0"/>
                <w:numId w:val="24"/>
              </w:numPr>
              <w:spacing w:before="120" w:after="120"/>
              <w:jc w:val="left"/>
              <w:rPr>
                <w:rFonts w:asciiTheme="minorHAnsi" w:eastAsia="Times New Roman" w:hAnsiTheme="minorHAnsi" w:cstheme="minorHAnsi"/>
                <w:sz w:val="22"/>
                <w:szCs w:val="22"/>
              </w:rPr>
            </w:pPr>
            <w:r w:rsidRPr="00837069">
              <w:rPr>
                <w:rFonts w:asciiTheme="minorHAnsi" w:eastAsia="Times New Roman" w:hAnsiTheme="minorHAnsi" w:cstheme="minorHAnsi"/>
                <w:sz w:val="22"/>
                <w:szCs w:val="22"/>
              </w:rPr>
              <w:t>Global Regulatory Initiatives on Sustainable Finance</w:t>
            </w:r>
          </w:p>
          <w:p w14:paraId="1D51CC21" w14:textId="77777777" w:rsidR="00987DFE" w:rsidRPr="00837069" w:rsidRDefault="00987DFE" w:rsidP="007B5561">
            <w:pPr>
              <w:numPr>
                <w:ilvl w:val="0"/>
                <w:numId w:val="24"/>
              </w:numPr>
              <w:spacing w:before="120" w:after="120"/>
              <w:jc w:val="left"/>
              <w:rPr>
                <w:rFonts w:asciiTheme="minorHAnsi" w:eastAsia="Times New Roman" w:hAnsiTheme="minorHAnsi" w:cstheme="minorHAnsi"/>
                <w:sz w:val="22"/>
                <w:szCs w:val="22"/>
              </w:rPr>
            </w:pPr>
            <w:r w:rsidRPr="00837069">
              <w:rPr>
                <w:rFonts w:asciiTheme="minorHAnsi" w:eastAsia="Times New Roman" w:hAnsiTheme="minorHAnsi" w:cstheme="minorHAnsi"/>
                <w:sz w:val="22"/>
                <w:szCs w:val="22"/>
              </w:rPr>
              <w:t>Innovative Green Financial Products</w:t>
            </w:r>
          </w:p>
          <w:p w14:paraId="6610BE51" w14:textId="77777777" w:rsidR="00987DFE" w:rsidRPr="00837069" w:rsidRDefault="00987DFE" w:rsidP="007B5561">
            <w:pPr>
              <w:numPr>
                <w:ilvl w:val="0"/>
                <w:numId w:val="24"/>
              </w:numPr>
              <w:spacing w:before="120" w:after="120"/>
              <w:jc w:val="left"/>
              <w:rPr>
                <w:rFonts w:asciiTheme="minorHAnsi" w:eastAsia="Times New Roman" w:hAnsiTheme="minorHAnsi" w:cstheme="minorHAnsi"/>
                <w:sz w:val="22"/>
                <w:szCs w:val="22"/>
              </w:rPr>
            </w:pPr>
            <w:r w:rsidRPr="00837069">
              <w:rPr>
                <w:rFonts w:asciiTheme="minorHAnsi" w:eastAsia="Times New Roman" w:hAnsiTheme="minorHAnsi" w:cstheme="minorHAnsi"/>
                <w:sz w:val="22"/>
                <w:szCs w:val="22"/>
              </w:rPr>
              <w:lastRenderedPageBreak/>
              <w:t>Sustainable Finance in Argentina</w:t>
            </w:r>
          </w:p>
          <w:p w14:paraId="2B622057" w14:textId="77777777" w:rsidR="00987DFE" w:rsidRPr="00837069" w:rsidRDefault="00987DFE" w:rsidP="007B5561">
            <w:pPr>
              <w:numPr>
                <w:ilvl w:val="0"/>
                <w:numId w:val="24"/>
              </w:numPr>
              <w:spacing w:before="120" w:after="120"/>
              <w:jc w:val="left"/>
              <w:rPr>
                <w:rFonts w:asciiTheme="minorHAnsi" w:eastAsia="Times New Roman" w:hAnsiTheme="minorHAnsi" w:cstheme="minorHAnsi"/>
                <w:sz w:val="22"/>
                <w:szCs w:val="22"/>
              </w:rPr>
            </w:pPr>
            <w:r w:rsidRPr="00837069">
              <w:rPr>
                <w:rFonts w:asciiTheme="minorHAnsi" w:eastAsia="Times New Roman" w:hAnsiTheme="minorHAnsi" w:cstheme="minorHAnsi"/>
                <w:sz w:val="22"/>
                <w:szCs w:val="22"/>
              </w:rPr>
              <w:t>Regulatory Initiatives on Sustainable Finance in Argentina</w:t>
            </w:r>
          </w:p>
          <w:p w14:paraId="6E8F6072" w14:textId="77777777" w:rsidR="00D63124" w:rsidRPr="00837069" w:rsidRDefault="00D63124" w:rsidP="00987DFE">
            <w:pPr>
              <w:spacing w:before="120" w:after="120"/>
              <w:rPr>
                <w:rFonts w:asciiTheme="minorHAnsi" w:hAnsiTheme="minorHAnsi" w:cstheme="minorHAnsi"/>
                <w:b/>
                <w:bCs/>
                <w:sz w:val="22"/>
                <w:szCs w:val="22"/>
              </w:rPr>
            </w:pPr>
          </w:p>
          <w:p w14:paraId="28A6CED8" w14:textId="3CBFD3BC" w:rsidR="00987DFE" w:rsidRPr="00837069" w:rsidRDefault="00987DFE" w:rsidP="00987DFE">
            <w:pPr>
              <w:spacing w:before="120" w:after="120"/>
              <w:rPr>
                <w:rFonts w:asciiTheme="minorHAnsi" w:hAnsiTheme="minorHAnsi" w:cstheme="minorHAnsi"/>
                <w:sz w:val="22"/>
                <w:szCs w:val="22"/>
              </w:rPr>
            </w:pPr>
            <w:r w:rsidRPr="00837069">
              <w:rPr>
                <w:rFonts w:asciiTheme="minorHAnsi" w:hAnsiTheme="minorHAnsi" w:cstheme="minorHAnsi"/>
                <w:b/>
                <w:bCs/>
                <w:sz w:val="22"/>
                <w:szCs w:val="22"/>
              </w:rPr>
              <w:t>Development of a Report</w:t>
            </w:r>
            <w:r w:rsidR="00D63124" w:rsidRPr="00837069">
              <w:rPr>
                <w:rFonts w:asciiTheme="minorHAnsi" w:hAnsiTheme="minorHAnsi" w:cstheme="minorHAnsi"/>
                <w:b/>
                <w:bCs/>
                <w:sz w:val="22"/>
                <w:szCs w:val="22"/>
              </w:rPr>
              <w:t xml:space="preserve"> </w:t>
            </w:r>
            <w:r w:rsidRPr="00837069">
              <w:rPr>
                <w:rFonts w:asciiTheme="minorHAnsi" w:hAnsiTheme="minorHAnsi" w:cstheme="minorHAnsi"/>
                <w:i/>
                <w:iCs/>
                <w:sz w:val="22"/>
                <w:szCs w:val="22"/>
              </w:rPr>
              <w:t>"Sustainable Finance in Argentina: Development of Financial Instruments for Takeoff" (UNDP-PAGE)</w:t>
            </w:r>
            <w:r w:rsidR="00D63124" w:rsidRPr="00837069">
              <w:rPr>
                <w:rFonts w:asciiTheme="minorHAnsi" w:hAnsiTheme="minorHAnsi" w:cstheme="minorHAnsi"/>
                <w:i/>
                <w:iCs/>
                <w:sz w:val="22"/>
                <w:szCs w:val="22"/>
              </w:rPr>
              <w:t xml:space="preserve">. </w:t>
            </w:r>
            <w:hyperlink r:id="rId14" w:history="1">
              <w:r w:rsidRPr="00AB7611">
                <w:rPr>
                  <w:rStyle w:val="Hyperlink"/>
                  <w:rFonts w:asciiTheme="minorHAnsi" w:hAnsiTheme="minorHAnsi" w:cstheme="minorHAnsi"/>
                  <w:sz w:val="22"/>
                  <w:szCs w:val="22"/>
                  <w:lang w:val="es-ES"/>
                </w:rPr>
                <w:t>Finanzas sostenibles en Argentina: Desarrollo de instrumentos financieros para el despegue | Programa De Las Naciones Unidas Para El Desarrollo</w:t>
              </w:r>
            </w:hyperlink>
            <w:r w:rsidR="005770BB">
              <w:rPr>
                <w:rStyle w:val="Hyperlink"/>
                <w:rFonts w:asciiTheme="minorHAnsi" w:hAnsiTheme="minorHAnsi" w:cstheme="minorHAnsi"/>
                <w:sz w:val="22"/>
                <w:szCs w:val="22"/>
              </w:rPr>
              <w:t>.</w:t>
            </w:r>
            <w:r w:rsidR="005770BB">
              <w:rPr>
                <w:rStyle w:val="Hyperlink"/>
              </w:rPr>
              <w:t xml:space="preserve"> </w:t>
            </w:r>
            <w:proofErr w:type="spellStart"/>
            <w:r w:rsidRPr="00AB7611">
              <w:rPr>
                <w:rFonts w:asciiTheme="minorHAnsi" w:hAnsiTheme="minorHAnsi" w:cstheme="minorHAnsi"/>
                <w:sz w:val="22"/>
                <w:szCs w:val="22"/>
                <w:lang w:val="es-ES"/>
              </w:rPr>
              <w:t>This</w:t>
            </w:r>
            <w:proofErr w:type="spellEnd"/>
            <w:r w:rsidRPr="00AB7611">
              <w:rPr>
                <w:rFonts w:asciiTheme="minorHAnsi" w:hAnsiTheme="minorHAnsi" w:cstheme="minorHAnsi"/>
                <w:sz w:val="22"/>
                <w:szCs w:val="22"/>
                <w:lang w:val="es-ES"/>
              </w:rPr>
              <w:t xml:space="preserve"> </w:t>
            </w:r>
            <w:proofErr w:type="spellStart"/>
            <w:r w:rsidRPr="00AB7611">
              <w:rPr>
                <w:rFonts w:asciiTheme="minorHAnsi" w:hAnsiTheme="minorHAnsi" w:cstheme="minorHAnsi"/>
                <w:sz w:val="22"/>
                <w:szCs w:val="22"/>
                <w:lang w:val="es-ES"/>
              </w:rPr>
              <w:t>report</w:t>
            </w:r>
            <w:proofErr w:type="spellEnd"/>
            <w:r w:rsidRPr="00AB7611">
              <w:rPr>
                <w:rFonts w:asciiTheme="minorHAnsi" w:hAnsiTheme="minorHAnsi" w:cstheme="minorHAnsi"/>
                <w:sz w:val="22"/>
                <w:szCs w:val="22"/>
                <w:lang w:val="es-ES"/>
              </w:rPr>
              <w:t xml:space="preserve"> </w:t>
            </w:r>
            <w:proofErr w:type="spellStart"/>
            <w:r w:rsidRPr="00AB7611">
              <w:rPr>
                <w:rFonts w:asciiTheme="minorHAnsi" w:hAnsiTheme="minorHAnsi" w:cstheme="minorHAnsi"/>
                <w:sz w:val="22"/>
                <w:szCs w:val="22"/>
                <w:lang w:val="es-ES"/>
              </w:rPr>
              <w:t>analyzes</w:t>
            </w:r>
            <w:proofErr w:type="spellEnd"/>
            <w:r w:rsidRPr="00AB7611">
              <w:rPr>
                <w:rFonts w:asciiTheme="minorHAnsi" w:hAnsiTheme="minorHAnsi" w:cstheme="minorHAnsi"/>
                <w:sz w:val="22"/>
                <w:szCs w:val="22"/>
                <w:lang w:val="es-ES"/>
              </w:rPr>
              <w:t xml:space="preserve"> </w:t>
            </w:r>
            <w:proofErr w:type="spellStart"/>
            <w:r w:rsidRPr="00AB7611">
              <w:rPr>
                <w:rFonts w:asciiTheme="minorHAnsi" w:hAnsiTheme="minorHAnsi" w:cstheme="minorHAnsi"/>
                <w:sz w:val="22"/>
                <w:szCs w:val="22"/>
                <w:lang w:val="es-ES"/>
              </w:rPr>
              <w:t>the</w:t>
            </w:r>
            <w:proofErr w:type="spellEnd"/>
            <w:r w:rsidRPr="00AB7611">
              <w:rPr>
                <w:rFonts w:asciiTheme="minorHAnsi" w:hAnsiTheme="minorHAnsi" w:cstheme="minorHAnsi"/>
                <w:sz w:val="22"/>
                <w:szCs w:val="22"/>
                <w:lang w:val="es-ES"/>
              </w:rPr>
              <w:t xml:space="preserve"> </w:t>
            </w:r>
            <w:proofErr w:type="spellStart"/>
            <w:r w:rsidRPr="00AB7611">
              <w:rPr>
                <w:rFonts w:asciiTheme="minorHAnsi" w:hAnsiTheme="minorHAnsi" w:cstheme="minorHAnsi"/>
                <w:sz w:val="22"/>
                <w:szCs w:val="22"/>
                <w:lang w:val="es-ES"/>
              </w:rPr>
              <w:t>current</w:t>
            </w:r>
            <w:proofErr w:type="spellEnd"/>
            <w:r w:rsidRPr="00AB7611">
              <w:rPr>
                <w:rFonts w:asciiTheme="minorHAnsi" w:hAnsiTheme="minorHAnsi" w:cstheme="minorHAnsi"/>
                <w:sz w:val="22"/>
                <w:szCs w:val="22"/>
                <w:lang w:val="es-ES"/>
              </w:rPr>
              <w:t xml:space="preserve"> </w:t>
            </w:r>
            <w:proofErr w:type="spellStart"/>
            <w:r w:rsidRPr="00AB7611">
              <w:rPr>
                <w:rFonts w:asciiTheme="minorHAnsi" w:hAnsiTheme="minorHAnsi" w:cstheme="minorHAnsi"/>
                <w:sz w:val="22"/>
                <w:szCs w:val="22"/>
                <w:lang w:val="es-ES"/>
              </w:rPr>
              <w:t>state</w:t>
            </w:r>
            <w:proofErr w:type="spellEnd"/>
            <w:r w:rsidRPr="00AB7611">
              <w:rPr>
                <w:rFonts w:asciiTheme="minorHAnsi" w:hAnsiTheme="minorHAnsi" w:cstheme="minorHAnsi"/>
                <w:sz w:val="22"/>
                <w:szCs w:val="22"/>
                <w:lang w:val="es-ES"/>
              </w:rPr>
              <w:t xml:space="preserve"> of </w:t>
            </w:r>
            <w:proofErr w:type="spellStart"/>
            <w:r w:rsidRPr="00AB7611">
              <w:rPr>
                <w:rFonts w:asciiTheme="minorHAnsi" w:hAnsiTheme="minorHAnsi" w:cstheme="minorHAnsi"/>
                <w:sz w:val="22"/>
                <w:szCs w:val="22"/>
                <w:lang w:val="es-ES"/>
              </w:rPr>
              <w:t>sustainable</w:t>
            </w:r>
            <w:proofErr w:type="spellEnd"/>
            <w:r w:rsidRPr="00AB7611">
              <w:rPr>
                <w:rFonts w:asciiTheme="minorHAnsi" w:hAnsiTheme="minorHAnsi" w:cstheme="minorHAnsi"/>
                <w:sz w:val="22"/>
                <w:szCs w:val="22"/>
                <w:lang w:val="es-ES"/>
              </w:rPr>
              <w:t xml:space="preserve"> </w:t>
            </w:r>
            <w:proofErr w:type="spellStart"/>
            <w:r w:rsidRPr="00AB7611">
              <w:rPr>
                <w:rFonts w:asciiTheme="minorHAnsi" w:hAnsiTheme="minorHAnsi" w:cstheme="minorHAnsi"/>
                <w:sz w:val="22"/>
                <w:szCs w:val="22"/>
                <w:lang w:val="es-ES"/>
              </w:rPr>
              <w:t>finance</w:t>
            </w:r>
            <w:proofErr w:type="spellEnd"/>
            <w:r w:rsidRPr="00AB7611">
              <w:rPr>
                <w:rFonts w:asciiTheme="minorHAnsi" w:hAnsiTheme="minorHAnsi" w:cstheme="minorHAnsi"/>
                <w:sz w:val="22"/>
                <w:szCs w:val="22"/>
                <w:lang w:val="es-ES"/>
              </w:rPr>
              <w:t xml:space="preserve"> in Argentina, </w:t>
            </w:r>
            <w:proofErr w:type="spellStart"/>
            <w:r w:rsidRPr="00AB7611">
              <w:rPr>
                <w:rFonts w:asciiTheme="minorHAnsi" w:hAnsiTheme="minorHAnsi" w:cstheme="minorHAnsi"/>
                <w:sz w:val="22"/>
                <w:szCs w:val="22"/>
                <w:lang w:val="es-ES"/>
              </w:rPr>
              <w:t>identifying</w:t>
            </w:r>
            <w:proofErr w:type="spellEnd"/>
            <w:r w:rsidRPr="00AB7611">
              <w:rPr>
                <w:rFonts w:asciiTheme="minorHAnsi" w:hAnsiTheme="minorHAnsi" w:cstheme="minorHAnsi"/>
                <w:sz w:val="22"/>
                <w:szCs w:val="22"/>
                <w:lang w:val="es-ES"/>
              </w:rPr>
              <w:t xml:space="preserve"> </w:t>
            </w:r>
            <w:proofErr w:type="spellStart"/>
            <w:r w:rsidRPr="00AB7611">
              <w:rPr>
                <w:rFonts w:asciiTheme="minorHAnsi" w:hAnsiTheme="minorHAnsi" w:cstheme="minorHAnsi"/>
                <w:sz w:val="22"/>
                <w:szCs w:val="22"/>
                <w:lang w:val="es-ES"/>
              </w:rPr>
              <w:t>key</w:t>
            </w:r>
            <w:proofErr w:type="spellEnd"/>
            <w:r w:rsidRPr="00AB7611">
              <w:rPr>
                <w:rFonts w:asciiTheme="minorHAnsi" w:hAnsiTheme="minorHAnsi" w:cstheme="minorHAnsi"/>
                <w:sz w:val="22"/>
                <w:szCs w:val="22"/>
                <w:lang w:val="es-ES"/>
              </w:rPr>
              <w:t xml:space="preserve"> </w:t>
            </w:r>
            <w:proofErr w:type="spellStart"/>
            <w:r w:rsidRPr="00AB7611">
              <w:rPr>
                <w:rFonts w:asciiTheme="minorHAnsi" w:hAnsiTheme="minorHAnsi" w:cstheme="minorHAnsi"/>
                <w:sz w:val="22"/>
                <w:szCs w:val="22"/>
                <w:lang w:val="es-ES"/>
              </w:rPr>
              <w:t>challenges</w:t>
            </w:r>
            <w:proofErr w:type="spellEnd"/>
            <w:r w:rsidRPr="00AB7611">
              <w:rPr>
                <w:rFonts w:asciiTheme="minorHAnsi" w:hAnsiTheme="minorHAnsi" w:cstheme="minorHAnsi"/>
                <w:sz w:val="22"/>
                <w:szCs w:val="22"/>
                <w:lang w:val="es-ES"/>
              </w:rPr>
              <w:t xml:space="preserve"> and </w:t>
            </w:r>
            <w:proofErr w:type="spellStart"/>
            <w:r w:rsidRPr="00AB7611">
              <w:rPr>
                <w:rFonts w:asciiTheme="minorHAnsi" w:hAnsiTheme="minorHAnsi" w:cstheme="minorHAnsi"/>
                <w:sz w:val="22"/>
                <w:szCs w:val="22"/>
                <w:lang w:val="es-ES"/>
              </w:rPr>
              <w:t>opportunities</w:t>
            </w:r>
            <w:proofErr w:type="spellEnd"/>
            <w:r w:rsidRPr="00AB7611">
              <w:rPr>
                <w:rFonts w:asciiTheme="minorHAnsi" w:hAnsiTheme="minorHAnsi" w:cstheme="minorHAnsi"/>
                <w:sz w:val="22"/>
                <w:szCs w:val="22"/>
                <w:lang w:val="es-ES"/>
              </w:rPr>
              <w:t xml:space="preserve">. </w:t>
            </w:r>
            <w:r w:rsidRPr="00837069">
              <w:rPr>
                <w:rFonts w:asciiTheme="minorHAnsi" w:hAnsiTheme="minorHAnsi" w:cstheme="minorHAnsi"/>
                <w:sz w:val="22"/>
                <w:szCs w:val="22"/>
              </w:rPr>
              <w:t>It outlines essential elements for designing strategic action lines and provides recommendations on institutional frameworks and financing mechanisms to support the development of sustainable financial instruments.</w:t>
            </w:r>
            <w:r w:rsidR="0084544A">
              <w:rPr>
                <w:rFonts w:asciiTheme="minorHAnsi" w:hAnsiTheme="minorHAnsi" w:cstheme="minorHAnsi"/>
                <w:sz w:val="22"/>
                <w:szCs w:val="22"/>
              </w:rPr>
              <w:t xml:space="preserve"> </w:t>
            </w:r>
            <w:r w:rsidR="0084544A" w:rsidRPr="0084544A">
              <w:rPr>
                <w:rFonts w:asciiTheme="minorHAnsi" w:hAnsiTheme="minorHAnsi" w:cstheme="minorHAnsi"/>
                <w:sz w:val="22"/>
                <w:szCs w:val="22"/>
              </w:rPr>
              <w:t xml:space="preserve">The interviews primarily covered key stakeholders in the </w:t>
            </w:r>
            <w:r w:rsidR="00A60E8C">
              <w:rPr>
                <w:rFonts w:asciiTheme="minorHAnsi" w:hAnsiTheme="minorHAnsi" w:cstheme="minorHAnsi"/>
                <w:sz w:val="22"/>
                <w:szCs w:val="22"/>
              </w:rPr>
              <w:t>national</w:t>
            </w:r>
            <w:r w:rsidR="0084544A" w:rsidRPr="0084544A">
              <w:rPr>
                <w:rFonts w:asciiTheme="minorHAnsi" w:hAnsiTheme="minorHAnsi" w:cstheme="minorHAnsi"/>
                <w:sz w:val="22"/>
                <w:szCs w:val="22"/>
              </w:rPr>
              <w:t xml:space="preserve"> financial system, such as the National Securities Commission, the Insurance </w:t>
            </w:r>
            <w:r w:rsidR="00A60E8C">
              <w:rPr>
                <w:rFonts w:asciiTheme="minorHAnsi" w:hAnsiTheme="minorHAnsi" w:cstheme="minorHAnsi"/>
                <w:sz w:val="22"/>
                <w:szCs w:val="22"/>
              </w:rPr>
              <w:t>Agency</w:t>
            </w:r>
            <w:r w:rsidR="0084544A" w:rsidRPr="0084544A">
              <w:rPr>
                <w:rFonts w:asciiTheme="minorHAnsi" w:hAnsiTheme="minorHAnsi" w:cstheme="minorHAnsi"/>
                <w:sz w:val="22"/>
                <w:szCs w:val="22"/>
              </w:rPr>
              <w:t xml:space="preserve">, the National Ministry of Economy, the National Ministry of Environment and Sustainable Development, among others. Since the banking sector is the main financier in terms of volume in the local market, interviews were held with the Banco de la </w:t>
            </w:r>
            <w:proofErr w:type="spellStart"/>
            <w:r w:rsidR="0084544A" w:rsidRPr="0084544A">
              <w:rPr>
                <w:rFonts w:asciiTheme="minorHAnsi" w:hAnsiTheme="minorHAnsi" w:cstheme="minorHAnsi"/>
                <w:sz w:val="22"/>
                <w:szCs w:val="22"/>
              </w:rPr>
              <w:t>Nación</w:t>
            </w:r>
            <w:proofErr w:type="spellEnd"/>
            <w:r w:rsidR="0084544A" w:rsidRPr="0084544A">
              <w:rPr>
                <w:rFonts w:asciiTheme="minorHAnsi" w:hAnsiTheme="minorHAnsi" w:cstheme="minorHAnsi"/>
                <w:sz w:val="22"/>
                <w:szCs w:val="22"/>
              </w:rPr>
              <w:t xml:space="preserve"> Argentina, the Bank of Investment and Foreign Trade, and the Secretariat of Protocol, among others</w:t>
            </w:r>
            <w:r w:rsidR="00707498">
              <w:rPr>
                <w:rFonts w:asciiTheme="minorHAnsi" w:hAnsiTheme="minorHAnsi" w:cstheme="minorHAnsi"/>
                <w:sz w:val="22"/>
                <w:szCs w:val="22"/>
              </w:rPr>
              <w:t>.</w:t>
            </w:r>
          </w:p>
          <w:p w14:paraId="0F3DF2D0" w14:textId="77777777" w:rsidR="00D63124" w:rsidRPr="00837069" w:rsidRDefault="00987DFE" w:rsidP="00987DFE">
            <w:pPr>
              <w:spacing w:before="120" w:after="120"/>
              <w:rPr>
                <w:rFonts w:asciiTheme="minorHAnsi" w:hAnsiTheme="minorHAnsi" w:cstheme="minorHAnsi"/>
                <w:b/>
                <w:bCs/>
                <w:sz w:val="22"/>
                <w:szCs w:val="22"/>
              </w:rPr>
            </w:pPr>
            <w:r w:rsidRPr="00837069">
              <w:rPr>
                <w:rFonts w:asciiTheme="minorHAnsi" w:hAnsiTheme="minorHAnsi" w:cstheme="minorHAnsi"/>
                <w:b/>
                <w:bCs/>
                <w:sz w:val="22"/>
                <w:szCs w:val="22"/>
              </w:rPr>
              <w:t>Creation of a Sustainable Finance Manual</w:t>
            </w:r>
          </w:p>
          <w:p w14:paraId="6A71B1A1" w14:textId="77777777" w:rsidR="00987DFE" w:rsidRDefault="00987DFE" w:rsidP="00D63124">
            <w:pPr>
              <w:spacing w:before="120" w:after="120"/>
              <w:rPr>
                <w:rFonts w:asciiTheme="minorHAnsi" w:hAnsiTheme="minorHAnsi" w:cstheme="minorHAnsi"/>
                <w:sz w:val="22"/>
                <w:szCs w:val="22"/>
              </w:rPr>
            </w:pPr>
            <w:r w:rsidRPr="00837069">
              <w:rPr>
                <w:rFonts w:asciiTheme="minorHAnsi" w:hAnsiTheme="minorHAnsi" w:cstheme="minorHAnsi"/>
                <w:sz w:val="22"/>
                <w:szCs w:val="22"/>
              </w:rPr>
              <w:t xml:space="preserve">Recognizing the need for a shared understanding, a </w:t>
            </w:r>
            <w:r w:rsidRPr="00837069">
              <w:rPr>
                <w:rFonts w:asciiTheme="minorHAnsi" w:hAnsiTheme="minorHAnsi" w:cstheme="minorHAnsi"/>
                <w:b/>
                <w:bCs/>
                <w:sz w:val="22"/>
                <w:szCs w:val="22"/>
              </w:rPr>
              <w:t>Sustainable Finance Manual</w:t>
            </w:r>
            <w:r w:rsidRPr="00837069">
              <w:rPr>
                <w:rFonts w:asciiTheme="minorHAnsi" w:hAnsiTheme="minorHAnsi" w:cstheme="minorHAnsi"/>
                <w:sz w:val="22"/>
                <w:szCs w:val="22"/>
              </w:rPr>
              <w:t xml:space="preserve"> was developed. This document establishes clear definitions and standardized classification criteria to ensure consistency in the application and interpretation of sustainable finance concepts.</w:t>
            </w:r>
            <w:r w:rsidR="0072646C">
              <w:rPr>
                <w:rFonts w:asciiTheme="minorHAnsi" w:hAnsiTheme="minorHAnsi" w:cstheme="minorHAnsi"/>
                <w:sz w:val="22"/>
                <w:szCs w:val="22"/>
              </w:rPr>
              <w:t xml:space="preserve"> This </w:t>
            </w:r>
            <w:r w:rsidR="00EB0276">
              <w:rPr>
                <w:rFonts w:asciiTheme="minorHAnsi" w:hAnsiTheme="minorHAnsi" w:cstheme="minorHAnsi"/>
                <w:sz w:val="22"/>
                <w:szCs w:val="22"/>
              </w:rPr>
              <w:t xml:space="preserve">manual was developed by </w:t>
            </w:r>
            <w:proofErr w:type="spellStart"/>
            <w:r w:rsidR="00EB0276" w:rsidRPr="00EB0276">
              <w:rPr>
                <w:rFonts w:asciiTheme="minorHAnsi" w:hAnsiTheme="minorHAnsi" w:cstheme="minorHAnsi"/>
                <w:sz w:val="22"/>
                <w:szCs w:val="22"/>
              </w:rPr>
              <w:t>Techo</w:t>
            </w:r>
            <w:proofErr w:type="spellEnd"/>
            <w:r w:rsidR="00EB0276">
              <w:rPr>
                <w:rFonts w:asciiTheme="minorHAnsi" w:hAnsiTheme="minorHAnsi" w:cstheme="minorHAnsi"/>
                <w:sz w:val="22"/>
                <w:szCs w:val="22"/>
              </w:rPr>
              <w:t>-Argentina as</w:t>
            </w:r>
            <w:r w:rsidR="00EB0276" w:rsidRPr="00EB0276">
              <w:rPr>
                <w:rFonts w:asciiTheme="minorHAnsi" w:hAnsiTheme="minorHAnsi" w:cstheme="minorHAnsi"/>
                <w:sz w:val="22"/>
                <w:szCs w:val="22"/>
              </w:rPr>
              <w:t xml:space="preserve"> a continuation of the </w:t>
            </w:r>
            <w:r w:rsidR="00B275D4">
              <w:rPr>
                <w:rFonts w:asciiTheme="minorHAnsi" w:hAnsiTheme="minorHAnsi" w:cstheme="minorHAnsi"/>
                <w:sz w:val="22"/>
                <w:szCs w:val="22"/>
              </w:rPr>
              <w:t>work on sustainable finance</w:t>
            </w:r>
            <w:r w:rsidR="00405668">
              <w:rPr>
                <w:rFonts w:asciiTheme="minorHAnsi" w:hAnsiTheme="minorHAnsi" w:cstheme="minorHAnsi"/>
                <w:sz w:val="22"/>
                <w:szCs w:val="22"/>
              </w:rPr>
              <w:t xml:space="preserve"> guidance supported by PAGE Argentina earlier: </w:t>
            </w:r>
            <w:hyperlink r:id="rId15" w:history="1">
              <w:r w:rsidR="00EB0276" w:rsidRPr="00EB0276">
                <w:rPr>
                  <w:rStyle w:val="Hyperlink"/>
                  <w:rFonts w:asciiTheme="minorHAnsi" w:hAnsiTheme="minorHAnsi" w:cstheme="minorHAnsi"/>
                  <w:sz w:val="22"/>
                  <w:szCs w:val="22"/>
                  <w:lang w:val="es-AR"/>
                </w:rPr>
                <w:t xml:space="preserve">Guía Metodológica | Promoción de la vivienda sustentable mediante esquemas novedosos de </w:t>
              </w:r>
              <w:proofErr w:type="spellStart"/>
              <w:r w:rsidR="00EB0276" w:rsidRPr="00EB0276">
                <w:rPr>
                  <w:rStyle w:val="Hyperlink"/>
                  <w:rFonts w:asciiTheme="minorHAnsi" w:hAnsiTheme="minorHAnsi" w:cstheme="minorHAnsi"/>
                  <w:sz w:val="22"/>
                  <w:szCs w:val="22"/>
                  <w:lang w:val="es-AR"/>
                </w:rPr>
                <w:t>ﬁnanciamiento</w:t>
              </w:r>
              <w:proofErr w:type="spellEnd"/>
              <w:r w:rsidR="00EB0276" w:rsidRPr="00EB0276">
                <w:rPr>
                  <w:rStyle w:val="Hyperlink"/>
                  <w:rFonts w:asciiTheme="minorHAnsi" w:hAnsiTheme="minorHAnsi" w:cstheme="minorHAnsi"/>
                  <w:sz w:val="22"/>
                  <w:szCs w:val="22"/>
                  <w:lang w:val="es-AR"/>
                </w:rPr>
                <w:t>, a través de la emisión de bonos sociales, verdes y sostenibles y con generación de empleo verde. | Programa De Las Naciones Unidas Para El Desarrollo</w:t>
              </w:r>
            </w:hyperlink>
          </w:p>
          <w:p w14:paraId="3E9F5414" w14:textId="77777777" w:rsidR="00846FF0" w:rsidRPr="006066E4" w:rsidRDefault="00846FF0" w:rsidP="00846FF0">
            <w:pPr>
              <w:rPr>
                <w:rFonts w:asciiTheme="minorHAnsi" w:eastAsia="Times New Roman" w:hAnsiTheme="minorHAnsi" w:cstheme="minorHAnsi"/>
                <w:b/>
                <w:bCs/>
                <w:color w:val="000000"/>
                <w:sz w:val="22"/>
                <w:szCs w:val="22"/>
                <w:lang w:eastAsia="es-MX"/>
              </w:rPr>
            </w:pPr>
            <w:r w:rsidRPr="006066E4">
              <w:rPr>
                <w:rFonts w:asciiTheme="minorHAnsi" w:eastAsia="Times New Roman" w:hAnsiTheme="minorHAnsi" w:cstheme="minorHAnsi"/>
                <w:b/>
                <w:bCs/>
                <w:color w:val="000000"/>
                <w:sz w:val="22"/>
                <w:szCs w:val="22"/>
                <w:lang w:eastAsia="es-MX"/>
              </w:rPr>
              <w:t>Partnership with OECD</w:t>
            </w:r>
          </w:p>
          <w:p w14:paraId="04DC609E" w14:textId="52ECF1E6" w:rsidR="00846FF0" w:rsidRPr="00917910" w:rsidRDefault="00846FF0" w:rsidP="00917910">
            <w:pPr>
              <w:rPr>
                <w:rFonts w:asciiTheme="minorHAnsi" w:eastAsia="Times New Roman" w:hAnsiTheme="minorHAnsi" w:cstheme="minorHAnsi"/>
                <w:color w:val="000000"/>
                <w:sz w:val="22"/>
                <w:szCs w:val="22"/>
                <w:lang w:eastAsia="es-MX"/>
              </w:rPr>
            </w:pPr>
            <w:r w:rsidRPr="006B76BC">
              <w:rPr>
                <w:rFonts w:asciiTheme="minorHAnsi" w:eastAsia="Times New Roman" w:hAnsiTheme="minorHAnsi" w:cstheme="minorHAnsi"/>
                <w:color w:val="000000"/>
                <w:sz w:val="22"/>
                <w:szCs w:val="22"/>
                <w:lang w:eastAsia="es-MX"/>
              </w:rPr>
              <w:t xml:space="preserve">Argentina is </w:t>
            </w:r>
            <w:r>
              <w:rPr>
                <w:rFonts w:asciiTheme="minorHAnsi" w:eastAsia="Times New Roman" w:hAnsiTheme="minorHAnsi" w:cstheme="minorHAnsi"/>
                <w:color w:val="000000"/>
                <w:sz w:val="22"/>
                <w:szCs w:val="22"/>
                <w:lang w:eastAsia="es-MX"/>
              </w:rPr>
              <w:t>interested</w:t>
            </w:r>
            <w:r w:rsidRPr="006B76BC">
              <w:rPr>
                <w:rFonts w:asciiTheme="minorHAnsi" w:eastAsia="Times New Roman" w:hAnsiTheme="minorHAnsi" w:cstheme="minorHAnsi"/>
                <w:color w:val="000000"/>
                <w:sz w:val="22"/>
                <w:szCs w:val="22"/>
                <w:lang w:eastAsia="es-MX"/>
              </w:rPr>
              <w:t xml:space="preserve"> to join the OECD</w:t>
            </w:r>
            <w:r w:rsidR="00A651EA">
              <w:rPr>
                <w:rFonts w:asciiTheme="minorHAnsi" w:eastAsia="Times New Roman" w:hAnsiTheme="minorHAnsi" w:cstheme="minorHAnsi"/>
                <w:color w:val="000000"/>
                <w:sz w:val="22"/>
                <w:szCs w:val="22"/>
                <w:lang w:eastAsia="es-MX"/>
              </w:rPr>
              <w:t>. Above all, this would</w:t>
            </w:r>
            <w:r w:rsidRPr="006B76BC">
              <w:rPr>
                <w:rFonts w:asciiTheme="minorHAnsi" w:eastAsia="Times New Roman" w:hAnsiTheme="minorHAnsi" w:cstheme="minorHAnsi"/>
                <w:color w:val="000000"/>
                <w:sz w:val="22"/>
                <w:szCs w:val="22"/>
                <w:lang w:eastAsia="es-MX"/>
              </w:rPr>
              <w:t xml:space="preserve"> push forward its agenda for a sustainable and inclusive green economy. In this context, UNDP-PAGE </w:t>
            </w:r>
            <w:r>
              <w:rPr>
                <w:rFonts w:asciiTheme="minorHAnsi" w:eastAsia="Times New Roman" w:hAnsiTheme="minorHAnsi" w:cstheme="minorHAnsi"/>
                <w:color w:val="000000"/>
                <w:sz w:val="22"/>
                <w:szCs w:val="22"/>
                <w:lang w:eastAsia="es-MX"/>
              </w:rPr>
              <w:t xml:space="preserve">supported </w:t>
            </w:r>
            <w:r w:rsidRPr="006B76BC">
              <w:rPr>
                <w:rFonts w:asciiTheme="minorHAnsi" w:eastAsia="Times New Roman" w:hAnsiTheme="minorHAnsi" w:cstheme="minorHAnsi"/>
                <w:color w:val="000000"/>
                <w:sz w:val="22"/>
                <w:szCs w:val="22"/>
                <w:lang w:eastAsia="es-MX"/>
              </w:rPr>
              <w:t>the Sub</w:t>
            </w:r>
            <w:r>
              <w:rPr>
                <w:rFonts w:asciiTheme="minorHAnsi" w:eastAsia="Times New Roman" w:hAnsiTheme="minorHAnsi" w:cstheme="minorHAnsi"/>
                <w:color w:val="000000"/>
                <w:sz w:val="22"/>
                <w:szCs w:val="22"/>
                <w:lang w:eastAsia="es-MX"/>
              </w:rPr>
              <w:t>-</w:t>
            </w:r>
            <w:r w:rsidRPr="006B76BC">
              <w:rPr>
                <w:rFonts w:asciiTheme="minorHAnsi" w:eastAsia="Times New Roman" w:hAnsiTheme="minorHAnsi" w:cstheme="minorHAnsi"/>
                <w:color w:val="000000"/>
                <w:sz w:val="22"/>
                <w:szCs w:val="22"/>
                <w:lang w:eastAsia="es-MX"/>
              </w:rPr>
              <w:t xml:space="preserve">secretariat of Environment in its role as national environmental focal point, </w:t>
            </w:r>
            <w:r w:rsidRPr="00917910">
              <w:rPr>
                <w:rFonts w:asciiTheme="minorHAnsi" w:eastAsia="Times New Roman" w:hAnsiTheme="minorHAnsi" w:cstheme="minorHAnsi"/>
                <w:color w:val="000000"/>
                <w:sz w:val="22"/>
                <w:szCs w:val="22"/>
                <w:lang w:eastAsia="es-MX"/>
              </w:rPr>
              <w:t xml:space="preserve">by offering technical assistance to summarize  </w:t>
            </w:r>
            <w:r w:rsidRPr="00917910">
              <w:rPr>
                <w:rFonts w:asciiTheme="minorHAnsi" w:hAnsiTheme="minorHAnsi" w:cstheme="minorHAnsi"/>
                <w:color w:val="000000"/>
                <w:sz w:val="22"/>
                <w:szCs w:val="22"/>
              </w:rPr>
              <w:t>OECD Guidelines and Directives,</w:t>
            </w:r>
            <w:r w:rsidRPr="008C7647">
              <w:rPr>
                <w:rFonts w:asciiTheme="minorHAnsi" w:hAnsiTheme="minorHAnsi" w:cstheme="minorHAnsi"/>
                <w:color w:val="000000"/>
                <w:sz w:val="22"/>
                <w:szCs w:val="22"/>
              </w:rPr>
              <w:t xml:space="preserve"> as well as carrying out the </w:t>
            </w:r>
            <w:r w:rsidRPr="00917910">
              <w:rPr>
                <w:rFonts w:asciiTheme="minorHAnsi" w:hAnsiTheme="minorHAnsi" w:cstheme="minorHAnsi"/>
                <w:color w:val="000000"/>
                <w:sz w:val="22"/>
                <w:szCs w:val="22"/>
              </w:rPr>
              <w:t>analysis of the existing regulatory gaps</w:t>
            </w:r>
            <w:r w:rsidR="00917910">
              <w:rPr>
                <w:rFonts w:asciiTheme="minorHAnsi" w:hAnsiTheme="minorHAnsi" w:cstheme="minorHAnsi"/>
                <w:color w:val="000000"/>
                <w:sz w:val="22"/>
                <w:szCs w:val="22"/>
              </w:rPr>
              <w:t xml:space="preserve"> </w:t>
            </w:r>
            <w:r w:rsidRPr="008C7647">
              <w:rPr>
                <w:rFonts w:asciiTheme="minorHAnsi" w:hAnsiTheme="minorHAnsi" w:cstheme="minorHAnsi"/>
                <w:color w:val="000000"/>
                <w:sz w:val="22"/>
                <w:szCs w:val="22"/>
              </w:rPr>
              <w:t>for</w:t>
            </w:r>
            <w:r w:rsidR="00917910">
              <w:rPr>
                <w:rFonts w:asciiTheme="minorHAnsi" w:hAnsiTheme="minorHAnsi" w:cstheme="minorHAnsi"/>
                <w:color w:val="000000"/>
                <w:sz w:val="22"/>
                <w:szCs w:val="22"/>
              </w:rPr>
              <w:t xml:space="preserve"> the</w:t>
            </w:r>
            <w:r w:rsidRPr="006B76BC">
              <w:rPr>
                <w:rFonts w:asciiTheme="minorHAnsi" w:hAnsiTheme="minorHAnsi" w:cstheme="minorHAnsi"/>
                <w:color w:val="000000"/>
                <w:sz w:val="22"/>
                <w:szCs w:val="22"/>
              </w:rPr>
              <w:t xml:space="preserve"> most important environmental subjects, </w:t>
            </w:r>
            <w:r>
              <w:rPr>
                <w:rFonts w:asciiTheme="minorHAnsi" w:hAnsiTheme="minorHAnsi" w:cstheme="minorHAnsi"/>
                <w:color w:val="000000"/>
                <w:sz w:val="22"/>
                <w:szCs w:val="22"/>
              </w:rPr>
              <w:t xml:space="preserve">to inform </w:t>
            </w:r>
            <w:r w:rsidRPr="006B76BC">
              <w:rPr>
                <w:rFonts w:asciiTheme="minorHAnsi" w:eastAsia="Times New Roman" w:hAnsiTheme="minorHAnsi" w:cstheme="minorHAnsi"/>
                <w:color w:val="000000"/>
                <w:sz w:val="22"/>
                <w:szCs w:val="22"/>
                <w:lang w:eastAsia="es-MX"/>
              </w:rPr>
              <w:t>the implementation of specific future policies.</w:t>
            </w:r>
            <w:r>
              <w:rPr>
                <w:rFonts w:asciiTheme="minorHAnsi" w:eastAsia="Times New Roman" w:hAnsiTheme="minorHAnsi" w:cstheme="minorHAnsi"/>
                <w:color w:val="000000"/>
                <w:sz w:val="22"/>
                <w:szCs w:val="22"/>
                <w:lang w:eastAsia="es-MX"/>
              </w:rPr>
              <w:t xml:space="preserve"> </w:t>
            </w:r>
          </w:p>
        </w:tc>
      </w:tr>
      <w:tr w:rsidR="006B76BC" w:rsidRPr="006B76BC" w14:paraId="2DD18738" w14:textId="77777777" w:rsidTr="00153CAB">
        <w:tc>
          <w:tcPr>
            <w:tcW w:w="18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ADD0A" w14:textId="77777777" w:rsidR="006B76BC" w:rsidRPr="006B76BC" w:rsidRDefault="006B76BC" w:rsidP="009B4DF8">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b/>
                <w:bCs/>
                <w:color w:val="222222"/>
                <w:sz w:val="22"/>
                <w:szCs w:val="22"/>
                <w:lang w:eastAsia="es-MX"/>
              </w:rPr>
              <w:lastRenderedPageBreak/>
              <w:t>Key Achievements 2024</w:t>
            </w:r>
            <w:r w:rsidRPr="006B76BC">
              <w:rPr>
                <w:rFonts w:asciiTheme="minorHAnsi" w:eastAsia="Times New Roman" w:hAnsiTheme="minorHAnsi" w:cstheme="minorHAnsi"/>
                <w:color w:val="222222"/>
                <w:sz w:val="22"/>
                <w:szCs w:val="22"/>
                <w:lang w:eastAsia="es-MX"/>
              </w:rPr>
              <w:t> (Add. Support for Green Recovery)</w:t>
            </w:r>
          </w:p>
        </w:tc>
        <w:tc>
          <w:tcPr>
            <w:tcW w:w="80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60EB8B9" w14:textId="02D29546" w:rsidR="006B76BC" w:rsidRPr="006B76BC" w:rsidRDefault="006B76BC" w:rsidP="009B4DF8">
            <w:pPr>
              <w:rPr>
                <w:rFonts w:asciiTheme="minorHAnsi" w:eastAsia="Times New Roman" w:hAnsiTheme="minorHAnsi" w:cstheme="minorHAnsi"/>
                <w:color w:val="000000"/>
                <w:sz w:val="22"/>
                <w:szCs w:val="22"/>
                <w:lang w:eastAsia="es-MX"/>
              </w:rPr>
            </w:pPr>
            <w:r w:rsidRPr="006B76BC">
              <w:rPr>
                <w:rFonts w:asciiTheme="minorHAnsi" w:eastAsia="Times New Roman" w:hAnsiTheme="minorHAnsi" w:cstheme="minorHAnsi"/>
                <w:color w:val="000000"/>
                <w:sz w:val="22"/>
                <w:szCs w:val="22"/>
                <w:lang w:eastAsia="es-MX"/>
              </w:rPr>
              <w:t> </w:t>
            </w:r>
            <w:r w:rsidR="00365ED6">
              <w:rPr>
                <w:rFonts w:asciiTheme="minorHAnsi" w:eastAsia="Times New Roman" w:hAnsiTheme="minorHAnsi" w:cstheme="minorHAnsi"/>
                <w:color w:val="222222"/>
                <w:sz w:val="22"/>
                <w:szCs w:val="22"/>
                <w:lang w:eastAsia="es-MX"/>
              </w:rPr>
              <w:t>n/a</w:t>
            </w:r>
          </w:p>
        </w:tc>
      </w:tr>
    </w:tbl>
    <w:p w14:paraId="5A3D4C7A" w14:textId="77777777" w:rsidR="006B76BC" w:rsidRPr="006B76BC" w:rsidRDefault="006B76BC" w:rsidP="006B76BC">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b/>
          <w:bCs/>
          <w:color w:val="222222"/>
          <w:sz w:val="22"/>
          <w:szCs w:val="22"/>
          <w:lang w:eastAsia="es-MX"/>
        </w:rPr>
        <w:t> </w:t>
      </w:r>
    </w:p>
    <w:tbl>
      <w:tblPr>
        <w:tblW w:w="0" w:type="auto"/>
        <w:tblCellMar>
          <w:left w:w="0" w:type="dxa"/>
          <w:right w:w="0" w:type="dxa"/>
        </w:tblCellMar>
        <w:tblLook w:val="04A0" w:firstRow="1" w:lastRow="0" w:firstColumn="1" w:lastColumn="0" w:noHBand="0" w:noVBand="1"/>
      </w:tblPr>
      <w:tblGrid>
        <w:gridCol w:w="1885"/>
        <w:gridCol w:w="8010"/>
      </w:tblGrid>
      <w:tr w:rsidR="006B76BC" w:rsidRPr="006B76BC" w14:paraId="6825E8F7" w14:textId="77777777" w:rsidTr="009B4DF8">
        <w:tc>
          <w:tcPr>
            <w:tcW w:w="98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BDC0D" w14:textId="77777777" w:rsidR="006B76BC" w:rsidRPr="006B76BC" w:rsidRDefault="006B76BC" w:rsidP="009B4DF8">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i/>
                <w:iCs/>
                <w:color w:val="222222"/>
                <w:sz w:val="22"/>
                <w:szCs w:val="22"/>
                <w:lang w:eastAsia="es-MX"/>
              </w:rPr>
              <w:t>Outcome 3 - Individual, institutional and planning capacities for IGE action strengthened at the </w:t>
            </w:r>
            <w:r w:rsidRPr="006B76BC">
              <w:rPr>
                <w:rFonts w:asciiTheme="minorHAnsi" w:eastAsia="Times New Roman" w:hAnsiTheme="minorHAnsi" w:cstheme="minorHAnsi"/>
                <w:i/>
                <w:iCs/>
                <w:color w:val="222222"/>
                <w:sz w:val="22"/>
                <w:szCs w:val="22"/>
                <w:u w:val="single"/>
                <w:lang w:eastAsia="es-MX"/>
              </w:rPr>
              <w:t>national</w:t>
            </w:r>
            <w:r w:rsidRPr="006B76BC">
              <w:rPr>
                <w:rFonts w:asciiTheme="minorHAnsi" w:eastAsia="Times New Roman" w:hAnsiTheme="minorHAnsi" w:cstheme="minorHAnsi"/>
                <w:i/>
                <w:iCs/>
                <w:color w:val="222222"/>
                <w:sz w:val="22"/>
                <w:szCs w:val="22"/>
                <w:lang w:eastAsia="es-MX"/>
              </w:rPr>
              <w:t> and (global) level.</w:t>
            </w:r>
          </w:p>
        </w:tc>
      </w:tr>
      <w:tr w:rsidR="006B76BC" w:rsidRPr="006B76BC" w14:paraId="7F0FF4CE" w14:textId="77777777" w:rsidTr="009B4DF8">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72A85" w14:textId="77777777" w:rsidR="006B76BC" w:rsidRPr="006B76BC" w:rsidRDefault="006B76BC" w:rsidP="009B4DF8">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b/>
                <w:bCs/>
                <w:color w:val="222222"/>
                <w:sz w:val="22"/>
                <w:szCs w:val="22"/>
                <w:lang w:eastAsia="es-MX"/>
              </w:rPr>
              <w:t>Key achievements in 2024</w:t>
            </w:r>
          </w:p>
        </w:tc>
        <w:tc>
          <w:tcPr>
            <w:tcW w:w="8010" w:type="dxa"/>
            <w:tcBorders>
              <w:top w:val="nil"/>
              <w:left w:val="nil"/>
              <w:bottom w:val="single" w:sz="8" w:space="0" w:color="auto"/>
              <w:right w:val="single" w:sz="8" w:space="0" w:color="auto"/>
            </w:tcBorders>
            <w:tcMar>
              <w:top w:w="0" w:type="dxa"/>
              <w:left w:w="108" w:type="dxa"/>
              <w:bottom w:w="0" w:type="dxa"/>
              <w:right w:w="108" w:type="dxa"/>
            </w:tcMar>
            <w:hideMark/>
          </w:tcPr>
          <w:p w14:paraId="365F3F66" w14:textId="0F5DE870" w:rsidR="006B76BC" w:rsidRPr="006B76BC" w:rsidRDefault="006B76BC" w:rsidP="006066E4">
            <w:pPr>
              <w:rPr>
                <w:rFonts w:asciiTheme="minorHAnsi" w:eastAsia="Times New Roman" w:hAnsiTheme="minorHAnsi" w:cstheme="minorHAnsi"/>
                <w:color w:val="222222"/>
                <w:sz w:val="22"/>
                <w:szCs w:val="22"/>
                <w:lang w:eastAsia="es-MX"/>
              </w:rPr>
            </w:pPr>
          </w:p>
        </w:tc>
      </w:tr>
      <w:tr w:rsidR="006B76BC" w:rsidRPr="006B76BC" w14:paraId="7DE59294" w14:textId="77777777" w:rsidTr="009B4DF8">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F915A" w14:textId="77777777" w:rsidR="006B76BC" w:rsidRPr="006B76BC" w:rsidRDefault="006B76BC" w:rsidP="009B4DF8">
            <w:pPr>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b/>
                <w:bCs/>
                <w:color w:val="222222"/>
                <w:sz w:val="22"/>
                <w:szCs w:val="22"/>
                <w:lang w:eastAsia="es-MX"/>
              </w:rPr>
              <w:t>Key Achievements 2024</w:t>
            </w:r>
            <w:r w:rsidRPr="006B76BC">
              <w:rPr>
                <w:rFonts w:asciiTheme="minorHAnsi" w:eastAsia="Times New Roman" w:hAnsiTheme="minorHAnsi" w:cstheme="minorHAnsi"/>
                <w:color w:val="222222"/>
                <w:sz w:val="22"/>
                <w:szCs w:val="22"/>
                <w:lang w:eastAsia="es-MX"/>
              </w:rPr>
              <w:t> (Add. Support for Green Recovery)</w:t>
            </w:r>
          </w:p>
        </w:tc>
        <w:tc>
          <w:tcPr>
            <w:tcW w:w="8010" w:type="dxa"/>
            <w:tcBorders>
              <w:top w:val="nil"/>
              <w:left w:val="nil"/>
              <w:bottom w:val="single" w:sz="8" w:space="0" w:color="auto"/>
              <w:right w:val="single" w:sz="8" w:space="0" w:color="auto"/>
            </w:tcBorders>
            <w:tcMar>
              <w:top w:w="0" w:type="dxa"/>
              <w:left w:w="108" w:type="dxa"/>
              <w:bottom w:w="0" w:type="dxa"/>
              <w:right w:w="108" w:type="dxa"/>
            </w:tcMar>
            <w:hideMark/>
          </w:tcPr>
          <w:p w14:paraId="15E7EFC2" w14:textId="63B55546" w:rsidR="006B76BC" w:rsidRPr="006B76BC" w:rsidRDefault="006B76BC" w:rsidP="009B4DF8">
            <w:pPr>
              <w:spacing w:after="200"/>
              <w:rPr>
                <w:rFonts w:asciiTheme="minorHAnsi" w:eastAsia="Times New Roman" w:hAnsiTheme="minorHAnsi" w:cstheme="minorHAnsi"/>
                <w:color w:val="222222"/>
                <w:sz w:val="22"/>
                <w:szCs w:val="22"/>
                <w:lang w:eastAsia="es-MX"/>
              </w:rPr>
            </w:pPr>
            <w:r w:rsidRPr="006B76BC">
              <w:rPr>
                <w:rFonts w:asciiTheme="minorHAnsi" w:eastAsia="Times New Roman" w:hAnsiTheme="minorHAnsi" w:cstheme="minorHAnsi"/>
                <w:color w:val="222222"/>
                <w:sz w:val="22"/>
                <w:szCs w:val="22"/>
                <w:lang w:eastAsia="es-MX"/>
              </w:rPr>
              <w:t> </w:t>
            </w:r>
            <w:r w:rsidR="00365ED6">
              <w:rPr>
                <w:rFonts w:asciiTheme="minorHAnsi" w:eastAsia="Times New Roman" w:hAnsiTheme="minorHAnsi" w:cstheme="minorHAnsi"/>
                <w:color w:val="222222"/>
                <w:sz w:val="22"/>
                <w:szCs w:val="22"/>
                <w:lang w:eastAsia="es-MX"/>
              </w:rPr>
              <w:t>n/a</w:t>
            </w:r>
          </w:p>
        </w:tc>
      </w:tr>
    </w:tbl>
    <w:p w14:paraId="06D8F39D" w14:textId="1AEC9DD9" w:rsidR="00EA6DB1" w:rsidRDefault="006B76BC" w:rsidP="00EA6DB1">
      <w:pPr>
        <w:rPr>
          <w:rFonts w:asciiTheme="minorHAnsi" w:hAnsiTheme="minorHAnsi" w:cstheme="minorHAnsi"/>
          <w:b/>
          <w:iCs/>
          <w:sz w:val="22"/>
          <w:szCs w:val="22"/>
        </w:rPr>
      </w:pPr>
      <w:r w:rsidRPr="006B76BC">
        <w:rPr>
          <w:rFonts w:asciiTheme="minorHAnsi" w:eastAsia="Times New Roman" w:hAnsiTheme="minorHAnsi" w:cstheme="minorHAnsi"/>
          <w:b/>
          <w:bCs/>
          <w:color w:val="222222"/>
          <w:sz w:val="22"/>
          <w:szCs w:val="22"/>
          <w:lang w:eastAsia="es-MX"/>
        </w:rPr>
        <w:t> </w:t>
      </w:r>
    </w:p>
    <w:tbl>
      <w:tblPr>
        <w:tblStyle w:val="TableGrid"/>
        <w:tblW w:w="9895" w:type="dxa"/>
        <w:tblLook w:val="04A0" w:firstRow="1" w:lastRow="0" w:firstColumn="1" w:lastColumn="0" w:noHBand="0" w:noVBand="1"/>
      </w:tblPr>
      <w:tblGrid>
        <w:gridCol w:w="2490"/>
        <w:gridCol w:w="7405"/>
      </w:tblGrid>
      <w:tr w:rsidR="00EA6DB1" w:rsidRPr="0071206E" w14:paraId="57E0DC85" w14:textId="77777777" w:rsidTr="7A1375F1">
        <w:tc>
          <w:tcPr>
            <w:tcW w:w="9895" w:type="dxa"/>
            <w:gridSpan w:val="2"/>
          </w:tcPr>
          <w:p w14:paraId="032259EF" w14:textId="77777777" w:rsidR="00EA6DB1" w:rsidRPr="0071206E" w:rsidRDefault="00EA6DB1" w:rsidP="00610125">
            <w:pPr>
              <w:rPr>
                <w:rFonts w:asciiTheme="minorHAnsi" w:hAnsiTheme="minorHAnsi" w:cstheme="minorHAnsi"/>
                <w:iCs/>
                <w:sz w:val="22"/>
                <w:szCs w:val="22"/>
              </w:rPr>
            </w:pPr>
            <w:r w:rsidRPr="0071206E">
              <w:rPr>
                <w:rFonts w:asciiTheme="minorHAnsi" w:hAnsiTheme="minorHAnsi" w:cstheme="minorHAnsi"/>
                <w:bCs/>
                <w:iCs/>
                <w:sz w:val="22"/>
                <w:szCs w:val="22"/>
              </w:rPr>
              <w:lastRenderedPageBreak/>
              <w:t xml:space="preserve">Outcome 4 - </w:t>
            </w:r>
            <w:r w:rsidRPr="0071206E">
              <w:rPr>
                <w:rFonts w:asciiTheme="minorHAnsi" w:hAnsiTheme="minorHAnsi" w:cstheme="minorHAnsi"/>
                <w:bCs/>
                <w:i/>
                <w:sz w:val="22"/>
                <w:szCs w:val="22"/>
              </w:rPr>
              <w:t>National and regional stakeholders, including green economy champions, decision-makers, practitioners, and youth representatives, access and apply knowledge for advancing IGE.</w:t>
            </w:r>
          </w:p>
        </w:tc>
      </w:tr>
      <w:tr w:rsidR="00EA6DB1" w:rsidRPr="0071206E" w14:paraId="39E8DB03" w14:textId="77777777" w:rsidTr="7A1375F1">
        <w:tc>
          <w:tcPr>
            <w:tcW w:w="2490" w:type="dxa"/>
          </w:tcPr>
          <w:p w14:paraId="6878CB15" w14:textId="31B05B23"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3551CB46" w:rsidRPr="0071206E">
              <w:rPr>
                <w:rFonts w:asciiTheme="minorHAnsi" w:hAnsiTheme="minorHAnsi" w:cstheme="minorHAnsi"/>
                <w:b/>
                <w:bCs/>
                <w:sz w:val="22"/>
                <w:szCs w:val="22"/>
              </w:rPr>
              <w:t>4</w:t>
            </w:r>
          </w:p>
          <w:p w14:paraId="7D13E3A1" w14:textId="77777777" w:rsidR="00EA6DB1" w:rsidRPr="0071206E" w:rsidRDefault="00EA6DB1" w:rsidP="00610125">
            <w:pPr>
              <w:rPr>
                <w:rFonts w:asciiTheme="minorHAnsi" w:hAnsiTheme="minorHAnsi" w:cstheme="minorHAnsi"/>
                <w:b/>
                <w:iCs/>
                <w:sz w:val="22"/>
                <w:szCs w:val="22"/>
              </w:rPr>
            </w:pPr>
          </w:p>
        </w:tc>
        <w:tc>
          <w:tcPr>
            <w:tcW w:w="7405" w:type="dxa"/>
            <w:vAlign w:val="center"/>
          </w:tcPr>
          <w:p w14:paraId="7F10931E" w14:textId="3E955D23" w:rsidR="00EA6DB1" w:rsidRPr="0071206E" w:rsidRDefault="00365ED6" w:rsidP="00610125">
            <w:pPr>
              <w:rPr>
                <w:rFonts w:asciiTheme="minorHAnsi" w:hAnsiTheme="minorHAnsi" w:cstheme="minorHAnsi"/>
                <w:iCs/>
                <w:sz w:val="22"/>
                <w:szCs w:val="22"/>
              </w:rPr>
            </w:pPr>
            <w:r>
              <w:rPr>
                <w:rFonts w:asciiTheme="minorHAnsi" w:eastAsia="Times New Roman" w:hAnsiTheme="minorHAnsi" w:cstheme="minorHAnsi"/>
                <w:color w:val="222222"/>
                <w:sz w:val="22"/>
                <w:szCs w:val="22"/>
                <w:lang w:eastAsia="es-MX"/>
              </w:rPr>
              <w:t>n/a</w:t>
            </w:r>
          </w:p>
        </w:tc>
      </w:tr>
    </w:tbl>
    <w:p w14:paraId="3526D855" w14:textId="77777777" w:rsidR="00EA6DB1" w:rsidRPr="0071206E" w:rsidRDefault="00EA6DB1" w:rsidP="00EA6DB1">
      <w:pPr>
        <w:rPr>
          <w:rFonts w:asciiTheme="minorHAnsi" w:hAnsiTheme="minorHAnsi" w:cstheme="minorHAnsi"/>
          <w:b/>
          <w:iCs/>
          <w:sz w:val="22"/>
          <w:szCs w:val="22"/>
        </w:rPr>
      </w:pPr>
    </w:p>
    <w:p w14:paraId="2329F648" w14:textId="77777777" w:rsidR="005770BB" w:rsidRDefault="005770BB" w:rsidP="005770BB">
      <w:pPr>
        <w:jc w:val="center"/>
        <w:rPr>
          <w:rFonts w:asciiTheme="minorHAnsi" w:hAnsiTheme="minorHAnsi" w:cstheme="minorHAnsi"/>
          <w:b/>
          <w:iCs/>
          <w:sz w:val="22"/>
          <w:szCs w:val="22"/>
        </w:rPr>
      </w:pPr>
    </w:p>
    <w:p w14:paraId="0FAC08F3" w14:textId="77777777" w:rsidR="005770BB" w:rsidRDefault="005770BB" w:rsidP="005770BB">
      <w:pPr>
        <w:jc w:val="center"/>
        <w:rPr>
          <w:rFonts w:asciiTheme="minorHAnsi" w:hAnsiTheme="minorHAnsi" w:cstheme="minorHAnsi"/>
          <w:b/>
          <w:iCs/>
          <w:sz w:val="22"/>
          <w:szCs w:val="22"/>
        </w:rPr>
      </w:pPr>
    </w:p>
    <w:p w14:paraId="511415FD" w14:textId="1BD9DACF" w:rsidR="00EA6DB1" w:rsidRPr="0071206E" w:rsidRDefault="005A08AF" w:rsidP="005770BB">
      <w:pPr>
        <w:jc w:val="center"/>
        <w:rPr>
          <w:rFonts w:asciiTheme="minorHAnsi" w:hAnsiTheme="minorHAnsi" w:cstheme="minorHAnsi"/>
          <w:b/>
          <w:iCs/>
          <w:sz w:val="22"/>
          <w:szCs w:val="22"/>
        </w:rPr>
      </w:pPr>
      <w:r w:rsidRPr="0071206E">
        <w:rPr>
          <w:rFonts w:asciiTheme="minorHAnsi" w:hAnsiTheme="minorHAnsi" w:cstheme="minorHAnsi"/>
          <w:b/>
          <w:iCs/>
          <w:sz w:val="22"/>
          <w:szCs w:val="22"/>
        </w:rPr>
        <w:t>UNDP</w:t>
      </w:r>
      <w:r w:rsidR="00EA6DB1" w:rsidRPr="0071206E">
        <w:rPr>
          <w:rFonts w:asciiTheme="minorHAnsi" w:hAnsiTheme="minorHAnsi" w:cstheme="minorHAnsi"/>
          <w:b/>
          <w:iCs/>
          <w:sz w:val="22"/>
          <w:szCs w:val="22"/>
        </w:rPr>
        <w:t xml:space="preserve"> - INDONESIA</w:t>
      </w:r>
    </w:p>
    <w:p w14:paraId="0A9C6D85" w14:textId="77777777" w:rsidR="00EA6DB1" w:rsidRPr="0071206E" w:rsidRDefault="00EA6DB1" w:rsidP="005651A3">
      <w:pPr>
        <w:rPr>
          <w:rFonts w:asciiTheme="minorHAnsi" w:hAnsiTheme="minorHAnsi" w:cstheme="minorHAnsi"/>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694D1D" w:rsidRPr="0071206E" w14:paraId="11581FDC" w14:textId="77777777" w:rsidTr="00D41011">
        <w:trPr>
          <w:trHeight w:val="560"/>
        </w:trPr>
        <w:tc>
          <w:tcPr>
            <w:tcW w:w="9895" w:type="dxa"/>
            <w:gridSpan w:val="2"/>
            <w:tcMar>
              <w:top w:w="0" w:type="dxa"/>
              <w:left w:w="108" w:type="dxa"/>
              <w:bottom w:w="0" w:type="dxa"/>
              <w:right w:w="108" w:type="dxa"/>
            </w:tcMar>
            <w:hideMark/>
          </w:tcPr>
          <w:p w14:paraId="1C0F485F" w14:textId="77777777" w:rsidR="00694D1D" w:rsidRPr="0071206E" w:rsidRDefault="00694D1D" w:rsidP="005651A3">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i/>
                <w:iCs/>
                <w:sz w:val="22"/>
                <w:szCs w:val="22"/>
                <w:lang w:val="en-US"/>
              </w:rPr>
              <w:t>Outcome 1 - Countries have reinforced and integrated inclusive green economy (IGE) goals targets into SDG aligned national economic and development planning through multi-stakeholder collaboration.</w:t>
            </w:r>
          </w:p>
        </w:tc>
      </w:tr>
      <w:tr w:rsidR="00694D1D" w:rsidRPr="0071206E" w14:paraId="057D2052" w14:textId="77777777" w:rsidTr="00D41011">
        <w:trPr>
          <w:trHeight w:val="830"/>
        </w:trPr>
        <w:tc>
          <w:tcPr>
            <w:tcW w:w="1885" w:type="dxa"/>
            <w:tcMar>
              <w:top w:w="0" w:type="dxa"/>
              <w:left w:w="108" w:type="dxa"/>
              <w:bottom w:w="0" w:type="dxa"/>
              <w:right w:w="108" w:type="dxa"/>
            </w:tcMar>
            <w:hideMark/>
          </w:tcPr>
          <w:p w14:paraId="7CCAE900" w14:textId="77777777" w:rsidR="00694D1D" w:rsidRPr="0071206E" w:rsidRDefault="00694D1D" w:rsidP="005651A3">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Key achievements in 2024</w:t>
            </w:r>
          </w:p>
          <w:p w14:paraId="0F599A0B" w14:textId="77777777" w:rsidR="00694D1D" w:rsidRPr="0071206E" w:rsidRDefault="00694D1D" w:rsidP="005651A3">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 </w:t>
            </w:r>
          </w:p>
        </w:tc>
        <w:tc>
          <w:tcPr>
            <w:tcW w:w="8010" w:type="dxa"/>
            <w:tcMar>
              <w:top w:w="0" w:type="dxa"/>
              <w:left w:w="108" w:type="dxa"/>
              <w:bottom w:w="0" w:type="dxa"/>
              <w:right w:w="108" w:type="dxa"/>
            </w:tcMar>
          </w:tcPr>
          <w:p w14:paraId="7B7740FB" w14:textId="52509E78" w:rsidR="00694D1D" w:rsidRPr="0071206E" w:rsidRDefault="006E341D" w:rsidP="005651A3">
            <w:pPr>
              <w:pStyle w:val="elementtoproof"/>
              <w:rPr>
                <w:rFonts w:asciiTheme="minorHAnsi" w:hAnsiTheme="minorHAnsi" w:cstheme="minorHAnsi"/>
              </w:rPr>
            </w:pPr>
            <w:r>
              <w:rPr>
                <w:rFonts w:asciiTheme="minorHAnsi" w:hAnsiTheme="minorHAnsi" w:cstheme="minorHAnsi"/>
                <w:color w:val="000000"/>
              </w:rPr>
              <w:t>A</w:t>
            </w:r>
            <w:r w:rsidR="00EE4F0D">
              <w:rPr>
                <w:rFonts w:asciiTheme="minorHAnsi" w:hAnsiTheme="minorHAnsi" w:cstheme="minorHAnsi"/>
                <w:color w:val="000000"/>
              </w:rPr>
              <w:t xml:space="preserve"> </w:t>
            </w:r>
            <w:r w:rsidR="00694D1D" w:rsidRPr="0071206E">
              <w:rPr>
                <w:rFonts w:asciiTheme="minorHAnsi" w:hAnsiTheme="minorHAnsi" w:cstheme="minorHAnsi"/>
                <w:color w:val="000000"/>
              </w:rPr>
              <w:t xml:space="preserve"> key </w:t>
            </w:r>
            <w:r w:rsidR="00694D1D" w:rsidRPr="00D41011">
              <w:rPr>
                <w:rFonts w:asciiTheme="minorHAnsi" w:hAnsiTheme="minorHAnsi" w:cstheme="minorHAnsi"/>
                <w:color w:val="000000"/>
              </w:rPr>
              <w:t>achievement in 2024</w:t>
            </w:r>
            <w:r w:rsidR="00694D1D" w:rsidRPr="0071206E">
              <w:rPr>
                <w:rFonts w:asciiTheme="minorHAnsi" w:hAnsiTheme="minorHAnsi" w:cstheme="minorHAnsi"/>
                <w:color w:val="000000"/>
              </w:rPr>
              <w:t xml:space="preserve"> </w:t>
            </w:r>
            <w:r w:rsidR="00EE4F0D">
              <w:rPr>
                <w:rFonts w:asciiTheme="minorHAnsi" w:hAnsiTheme="minorHAnsi" w:cstheme="minorHAnsi"/>
                <w:color w:val="000000"/>
              </w:rPr>
              <w:t>was</w:t>
            </w:r>
            <w:r w:rsidR="00694D1D" w:rsidRPr="0071206E">
              <w:rPr>
                <w:rFonts w:asciiTheme="minorHAnsi" w:hAnsiTheme="minorHAnsi" w:cstheme="minorHAnsi"/>
                <w:color w:val="000000"/>
              </w:rPr>
              <w:t xml:space="preserve"> the </w:t>
            </w:r>
            <w:r w:rsidR="00694D1D" w:rsidRPr="0071206E">
              <w:rPr>
                <w:rFonts w:asciiTheme="minorHAnsi" w:hAnsiTheme="minorHAnsi" w:cstheme="minorHAnsi"/>
                <w:b/>
                <w:bCs/>
                <w:color w:val="000000"/>
              </w:rPr>
              <w:t>development and launch of the Circular Economy (CE) Roadmap and Action Plan</w:t>
            </w:r>
            <w:r w:rsidR="002C6853">
              <w:rPr>
                <w:rFonts w:asciiTheme="minorHAnsi" w:hAnsiTheme="minorHAnsi" w:cstheme="minorHAnsi"/>
                <w:b/>
                <w:bCs/>
                <w:color w:val="000000"/>
              </w:rPr>
              <w:t>,</w:t>
            </w:r>
            <w:r w:rsidR="002C6853" w:rsidRPr="002C6853">
              <w:rPr>
                <w:rFonts w:ascii="Times New Roman" w:hAnsi="Times New Roman" w:cs="Times New Roman"/>
                <w:sz w:val="24"/>
                <w:szCs w:val="24"/>
                <w:lang w:eastAsia="ko-KR"/>
              </w:rPr>
              <w:t xml:space="preserve"> </w:t>
            </w:r>
            <w:r w:rsidR="002C6853" w:rsidRPr="00AB7611">
              <w:rPr>
                <w:rFonts w:asciiTheme="minorHAnsi" w:hAnsiTheme="minorHAnsi" w:cstheme="minorHAnsi"/>
                <w:color w:val="000000"/>
              </w:rPr>
              <w:t>which provides a comprehensive framework for promoting sustainable resource management, reducing waste, and supporting low-carbon development across Indonesia.3 The roadmap focuses on five priority sectors: food and beverage, textiles, construction, electronics, and retail (focusing on plastic packaging)The action plan emphasizes the importance of multi-stakeholder collaboration between government agencies, private sector entities, civil society, and local communities to drive systemic change. It includes a clear set of actions and measurable targets and timelines aimed at reducing Indonesia's carbon footprint and improving environmental outcomes, positioning Indonesia as a regional leader in sustainable development and climate action</w:t>
            </w:r>
            <w:r w:rsidR="00694D1D" w:rsidRPr="002C6853">
              <w:rPr>
                <w:rFonts w:asciiTheme="minorHAnsi" w:hAnsiTheme="minorHAnsi" w:cstheme="minorHAnsi"/>
                <w:color w:val="000000"/>
              </w:rPr>
              <w:t>. This milestone was achieved through significa</w:t>
            </w:r>
            <w:r w:rsidR="00694D1D" w:rsidRPr="0071206E">
              <w:rPr>
                <w:rFonts w:asciiTheme="minorHAnsi" w:hAnsiTheme="minorHAnsi" w:cstheme="minorHAnsi"/>
                <w:color w:val="000000"/>
              </w:rPr>
              <w:t xml:space="preserve">nt multi-stakeholder collaboration, </w:t>
            </w:r>
            <w:r w:rsidR="00694D1D" w:rsidRPr="005770BB">
              <w:rPr>
                <w:rFonts w:asciiTheme="minorHAnsi" w:hAnsiTheme="minorHAnsi" w:cstheme="minorHAnsi"/>
                <w:color w:val="000000"/>
              </w:rPr>
              <w:t>including the strengthening of the CE/LCDI Secretariat at BAPPENAS, inter-ministerial coordination, and workshops. The CE Action Plan was officially launched at the BAPPENAS Green Economy Expo in July 2024.</w:t>
            </w:r>
          </w:p>
          <w:p w14:paraId="2904C4BC" w14:textId="77777777" w:rsidR="00694D1D" w:rsidRPr="0071206E" w:rsidRDefault="00694D1D" w:rsidP="005651A3">
            <w:pPr>
              <w:pStyle w:val="elementtoproof"/>
              <w:rPr>
                <w:rFonts w:asciiTheme="minorHAnsi" w:hAnsiTheme="minorHAnsi" w:cstheme="minorHAnsi"/>
              </w:rPr>
            </w:pPr>
          </w:p>
          <w:p w14:paraId="36FC3B56" w14:textId="77777777" w:rsidR="00694D1D" w:rsidRPr="0071206E" w:rsidRDefault="00694D1D" w:rsidP="005651A3">
            <w:pPr>
              <w:pStyle w:val="elementtoproof"/>
              <w:rPr>
                <w:rFonts w:asciiTheme="minorHAnsi" w:hAnsiTheme="minorHAnsi" w:cstheme="minorHAnsi"/>
              </w:rPr>
            </w:pPr>
            <w:r w:rsidRPr="0071206E">
              <w:rPr>
                <w:rFonts w:asciiTheme="minorHAnsi" w:hAnsiTheme="minorHAnsi" w:cstheme="minorHAnsi"/>
                <w:color w:val="000000"/>
              </w:rPr>
              <w:t>This roadmap and action plan are pivotal for integrating inclusive green economy goals into Indonesia's SDG-aligned national economic and development planning. It emphasizes resource efficiency, waste reduction, and alignment with international sustainability standards, positioning Indonesia for green growth and climate resilience.</w:t>
            </w:r>
          </w:p>
        </w:tc>
      </w:tr>
      <w:tr w:rsidR="00694D1D" w:rsidRPr="0071206E" w14:paraId="0791502E" w14:textId="77777777" w:rsidTr="00D41011">
        <w:trPr>
          <w:trHeight w:val="830"/>
        </w:trPr>
        <w:tc>
          <w:tcPr>
            <w:tcW w:w="1885" w:type="dxa"/>
            <w:tcMar>
              <w:top w:w="0" w:type="dxa"/>
              <w:left w:w="108" w:type="dxa"/>
              <w:bottom w:w="0" w:type="dxa"/>
              <w:right w:w="108" w:type="dxa"/>
            </w:tcMar>
            <w:hideMark/>
          </w:tcPr>
          <w:p w14:paraId="2C4DA79B" w14:textId="77777777" w:rsidR="00694D1D" w:rsidRPr="0071206E" w:rsidRDefault="00694D1D" w:rsidP="005651A3">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Key Achievements 2024</w:t>
            </w:r>
            <w:r w:rsidRPr="0071206E">
              <w:rPr>
                <w:rFonts w:asciiTheme="minorHAnsi" w:hAnsiTheme="minorHAnsi" w:cstheme="minorHAnsi"/>
                <w:sz w:val="22"/>
                <w:szCs w:val="22"/>
                <w:lang w:val="en-US"/>
              </w:rPr>
              <w:t> (Add. Support for Green Recovery)</w:t>
            </w:r>
          </w:p>
        </w:tc>
        <w:tc>
          <w:tcPr>
            <w:tcW w:w="8010" w:type="dxa"/>
            <w:tcMar>
              <w:top w:w="0" w:type="dxa"/>
              <w:left w:w="108" w:type="dxa"/>
              <w:bottom w:w="0" w:type="dxa"/>
              <w:right w:w="108" w:type="dxa"/>
            </w:tcMar>
            <w:hideMark/>
          </w:tcPr>
          <w:p w14:paraId="3A23B987" w14:textId="72CE2827" w:rsidR="00694D1D" w:rsidRPr="0071206E" w:rsidRDefault="00694D1D" w:rsidP="005651A3">
            <w:pPr>
              <w:pStyle w:val="elementtoproof"/>
              <w:rPr>
                <w:rFonts w:asciiTheme="minorHAnsi" w:hAnsiTheme="minorHAnsi" w:cstheme="minorHAnsi"/>
              </w:rPr>
            </w:pPr>
            <w:r w:rsidRPr="0071206E">
              <w:rPr>
                <w:rFonts w:asciiTheme="minorHAnsi" w:hAnsiTheme="minorHAnsi" w:cstheme="minorHAnsi"/>
              </w:rPr>
              <w:t> </w:t>
            </w:r>
            <w:r w:rsidR="004237B1" w:rsidRPr="0071206E">
              <w:rPr>
                <w:rFonts w:asciiTheme="minorHAnsi" w:hAnsiTheme="minorHAnsi" w:cstheme="minorHAnsi"/>
              </w:rPr>
              <w:t>n/a</w:t>
            </w:r>
          </w:p>
        </w:tc>
      </w:tr>
    </w:tbl>
    <w:p w14:paraId="0F511848" w14:textId="77777777" w:rsidR="005651A3" w:rsidRPr="0071206E" w:rsidRDefault="005651A3" w:rsidP="005651A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0"/>
        <w:gridCol w:w="7925"/>
      </w:tblGrid>
      <w:tr w:rsidR="00694D1D" w:rsidRPr="0071206E" w14:paraId="100C8E20" w14:textId="77777777" w:rsidTr="005773A9">
        <w:trPr>
          <w:trHeight w:val="560"/>
        </w:trPr>
        <w:tc>
          <w:tcPr>
            <w:tcW w:w="9895" w:type="dxa"/>
            <w:gridSpan w:val="2"/>
            <w:tcMar>
              <w:top w:w="0" w:type="dxa"/>
              <w:left w:w="108" w:type="dxa"/>
              <w:bottom w:w="0" w:type="dxa"/>
              <w:right w:w="108" w:type="dxa"/>
            </w:tcMar>
            <w:hideMark/>
          </w:tcPr>
          <w:p w14:paraId="432C2823" w14:textId="24C5460B" w:rsidR="00694D1D" w:rsidRPr="0071206E" w:rsidRDefault="00694D1D" w:rsidP="005651A3">
            <w:pPr>
              <w:pStyle w:val="elementtoproof"/>
              <w:rPr>
                <w:rFonts w:asciiTheme="minorHAnsi" w:hAnsiTheme="minorHAnsi" w:cstheme="minorHAnsi"/>
              </w:rPr>
            </w:pPr>
            <w:r w:rsidRPr="0071206E">
              <w:rPr>
                <w:rFonts w:asciiTheme="minorHAnsi" w:hAnsiTheme="minorHAnsi" w:cstheme="minorHAnsi"/>
                <w:b/>
                <w:bCs/>
              </w:rPr>
              <w:t> </w:t>
            </w:r>
            <w:r w:rsidRPr="0071206E">
              <w:rPr>
                <w:rFonts w:asciiTheme="minorHAnsi" w:hAnsiTheme="minorHAnsi" w:cstheme="minorHAnsi"/>
                <w:i/>
                <w:iCs/>
              </w:rPr>
              <w:t>Outcome 2 - Countries are implementing evidence based sectoral and thematic reforms in line with national IGE priorities</w:t>
            </w:r>
            <w:r w:rsidRPr="0071206E">
              <w:rPr>
                <w:rFonts w:asciiTheme="minorHAnsi" w:hAnsiTheme="minorHAnsi" w:cstheme="minorHAnsi"/>
              </w:rPr>
              <w:t>.</w:t>
            </w:r>
          </w:p>
        </w:tc>
      </w:tr>
      <w:tr w:rsidR="00694D1D" w:rsidRPr="0071206E" w14:paraId="19334771" w14:textId="77777777" w:rsidTr="005773A9">
        <w:trPr>
          <w:trHeight w:val="560"/>
        </w:trPr>
        <w:tc>
          <w:tcPr>
            <w:tcW w:w="1970" w:type="dxa"/>
            <w:tcMar>
              <w:top w:w="0" w:type="dxa"/>
              <w:left w:w="108" w:type="dxa"/>
              <w:bottom w:w="0" w:type="dxa"/>
              <w:right w:w="108" w:type="dxa"/>
            </w:tcMar>
            <w:hideMark/>
          </w:tcPr>
          <w:p w14:paraId="4CB51912" w14:textId="77777777" w:rsidR="00694D1D" w:rsidRPr="0071206E" w:rsidRDefault="00694D1D" w:rsidP="005651A3">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Key achievements in 2024</w:t>
            </w:r>
          </w:p>
        </w:tc>
        <w:tc>
          <w:tcPr>
            <w:tcW w:w="7925" w:type="dxa"/>
            <w:tcMar>
              <w:top w:w="0" w:type="dxa"/>
              <w:left w:w="108" w:type="dxa"/>
              <w:bottom w:w="0" w:type="dxa"/>
              <w:right w:w="108" w:type="dxa"/>
            </w:tcMar>
          </w:tcPr>
          <w:p w14:paraId="4B57701E" w14:textId="77777777" w:rsidR="00694D1D" w:rsidRPr="002122B6" w:rsidRDefault="00694D1D" w:rsidP="00A366AB">
            <w:pPr>
              <w:jc w:val="left"/>
              <w:rPr>
                <w:rFonts w:asciiTheme="minorHAnsi" w:eastAsia="Times New Roman" w:hAnsiTheme="minorHAnsi" w:cstheme="minorHAnsi"/>
                <w:color w:val="000000"/>
                <w:sz w:val="22"/>
                <w:szCs w:val="22"/>
              </w:rPr>
            </w:pPr>
            <w:r w:rsidRPr="004D03F8">
              <w:rPr>
                <w:rFonts w:asciiTheme="minorHAnsi" w:eastAsia="Times New Roman" w:hAnsiTheme="minorHAnsi" w:cstheme="minorHAnsi"/>
                <w:b/>
                <w:bCs/>
                <w:color w:val="000000"/>
                <w:sz w:val="22"/>
                <w:szCs w:val="22"/>
              </w:rPr>
              <w:t xml:space="preserve">Development of the </w:t>
            </w:r>
            <w:proofErr w:type="spellStart"/>
            <w:r w:rsidRPr="004D03F8">
              <w:rPr>
                <w:rFonts w:asciiTheme="minorHAnsi" w:eastAsia="Times New Roman" w:hAnsiTheme="minorHAnsi" w:cstheme="minorHAnsi"/>
                <w:b/>
                <w:bCs/>
                <w:color w:val="000000"/>
                <w:sz w:val="22"/>
                <w:szCs w:val="22"/>
              </w:rPr>
              <w:t>Ngupahan</w:t>
            </w:r>
            <w:proofErr w:type="spellEnd"/>
            <w:r w:rsidRPr="004D03F8">
              <w:rPr>
                <w:rFonts w:asciiTheme="minorHAnsi" w:eastAsia="Times New Roman" w:hAnsiTheme="minorHAnsi" w:cstheme="minorHAnsi"/>
                <w:b/>
                <w:bCs/>
                <w:color w:val="000000"/>
                <w:sz w:val="22"/>
                <w:szCs w:val="22"/>
              </w:rPr>
              <w:t xml:space="preserve"> App for Food Waste Management</w:t>
            </w:r>
            <w:r w:rsidRPr="002122B6">
              <w:rPr>
                <w:rFonts w:asciiTheme="minorHAnsi" w:eastAsia="Times New Roman" w:hAnsiTheme="minorHAnsi" w:cstheme="minorHAnsi"/>
                <w:color w:val="000000"/>
                <w:sz w:val="22"/>
                <w:szCs w:val="22"/>
              </w:rPr>
              <w:t>:</w:t>
            </w:r>
          </w:p>
          <w:p w14:paraId="78619E14" w14:textId="711D233A" w:rsidR="00C62A4C" w:rsidRPr="00C62A4C" w:rsidRDefault="00694D1D" w:rsidP="005F4B41">
            <w:pPr>
              <w:jc w:val="left"/>
              <w:rPr>
                <w:rFonts w:asciiTheme="minorHAnsi" w:eastAsia="Times New Roman" w:hAnsiTheme="minorHAnsi" w:cstheme="minorHAnsi"/>
                <w:color w:val="000000"/>
                <w:sz w:val="22"/>
                <w:szCs w:val="22"/>
              </w:rPr>
            </w:pPr>
            <w:r w:rsidRPr="002122B6">
              <w:rPr>
                <w:rFonts w:asciiTheme="minorHAnsi" w:eastAsia="Times New Roman" w:hAnsiTheme="minorHAnsi" w:cstheme="minorHAnsi"/>
                <w:color w:val="000000"/>
                <w:sz w:val="22"/>
                <w:szCs w:val="22"/>
              </w:rPr>
              <w:t>PAGE supported the creation of th</w:t>
            </w:r>
            <w:r w:rsidR="00174F85">
              <w:rPr>
                <w:rFonts w:asciiTheme="minorHAnsi" w:eastAsia="Times New Roman" w:hAnsiTheme="minorHAnsi" w:cstheme="minorHAnsi"/>
                <w:color w:val="000000"/>
                <w:sz w:val="22"/>
                <w:szCs w:val="22"/>
              </w:rPr>
              <w:t>e</w:t>
            </w:r>
            <w:r w:rsidRPr="002122B6">
              <w:rPr>
                <w:rFonts w:asciiTheme="minorHAnsi" w:eastAsia="Times New Roman" w:hAnsiTheme="minorHAnsi" w:cstheme="minorHAnsi"/>
                <w:color w:val="000000"/>
                <w:sz w:val="22"/>
                <w:szCs w:val="22"/>
              </w:rPr>
              <w:t xml:space="preserve"> mobile application</w:t>
            </w:r>
            <w:r w:rsidR="00BC4DEB">
              <w:rPr>
                <w:rFonts w:asciiTheme="minorHAnsi" w:eastAsia="Times New Roman" w:hAnsiTheme="minorHAnsi" w:cstheme="minorHAnsi"/>
                <w:color w:val="000000"/>
                <w:sz w:val="22"/>
                <w:szCs w:val="22"/>
              </w:rPr>
              <w:t xml:space="preserve"> for food waste management as</w:t>
            </w:r>
            <w:r w:rsidR="00BC4DEB" w:rsidRPr="002122B6">
              <w:rPr>
                <w:rFonts w:asciiTheme="minorHAnsi" w:eastAsia="Times New Roman" w:hAnsiTheme="minorHAnsi" w:cstheme="minorHAnsi"/>
                <w:color w:val="000000"/>
                <w:sz w:val="22"/>
                <w:szCs w:val="22"/>
              </w:rPr>
              <w:t xml:space="preserve"> </w:t>
            </w:r>
            <w:r w:rsidRPr="002122B6">
              <w:rPr>
                <w:rFonts w:asciiTheme="minorHAnsi" w:eastAsia="Times New Roman" w:hAnsiTheme="minorHAnsi" w:cstheme="minorHAnsi"/>
                <w:color w:val="000000"/>
                <w:sz w:val="22"/>
                <w:szCs w:val="22"/>
              </w:rPr>
              <w:t xml:space="preserve">a follow-up to the National Youth </w:t>
            </w:r>
            <w:proofErr w:type="spellStart"/>
            <w:r w:rsidRPr="002122B6">
              <w:rPr>
                <w:rFonts w:asciiTheme="minorHAnsi" w:eastAsia="Times New Roman" w:hAnsiTheme="minorHAnsi" w:cstheme="minorHAnsi"/>
                <w:color w:val="000000"/>
                <w:sz w:val="22"/>
                <w:szCs w:val="22"/>
              </w:rPr>
              <w:t>Ideathon</w:t>
            </w:r>
            <w:proofErr w:type="spellEnd"/>
            <w:r w:rsidRPr="002122B6">
              <w:rPr>
                <w:rFonts w:asciiTheme="minorHAnsi" w:eastAsia="Times New Roman" w:hAnsiTheme="minorHAnsi" w:cstheme="minorHAnsi"/>
                <w:color w:val="000000"/>
                <w:sz w:val="22"/>
                <w:szCs w:val="22"/>
              </w:rPr>
              <w:t xml:space="preserve"> 2023, which now supports the Government of Bogor Regency in addressing food loss and waste</w:t>
            </w:r>
            <w:r w:rsidRPr="0071206E">
              <w:rPr>
                <w:rFonts w:asciiTheme="minorHAnsi" w:eastAsia="Times New Roman" w:hAnsiTheme="minorHAnsi" w:cstheme="minorHAnsi"/>
                <w:color w:val="000000"/>
                <w:sz w:val="22"/>
                <w:szCs w:val="22"/>
              </w:rPr>
              <w:t>.</w:t>
            </w:r>
            <w:r w:rsidR="00A366AB">
              <w:rPr>
                <w:rFonts w:asciiTheme="minorHAnsi" w:eastAsia="Times New Roman" w:hAnsiTheme="minorHAnsi" w:cstheme="minorHAnsi"/>
                <w:color w:val="000000"/>
                <w:sz w:val="22"/>
                <w:szCs w:val="22"/>
              </w:rPr>
              <w:t xml:space="preserve"> </w:t>
            </w:r>
            <w:r w:rsidR="00640794">
              <w:rPr>
                <w:rFonts w:asciiTheme="minorHAnsi" w:eastAsia="Times New Roman" w:hAnsiTheme="minorHAnsi" w:cstheme="minorHAnsi"/>
                <w:color w:val="000000"/>
                <w:sz w:val="22"/>
                <w:szCs w:val="22"/>
              </w:rPr>
              <w:t xml:space="preserve"> </w:t>
            </w:r>
            <w:r w:rsidR="00C62A4C">
              <w:rPr>
                <w:rFonts w:asciiTheme="minorHAnsi" w:eastAsia="Times New Roman" w:hAnsiTheme="minorHAnsi" w:cstheme="minorHAnsi"/>
                <w:color w:val="000000"/>
                <w:sz w:val="22"/>
                <w:szCs w:val="22"/>
              </w:rPr>
              <w:t>I</w:t>
            </w:r>
            <w:r w:rsidR="00C62A4C" w:rsidRPr="00C62A4C">
              <w:rPr>
                <w:rFonts w:asciiTheme="minorHAnsi" w:hAnsiTheme="minorHAnsi" w:cstheme="minorHAnsi"/>
                <w:color w:val="000000"/>
                <w:sz w:val="22"/>
                <w:szCs w:val="22"/>
                <w:lang w:val="fr-CH"/>
              </w:rPr>
              <w:t xml:space="preserve">n close collaboration </w:t>
            </w:r>
            <w:proofErr w:type="spellStart"/>
            <w:r w:rsidR="00C62A4C" w:rsidRPr="00C62A4C">
              <w:rPr>
                <w:rFonts w:asciiTheme="minorHAnsi" w:hAnsiTheme="minorHAnsi" w:cstheme="minorHAnsi"/>
                <w:color w:val="000000"/>
                <w:sz w:val="22"/>
                <w:szCs w:val="22"/>
                <w:lang w:val="fr-CH"/>
              </w:rPr>
              <w:t>with</w:t>
            </w:r>
            <w:proofErr w:type="spellEnd"/>
            <w:r w:rsidR="00C62A4C" w:rsidRPr="00C62A4C">
              <w:rPr>
                <w:rFonts w:asciiTheme="minorHAnsi" w:hAnsiTheme="minorHAnsi" w:cstheme="minorHAnsi"/>
                <w:color w:val="000000"/>
                <w:sz w:val="22"/>
                <w:szCs w:val="22"/>
                <w:lang w:val="fr-CH"/>
              </w:rPr>
              <w:t xml:space="preserve"> the Regional Food Agency and the </w:t>
            </w:r>
            <w:proofErr w:type="spellStart"/>
            <w:r w:rsidR="00C62A4C" w:rsidRPr="00C62A4C">
              <w:rPr>
                <w:rFonts w:asciiTheme="minorHAnsi" w:hAnsiTheme="minorHAnsi" w:cstheme="minorHAnsi"/>
                <w:color w:val="000000"/>
                <w:sz w:val="22"/>
                <w:szCs w:val="22"/>
                <w:lang w:val="fr-CH"/>
              </w:rPr>
              <w:t>Environment</w:t>
            </w:r>
            <w:proofErr w:type="spellEnd"/>
            <w:r w:rsidR="00C62A4C" w:rsidRPr="00C62A4C">
              <w:rPr>
                <w:rFonts w:asciiTheme="minorHAnsi" w:hAnsiTheme="minorHAnsi" w:cstheme="minorHAnsi"/>
                <w:color w:val="000000"/>
                <w:sz w:val="22"/>
                <w:szCs w:val="22"/>
                <w:lang w:val="fr-CH"/>
              </w:rPr>
              <w:t xml:space="preserve"> and </w:t>
            </w:r>
            <w:proofErr w:type="spellStart"/>
            <w:r w:rsidR="00C62A4C" w:rsidRPr="00C62A4C">
              <w:rPr>
                <w:rFonts w:asciiTheme="minorHAnsi" w:hAnsiTheme="minorHAnsi" w:cstheme="minorHAnsi"/>
                <w:color w:val="000000"/>
                <w:sz w:val="22"/>
                <w:szCs w:val="22"/>
                <w:lang w:val="fr-CH"/>
              </w:rPr>
              <w:t>Forestry</w:t>
            </w:r>
            <w:proofErr w:type="spellEnd"/>
            <w:r w:rsidR="00C62A4C" w:rsidRPr="00C62A4C">
              <w:rPr>
                <w:rFonts w:asciiTheme="minorHAnsi" w:hAnsiTheme="minorHAnsi" w:cstheme="minorHAnsi"/>
                <w:color w:val="000000"/>
                <w:sz w:val="22"/>
                <w:szCs w:val="22"/>
                <w:lang w:val="fr-CH"/>
              </w:rPr>
              <w:t xml:space="preserve"> Agency, </w:t>
            </w:r>
            <w:r w:rsidR="00C62A4C">
              <w:rPr>
                <w:rFonts w:asciiTheme="minorHAnsi" w:hAnsiTheme="minorHAnsi" w:cstheme="minorHAnsi"/>
                <w:color w:val="000000"/>
                <w:sz w:val="22"/>
                <w:szCs w:val="22"/>
                <w:lang w:val="fr-CH"/>
              </w:rPr>
              <w:t xml:space="preserve">PAGE </w:t>
            </w:r>
            <w:proofErr w:type="spellStart"/>
            <w:r w:rsidR="00C62A4C" w:rsidRPr="00C62A4C">
              <w:rPr>
                <w:rFonts w:asciiTheme="minorHAnsi" w:hAnsiTheme="minorHAnsi" w:cstheme="minorHAnsi"/>
                <w:color w:val="000000"/>
                <w:sz w:val="22"/>
                <w:szCs w:val="22"/>
                <w:lang w:val="fr-CH"/>
              </w:rPr>
              <w:t>introduced</w:t>
            </w:r>
            <w:proofErr w:type="spellEnd"/>
            <w:r w:rsidR="00C62A4C" w:rsidRPr="00C62A4C">
              <w:rPr>
                <w:rFonts w:asciiTheme="minorHAnsi" w:hAnsiTheme="minorHAnsi" w:cstheme="minorHAnsi"/>
                <w:color w:val="000000"/>
                <w:sz w:val="22"/>
                <w:szCs w:val="22"/>
                <w:lang w:val="fr-CH"/>
              </w:rPr>
              <w:t xml:space="preserve"> the "</w:t>
            </w:r>
            <w:proofErr w:type="spellStart"/>
            <w:r w:rsidR="00C62A4C" w:rsidRPr="00C62A4C">
              <w:rPr>
                <w:rFonts w:asciiTheme="minorHAnsi" w:hAnsiTheme="minorHAnsi" w:cstheme="minorHAnsi"/>
                <w:color w:val="000000"/>
                <w:sz w:val="22"/>
                <w:szCs w:val="22"/>
                <w:lang w:val="fr-CH"/>
              </w:rPr>
              <w:t>Ngupahan</w:t>
            </w:r>
            <w:proofErr w:type="spellEnd"/>
            <w:r w:rsidR="00C62A4C" w:rsidRPr="00C62A4C">
              <w:rPr>
                <w:rFonts w:asciiTheme="minorHAnsi" w:hAnsiTheme="minorHAnsi" w:cstheme="minorHAnsi"/>
                <w:color w:val="000000"/>
                <w:sz w:val="22"/>
                <w:szCs w:val="22"/>
                <w:lang w:val="fr-CH"/>
              </w:rPr>
              <w:t xml:space="preserve">" mobile application, </w:t>
            </w:r>
            <w:proofErr w:type="spellStart"/>
            <w:r w:rsidR="00C62A4C" w:rsidRPr="00C62A4C">
              <w:rPr>
                <w:rFonts w:asciiTheme="minorHAnsi" w:hAnsiTheme="minorHAnsi" w:cstheme="minorHAnsi"/>
                <w:color w:val="000000"/>
                <w:sz w:val="22"/>
                <w:szCs w:val="22"/>
                <w:lang w:val="fr-CH"/>
              </w:rPr>
              <w:t>designed</w:t>
            </w:r>
            <w:proofErr w:type="spellEnd"/>
            <w:r w:rsidR="00C62A4C" w:rsidRPr="00C62A4C">
              <w:rPr>
                <w:rFonts w:asciiTheme="minorHAnsi" w:hAnsiTheme="minorHAnsi" w:cstheme="minorHAnsi"/>
                <w:color w:val="000000"/>
                <w:sz w:val="22"/>
                <w:szCs w:val="22"/>
                <w:lang w:val="fr-CH"/>
              </w:rPr>
              <w:t xml:space="preserve"> to manage </w:t>
            </w:r>
            <w:proofErr w:type="spellStart"/>
            <w:r w:rsidR="00C62A4C" w:rsidRPr="00C62A4C">
              <w:rPr>
                <w:rFonts w:asciiTheme="minorHAnsi" w:hAnsiTheme="minorHAnsi" w:cstheme="minorHAnsi"/>
                <w:color w:val="000000"/>
                <w:sz w:val="22"/>
                <w:szCs w:val="22"/>
                <w:lang w:val="fr-CH"/>
              </w:rPr>
              <w:t>food</w:t>
            </w:r>
            <w:proofErr w:type="spellEnd"/>
            <w:r w:rsidR="00C62A4C" w:rsidRPr="00C62A4C">
              <w:rPr>
                <w:rFonts w:asciiTheme="minorHAnsi" w:hAnsiTheme="minorHAnsi" w:cstheme="minorHAnsi"/>
                <w:color w:val="000000"/>
                <w:sz w:val="22"/>
                <w:szCs w:val="22"/>
                <w:lang w:val="fr-CH"/>
              </w:rPr>
              <w:t xml:space="preserve"> </w:t>
            </w:r>
            <w:proofErr w:type="spellStart"/>
            <w:r w:rsidR="00C62A4C" w:rsidRPr="00C62A4C">
              <w:rPr>
                <w:rFonts w:asciiTheme="minorHAnsi" w:hAnsiTheme="minorHAnsi" w:cstheme="minorHAnsi"/>
                <w:color w:val="000000"/>
                <w:sz w:val="22"/>
                <w:szCs w:val="22"/>
                <w:lang w:val="fr-CH"/>
              </w:rPr>
              <w:t>waste</w:t>
            </w:r>
            <w:proofErr w:type="spellEnd"/>
            <w:r w:rsidR="00C62A4C" w:rsidRPr="00C62A4C">
              <w:rPr>
                <w:rFonts w:asciiTheme="minorHAnsi" w:hAnsiTheme="minorHAnsi" w:cstheme="minorHAnsi"/>
                <w:color w:val="000000"/>
                <w:sz w:val="22"/>
                <w:szCs w:val="22"/>
                <w:lang w:val="fr-CH"/>
              </w:rPr>
              <w:t xml:space="preserve"> and </w:t>
            </w:r>
            <w:proofErr w:type="spellStart"/>
            <w:r w:rsidR="00C62A4C" w:rsidRPr="00C62A4C">
              <w:rPr>
                <w:rFonts w:asciiTheme="minorHAnsi" w:hAnsiTheme="minorHAnsi" w:cstheme="minorHAnsi"/>
                <w:color w:val="000000"/>
                <w:sz w:val="22"/>
                <w:szCs w:val="22"/>
                <w:lang w:val="fr-CH"/>
              </w:rPr>
              <w:t>bolster</w:t>
            </w:r>
            <w:proofErr w:type="spellEnd"/>
            <w:r w:rsidR="00C62A4C" w:rsidRPr="00C62A4C">
              <w:rPr>
                <w:rFonts w:asciiTheme="minorHAnsi" w:hAnsiTheme="minorHAnsi" w:cstheme="minorHAnsi"/>
                <w:color w:val="000000"/>
                <w:sz w:val="22"/>
                <w:szCs w:val="22"/>
                <w:lang w:val="fr-CH"/>
              </w:rPr>
              <w:t xml:space="preserve"> </w:t>
            </w:r>
            <w:proofErr w:type="spellStart"/>
            <w:r w:rsidR="00C62A4C" w:rsidRPr="00C62A4C">
              <w:rPr>
                <w:rFonts w:asciiTheme="minorHAnsi" w:hAnsiTheme="minorHAnsi" w:cstheme="minorHAnsi"/>
                <w:color w:val="000000"/>
                <w:sz w:val="22"/>
                <w:szCs w:val="22"/>
                <w:lang w:val="fr-CH"/>
              </w:rPr>
              <w:t>household</w:t>
            </w:r>
            <w:proofErr w:type="spellEnd"/>
            <w:r w:rsidR="00C62A4C" w:rsidRPr="00C62A4C">
              <w:rPr>
                <w:rFonts w:asciiTheme="minorHAnsi" w:hAnsiTheme="minorHAnsi" w:cstheme="minorHAnsi"/>
                <w:color w:val="000000"/>
                <w:sz w:val="22"/>
                <w:szCs w:val="22"/>
                <w:lang w:val="fr-CH"/>
              </w:rPr>
              <w:t xml:space="preserve"> </w:t>
            </w:r>
            <w:proofErr w:type="spellStart"/>
            <w:r w:rsidR="00C62A4C" w:rsidRPr="00C62A4C">
              <w:rPr>
                <w:rFonts w:asciiTheme="minorHAnsi" w:hAnsiTheme="minorHAnsi" w:cstheme="minorHAnsi"/>
                <w:color w:val="000000"/>
                <w:sz w:val="22"/>
                <w:szCs w:val="22"/>
                <w:lang w:val="fr-CH"/>
              </w:rPr>
              <w:t>food</w:t>
            </w:r>
            <w:proofErr w:type="spellEnd"/>
            <w:r w:rsidR="00C62A4C" w:rsidRPr="00C62A4C">
              <w:rPr>
                <w:rFonts w:asciiTheme="minorHAnsi" w:hAnsiTheme="minorHAnsi" w:cstheme="minorHAnsi"/>
                <w:color w:val="000000"/>
                <w:sz w:val="22"/>
                <w:szCs w:val="22"/>
                <w:lang w:val="fr-CH"/>
              </w:rPr>
              <w:t xml:space="preserve"> </w:t>
            </w:r>
            <w:proofErr w:type="spellStart"/>
            <w:r w:rsidR="00C62A4C" w:rsidRPr="00C62A4C">
              <w:rPr>
                <w:rFonts w:asciiTheme="minorHAnsi" w:hAnsiTheme="minorHAnsi" w:cstheme="minorHAnsi"/>
                <w:color w:val="000000"/>
                <w:sz w:val="22"/>
                <w:szCs w:val="22"/>
                <w:lang w:val="fr-CH"/>
              </w:rPr>
              <w:t>security</w:t>
            </w:r>
            <w:proofErr w:type="spellEnd"/>
            <w:r w:rsidR="00C62A4C" w:rsidRPr="00C62A4C">
              <w:rPr>
                <w:rFonts w:asciiTheme="minorHAnsi" w:hAnsiTheme="minorHAnsi" w:cstheme="minorHAnsi"/>
                <w:color w:val="000000"/>
                <w:sz w:val="22"/>
                <w:szCs w:val="22"/>
                <w:lang w:val="fr-CH"/>
              </w:rPr>
              <w:t xml:space="preserve">. </w:t>
            </w:r>
            <w:r w:rsidR="00C62A4C" w:rsidRPr="00C62A4C">
              <w:rPr>
                <w:rFonts w:asciiTheme="minorHAnsi" w:eastAsia="Times New Roman" w:hAnsiTheme="minorHAnsi" w:cstheme="minorHAnsi"/>
                <w:color w:val="000000"/>
                <w:sz w:val="22"/>
                <w:szCs w:val="22"/>
              </w:rPr>
              <w:t>The "</w:t>
            </w:r>
            <w:proofErr w:type="spellStart"/>
            <w:r w:rsidR="00C62A4C" w:rsidRPr="00C62A4C">
              <w:rPr>
                <w:rFonts w:asciiTheme="minorHAnsi" w:eastAsia="Times New Roman" w:hAnsiTheme="minorHAnsi" w:cstheme="minorHAnsi"/>
                <w:color w:val="000000"/>
                <w:sz w:val="22"/>
                <w:szCs w:val="22"/>
              </w:rPr>
              <w:t>Ngupahan</w:t>
            </w:r>
            <w:proofErr w:type="spellEnd"/>
            <w:r w:rsidR="00C62A4C" w:rsidRPr="00C62A4C">
              <w:rPr>
                <w:rFonts w:asciiTheme="minorHAnsi" w:eastAsia="Times New Roman" w:hAnsiTheme="minorHAnsi" w:cstheme="minorHAnsi"/>
                <w:color w:val="000000"/>
                <w:sz w:val="22"/>
                <w:szCs w:val="22"/>
              </w:rPr>
              <w:t xml:space="preserve">" app aims to transform the management of food surplus and waste at the household level. </w:t>
            </w:r>
            <w:r w:rsidR="006C59D8">
              <w:rPr>
                <w:rFonts w:asciiTheme="minorHAnsi" w:eastAsia="Times New Roman" w:hAnsiTheme="minorHAnsi" w:cstheme="minorHAnsi"/>
                <w:color w:val="000000"/>
                <w:sz w:val="22"/>
                <w:szCs w:val="22"/>
              </w:rPr>
              <w:t>T</w:t>
            </w:r>
            <w:r w:rsidR="00C62A4C" w:rsidRPr="00C62A4C">
              <w:rPr>
                <w:rFonts w:asciiTheme="minorHAnsi" w:eastAsia="Times New Roman" w:hAnsiTheme="minorHAnsi" w:cstheme="minorHAnsi"/>
                <w:color w:val="000000"/>
                <w:sz w:val="22"/>
                <w:szCs w:val="22"/>
              </w:rPr>
              <w:t xml:space="preserve">he app features an education corner, food sharing platform, compost bank, and direct sales market. These features enable users to educate themselves about food waste, share </w:t>
            </w:r>
            <w:r w:rsidR="00C62A4C" w:rsidRPr="00C62A4C">
              <w:rPr>
                <w:rFonts w:asciiTheme="minorHAnsi" w:eastAsia="Times New Roman" w:hAnsiTheme="minorHAnsi" w:cstheme="minorHAnsi"/>
                <w:color w:val="000000"/>
                <w:sz w:val="22"/>
                <w:szCs w:val="22"/>
              </w:rPr>
              <w:lastRenderedPageBreak/>
              <w:t>surplus food, manage waste profitably, and buy or sell food at consumer-friendly prices.</w:t>
            </w:r>
            <w:r w:rsidR="00A84058">
              <w:rPr>
                <w:rFonts w:asciiTheme="minorHAnsi" w:eastAsia="Times New Roman" w:hAnsiTheme="minorHAnsi" w:cstheme="minorHAnsi"/>
                <w:color w:val="000000"/>
                <w:sz w:val="22"/>
                <w:szCs w:val="22"/>
              </w:rPr>
              <w:t xml:space="preserve"> </w:t>
            </w:r>
            <w:r w:rsidR="00C62A4C" w:rsidRPr="00C62A4C">
              <w:rPr>
                <w:rFonts w:asciiTheme="minorHAnsi" w:eastAsia="Times New Roman" w:hAnsiTheme="minorHAnsi" w:cstheme="minorHAnsi"/>
                <w:color w:val="000000"/>
                <w:sz w:val="22"/>
                <w:szCs w:val="22"/>
              </w:rPr>
              <w:t xml:space="preserve">The socialization event on July 30th in </w:t>
            </w:r>
            <w:proofErr w:type="spellStart"/>
            <w:r w:rsidR="00C62A4C" w:rsidRPr="00C62A4C">
              <w:rPr>
                <w:rFonts w:asciiTheme="minorHAnsi" w:eastAsia="Times New Roman" w:hAnsiTheme="minorHAnsi" w:cstheme="minorHAnsi"/>
                <w:color w:val="000000"/>
                <w:sz w:val="22"/>
                <w:szCs w:val="22"/>
              </w:rPr>
              <w:t>Gunung</w:t>
            </w:r>
            <w:proofErr w:type="spellEnd"/>
            <w:r w:rsidR="00C62A4C" w:rsidRPr="00C62A4C">
              <w:rPr>
                <w:rFonts w:asciiTheme="minorHAnsi" w:eastAsia="Times New Roman" w:hAnsiTheme="minorHAnsi" w:cstheme="minorHAnsi"/>
                <w:color w:val="000000"/>
                <w:sz w:val="22"/>
                <w:szCs w:val="22"/>
              </w:rPr>
              <w:t xml:space="preserve"> Putri Village was a key milestone, attended by over 30 local stakeholders, including community members, local authorities, and practitioners. The discussions emphasized the app's potential to integrate and sustain food systems within the community.</w:t>
            </w:r>
            <w:r w:rsidR="005F4B41">
              <w:rPr>
                <w:rFonts w:asciiTheme="minorHAnsi" w:eastAsia="Times New Roman" w:hAnsiTheme="minorHAnsi" w:cstheme="minorHAnsi"/>
                <w:color w:val="000000"/>
                <w:sz w:val="22"/>
                <w:szCs w:val="22"/>
              </w:rPr>
              <w:t xml:space="preserve"> </w:t>
            </w:r>
            <w:r w:rsidR="00C62A4C" w:rsidRPr="00C62A4C">
              <w:rPr>
                <w:rFonts w:asciiTheme="minorHAnsi" w:eastAsia="Times New Roman" w:hAnsiTheme="minorHAnsi" w:cstheme="minorHAnsi"/>
                <w:color w:val="000000"/>
                <w:sz w:val="22"/>
                <w:szCs w:val="22"/>
              </w:rPr>
              <w:t>This initiative not only addresses the immediate food waste challenges in Bogor but also sets a precedent for sustainable food management practices across Indonesia.</w:t>
            </w:r>
          </w:p>
          <w:p w14:paraId="53FA4BEB" w14:textId="77777777" w:rsidR="00C62A4C" w:rsidRPr="00C62A4C" w:rsidRDefault="00C62A4C" w:rsidP="00C62A4C">
            <w:pPr>
              <w:jc w:val="left"/>
              <w:rPr>
                <w:rFonts w:asciiTheme="minorHAnsi" w:eastAsia="Times New Roman" w:hAnsiTheme="minorHAnsi" w:cstheme="minorHAnsi"/>
                <w:color w:val="000000"/>
                <w:sz w:val="22"/>
                <w:szCs w:val="22"/>
              </w:rPr>
            </w:pPr>
            <w:r w:rsidRPr="00C62A4C">
              <w:rPr>
                <w:rFonts w:asciiTheme="minorHAnsi" w:eastAsia="Times New Roman" w:hAnsiTheme="minorHAnsi" w:cstheme="minorHAnsi"/>
                <w:color w:val="000000"/>
                <w:sz w:val="22"/>
                <w:szCs w:val="22"/>
              </w:rPr>
              <w:t>By leveraging technology and fostering community participation, the "</w:t>
            </w:r>
            <w:proofErr w:type="spellStart"/>
            <w:r w:rsidRPr="00C62A4C">
              <w:rPr>
                <w:rFonts w:asciiTheme="minorHAnsi" w:eastAsia="Times New Roman" w:hAnsiTheme="minorHAnsi" w:cstheme="minorHAnsi"/>
                <w:color w:val="000000"/>
                <w:sz w:val="22"/>
                <w:szCs w:val="22"/>
              </w:rPr>
              <w:t>Ngupahan</w:t>
            </w:r>
            <w:proofErr w:type="spellEnd"/>
            <w:r w:rsidRPr="00C62A4C">
              <w:rPr>
                <w:rFonts w:asciiTheme="minorHAnsi" w:eastAsia="Times New Roman" w:hAnsiTheme="minorHAnsi" w:cstheme="minorHAnsi"/>
                <w:color w:val="000000"/>
                <w:sz w:val="22"/>
                <w:szCs w:val="22"/>
              </w:rPr>
              <w:t>" app represents a forward-thinking solution to one of Indonesia's critical environmental and economic issues, paving the way for a greener, more sustainable future.</w:t>
            </w:r>
          </w:p>
          <w:p w14:paraId="7D008D22" w14:textId="443F4A84" w:rsidR="00694D1D" w:rsidRPr="0071206E" w:rsidRDefault="00694D1D" w:rsidP="00A366AB">
            <w:pPr>
              <w:jc w:val="left"/>
              <w:rPr>
                <w:rFonts w:asciiTheme="minorHAnsi" w:eastAsia="Times New Roman" w:hAnsiTheme="minorHAnsi" w:cstheme="minorHAnsi"/>
                <w:color w:val="000000"/>
                <w:sz w:val="22"/>
                <w:szCs w:val="22"/>
              </w:rPr>
            </w:pPr>
          </w:p>
        </w:tc>
      </w:tr>
      <w:tr w:rsidR="00694D1D" w:rsidRPr="0071206E" w14:paraId="0EB07801" w14:textId="77777777" w:rsidTr="005773A9">
        <w:trPr>
          <w:trHeight w:val="830"/>
        </w:trPr>
        <w:tc>
          <w:tcPr>
            <w:tcW w:w="1970" w:type="dxa"/>
            <w:tcMar>
              <w:top w:w="0" w:type="dxa"/>
              <w:left w:w="108" w:type="dxa"/>
              <w:bottom w:w="0" w:type="dxa"/>
              <w:right w:w="108" w:type="dxa"/>
            </w:tcMar>
            <w:hideMark/>
          </w:tcPr>
          <w:p w14:paraId="5F4877B7" w14:textId="77777777" w:rsidR="00694D1D" w:rsidRPr="0071206E" w:rsidRDefault="00694D1D" w:rsidP="005651A3">
            <w:pPr>
              <w:pStyle w:val="NormalWeb"/>
              <w:spacing w:before="0" w:beforeAutospacing="0" w:after="0" w:afterAutospacing="0"/>
              <w:rPr>
                <w:rFonts w:asciiTheme="minorHAnsi" w:eastAsiaTheme="minorHAnsi" w:hAnsiTheme="minorHAnsi" w:cstheme="minorHAnsi"/>
                <w:sz w:val="22"/>
                <w:szCs w:val="22"/>
                <w:lang w:val="en-US"/>
              </w:rPr>
            </w:pPr>
            <w:r w:rsidRPr="0071206E">
              <w:rPr>
                <w:rFonts w:asciiTheme="minorHAnsi" w:hAnsiTheme="minorHAnsi" w:cstheme="minorHAnsi"/>
                <w:b/>
                <w:bCs/>
                <w:sz w:val="22"/>
                <w:szCs w:val="22"/>
                <w:lang w:val="en-US"/>
              </w:rPr>
              <w:t>Key Achievements 2024</w:t>
            </w:r>
            <w:r w:rsidRPr="0071206E">
              <w:rPr>
                <w:rFonts w:asciiTheme="minorHAnsi" w:hAnsiTheme="minorHAnsi" w:cstheme="minorHAnsi"/>
                <w:sz w:val="22"/>
                <w:szCs w:val="22"/>
                <w:lang w:val="en-US"/>
              </w:rPr>
              <w:t> (Add. Support for Green Recovery)</w:t>
            </w:r>
          </w:p>
        </w:tc>
        <w:tc>
          <w:tcPr>
            <w:tcW w:w="7925" w:type="dxa"/>
            <w:tcMar>
              <w:top w:w="0" w:type="dxa"/>
              <w:left w:w="108" w:type="dxa"/>
              <w:bottom w:w="0" w:type="dxa"/>
              <w:right w:w="108" w:type="dxa"/>
            </w:tcMar>
            <w:hideMark/>
          </w:tcPr>
          <w:p w14:paraId="7A259420" w14:textId="77642DF6" w:rsidR="00694D1D" w:rsidRPr="0071206E" w:rsidRDefault="00694D1D" w:rsidP="005651A3">
            <w:pPr>
              <w:pStyle w:val="elementtoproof"/>
              <w:rPr>
                <w:rFonts w:asciiTheme="minorHAnsi" w:hAnsiTheme="minorHAnsi" w:cstheme="minorHAnsi"/>
                <w:color w:val="000000"/>
              </w:rPr>
            </w:pPr>
            <w:r w:rsidRPr="0071206E">
              <w:rPr>
                <w:rFonts w:asciiTheme="minorHAnsi" w:hAnsiTheme="minorHAnsi" w:cstheme="minorHAnsi"/>
                <w:color w:val="000000"/>
              </w:rPr>
              <w:t> </w:t>
            </w:r>
            <w:r w:rsidR="005651A3" w:rsidRPr="0071206E">
              <w:rPr>
                <w:rFonts w:asciiTheme="minorHAnsi" w:hAnsiTheme="minorHAnsi" w:cstheme="minorHAnsi"/>
                <w:color w:val="000000"/>
              </w:rPr>
              <w:t>n/a</w:t>
            </w:r>
          </w:p>
        </w:tc>
      </w:tr>
    </w:tbl>
    <w:p w14:paraId="22F872E4" w14:textId="77777777" w:rsidR="00694D1D" w:rsidRPr="0071206E" w:rsidRDefault="00694D1D" w:rsidP="005651A3">
      <w:pPr>
        <w:pStyle w:val="NormalWeb"/>
        <w:spacing w:before="0" w:beforeAutospacing="0" w:after="0" w:afterAutospacing="0"/>
        <w:rPr>
          <w:rFonts w:asciiTheme="minorHAnsi" w:eastAsiaTheme="minorHAnsi" w:hAnsiTheme="minorHAnsi" w:cstheme="minorHAnsi"/>
          <w:sz w:val="22"/>
          <w:szCs w:val="22"/>
          <w:lang w:val="en-US"/>
        </w:rPr>
      </w:pPr>
      <w:r w:rsidRPr="0071206E">
        <w:rPr>
          <w:rFonts w:asciiTheme="minorHAnsi" w:hAnsiTheme="minorHAnsi" w:cstheme="minorHAnsi"/>
          <w:b/>
          <w:bCs/>
          <w:sz w:val="22"/>
          <w:szCs w:val="22"/>
          <w:lang w:val="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694D1D" w:rsidRPr="0071206E" w14:paraId="61347426" w14:textId="77777777" w:rsidTr="002122B6">
        <w:trPr>
          <w:trHeight w:val="560"/>
        </w:trPr>
        <w:tc>
          <w:tcPr>
            <w:tcW w:w="9895" w:type="dxa"/>
            <w:gridSpan w:val="2"/>
            <w:tcMar>
              <w:top w:w="0" w:type="dxa"/>
              <w:left w:w="108" w:type="dxa"/>
              <w:bottom w:w="0" w:type="dxa"/>
              <w:right w:w="108" w:type="dxa"/>
            </w:tcMar>
            <w:hideMark/>
          </w:tcPr>
          <w:p w14:paraId="305C54F8" w14:textId="77777777" w:rsidR="00694D1D" w:rsidRPr="0071206E" w:rsidRDefault="00694D1D" w:rsidP="005651A3">
            <w:pPr>
              <w:pStyle w:val="elementtoproof"/>
              <w:rPr>
                <w:rFonts w:asciiTheme="minorHAnsi" w:hAnsiTheme="minorHAnsi" w:cstheme="minorHAnsi"/>
              </w:rPr>
            </w:pPr>
            <w:r w:rsidRPr="0071206E">
              <w:rPr>
                <w:rFonts w:asciiTheme="minorHAnsi" w:hAnsiTheme="minorHAnsi" w:cstheme="minorHAnsi"/>
                <w:i/>
                <w:iCs/>
              </w:rPr>
              <w:t xml:space="preserve">Outcome 3 - Individual, institutional and planning capacities for IGE action strengthened at the </w:t>
            </w:r>
            <w:r w:rsidRPr="0071206E">
              <w:rPr>
                <w:rFonts w:asciiTheme="minorHAnsi" w:hAnsiTheme="minorHAnsi" w:cstheme="minorHAnsi"/>
                <w:i/>
                <w:iCs/>
                <w:u w:val="single"/>
              </w:rPr>
              <w:t>national</w:t>
            </w:r>
            <w:r w:rsidRPr="0071206E">
              <w:rPr>
                <w:rFonts w:asciiTheme="minorHAnsi" w:hAnsiTheme="minorHAnsi" w:cstheme="minorHAnsi"/>
                <w:i/>
                <w:iCs/>
              </w:rPr>
              <w:t> and (global) level.</w:t>
            </w:r>
          </w:p>
        </w:tc>
      </w:tr>
      <w:tr w:rsidR="00694D1D" w:rsidRPr="0071206E" w14:paraId="236029E1" w14:textId="77777777" w:rsidTr="002122B6">
        <w:trPr>
          <w:trHeight w:val="560"/>
        </w:trPr>
        <w:tc>
          <w:tcPr>
            <w:tcW w:w="1885" w:type="dxa"/>
            <w:tcMar>
              <w:top w:w="0" w:type="dxa"/>
              <w:left w:w="108" w:type="dxa"/>
              <w:bottom w:w="0" w:type="dxa"/>
              <w:right w:w="108" w:type="dxa"/>
            </w:tcMar>
            <w:hideMark/>
          </w:tcPr>
          <w:p w14:paraId="3458CFA4" w14:textId="77777777" w:rsidR="00694D1D" w:rsidRPr="0071206E" w:rsidRDefault="00694D1D" w:rsidP="005651A3">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Key achievements in 2024</w:t>
            </w:r>
          </w:p>
        </w:tc>
        <w:tc>
          <w:tcPr>
            <w:tcW w:w="8010" w:type="dxa"/>
            <w:tcMar>
              <w:top w:w="0" w:type="dxa"/>
              <w:left w:w="108" w:type="dxa"/>
              <w:bottom w:w="0" w:type="dxa"/>
              <w:right w:w="108" w:type="dxa"/>
            </w:tcMar>
            <w:hideMark/>
          </w:tcPr>
          <w:p w14:paraId="4E228764" w14:textId="77777777" w:rsidR="00694D1D" w:rsidRPr="0071206E" w:rsidRDefault="00694D1D" w:rsidP="009A47F2">
            <w:pPr>
              <w:pStyle w:val="elementtoproof"/>
              <w:rPr>
                <w:rFonts w:asciiTheme="minorHAnsi" w:hAnsiTheme="minorHAnsi" w:cstheme="minorHAnsi"/>
                <w:color w:val="000000"/>
              </w:rPr>
            </w:pPr>
            <w:r w:rsidRPr="0071206E">
              <w:rPr>
                <w:rFonts w:asciiTheme="minorHAnsi" w:hAnsiTheme="minorHAnsi" w:cstheme="minorHAnsi"/>
                <w:b/>
                <w:bCs/>
                <w:color w:val="000000"/>
              </w:rPr>
              <w:t>Mainstreaming IGE into Development Planning:</w:t>
            </w:r>
          </w:p>
          <w:p w14:paraId="6A239D3C" w14:textId="6D7B5071" w:rsidR="004D03F8" w:rsidRDefault="002D59AF" w:rsidP="00634DC7">
            <w:pPr>
              <w:jc w:val="left"/>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w:t>
            </w:r>
            <w:r w:rsidR="00694D1D" w:rsidRPr="0071206E">
              <w:rPr>
                <w:rFonts w:asciiTheme="minorHAnsi" w:eastAsia="Times New Roman" w:hAnsiTheme="minorHAnsi" w:cstheme="minorHAnsi"/>
                <w:color w:val="000000"/>
                <w:sz w:val="22"/>
                <w:szCs w:val="22"/>
              </w:rPr>
              <w:t>ligning with Indonesia's Vision 2045 and national development</w:t>
            </w:r>
            <w:r w:rsidR="009A47F2">
              <w:rPr>
                <w:rFonts w:asciiTheme="minorHAnsi" w:eastAsia="Times New Roman" w:hAnsiTheme="minorHAnsi" w:cstheme="minorHAnsi"/>
                <w:color w:val="000000"/>
                <w:sz w:val="22"/>
                <w:szCs w:val="22"/>
              </w:rPr>
              <w:t xml:space="preserve"> </w:t>
            </w:r>
            <w:r w:rsidR="00694D1D" w:rsidRPr="0071206E">
              <w:rPr>
                <w:rFonts w:asciiTheme="minorHAnsi" w:eastAsia="Times New Roman" w:hAnsiTheme="minorHAnsi" w:cstheme="minorHAnsi"/>
                <w:color w:val="000000"/>
                <w:sz w:val="22"/>
                <w:szCs w:val="22"/>
              </w:rPr>
              <w:t>planning processes, PAGE supported the integration of IGE principles into long-term (RPJPN 2025-2045) and medium-term (RPJMN 2025-2029) national development plans</w:t>
            </w:r>
            <w:r w:rsidR="00634DC7">
              <w:rPr>
                <w:rFonts w:asciiTheme="minorHAnsi" w:eastAsia="Times New Roman" w:hAnsiTheme="minorHAnsi" w:cstheme="minorHAnsi"/>
                <w:color w:val="000000"/>
                <w:sz w:val="22"/>
                <w:szCs w:val="22"/>
              </w:rPr>
              <w:t xml:space="preserve">. </w:t>
            </w:r>
            <w:r w:rsidR="009B2211" w:rsidRPr="009B2211">
              <w:rPr>
                <w:rFonts w:asciiTheme="minorHAnsi" w:eastAsia="Times New Roman" w:hAnsiTheme="minorHAnsi" w:cstheme="minorHAnsi"/>
                <w:color w:val="000000"/>
                <w:sz w:val="22"/>
                <w:szCs w:val="22"/>
              </w:rPr>
              <w:t>Green economic transformation is one of the main pillars to realize the Vision of Golden Indonesia 2045.</w:t>
            </w:r>
            <w:r w:rsidR="00200ECB">
              <w:rPr>
                <w:rFonts w:asciiTheme="minorHAnsi" w:eastAsia="Times New Roman" w:hAnsiTheme="minorHAnsi" w:cstheme="minorHAnsi"/>
                <w:color w:val="000000"/>
                <w:sz w:val="22"/>
                <w:szCs w:val="22"/>
              </w:rPr>
              <w:t xml:space="preserve"> </w:t>
            </w:r>
            <w:r w:rsidR="00694D1D" w:rsidRPr="0071206E">
              <w:rPr>
                <w:rFonts w:asciiTheme="minorHAnsi" w:eastAsia="Times New Roman" w:hAnsiTheme="minorHAnsi" w:cstheme="minorHAnsi"/>
                <w:color w:val="000000"/>
                <w:sz w:val="22"/>
                <w:szCs w:val="22"/>
              </w:rPr>
              <w:t>Th</w:t>
            </w:r>
            <w:r w:rsidR="00AB4984">
              <w:rPr>
                <w:rFonts w:asciiTheme="minorHAnsi" w:eastAsia="Times New Roman" w:hAnsiTheme="minorHAnsi" w:cstheme="minorHAnsi"/>
                <w:color w:val="000000"/>
                <w:sz w:val="22"/>
                <w:szCs w:val="22"/>
              </w:rPr>
              <w:t xml:space="preserve">is </w:t>
            </w:r>
            <w:r w:rsidR="00200ECB">
              <w:rPr>
                <w:rFonts w:asciiTheme="minorHAnsi" w:eastAsia="Times New Roman" w:hAnsiTheme="minorHAnsi" w:cstheme="minorHAnsi"/>
                <w:color w:val="000000"/>
                <w:sz w:val="22"/>
                <w:szCs w:val="22"/>
              </w:rPr>
              <w:t xml:space="preserve">PAGE </w:t>
            </w:r>
            <w:r w:rsidR="00AB4984">
              <w:rPr>
                <w:rFonts w:asciiTheme="minorHAnsi" w:eastAsia="Times New Roman" w:hAnsiTheme="minorHAnsi" w:cstheme="minorHAnsi"/>
                <w:color w:val="000000"/>
                <w:sz w:val="22"/>
                <w:szCs w:val="22"/>
              </w:rPr>
              <w:t xml:space="preserve">work helped to align the </w:t>
            </w:r>
            <w:r w:rsidR="004C61ED">
              <w:rPr>
                <w:rFonts w:asciiTheme="minorHAnsi" w:eastAsia="Times New Roman" w:hAnsiTheme="minorHAnsi" w:cstheme="minorHAnsi"/>
                <w:color w:val="000000"/>
                <w:sz w:val="22"/>
                <w:szCs w:val="22"/>
              </w:rPr>
              <w:t xml:space="preserve">national </w:t>
            </w:r>
            <w:r w:rsidR="00200ECB">
              <w:rPr>
                <w:rFonts w:asciiTheme="minorHAnsi" w:eastAsia="Times New Roman" w:hAnsiTheme="minorHAnsi" w:cstheme="minorHAnsi"/>
                <w:color w:val="000000"/>
                <w:sz w:val="22"/>
                <w:szCs w:val="22"/>
              </w:rPr>
              <w:t xml:space="preserve">medium- and long-term </w:t>
            </w:r>
            <w:r w:rsidR="004C61ED">
              <w:rPr>
                <w:rFonts w:asciiTheme="minorHAnsi" w:eastAsia="Times New Roman" w:hAnsiTheme="minorHAnsi" w:cstheme="minorHAnsi"/>
                <w:color w:val="000000"/>
                <w:sz w:val="22"/>
                <w:szCs w:val="22"/>
              </w:rPr>
              <w:t xml:space="preserve">development plans with the  goals of </w:t>
            </w:r>
            <w:r w:rsidR="00694D1D" w:rsidRPr="0071206E">
              <w:rPr>
                <w:rFonts w:asciiTheme="minorHAnsi" w:eastAsia="Times New Roman" w:hAnsiTheme="minorHAnsi" w:cstheme="minorHAnsi"/>
                <w:color w:val="000000"/>
                <w:sz w:val="22"/>
                <w:szCs w:val="22"/>
              </w:rPr>
              <w:t xml:space="preserve">sustainable and inclusive </w:t>
            </w:r>
            <w:r w:rsidR="0053746C">
              <w:rPr>
                <w:rFonts w:asciiTheme="minorHAnsi" w:eastAsia="Times New Roman" w:hAnsiTheme="minorHAnsi" w:cstheme="minorHAnsi"/>
                <w:color w:val="000000"/>
                <w:sz w:val="22"/>
                <w:szCs w:val="22"/>
              </w:rPr>
              <w:t xml:space="preserve">green </w:t>
            </w:r>
            <w:r w:rsidR="00694D1D" w:rsidRPr="0071206E">
              <w:rPr>
                <w:rFonts w:asciiTheme="minorHAnsi" w:eastAsia="Times New Roman" w:hAnsiTheme="minorHAnsi" w:cstheme="minorHAnsi"/>
                <w:color w:val="000000"/>
                <w:sz w:val="22"/>
                <w:szCs w:val="22"/>
              </w:rPr>
              <w:t xml:space="preserve">economic transformation </w:t>
            </w:r>
            <w:r w:rsidR="0053746C">
              <w:rPr>
                <w:rFonts w:asciiTheme="minorHAnsi" w:eastAsia="Times New Roman" w:hAnsiTheme="minorHAnsi" w:cstheme="minorHAnsi"/>
                <w:color w:val="000000"/>
                <w:sz w:val="22"/>
                <w:szCs w:val="22"/>
              </w:rPr>
              <w:t>and resul</w:t>
            </w:r>
            <w:r w:rsidR="0092257D">
              <w:rPr>
                <w:rFonts w:asciiTheme="minorHAnsi" w:eastAsia="Times New Roman" w:hAnsiTheme="minorHAnsi" w:cstheme="minorHAnsi"/>
                <w:color w:val="000000"/>
                <w:sz w:val="22"/>
                <w:szCs w:val="22"/>
              </w:rPr>
              <w:t>t</w:t>
            </w:r>
            <w:r w:rsidR="0053746C">
              <w:rPr>
                <w:rFonts w:asciiTheme="minorHAnsi" w:eastAsia="Times New Roman" w:hAnsiTheme="minorHAnsi" w:cstheme="minorHAnsi"/>
                <w:color w:val="000000"/>
                <w:sz w:val="22"/>
                <w:szCs w:val="22"/>
              </w:rPr>
              <w:t xml:space="preserve">ed in enhanced </w:t>
            </w:r>
            <w:r w:rsidR="00694D1D" w:rsidRPr="0071206E">
              <w:rPr>
                <w:rFonts w:asciiTheme="minorHAnsi" w:eastAsia="Times New Roman" w:hAnsiTheme="minorHAnsi" w:cstheme="minorHAnsi"/>
                <w:color w:val="000000"/>
                <w:sz w:val="22"/>
                <w:szCs w:val="22"/>
              </w:rPr>
              <w:t xml:space="preserve">planning capacities of national and sub-national </w:t>
            </w:r>
            <w:r w:rsidR="0092257D" w:rsidRPr="0071206E">
              <w:rPr>
                <w:rFonts w:asciiTheme="minorHAnsi" w:eastAsia="Times New Roman" w:hAnsiTheme="minorHAnsi" w:cstheme="minorHAnsi"/>
                <w:color w:val="000000"/>
                <w:sz w:val="22"/>
                <w:szCs w:val="22"/>
              </w:rPr>
              <w:t>government</w:t>
            </w:r>
            <w:r w:rsidR="0092257D">
              <w:rPr>
                <w:rFonts w:asciiTheme="minorHAnsi" w:eastAsia="Times New Roman" w:hAnsiTheme="minorHAnsi" w:cstheme="minorHAnsi"/>
                <w:color w:val="000000"/>
                <w:sz w:val="22"/>
                <w:szCs w:val="22"/>
              </w:rPr>
              <w:t xml:space="preserve"> stakeholders engaged in the planning process</w:t>
            </w:r>
            <w:r w:rsidR="00694D1D" w:rsidRPr="0071206E">
              <w:rPr>
                <w:rFonts w:asciiTheme="minorHAnsi" w:eastAsia="Times New Roman" w:hAnsiTheme="minorHAnsi" w:cstheme="minorHAnsi"/>
                <w:color w:val="000000"/>
                <w:sz w:val="22"/>
                <w:szCs w:val="22"/>
              </w:rPr>
              <w:t>​</w:t>
            </w:r>
            <w:r w:rsidR="004D03F8">
              <w:rPr>
                <w:rFonts w:asciiTheme="minorHAnsi" w:eastAsia="Times New Roman" w:hAnsiTheme="minorHAnsi" w:cstheme="minorHAnsi"/>
                <w:color w:val="000000"/>
                <w:sz w:val="22"/>
                <w:szCs w:val="22"/>
              </w:rPr>
              <w:t>.</w:t>
            </w:r>
          </w:p>
          <w:p w14:paraId="266A5868" w14:textId="371CE255" w:rsidR="00694D1D" w:rsidRPr="0071206E" w:rsidRDefault="00694D1D" w:rsidP="004D03F8">
            <w:pPr>
              <w:ind w:left="720"/>
              <w:jc w:val="left"/>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 xml:space="preserve"> </w:t>
            </w:r>
          </w:p>
          <w:p w14:paraId="56012863" w14:textId="3D218F10" w:rsidR="00805137" w:rsidRDefault="00694D1D" w:rsidP="00C112A0">
            <w:pPr>
              <w:jc w:val="left"/>
              <w:rPr>
                <w:rFonts w:asciiTheme="minorHAnsi" w:eastAsia="Times New Roman" w:hAnsiTheme="minorHAnsi" w:cstheme="minorHAnsi"/>
                <w:b/>
                <w:bCs/>
                <w:color w:val="000000"/>
                <w:sz w:val="22"/>
                <w:szCs w:val="22"/>
              </w:rPr>
            </w:pPr>
            <w:r w:rsidRPr="0071206E">
              <w:rPr>
                <w:rFonts w:asciiTheme="minorHAnsi" w:eastAsia="Times New Roman" w:hAnsiTheme="minorHAnsi" w:cstheme="minorHAnsi"/>
                <w:b/>
                <w:bCs/>
                <w:color w:val="000000"/>
                <w:sz w:val="22"/>
                <w:szCs w:val="22"/>
              </w:rPr>
              <w:t>Strengthening the Circular Economy (CE) Team at the LCDI Secretariat:</w:t>
            </w:r>
          </w:p>
          <w:p w14:paraId="3A2B1F65" w14:textId="74EF2556" w:rsidR="00694D1D" w:rsidRPr="0071206E" w:rsidRDefault="00694D1D" w:rsidP="00805137">
            <w:pPr>
              <w:jc w:val="left"/>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PAGE Indonesia provided support to the Circular Economy/Low Carbon Development Initiative (CE/LCDI) Secretariat at BAPPENAS, assigning a dedicated CE Project Manager to coordinate activities.</w:t>
            </w:r>
            <w:r w:rsidR="00805137">
              <w:rPr>
                <w:rFonts w:asciiTheme="minorHAnsi" w:eastAsia="Times New Roman" w:hAnsiTheme="minorHAnsi" w:cstheme="minorHAnsi"/>
                <w:color w:val="000000"/>
                <w:sz w:val="22"/>
                <w:szCs w:val="22"/>
              </w:rPr>
              <w:t xml:space="preserve"> With UNDP-PAGE support, t</w:t>
            </w:r>
            <w:r w:rsidR="00805137" w:rsidRPr="0071206E">
              <w:rPr>
                <w:rFonts w:asciiTheme="minorHAnsi" w:eastAsia="Times New Roman" w:hAnsiTheme="minorHAnsi" w:cstheme="minorHAnsi"/>
                <w:color w:val="000000"/>
                <w:sz w:val="22"/>
                <w:szCs w:val="22"/>
              </w:rPr>
              <w:t xml:space="preserve">he </w:t>
            </w:r>
            <w:r w:rsidR="00805664">
              <w:rPr>
                <w:rFonts w:asciiTheme="minorHAnsi" w:eastAsia="Times New Roman" w:hAnsiTheme="minorHAnsi" w:cstheme="minorHAnsi"/>
                <w:color w:val="000000"/>
                <w:sz w:val="22"/>
                <w:szCs w:val="22"/>
              </w:rPr>
              <w:t xml:space="preserve">CE/LCDI </w:t>
            </w:r>
            <w:r w:rsidRPr="0071206E">
              <w:rPr>
                <w:rFonts w:asciiTheme="minorHAnsi" w:eastAsia="Times New Roman" w:hAnsiTheme="minorHAnsi" w:cstheme="minorHAnsi"/>
                <w:color w:val="000000"/>
                <w:sz w:val="22"/>
                <w:szCs w:val="22"/>
              </w:rPr>
              <w:t>Secretariat organized multi-stakeholder workshops, inter-ministerial policy coordination meetings, and consultation sessions, directly contributing to the successful development and launch of the CE roadmap and action plan in July 2024</w:t>
            </w:r>
            <w:r w:rsidR="00805664">
              <w:rPr>
                <w:rFonts w:asciiTheme="minorHAnsi" w:eastAsia="Times New Roman" w:hAnsiTheme="minorHAnsi" w:cstheme="minorHAnsi"/>
                <w:color w:val="000000"/>
                <w:sz w:val="22"/>
                <w:szCs w:val="22"/>
              </w:rPr>
              <w:t>.</w:t>
            </w:r>
            <w:r w:rsidRPr="0071206E">
              <w:rPr>
                <w:rFonts w:asciiTheme="minorHAnsi" w:eastAsia="Times New Roman" w:hAnsiTheme="minorHAnsi" w:cstheme="minorHAnsi"/>
                <w:color w:val="000000"/>
                <w:sz w:val="22"/>
                <w:szCs w:val="22"/>
              </w:rPr>
              <w:t xml:space="preserve"> </w:t>
            </w:r>
          </w:p>
        </w:tc>
      </w:tr>
      <w:tr w:rsidR="00694D1D" w:rsidRPr="0071206E" w14:paraId="3CA22EA8" w14:textId="77777777" w:rsidTr="002122B6">
        <w:trPr>
          <w:trHeight w:val="830"/>
        </w:trPr>
        <w:tc>
          <w:tcPr>
            <w:tcW w:w="1885" w:type="dxa"/>
            <w:tcMar>
              <w:top w:w="0" w:type="dxa"/>
              <w:left w:w="108" w:type="dxa"/>
              <w:bottom w:w="0" w:type="dxa"/>
              <w:right w:w="108" w:type="dxa"/>
            </w:tcMar>
            <w:hideMark/>
          </w:tcPr>
          <w:p w14:paraId="3B335B74" w14:textId="77777777" w:rsidR="00694D1D" w:rsidRPr="0071206E" w:rsidRDefault="00694D1D" w:rsidP="005651A3">
            <w:pPr>
              <w:pStyle w:val="NormalWeb"/>
              <w:spacing w:before="0" w:beforeAutospacing="0" w:after="0" w:afterAutospacing="0"/>
              <w:rPr>
                <w:rFonts w:asciiTheme="minorHAnsi" w:eastAsiaTheme="minorHAnsi" w:hAnsiTheme="minorHAnsi" w:cstheme="minorHAnsi"/>
                <w:sz w:val="22"/>
                <w:szCs w:val="22"/>
                <w:lang w:val="en-US"/>
              </w:rPr>
            </w:pPr>
            <w:r w:rsidRPr="0071206E">
              <w:rPr>
                <w:rFonts w:asciiTheme="minorHAnsi" w:hAnsiTheme="minorHAnsi" w:cstheme="minorHAnsi"/>
                <w:b/>
                <w:bCs/>
                <w:sz w:val="22"/>
                <w:szCs w:val="22"/>
                <w:lang w:val="en-US"/>
              </w:rPr>
              <w:t>Key Achievements 2024</w:t>
            </w:r>
            <w:r w:rsidRPr="0071206E">
              <w:rPr>
                <w:rFonts w:asciiTheme="minorHAnsi" w:hAnsiTheme="minorHAnsi" w:cstheme="minorHAnsi"/>
                <w:sz w:val="22"/>
                <w:szCs w:val="22"/>
                <w:lang w:val="en-US"/>
              </w:rPr>
              <w:t> (Add. Support for Green Recovery)</w:t>
            </w:r>
          </w:p>
        </w:tc>
        <w:tc>
          <w:tcPr>
            <w:tcW w:w="8010" w:type="dxa"/>
            <w:tcMar>
              <w:top w:w="0" w:type="dxa"/>
              <w:left w:w="108" w:type="dxa"/>
              <w:bottom w:w="0" w:type="dxa"/>
              <w:right w:w="108" w:type="dxa"/>
            </w:tcMar>
            <w:hideMark/>
          </w:tcPr>
          <w:p w14:paraId="3C484C41" w14:textId="18749AFE" w:rsidR="00694D1D" w:rsidRPr="0071206E" w:rsidRDefault="00694D1D" w:rsidP="005651A3">
            <w:pPr>
              <w:pStyle w:val="elementtoproof"/>
              <w:rPr>
                <w:rFonts w:asciiTheme="minorHAnsi" w:hAnsiTheme="minorHAnsi" w:cstheme="minorHAnsi"/>
              </w:rPr>
            </w:pPr>
            <w:r w:rsidRPr="0071206E">
              <w:rPr>
                <w:rFonts w:asciiTheme="minorHAnsi" w:hAnsiTheme="minorHAnsi" w:cstheme="minorHAnsi"/>
              </w:rPr>
              <w:t> </w:t>
            </w:r>
            <w:r w:rsidR="003F101F" w:rsidRPr="0071206E">
              <w:rPr>
                <w:rFonts w:asciiTheme="minorHAnsi" w:hAnsiTheme="minorHAnsi" w:cstheme="minorHAnsi"/>
              </w:rPr>
              <w:t>n/a</w:t>
            </w:r>
          </w:p>
        </w:tc>
      </w:tr>
    </w:tbl>
    <w:p w14:paraId="34E4C317" w14:textId="77777777" w:rsidR="00694D1D" w:rsidRPr="0071206E" w:rsidRDefault="00694D1D" w:rsidP="005651A3">
      <w:pPr>
        <w:pStyle w:val="NormalWeb"/>
        <w:spacing w:before="0" w:beforeAutospacing="0" w:after="0" w:afterAutospacing="0"/>
        <w:rPr>
          <w:rFonts w:asciiTheme="minorHAnsi" w:eastAsiaTheme="minorHAnsi" w:hAnsiTheme="minorHAnsi" w:cstheme="minorHAnsi"/>
          <w:sz w:val="22"/>
          <w:szCs w:val="22"/>
          <w:lang w:val="en-US"/>
        </w:rPr>
      </w:pPr>
      <w:r w:rsidRPr="0071206E">
        <w:rPr>
          <w:rFonts w:asciiTheme="minorHAnsi" w:hAnsiTheme="minorHAnsi" w:cstheme="minorHAnsi"/>
          <w:b/>
          <w:bCs/>
          <w:sz w:val="22"/>
          <w:szCs w:val="22"/>
          <w:lang w:val="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694D1D" w:rsidRPr="0071206E" w14:paraId="4312CFE4" w14:textId="77777777" w:rsidTr="0052075F">
        <w:trPr>
          <w:trHeight w:val="560"/>
        </w:trPr>
        <w:tc>
          <w:tcPr>
            <w:tcW w:w="9895" w:type="dxa"/>
            <w:gridSpan w:val="2"/>
            <w:tcMar>
              <w:top w:w="0" w:type="dxa"/>
              <w:left w:w="108" w:type="dxa"/>
              <w:bottom w:w="0" w:type="dxa"/>
              <w:right w:w="108" w:type="dxa"/>
            </w:tcMar>
            <w:hideMark/>
          </w:tcPr>
          <w:p w14:paraId="471D1DF3" w14:textId="77777777" w:rsidR="00694D1D" w:rsidRPr="0071206E" w:rsidRDefault="00694D1D" w:rsidP="005651A3">
            <w:pPr>
              <w:pStyle w:val="elementtoproof"/>
              <w:rPr>
                <w:rFonts w:asciiTheme="minorHAnsi" w:hAnsiTheme="minorHAnsi" w:cstheme="minorHAnsi"/>
              </w:rPr>
            </w:pPr>
            <w:r w:rsidRPr="0071206E">
              <w:rPr>
                <w:rFonts w:asciiTheme="minorHAnsi" w:hAnsiTheme="minorHAnsi" w:cstheme="minorHAnsi"/>
              </w:rPr>
              <w:t xml:space="preserve">Outcome 4 - </w:t>
            </w:r>
            <w:r w:rsidRPr="0071206E">
              <w:rPr>
                <w:rFonts w:asciiTheme="minorHAnsi" w:hAnsiTheme="minorHAnsi" w:cstheme="minorHAnsi"/>
                <w:i/>
                <w:iCs/>
              </w:rPr>
              <w:t>National and regional stakeholders, including green economy champions, decision-makers, practitioners, and youth representatives, access and apply knowledge for advancing IGE.</w:t>
            </w:r>
          </w:p>
        </w:tc>
      </w:tr>
      <w:tr w:rsidR="00694D1D" w:rsidRPr="0071206E" w14:paraId="4E3408D8" w14:textId="77777777" w:rsidTr="0052075F">
        <w:trPr>
          <w:trHeight w:val="830"/>
        </w:trPr>
        <w:tc>
          <w:tcPr>
            <w:tcW w:w="1885" w:type="dxa"/>
            <w:tcMar>
              <w:top w:w="0" w:type="dxa"/>
              <w:left w:w="108" w:type="dxa"/>
              <w:bottom w:w="0" w:type="dxa"/>
              <w:right w:w="108" w:type="dxa"/>
            </w:tcMar>
            <w:hideMark/>
          </w:tcPr>
          <w:p w14:paraId="43BE24C9" w14:textId="77777777" w:rsidR="00694D1D" w:rsidRPr="0071206E" w:rsidRDefault="00694D1D" w:rsidP="005651A3">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Key achievements in 2024</w:t>
            </w:r>
          </w:p>
          <w:p w14:paraId="70960D61" w14:textId="77777777" w:rsidR="00694D1D" w:rsidRPr="0071206E" w:rsidRDefault="00694D1D" w:rsidP="005651A3">
            <w:pPr>
              <w:pStyle w:val="NormalWeb"/>
              <w:spacing w:before="0" w:beforeAutospacing="0" w:after="0" w:afterAutospacing="0"/>
              <w:rPr>
                <w:rFonts w:asciiTheme="minorHAnsi" w:hAnsiTheme="minorHAnsi" w:cstheme="minorHAnsi"/>
                <w:sz w:val="22"/>
                <w:szCs w:val="22"/>
                <w:lang w:val="en-US"/>
              </w:rPr>
            </w:pPr>
            <w:r w:rsidRPr="0071206E">
              <w:rPr>
                <w:rFonts w:asciiTheme="minorHAnsi" w:hAnsiTheme="minorHAnsi" w:cstheme="minorHAnsi"/>
                <w:b/>
                <w:bCs/>
                <w:sz w:val="22"/>
                <w:szCs w:val="22"/>
                <w:lang w:val="en-US"/>
              </w:rPr>
              <w:t> </w:t>
            </w:r>
          </w:p>
        </w:tc>
        <w:tc>
          <w:tcPr>
            <w:tcW w:w="8010" w:type="dxa"/>
            <w:tcMar>
              <w:top w:w="0" w:type="dxa"/>
              <w:left w:w="108" w:type="dxa"/>
              <w:bottom w:w="0" w:type="dxa"/>
              <w:right w:w="108" w:type="dxa"/>
            </w:tcMar>
            <w:vAlign w:val="center"/>
          </w:tcPr>
          <w:p w14:paraId="478C44B0" w14:textId="77777777" w:rsidR="00694D1D" w:rsidRPr="0071206E" w:rsidRDefault="00694D1D" w:rsidP="00AB7611">
            <w:pPr>
              <w:jc w:val="left"/>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Knowledge Dissemination through the Stadium General Workshop:</w:t>
            </w:r>
          </w:p>
          <w:p w14:paraId="43946D30" w14:textId="38E47774" w:rsidR="00694D1D" w:rsidRDefault="00694D1D" w:rsidP="005512DF">
            <w:pPr>
              <w:jc w:val="left"/>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 xml:space="preserve">PAGE Indonesia </w:t>
            </w:r>
            <w:r w:rsidRPr="00E65D44">
              <w:rPr>
                <w:rFonts w:asciiTheme="minorHAnsi" w:eastAsia="Times New Roman" w:hAnsiTheme="minorHAnsi" w:cstheme="minorHAnsi"/>
                <w:color w:val="000000"/>
                <w:sz w:val="22"/>
                <w:szCs w:val="22"/>
              </w:rPr>
              <w:t xml:space="preserve">organized a Stadium General </w:t>
            </w:r>
            <w:r w:rsidR="003542B5">
              <w:rPr>
                <w:rFonts w:asciiTheme="minorHAnsi" w:eastAsia="Times New Roman" w:hAnsiTheme="minorHAnsi" w:cstheme="minorHAnsi"/>
                <w:color w:val="000000"/>
                <w:sz w:val="22"/>
                <w:szCs w:val="22"/>
              </w:rPr>
              <w:t xml:space="preserve">(workshop) </w:t>
            </w:r>
            <w:r w:rsidRPr="00E65D44">
              <w:rPr>
                <w:rFonts w:asciiTheme="minorHAnsi" w:eastAsia="Times New Roman" w:hAnsiTheme="minorHAnsi" w:cstheme="minorHAnsi"/>
                <w:color w:val="000000"/>
                <w:sz w:val="22"/>
                <w:szCs w:val="22"/>
              </w:rPr>
              <w:t xml:space="preserve">on Circular Economy at Universitas Gadjah </w:t>
            </w:r>
            <w:proofErr w:type="spellStart"/>
            <w:r w:rsidRPr="00E65D44">
              <w:rPr>
                <w:rFonts w:asciiTheme="minorHAnsi" w:eastAsia="Times New Roman" w:hAnsiTheme="minorHAnsi" w:cstheme="minorHAnsi"/>
                <w:color w:val="000000"/>
                <w:sz w:val="22"/>
                <w:szCs w:val="22"/>
              </w:rPr>
              <w:t>Mada</w:t>
            </w:r>
            <w:proofErr w:type="spellEnd"/>
            <w:r w:rsidRPr="00E65D44">
              <w:rPr>
                <w:rFonts w:asciiTheme="minorHAnsi" w:eastAsia="Times New Roman" w:hAnsiTheme="minorHAnsi" w:cstheme="minorHAnsi"/>
                <w:color w:val="000000"/>
                <w:sz w:val="22"/>
                <w:szCs w:val="22"/>
              </w:rPr>
              <w:t>, engaging 193 participants (51% women), including policymakers, private sector representatives, academia, and youth.</w:t>
            </w:r>
            <w:r w:rsidR="005512DF">
              <w:rPr>
                <w:rFonts w:asciiTheme="minorHAnsi" w:eastAsia="Times New Roman" w:hAnsiTheme="minorHAnsi" w:cstheme="minorHAnsi"/>
                <w:color w:val="000000"/>
                <w:sz w:val="22"/>
                <w:szCs w:val="22"/>
              </w:rPr>
              <w:t xml:space="preserve"> </w:t>
            </w:r>
            <w:r w:rsidRPr="00E65D44">
              <w:rPr>
                <w:rFonts w:asciiTheme="minorHAnsi" w:eastAsia="Times New Roman" w:hAnsiTheme="minorHAnsi" w:cstheme="minorHAnsi"/>
                <w:color w:val="000000"/>
                <w:sz w:val="22"/>
                <w:szCs w:val="22"/>
              </w:rPr>
              <w:t xml:space="preserve">This workshop </w:t>
            </w:r>
            <w:r w:rsidR="000B266F">
              <w:rPr>
                <w:rFonts w:asciiTheme="minorHAnsi" w:eastAsia="Times New Roman" w:hAnsiTheme="minorHAnsi" w:cstheme="minorHAnsi"/>
                <w:color w:val="000000"/>
                <w:sz w:val="22"/>
                <w:szCs w:val="22"/>
              </w:rPr>
              <w:t xml:space="preserve">helped to raise awareness and </w:t>
            </w:r>
            <w:r w:rsidRPr="00E65D44">
              <w:rPr>
                <w:rFonts w:asciiTheme="minorHAnsi" w:eastAsia="Times New Roman" w:hAnsiTheme="minorHAnsi" w:cstheme="minorHAnsi"/>
                <w:color w:val="000000"/>
                <w:sz w:val="22"/>
                <w:szCs w:val="22"/>
              </w:rPr>
              <w:t>facilitate</w:t>
            </w:r>
            <w:r w:rsidRPr="0071206E">
              <w:rPr>
                <w:rFonts w:asciiTheme="minorHAnsi" w:eastAsia="Times New Roman" w:hAnsiTheme="minorHAnsi" w:cstheme="minorHAnsi"/>
                <w:color w:val="000000"/>
                <w:sz w:val="22"/>
                <w:szCs w:val="22"/>
              </w:rPr>
              <w:t xml:space="preserve">d knowledge sharing on green and circular </w:t>
            </w:r>
            <w:r w:rsidRPr="0071206E">
              <w:rPr>
                <w:rFonts w:asciiTheme="minorHAnsi" w:eastAsia="Times New Roman" w:hAnsiTheme="minorHAnsi" w:cstheme="minorHAnsi"/>
                <w:color w:val="000000"/>
                <w:sz w:val="22"/>
                <w:szCs w:val="22"/>
              </w:rPr>
              <w:lastRenderedPageBreak/>
              <w:t>economy principles, empowering stakeholders to integrate these principles into policy-making and implementation</w:t>
            </w:r>
            <w:r w:rsidR="00E65D44">
              <w:rPr>
                <w:rFonts w:asciiTheme="minorHAnsi" w:eastAsia="Times New Roman" w:hAnsiTheme="minorHAnsi" w:cstheme="minorHAnsi"/>
                <w:color w:val="000000"/>
                <w:sz w:val="22"/>
                <w:szCs w:val="22"/>
              </w:rPr>
              <w:t>.</w:t>
            </w:r>
          </w:p>
          <w:p w14:paraId="14F4C3B7" w14:textId="77777777" w:rsidR="00EB6401" w:rsidRDefault="00EB6401" w:rsidP="005512DF">
            <w:pPr>
              <w:jc w:val="left"/>
              <w:rPr>
                <w:rFonts w:asciiTheme="minorHAnsi" w:eastAsia="Times New Roman" w:hAnsiTheme="minorHAnsi" w:cstheme="minorHAnsi"/>
                <w:color w:val="000000"/>
                <w:sz w:val="22"/>
                <w:szCs w:val="22"/>
              </w:rPr>
            </w:pPr>
          </w:p>
          <w:p w14:paraId="199FF2AF" w14:textId="77777777" w:rsidR="00D42803" w:rsidRPr="00AB7611" w:rsidRDefault="000A2D7C" w:rsidP="005512DF">
            <w:pPr>
              <w:jc w:val="left"/>
              <w:rPr>
                <w:rFonts w:asciiTheme="minorHAnsi" w:eastAsia="Times New Roman" w:hAnsiTheme="minorHAnsi" w:cstheme="minorHAnsi"/>
                <w:b/>
                <w:bCs/>
                <w:color w:val="000000"/>
                <w:sz w:val="22"/>
                <w:szCs w:val="22"/>
              </w:rPr>
            </w:pPr>
            <w:r w:rsidRPr="00AB7611">
              <w:rPr>
                <w:rFonts w:asciiTheme="minorHAnsi" w:eastAsia="Times New Roman" w:hAnsiTheme="minorHAnsi" w:cstheme="minorHAnsi"/>
                <w:b/>
                <w:bCs/>
                <w:color w:val="000000"/>
                <w:sz w:val="22"/>
                <w:szCs w:val="22"/>
              </w:rPr>
              <w:t xml:space="preserve">The </w:t>
            </w:r>
            <w:r w:rsidRPr="00AB7611">
              <w:rPr>
                <w:rFonts w:asciiTheme="minorHAnsi" w:eastAsia="Times New Roman" w:hAnsiTheme="minorHAnsi" w:cstheme="minorHAnsi"/>
                <w:b/>
                <w:bCs/>
                <w:color w:val="000000"/>
                <w:sz w:val="22"/>
                <w:szCs w:val="22"/>
              </w:rPr>
              <w:t xml:space="preserve">National Dialogue on “Accelerating Green Economic Transformation”. </w:t>
            </w:r>
          </w:p>
          <w:p w14:paraId="09C7B9EA" w14:textId="7E1697F7" w:rsidR="00694D1D" w:rsidRPr="0071206E" w:rsidRDefault="00D42803" w:rsidP="00C112A0">
            <w:pPr>
              <w:jc w:val="left"/>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Together with the other PAGE Agencies, UNDP supported the National Dialogue</w:t>
            </w:r>
            <w:r w:rsidR="003421EB">
              <w:rPr>
                <w:rFonts w:asciiTheme="minorHAnsi" w:eastAsia="Times New Roman" w:hAnsiTheme="minorHAnsi" w:cstheme="minorHAnsi"/>
                <w:color w:val="000000"/>
                <w:sz w:val="22"/>
                <w:szCs w:val="22"/>
              </w:rPr>
              <w:t xml:space="preserve"> on 3 December 2024</w:t>
            </w:r>
            <w:r>
              <w:rPr>
                <w:rFonts w:asciiTheme="minorHAnsi" w:eastAsia="Times New Roman" w:hAnsiTheme="minorHAnsi" w:cstheme="minorHAnsi"/>
                <w:color w:val="000000"/>
                <w:sz w:val="22"/>
                <w:szCs w:val="22"/>
              </w:rPr>
              <w:t xml:space="preserve">, which </w:t>
            </w:r>
            <w:r w:rsidR="000A2D7C" w:rsidRPr="000A2D7C">
              <w:rPr>
                <w:rFonts w:asciiTheme="minorHAnsi" w:eastAsia="Times New Roman" w:hAnsiTheme="minorHAnsi" w:cstheme="minorHAnsi"/>
                <w:color w:val="000000"/>
                <w:sz w:val="22"/>
                <w:szCs w:val="22"/>
              </w:rPr>
              <w:t>marked the end of the first phase of the 2019-2024 PAGE Program</w:t>
            </w:r>
            <w:r>
              <w:rPr>
                <w:rFonts w:asciiTheme="minorHAnsi" w:eastAsia="Times New Roman" w:hAnsiTheme="minorHAnsi" w:cstheme="minorHAnsi"/>
                <w:color w:val="000000"/>
                <w:sz w:val="22"/>
                <w:szCs w:val="22"/>
              </w:rPr>
              <w:t xml:space="preserve"> in Indonesia</w:t>
            </w:r>
            <w:r w:rsidR="003421EB">
              <w:rPr>
                <w:rFonts w:asciiTheme="minorHAnsi" w:eastAsia="Times New Roman" w:hAnsiTheme="minorHAnsi" w:cstheme="minorHAnsi"/>
                <w:color w:val="000000"/>
                <w:sz w:val="22"/>
                <w:szCs w:val="22"/>
              </w:rPr>
              <w:t xml:space="preserve">: </w:t>
            </w:r>
            <w:hyperlink r:id="rId16" w:history="1">
              <w:r w:rsidR="003421EB" w:rsidRPr="003421EB">
                <w:rPr>
                  <w:rStyle w:val="Hyperlink"/>
                  <w:rFonts w:asciiTheme="minorHAnsi" w:eastAsia="Times New Roman" w:hAnsiTheme="minorHAnsi" w:cstheme="minorHAnsi"/>
                  <w:sz w:val="22"/>
                  <w:szCs w:val="22"/>
                </w:rPr>
                <w:t>https://www.un-page.org/news/indonesias-new-journey-towards-a-low-carbon-job-rich-and-socially-inclusive-economy/</w:t>
              </w:r>
            </w:hyperlink>
            <w:r>
              <w:rPr>
                <w:rFonts w:asciiTheme="minorHAnsi" w:eastAsia="Times New Roman" w:hAnsiTheme="minorHAnsi" w:cstheme="minorHAnsi"/>
                <w:color w:val="000000"/>
                <w:sz w:val="22"/>
                <w:szCs w:val="22"/>
              </w:rPr>
              <w:t xml:space="preserve">. </w:t>
            </w:r>
            <w:r w:rsidR="003F77C6">
              <w:rPr>
                <w:rFonts w:asciiTheme="minorHAnsi" w:eastAsia="Times New Roman" w:hAnsiTheme="minorHAnsi" w:cstheme="minorHAnsi"/>
                <w:color w:val="000000"/>
                <w:sz w:val="22"/>
                <w:szCs w:val="22"/>
              </w:rPr>
              <w:t>The event was hosted</w:t>
            </w:r>
            <w:r w:rsidR="00580FB7">
              <w:rPr>
                <w:rFonts w:asciiTheme="minorHAnsi" w:eastAsia="Times New Roman" w:hAnsiTheme="minorHAnsi" w:cstheme="minorHAnsi"/>
                <w:color w:val="000000"/>
                <w:sz w:val="22"/>
                <w:szCs w:val="22"/>
              </w:rPr>
              <w:t xml:space="preserve"> and led</w:t>
            </w:r>
            <w:r w:rsidR="003F77C6">
              <w:rPr>
                <w:rFonts w:asciiTheme="minorHAnsi" w:eastAsia="Times New Roman" w:hAnsiTheme="minorHAnsi" w:cstheme="minorHAnsi"/>
                <w:color w:val="000000"/>
                <w:sz w:val="22"/>
                <w:szCs w:val="22"/>
              </w:rPr>
              <w:t xml:space="preserve"> by the </w:t>
            </w:r>
            <w:r w:rsidR="003F77C6" w:rsidRPr="003F77C6">
              <w:rPr>
                <w:rFonts w:asciiTheme="minorHAnsi" w:eastAsia="Times New Roman" w:hAnsiTheme="minorHAnsi" w:cstheme="minorHAnsi"/>
                <w:color w:val="000000"/>
                <w:sz w:val="22"/>
                <w:szCs w:val="22"/>
              </w:rPr>
              <w:t>Ministry of National Development Planning/</w:t>
            </w:r>
            <w:proofErr w:type="spellStart"/>
            <w:r w:rsidR="003F77C6" w:rsidRPr="003F77C6">
              <w:rPr>
                <w:rFonts w:asciiTheme="minorHAnsi" w:eastAsia="Times New Roman" w:hAnsiTheme="minorHAnsi" w:cstheme="minorHAnsi"/>
                <w:color w:val="000000"/>
                <w:sz w:val="22"/>
                <w:szCs w:val="22"/>
              </w:rPr>
              <w:t>Bappenas</w:t>
            </w:r>
            <w:proofErr w:type="spellEnd"/>
            <w:r w:rsidR="00580FB7">
              <w:rPr>
                <w:rFonts w:asciiTheme="minorHAnsi" w:eastAsia="Times New Roman" w:hAnsiTheme="minorHAnsi" w:cstheme="minorHAnsi"/>
                <w:color w:val="000000"/>
                <w:sz w:val="22"/>
                <w:szCs w:val="22"/>
              </w:rPr>
              <w:t xml:space="preserve"> and featured speakers from </w:t>
            </w:r>
            <w:r w:rsidR="00580FB7" w:rsidRPr="00580FB7">
              <w:rPr>
                <w:rFonts w:asciiTheme="minorHAnsi" w:eastAsia="Times New Roman" w:hAnsiTheme="minorHAnsi" w:cstheme="minorHAnsi"/>
                <w:color w:val="000000"/>
                <w:sz w:val="22"/>
                <w:szCs w:val="22"/>
              </w:rPr>
              <w:t>line ministries, including energy, environment, public works, and finance</w:t>
            </w:r>
            <w:r w:rsidR="001160F9">
              <w:rPr>
                <w:rFonts w:asciiTheme="minorHAnsi" w:eastAsia="Times New Roman" w:hAnsiTheme="minorHAnsi" w:cstheme="minorHAnsi"/>
                <w:color w:val="000000"/>
                <w:sz w:val="22"/>
                <w:szCs w:val="22"/>
              </w:rPr>
              <w:t>; p</w:t>
            </w:r>
            <w:r w:rsidR="00580FB7" w:rsidRPr="00580FB7">
              <w:rPr>
                <w:rFonts w:asciiTheme="minorHAnsi" w:eastAsia="Times New Roman" w:hAnsiTheme="minorHAnsi" w:cstheme="minorHAnsi"/>
                <w:color w:val="000000"/>
                <w:sz w:val="22"/>
                <w:szCs w:val="22"/>
              </w:rPr>
              <w:t xml:space="preserve">rivate </w:t>
            </w:r>
            <w:r w:rsidR="001160F9">
              <w:rPr>
                <w:rFonts w:asciiTheme="minorHAnsi" w:eastAsia="Times New Roman" w:hAnsiTheme="minorHAnsi" w:cstheme="minorHAnsi"/>
                <w:color w:val="000000"/>
                <w:sz w:val="22"/>
                <w:szCs w:val="22"/>
              </w:rPr>
              <w:t>s</w:t>
            </w:r>
            <w:r w:rsidR="00580FB7" w:rsidRPr="00580FB7">
              <w:rPr>
                <w:rFonts w:asciiTheme="minorHAnsi" w:eastAsia="Times New Roman" w:hAnsiTheme="minorHAnsi" w:cstheme="minorHAnsi"/>
                <w:color w:val="000000"/>
                <w:sz w:val="22"/>
                <w:szCs w:val="22"/>
              </w:rPr>
              <w:t>ector</w:t>
            </w:r>
            <w:r w:rsidR="001160F9">
              <w:rPr>
                <w:rFonts w:asciiTheme="minorHAnsi" w:eastAsia="Times New Roman" w:hAnsiTheme="minorHAnsi" w:cstheme="minorHAnsi"/>
                <w:color w:val="000000"/>
                <w:sz w:val="22"/>
                <w:szCs w:val="22"/>
              </w:rPr>
              <w:t xml:space="preserve">; </w:t>
            </w:r>
            <w:r w:rsidR="001160F9" w:rsidRPr="00EE208B">
              <w:rPr>
                <w:rFonts w:asciiTheme="minorHAnsi" w:eastAsia="Times New Roman" w:hAnsiTheme="minorHAnsi" w:cstheme="minorHAnsi"/>
                <w:color w:val="000000"/>
                <w:sz w:val="22"/>
                <w:szCs w:val="22"/>
              </w:rPr>
              <w:t>f</w:t>
            </w:r>
            <w:r w:rsidR="00580FB7" w:rsidRPr="00EE208B">
              <w:rPr>
                <w:rFonts w:asciiTheme="minorHAnsi" w:eastAsia="Times New Roman" w:hAnsiTheme="minorHAnsi" w:cstheme="minorHAnsi"/>
                <w:color w:val="000000"/>
                <w:sz w:val="22"/>
                <w:szCs w:val="22"/>
              </w:rPr>
              <w:t xml:space="preserve">inancial </w:t>
            </w:r>
            <w:r w:rsidR="001160F9" w:rsidRPr="00EE208B">
              <w:rPr>
                <w:rFonts w:asciiTheme="minorHAnsi" w:eastAsia="Times New Roman" w:hAnsiTheme="minorHAnsi" w:cstheme="minorHAnsi"/>
                <w:color w:val="000000"/>
                <w:sz w:val="22"/>
                <w:szCs w:val="22"/>
              </w:rPr>
              <w:t>i</w:t>
            </w:r>
            <w:r w:rsidR="00580FB7" w:rsidRPr="00EE208B">
              <w:rPr>
                <w:rFonts w:asciiTheme="minorHAnsi" w:eastAsia="Times New Roman" w:hAnsiTheme="minorHAnsi" w:cstheme="minorHAnsi"/>
                <w:color w:val="000000"/>
                <w:sz w:val="22"/>
                <w:szCs w:val="22"/>
              </w:rPr>
              <w:t>nstitutions</w:t>
            </w:r>
            <w:r w:rsidR="001160F9" w:rsidRPr="00EE208B">
              <w:rPr>
                <w:rFonts w:asciiTheme="minorHAnsi" w:eastAsia="Times New Roman" w:hAnsiTheme="minorHAnsi" w:cstheme="minorHAnsi"/>
                <w:color w:val="000000"/>
                <w:sz w:val="22"/>
                <w:szCs w:val="22"/>
              </w:rPr>
              <w:t>; a</w:t>
            </w:r>
            <w:r w:rsidR="00580FB7" w:rsidRPr="00EE208B">
              <w:rPr>
                <w:rFonts w:asciiTheme="minorHAnsi" w:eastAsia="Times New Roman" w:hAnsiTheme="minorHAnsi" w:cstheme="minorHAnsi"/>
                <w:color w:val="000000"/>
                <w:sz w:val="22"/>
                <w:szCs w:val="22"/>
              </w:rPr>
              <w:t>cademi</w:t>
            </w:r>
            <w:r w:rsidR="001160F9" w:rsidRPr="00EE208B">
              <w:rPr>
                <w:rFonts w:asciiTheme="minorHAnsi" w:eastAsia="Times New Roman" w:hAnsiTheme="minorHAnsi" w:cstheme="minorHAnsi"/>
                <w:color w:val="000000"/>
                <w:sz w:val="22"/>
                <w:szCs w:val="22"/>
              </w:rPr>
              <w:t>a; and l</w:t>
            </w:r>
            <w:r w:rsidR="00580FB7" w:rsidRPr="00EE208B">
              <w:rPr>
                <w:rFonts w:asciiTheme="minorHAnsi" w:eastAsia="Times New Roman" w:hAnsiTheme="minorHAnsi" w:cstheme="minorHAnsi"/>
                <w:color w:val="000000"/>
                <w:sz w:val="22"/>
                <w:szCs w:val="22"/>
              </w:rPr>
              <w:t xml:space="preserve">ocal </w:t>
            </w:r>
            <w:r w:rsidR="001160F9" w:rsidRPr="00EE208B">
              <w:rPr>
                <w:rFonts w:asciiTheme="minorHAnsi" w:eastAsia="Times New Roman" w:hAnsiTheme="minorHAnsi" w:cstheme="minorHAnsi"/>
                <w:color w:val="000000"/>
                <w:sz w:val="22"/>
                <w:szCs w:val="22"/>
              </w:rPr>
              <w:t>c</w:t>
            </w:r>
            <w:r w:rsidR="00580FB7" w:rsidRPr="00EE208B">
              <w:rPr>
                <w:rFonts w:asciiTheme="minorHAnsi" w:eastAsia="Times New Roman" w:hAnsiTheme="minorHAnsi" w:cstheme="minorHAnsi"/>
                <w:color w:val="000000"/>
                <w:sz w:val="22"/>
                <w:szCs w:val="22"/>
              </w:rPr>
              <w:t>ommunit</w:t>
            </w:r>
            <w:r w:rsidR="001160F9" w:rsidRPr="00EE208B">
              <w:rPr>
                <w:rFonts w:asciiTheme="minorHAnsi" w:eastAsia="Times New Roman" w:hAnsiTheme="minorHAnsi" w:cstheme="minorHAnsi"/>
                <w:color w:val="000000"/>
                <w:sz w:val="22"/>
                <w:szCs w:val="22"/>
              </w:rPr>
              <w:t xml:space="preserve">ies. </w:t>
            </w:r>
            <w:r w:rsidR="00AC6DC0" w:rsidRPr="00EE208B">
              <w:rPr>
                <w:rFonts w:asciiTheme="minorHAnsi" w:eastAsia="Times New Roman" w:hAnsiTheme="minorHAnsi" w:cstheme="minorHAnsi"/>
                <w:color w:val="000000"/>
                <w:sz w:val="22"/>
                <w:szCs w:val="22"/>
              </w:rPr>
              <w:t>The National Dialogue serve</w:t>
            </w:r>
            <w:r w:rsidR="00AC6DC0" w:rsidRPr="00EE208B">
              <w:rPr>
                <w:rFonts w:asciiTheme="minorHAnsi" w:eastAsia="Times New Roman" w:hAnsiTheme="minorHAnsi" w:cstheme="minorHAnsi"/>
                <w:color w:val="000000"/>
                <w:sz w:val="22"/>
                <w:szCs w:val="22"/>
              </w:rPr>
              <w:t>d</w:t>
            </w:r>
            <w:r w:rsidR="00AC6DC0" w:rsidRPr="00EE208B">
              <w:rPr>
                <w:rFonts w:asciiTheme="minorHAnsi" w:eastAsia="Times New Roman" w:hAnsiTheme="minorHAnsi" w:cstheme="minorHAnsi"/>
                <w:color w:val="000000"/>
                <w:sz w:val="22"/>
                <w:szCs w:val="22"/>
              </w:rPr>
              <w:t xml:space="preserve"> as a platform to evaluate and celebrate the achievements of the </w:t>
            </w:r>
            <w:r w:rsidR="00AC6DC0" w:rsidRPr="00AB7611">
              <w:rPr>
                <w:rFonts w:asciiTheme="minorHAnsi" w:eastAsia="Times New Roman" w:hAnsiTheme="minorHAnsi" w:cstheme="minorHAnsi"/>
                <w:color w:val="000000"/>
                <w:sz w:val="22"/>
                <w:szCs w:val="22"/>
              </w:rPr>
              <w:t>PAGE</w:t>
            </w:r>
            <w:r w:rsidR="00AC6DC0" w:rsidRPr="00AB7611">
              <w:rPr>
                <w:rFonts w:asciiTheme="minorHAnsi" w:eastAsia="Times New Roman" w:hAnsiTheme="minorHAnsi" w:cstheme="minorHAnsi"/>
                <w:color w:val="000000"/>
                <w:sz w:val="22"/>
                <w:szCs w:val="22"/>
              </w:rPr>
              <w:t xml:space="preserve"> in</w:t>
            </w:r>
            <w:r w:rsidR="00AC6DC0" w:rsidRPr="00AB7611">
              <w:rPr>
                <w:rFonts w:asciiTheme="minorHAnsi" w:eastAsia="Times New Roman" w:hAnsiTheme="minorHAnsi" w:cstheme="minorHAnsi"/>
                <w:color w:val="000000"/>
                <w:sz w:val="22"/>
                <w:szCs w:val="22"/>
              </w:rPr>
              <w:t xml:space="preserve"> Indonesia</w:t>
            </w:r>
            <w:r w:rsidR="00AC6DC0" w:rsidRPr="00EE208B">
              <w:rPr>
                <w:rFonts w:asciiTheme="minorHAnsi" w:eastAsia="Times New Roman" w:hAnsiTheme="minorHAnsi" w:cstheme="minorHAnsi"/>
                <w:color w:val="000000"/>
                <w:sz w:val="22"/>
                <w:szCs w:val="22"/>
              </w:rPr>
              <w:t xml:space="preserve">  and to outline the roadmap for a sustainable, inclusive green economy transformation. With Indonesia preparing its medium-term development plan document </w:t>
            </w:r>
            <w:r w:rsidR="00AC6DC0" w:rsidRPr="00AB7611">
              <w:rPr>
                <w:rFonts w:asciiTheme="minorHAnsi" w:eastAsia="Times New Roman" w:hAnsiTheme="minorHAnsi" w:cstheme="minorHAnsi"/>
                <w:color w:val="000000"/>
                <w:sz w:val="22"/>
                <w:szCs w:val="22"/>
              </w:rPr>
              <w:t>RPJMN 2025-2029</w:t>
            </w:r>
            <w:r w:rsidR="00AC6DC0" w:rsidRPr="00EE208B">
              <w:rPr>
                <w:rFonts w:asciiTheme="minorHAnsi" w:eastAsia="Times New Roman" w:hAnsiTheme="minorHAnsi" w:cstheme="minorHAnsi"/>
                <w:color w:val="000000"/>
                <w:sz w:val="22"/>
                <w:szCs w:val="22"/>
              </w:rPr>
              <w:t>, this event align</w:t>
            </w:r>
            <w:r w:rsidR="00472666" w:rsidRPr="00EE208B">
              <w:rPr>
                <w:rFonts w:asciiTheme="minorHAnsi" w:eastAsia="Times New Roman" w:hAnsiTheme="minorHAnsi" w:cstheme="minorHAnsi"/>
                <w:color w:val="000000"/>
                <w:sz w:val="22"/>
                <w:szCs w:val="22"/>
              </w:rPr>
              <w:t>ed</w:t>
            </w:r>
            <w:r w:rsidR="00AC6DC0" w:rsidRPr="00EE208B">
              <w:rPr>
                <w:rFonts w:asciiTheme="minorHAnsi" w:eastAsia="Times New Roman" w:hAnsiTheme="minorHAnsi" w:cstheme="minorHAnsi"/>
                <w:color w:val="000000"/>
                <w:sz w:val="22"/>
                <w:szCs w:val="22"/>
              </w:rPr>
              <w:t xml:space="preserve"> key stakeholders across sectors to accelerate green initiatives such as the </w:t>
            </w:r>
            <w:r w:rsidR="00AC6DC0" w:rsidRPr="00AB7611">
              <w:rPr>
                <w:rFonts w:asciiTheme="minorHAnsi" w:eastAsia="Times New Roman" w:hAnsiTheme="minorHAnsi" w:cstheme="minorHAnsi"/>
                <w:color w:val="000000"/>
                <w:sz w:val="22"/>
                <w:szCs w:val="22"/>
              </w:rPr>
              <w:t>Circular Economy Roadmap</w:t>
            </w:r>
            <w:r w:rsidR="00AC6DC0" w:rsidRPr="00EE208B">
              <w:rPr>
                <w:rFonts w:asciiTheme="minorHAnsi" w:eastAsia="Times New Roman" w:hAnsiTheme="minorHAnsi" w:cstheme="minorHAnsi"/>
                <w:color w:val="000000"/>
                <w:sz w:val="22"/>
                <w:szCs w:val="22"/>
              </w:rPr>
              <w:t>, energy transition policies, and fiscal innovation for sustainable development. This transformative dialogue underscore</w:t>
            </w:r>
            <w:r w:rsidR="00472666" w:rsidRPr="00EE208B">
              <w:rPr>
                <w:rFonts w:asciiTheme="minorHAnsi" w:eastAsia="Times New Roman" w:hAnsiTheme="minorHAnsi" w:cstheme="minorHAnsi"/>
                <w:color w:val="000000"/>
                <w:sz w:val="22"/>
                <w:szCs w:val="22"/>
              </w:rPr>
              <w:t>d</w:t>
            </w:r>
            <w:r w:rsidR="00AC6DC0" w:rsidRPr="00EE208B">
              <w:rPr>
                <w:rFonts w:asciiTheme="minorHAnsi" w:eastAsia="Times New Roman" w:hAnsiTheme="minorHAnsi" w:cstheme="minorHAnsi"/>
                <w:color w:val="000000"/>
                <w:sz w:val="22"/>
                <w:szCs w:val="22"/>
              </w:rPr>
              <w:t xml:space="preserve"> Indonesia’s leadership in advancing its </w:t>
            </w:r>
            <w:r w:rsidR="00AC6DC0" w:rsidRPr="00AB7611">
              <w:rPr>
                <w:rFonts w:asciiTheme="minorHAnsi" w:eastAsia="Times New Roman" w:hAnsiTheme="minorHAnsi" w:cstheme="minorHAnsi"/>
                <w:color w:val="000000"/>
                <w:sz w:val="22"/>
                <w:szCs w:val="22"/>
              </w:rPr>
              <w:t>NDC</w:t>
            </w:r>
            <w:r w:rsidR="00AC6DC0" w:rsidRPr="00EE208B">
              <w:rPr>
                <w:rFonts w:asciiTheme="minorHAnsi" w:eastAsia="Times New Roman" w:hAnsiTheme="minorHAnsi" w:cstheme="minorHAnsi"/>
                <w:color w:val="000000"/>
                <w:sz w:val="22"/>
                <w:szCs w:val="22"/>
              </w:rPr>
              <w:t> under the Paris Agre</w:t>
            </w:r>
            <w:r w:rsidR="00AC6DC0" w:rsidRPr="00AC6DC0">
              <w:rPr>
                <w:rFonts w:asciiTheme="minorHAnsi" w:eastAsia="Times New Roman" w:hAnsiTheme="minorHAnsi" w:cstheme="minorHAnsi"/>
                <w:color w:val="000000"/>
                <w:sz w:val="22"/>
                <w:szCs w:val="22"/>
              </w:rPr>
              <w:t>ement and creating synergies between public, private, and community-led efforts</w:t>
            </w:r>
            <w:r w:rsidR="00472666">
              <w:rPr>
                <w:rFonts w:asciiTheme="minorHAnsi" w:eastAsia="Times New Roman" w:hAnsiTheme="minorHAnsi" w:cstheme="minorHAnsi"/>
                <w:color w:val="000000"/>
                <w:sz w:val="22"/>
                <w:szCs w:val="22"/>
              </w:rPr>
              <w:t>.</w:t>
            </w:r>
          </w:p>
        </w:tc>
      </w:tr>
    </w:tbl>
    <w:p w14:paraId="4BF1833E" w14:textId="77777777" w:rsidR="00EA6DB1" w:rsidRPr="0071206E" w:rsidRDefault="00EA6DB1" w:rsidP="005651A3">
      <w:pPr>
        <w:rPr>
          <w:rFonts w:asciiTheme="minorHAnsi" w:hAnsiTheme="minorHAnsi" w:cstheme="minorHAnsi"/>
          <w:b/>
          <w:iCs/>
          <w:sz w:val="22"/>
          <w:szCs w:val="22"/>
        </w:rPr>
      </w:pPr>
    </w:p>
    <w:p w14:paraId="7AB3BEB7" w14:textId="77777777" w:rsidR="00CD09C4" w:rsidRDefault="00CD09C4" w:rsidP="00811E4A">
      <w:pPr>
        <w:jc w:val="center"/>
        <w:rPr>
          <w:rFonts w:asciiTheme="minorHAnsi" w:hAnsiTheme="minorHAnsi" w:cstheme="minorHAnsi"/>
          <w:b/>
          <w:iCs/>
          <w:sz w:val="22"/>
          <w:szCs w:val="22"/>
        </w:rPr>
      </w:pPr>
    </w:p>
    <w:p w14:paraId="67532AC4" w14:textId="62629324" w:rsidR="00EA6DB1" w:rsidRPr="0071206E" w:rsidRDefault="005A08AF" w:rsidP="00811E4A">
      <w:pPr>
        <w:jc w:val="center"/>
        <w:rPr>
          <w:rFonts w:asciiTheme="minorHAnsi" w:hAnsiTheme="minorHAnsi" w:cstheme="minorHAnsi"/>
          <w:b/>
          <w:iCs/>
          <w:sz w:val="22"/>
          <w:szCs w:val="22"/>
        </w:rPr>
      </w:pPr>
      <w:r w:rsidRPr="0071206E">
        <w:rPr>
          <w:rFonts w:asciiTheme="minorHAnsi" w:hAnsiTheme="minorHAnsi" w:cstheme="minorHAnsi"/>
          <w:b/>
          <w:iCs/>
          <w:sz w:val="22"/>
          <w:szCs w:val="22"/>
        </w:rPr>
        <w:t>UNDP</w:t>
      </w:r>
      <w:r w:rsidR="00EA6DB1" w:rsidRPr="0071206E">
        <w:rPr>
          <w:rFonts w:asciiTheme="minorHAnsi" w:hAnsiTheme="minorHAnsi" w:cstheme="minorHAnsi"/>
          <w:b/>
          <w:iCs/>
          <w:sz w:val="22"/>
          <w:szCs w:val="22"/>
        </w:rPr>
        <w:t xml:space="preserve"> - INDIA</w:t>
      </w:r>
    </w:p>
    <w:p w14:paraId="7C9C8514" w14:textId="77777777" w:rsidR="00EA6DB1" w:rsidRPr="0071206E" w:rsidRDefault="00EA6DB1" w:rsidP="00EA6DB1">
      <w:pPr>
        <w:rPr>
          <w:rFonts w:asciiTheme="minorHAnsi" w:hAnsiTheme="minorHAnsi" w:cstheme="minorHAnsi"/>
          <w:b/>
          <w:iCs/>
          <w:sz w:val="22"/>
          <w:szCs w:val="22"/>
        </w:rPr>
      </w:pPr>
    </w:p>
    <w:tbl>
      <w:tblPr>
        <w:tblStyle w:val="TableGrid10"/>
        <w:tblW w:w="9895" w:type="dxa"/>
        <w:tblLayout w:type="fixed"/>
        <w:tblLook w:val="04A0" w:firstRow="1" w:lastRow="0" w:firstColumn="1" w:lastColumn="0" w:noHBand="0" w:noVBand="1"/>
      </w:tblPr>
      <w:tblGrid>
        <w:gridCol w:w="2010"/>
        <w:gridCol w:w="7885"/>
      </w:tblGrid>
      <w:tr w:rsidR="00EA6DB1" w:rsidRPr="0071206E" w14:paraId="7098B4DB" w14:textId="77777777" w:rsidTr="7A1375F1">
        <w:tc>
          <w:tcPr>
            <w:tcW w:w="9895" w:type="dxa"/>
            <w:gridSpan w:val="2"/>
          </w:tcPr>
          <w:p w14:paraId="1BAA5557" w14:textId="77777777" w:rsidR="00EA6DB1" w:rsidRPr="0071206E" w:rsidRDefault="00EA6DB1" w:rsidP="00610125">
            <w:pPr>
              <w:rPr>
                <w:rFonts w:asciiTheme="minorHAnsi" w:hAnsiTheme="minorHAnsi" w:cstheme="minorHAnsi"/>
                <w:i/>
                <w:iCs/>
                <w:sz w:val="22"/>
                <w:szCs w:val="22"/>
              </w:rPr>
            </w:pPr>
            <w:r w:rsidRPr="0071206E">
              <w:rPr>
                <w:rFonts w:asciiTheme="minorHAnsi" w:hAnsiTheme="minorHAnsi" w:cstheme="minorHAnsi"/>
                <w:i/>
                <w:iCs/>
                <w:sz w:val="22"/>
                <w:szCs w:val="22"/>
              </w:rPr>
              <w:t xml:space="preserve">Outcome 1 </w:t>
            </w:r>
            <w:r w:rsidRPr="0071206E">
              <w:rPr>
                <w:rFonts w:asciiTheme="minorHAnsi" w:hAnsiTheme="minorHAnsi" w:cstheme="minorHAnsi"/>
                <w:i/>
                <w:sz w:val="22"/>
                <w:szCs w:val="22"/>
              </w:rPr>
              <w:t xml:space="preserve">- </w:t>
            </w:r>
            <w:r w:rsidRPr="0071206E">
              <w:rPr>
                <w:rFonts w:asciiTheme="minorHAnsi" w:hAnsiTheme="minorHAnsi" w:cstheme="minorHAnsi"/>
                <w:i/>
                <w:iCs/>
                <w:sz w:val="22"/>
                <w:szCs w:val="22"/>
              </w:rPr>
              <w:t>Countries have reinforced and integrated inclusive green economy (IGE) goals targets into SDG aligned national economic and development planning through multi-stakeholder collaboration.</w:t>
            </w:r>
          </w:p>
        </w:tc>
      </w:tr>
      <w:tr w:rsidR="00EA6DB1" w:rsidRPr="0071206E" w14:paraId="753464CC" w14:textId="77777777" w:rsidTr="7A1375F1">
        <w:tc>
          <w:tcPr>
            <w:tcW w:w="2010" w:type="dxa"/>
          </w:tcPr>
          <w:p w14:paraId="2D5F35FD" w14:textId="2E6E1040"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6DBE127F" w:rsidRPr="0071206E">
              <w:rPr>
                <w:rFonts w:asciiTheme="minorHAnsi" w:hAnsiTheme="minorHAnsi" w:cstheme="minorHAnsi"/>
                <w:b/>
                <w:bCs/>
                <w:sz w:val="22"/>
                <w:szCs w:val="22"/>
              </w:rPr>
              <w:t>4</w:t>
            </w:r>
          </w:p>
          <w:p w14:paraId="38A6EB46" w14:textId="77777777" w:rsidR="00EA6DB1" w:rsidRPr="0071206E" w:rsidRDefault="00EA6DB1" w:rsidP="00610125">
            <w:pPr>
              <w:rPr>
                <w:rFonts w:asciiTheme="minorHAnsi" w:hAnsiTheme="minorHAnsi" w:cstheme="minorHAnsi"/>
                <w:b/>
                <w:iCs/>
                <w:sz w:val="22"/>
                <w:szCs w:val="22"/>
              </w:rPr>
            </w:pPr>
          </w:p>
        </w:tc>
        <w:tc>
          <w:tcPr>
            <w:tcW w:w="7885" w:type="dxa"/>
          </w:tcPr>
          <w:p w14:paraId="769CB764" w14:textId="7FB4727E" w:rsidR="00EA6DB1" w:rsidRPr="0071206E" w:rsidRDefault="002D169A" w:rsidP="00610125">
            <w:pPr>
              <w:rPr>
                <w:rFonts w:asciiTheme="minorHAnsi" w:hAnsiTheme="minorHAnsi" w:cstheme="minorHAnsi"/>
                <w:iCs/>
                <w:sz w:val="22"/>
                <w:szCs w:val="22"/>
              </w:rPr>
            </w:pPr>
            <w:r w:rsidRPr="0071206E">
              <w:rPr>
                <w:rFonts w:asciiTheme="minorHAnsi" w:hAnsiTheme="minorHAnsi" w:cstheme="minorHAnsi"/>
                <w:iCs/>
                <w:sz w:val="22"/>
                <w:szCs w:val="22"/>
              </w:rPr>
              <w:t>n/a</w:t>
            </w:r>
          </w:p>
        </w:tc>
      </w:tr>
    </w:tbl>
    <w:p w14:paraId="760BCE7B" w14:textId="77777777" w:rsidR="00EA6DB1" w:rsidRPr="0071206E" w:rsidRDefault="00EA6DB1" w:rsidP="00EA6DB1">
      <w:pPr>
        <w:rPr>
          <w:rFonts w:asciiTheme="minorHAnsi" w:hAnsiTheme="minorHAnsi" w:cstheme="minorHAnsi"/>
          <w:b/>
          <w:iCs/>
          <w:sz w:val="22"/>
          <w:szCs w:val="22"/>
        </w:rPr>
      </w:pPr>
    </w:p>
    <w:tbl>
      <w:tblPr>
        <w:tblStyle w:val="TableGrid10"/>
        <w:tblW w:w="9894" w:type="dxa"/>
        <w:tblLook w:val="04A0" w:firstRow="1" w:lastRow="0" w:firstColumn="1" w:lastColumn="0" w:noHBand="0" w:noVBand="1"/>
      </w:tblPr>
      <w:tblGrid>
        <w:gridCol w:w="2145"/>
        <w:gridCol w:w="7749"/>
      </w:tblGrid>
      <w:tr w:rsidR="00EA6DB1" w:rsidRPr="0071206E" w14:paraId="3870C867" w14:textId="77777777" w:rsidTr="7A1375F1">
        <w:trPr>
          <w:trHeight w:val="105"/>
        </w:trPr>
        <w:tc>
          <w:tcPr>
            <w:tcW w:w="9894" w:type="dxa"/>
            <w:gridSpan w:val="2"/>
          </w:tcPr>
          <w:p w14:paraId="3DFD45EF" w14:textId="27A0D2BC"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i/>
                <w:iCs/>
                <w:sz w:val="22"/>
                <w:szCs w:val="22"/>
              </w:rPr>
              <w:t xml:space="preserve">Outcome 2 - Countries are implementing </w:t>
            </w:r>
            <w:r w:rsidR="50677C28" w:rsidRPr="0071206E">
              <w:rPr>
                <w:rFonts w:asciiTheme="minorHAnsi" w:hAnsiTheme="minorHAnsi" w:cstheme="minorHAnsi"/>
                <w:i/>
                <w:iCs/>
                <w:sz w:val="22"/>
                <w:szCs w:val="22"/>
              </w:rPr>
              <w:t>evidence-based</w:t>
            </w:r>
            <w:r w:rsidRPr="0071206E">
              <w:rPr>
                <w:rFonts w:asciiTheme="minorHAnsi" w:hAnsiTheme="minorHAnsi" w:cstheme="minorHAnsi"/>
                <w:i/>
                <w:iCs/>
                <w:sz w:val="22"/>
                <w:szCs w:val="22"/>
              </w:rPr>
              <w:t xml:space="preserve"> sectoral and thematic reforms in line with national IGE priorities</w:t>
            </w:r>
            <w:r w:rsidRPr="0071206E">
              <w:rPr>
                <w:rFonts w:asciiTheme="minorHAnsi" w:hAnsiTheme="minorHAnsi" w:cstheme="minorHAnsi"/>
                <w:sz w:val="22"/>
                <w:szCs w:val="22"/>
              </w:rPr>
              <w:t>.</w:t>
            </w:r>
          </w:p>
        </w:tc>
      </w:tr>
      <w:tr w:rsidR="00EA6DB1" w:rsidRPr="0071206E" w14:paraId="30EDEF5E" w14:textId="77777777" w:rsidTr="7A1375F1">
        <w:trPr>
          <w:trHeight w:val="679"/>
        </w:trPr>
        <w:tc>
          <w:tcPr>
            <w:tcW w:w="2145" w:type="dxa"/>
          </w:tcPr>
          <w:p w14:paraId="59C4E471" w14:textId="5F15D935"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4DBA32B5" w:rsidRPr="0071206E">
              <w:rPr>
                <w:rFonts w:asciiTheme="minorHAnsi" w:hAnsiTheme="minorHAnsi" w:cstheme="minorHAnsi"/>
                <w:b/>
                <w:bCs/>
                <w:sz w:val="22"/>
                <w:szCs w:val="22"/>
              </w:rPr>
              <w:t>4</w:t>
            </w:r>
            <w:r w:rsidRPr="0071206E">
              <w:rPr>
                <w:rFonts w:asciiTheme="minorHAnsi" w:hAnsiTheme="minorHAnsi" w:cstheme="minorHAnsi"/>
                <w:b/>
                <w:bCs/>
                <w:sz w:val="22"/>
                <w:szCs w:val="22"/>
              </w:rPr>
              <w:t xml:space="preserve"> </w:t>
            </w:r>
          </w:p>
          <w:p w14:paraId="717CB8C3" w14:textId="77777777" w:rsidR="00EA6DB1" w:rsidRPr="0071206E" w:rsidRDefault="00EA6DB1" w:rsidP="00610125">
            <w:pPr>
              <w:rPr>
                <w:rFonts w:asciiTheme="minorHAnsi" w:hAnsiTheme="minorHAnsi" w:cstheme="minorHAnsi"/>
                <w:b/>
                <w:iCs/>
                <w:sz w:val="22"/>
                <w:szCs w:val="22"/>
              </w:rPr>
            </w:pPr>
          </w:p>
        </w:tc>
        <w:tc>
          <w:tcPr>
            <w:tcW w:w="7749" w:type="dxa"/>
          </w:tcPr>
          <w:p w14:paraId="58C8F864" w14:textId="48994049" w:rsidR="00EA6DB1" w:rsidRPr="0071206E" w:rsidRDefault="002D169A" w:rsidP="00610125">
            <w:pPr>
              <w:rPr>
                <w:rFonts w:asciiTheme="minorHAnsi" w:hAnsiTheme="minorHAnsi" w:cstheme="minorHAnsi"/>
                <w:iCs/>
                <w:sz w:val="22"/>
                <w:szCs w:val="22"/>
              </w:rPr>
            </w:pPr>
            <w:r w:rsidRPr="0071206E">
              <w:rPr>
                <w:rFonts w:asciiTheme="minorHAnsi" w:hAnsiTheme="minorHAnsi" w:cstheme="minorHAnsi"/>
                <w:iCs/>
                <w:sz w:val="22"/>
                <w:szCs w:val="22"/>
              </w:rPr>
              <w:t>n/a</w:t>
            </w:r>
          </w:p>
        </w:tc>
      </w:tr>
    </w:tbl>
    <w:p w14:paraId="6E731698" w14:textId="77777777" w:rsidR="002D169A" w:rsidRPr="0071206E" w:rsidRDefault="002D169A" w:rsidP="002D169A">
      <w:pPr>
        <w:rPr>
          <w:rFonts w:asciiTheme="minorHAns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0"/>
        <w:gridCol w:w="7740"/>
      </w:tblGrid>
      <w:tr w:rsidR="002D169A" w:rsidRPr="0071206E" w14:paraId="5B586A92" w14:textId="77777777" w:rsidTr="00CD09C4">
        <w:tc>
          <w:tcPr>
            <w:tcW w:w="9890" w:type="dxa"/>
            <w:gridSpan w:val="2"/>
            <w:tcMar>
              <w:top w:w="0" w:type="dxa"/>
              <w:left w:w="108" w:type="dxa"/>
              <w:bottom w:w="0" w:type="dxa"/>
              <w:right w:w="108" w:type="dxa"/>
            </w:tcMar>
            <w:hideMark/>
          </w:tcPr>
          <w:p w14:paraId="5036A4AD" w14:textId="77777777" w:rsidR="002D169A" w:rsidRPr="0071206E" w:rsidRDefault="002D169A">
            <w:pPr>
              <w:rPr>
                <w:rFonts w:asciiTheme="minorHAnsi" w:hAnsiTheme="minorHAnsi" w:cstheme="minorHAnsi"/>
                <w:sz w:val="22"/>
                <w:szCs w:val="22"/>
              </w:rPr>
            </w:pPr>
            <w:r w:rsidRPr="0071206E">
              <w:rPr>
                <w:rFonts w:asciiTheme="minorHAnsi" w:hAnsiTheme="minorHAnsi" w:cstheme="minorHAnsi"/>
                <w:i/>
                <w:iCs/>
                <w:sz w:val="22"/>
                <w:szCs w:val="22"/>
              </w:rPr>
              <w:t xml:space="preserve">Outcome 3 - Individual, institutional and planning capacities for IGE action strengthened at the </w:t>
            </w:r>
            <w:r w:rsidRPr="0071206E">
              <w:rPr>
                <w:rFonts w:asciiTheme="minorHAnsi" w:hAnsiTheme="minorHAnsi" w:cstheme="minorHAnsi"/>
                <w:i/>
                <w:iCs/>
                <w:sz w:val="22"/>
                <w:szCs w:val="22"/>
                <w:u w:val="single"/>
              </w:rPr>
              <w:t>national</w:t>
            </w:r>
            <w:r w:rsidRPr="0071206E">
              <w:rPr>
                <w:rFonts w:asciiTheme="minorHAnsi" w:hAnsiTheme="minorHAnsi" w:cstheme="minorHAnsi"/>
                <w:i/>
                <w:iCs/>
                <w:sz w:val="22"/>
                <w:szCs w:val="22"/>
              </w:rPr>
              <w:t xml:space="preserve"> and (global) level.</w:t>
            </w:r>
          </w:p>
        </w:tc>
      </w:tr>
      <w:tr w:rsidR="002D169A" w:rsidRPr="0071206E" w14:paraId="2BC20454" w14:textId="77777777" w:rsidTr="00CD09C4">
        <w:tc>
          <w:tcPr>
            <w:tcW w:w="2150" w:type="dxa"/>
            <w:tcMar>
              <w:top w:w="0" w:type="dxa"/>
              <w:left w:w="108" w:type="dxa"/>
              <w:bottom w:w="0" w:type="dxa"/>
              <w:right w:w="108" w:type="dxa"/>
            </w:tcMar>
            <w:hideMark/>
          </w:tcPr>
          <w:p w14:paraId="69FD4831" w14:textId="77777777" w:rsidR="002D169A" w:rsidRPr="0071206E" w:rsidRDefault="002D169A">
            <w:pPr>
              <w:rPr>
                <w:rFonts w:asciiTheme="minorHAnsi" w:hAnsiTheme="minorHAnsi" w:cstheme="minorHAnsi"/>
                <w:sz w:val="22"/>
                <w:szCs w:val="22"/>
              </w:rPr>
            </w:pPr>
            <w:r w:rsidRPr="0071206E">
              <w:rPr>
                <w:rFonts w:asciiTheme="minorHAnsi" w:hAnsiTheme="minorHAnsi" w:cstheme="minorHAnsi"/>
                <w:b/>
                <w:bCs/>
                <w:sz w:val="22"/>
                <w:szCs w:val="22"/>
              </w:rPr>
              <w:t>Key achievements in 2024</w:t>
            </w:r>
          </w:p>
        </w:tc>
        <w:tc>
          <w:tcPr>
            <w:tcW w:w="7740" w:type="dxa"/>
            <w:tcMar>
              <w:top w:w="0" w:type="dxa"/>
              <w:left w:w="108" w:type="dxa"/>
              <w:bottom w:w="0" w:type="dxa"/>
              <w:right w:w="108" w:type="dxa"/>
            </w:tcMar>
            <w:hideMark/>
          </w:tcPr>
          <w:p w14:paraId="34C761E2" w14:textId="68808F7F" w:rsidR="002D169A" w:rsidRPr="0071206E" w:rsidRDefault="002D169A">
            <w:pPr>
              <w:rPr>
                <w:rFonts w:asciiTheme="minorHAnsi" w:hAnsiTheme="minorHAnsi" w:cstheme="minorHAnsi"/>
                <w:sz w:val="22"/>
                <w:szCs w:val="22"/>
              </w:rPr>
            </w:pPr>
            <w:r w:rsidRPr="0071206E">
              <w:rPr>
                <w:rFonts w:asciiTheme="minorHAnsi" w:hAnsiTheme="minorHAnsi" w:cstheme="minorHAnsi"/>
                <w:sz w:val="22"/>
                <w:szCs w:val="22"/>
              </w:rPr>
              <w:t>UNDP along</w:t>
            </w:r>
            <w:r w:rsidR="00E65D44">
              <w:rPr>
                <w:rFonts w:asciiTheme="minorHAnsi" w:hAnsiTheme="minorHAnsi" w:cstheme="minorHAnsi"/>
                <w:sz w:val="22"/>
                <w:szCs w:val="22"/>
              </w:rPr>
              <w:t xml:space="preserve"> </w:t>
            </w:r>
            <w:r w:rsidRPr="0071206E">
              <w:rPr>
                <w:rFonts w:asciiTheme="minorHAnsi" w:hAnsiTheme="minorHAnsi" w:cstheme="minorHAnsi"/>
                <w:sz w:val="22"/>
                <w:szCs w:val="22"/>
              </w:rPr>
              <w:t xml:space="preserve">with UNITAR </w:t>
            </w:r>
            <w:r w:rsidR="00262693">
              <w:rPr>
                <w:rFonts w:asciiTheme="minorHAnsi" w:hAnsiTheme="minorHAnsi" w:cstheme="minorHAnsi"/>
                <w:sz w:val="22"/>
                <w:szCs w:val="22"/>
              </w:rPr>
              <w:t>works on</w:t>
            </w:r>
            <w:r w:rsidR="00105D47">
              <w:rPr>
                <w:rFonts w:asciiTheme="minorHAnsi" w:hAnsiTheme="minorHAnsi" w:cstheme="minorHAnsi"/>
                <w:sz w:val="22"/>
                <w:szCs w:val="22"/>
              </w:rPr>
              <w:t xml:space="preserve"> an a</w:t>
            </w:r>
            <w:r w:rsidRPr="0071206E">
              <w:rPr>
                <w:rFonts w:asciiTheme="minorHAnsi" w:hAnsiTheme="minorHAnsi" w:cstheme="minorHAnsi"/>
                <w:sz w:val="22"/>
                <w:szCs w:val="22"/>
              </w:rPr>
              <w:t xml:space="preserve">ssessment and </w:t>
            </w:r>
            <w:r w:rsidR="00105D47">
              <w:rPr>
                <w:rFonts w:asciiTheme="minorHAnsi" w:hAnsiTheme="minorHAnsi" w:cstheme="minorHAnsi"/>
                <w:sz w:val="22"/>
                <w:szCs w:val="22"/>
              </w:rPr>
              <w:t>on the s</w:t>
            </w:r>
            <w:r w:rsidRPr="0071206E">
              <w:rPr>
                <w:rFonts w:asciiTheme="minorHAnsi" w:hAnsiTheme="minorHAnsi" w:cstheme="minorHAnsi"/>
                <w:sz w:val="22"/>
                <w:szCs w:val="22"/>
              </w:rPr>
              <w:t xml:space="preserve">trengthening of </w:t>
            </w:r>
            <w:r w:rsidR="00105D47">
              <w:rPr>
                <w:rFonts w:asciiTheme="minorHAnsi" w:hAnsiTheme="minorHAnsi" w:cstheme="minorHAnsi"/>
                <w:sz w:val="22"/>
                <w:szCs w:val="22"/>
              </w:rPr>
              <w:t>c</w:t>
            </w:r>
            <w:r w:rsidRPr="0071206E">
              <w:rPr>
                <w:rFonts w:asciiTheme="minorHAnsi" w:hAnsiTheme="minorHAnsi" w:cstheme="minorHAnsi"/>
                <w:sz w:val="22"/>
                <w:szCs w:val="22"/>
              </w:rPr>
              <w:t xml:space="preserve">apacities of two Indian States </w:t>
            </w:r>
            <w:r w:rsidR="00AA55D2">
              <w:rPr>
                <w:rFonts w:asciiTheme="minorHAnsi" w:hAnsiTheme="minorHAnsi" w:cstheme="minorHAnsi"/>
                <w:sz w:val="22"/>
                <w:szCs w:val="22"/>
              </w:rPr>
              <w:t xml:space="preserve">with the aim to mainstream </w:t>
            </w:r>
            <w:r w:rsidRPr="0071206E">
              <w:rPr>
                <w:rFonts w:asciiTheme="minorHAnsi" w:hAnsiTheme="minorHAnsi" w:cstheme="minorHAnsi"/>
                <w:sz w:val="22"/>
                <w:szCs w:val="22"/>
              </w:rPr>
              <w:t xml:space="preserve">and </w:t>
            </w:r>
            <w:r w:rsidR="00AA55D2">
              <w:rPr>
                <w:rFonts w:asciiTheme="minorHAnsi" w:hAnsiTheme="minorHAnsi" w:cstheme="minorHAnsi"/>
                <w:sz w:val="22"/>
                <w:szCs w:val="22"/>
              </w:rPr>
              <w:t>i</w:t>
            </w:r>
            <w:r w:rsidRPr="0071206E">
              <w:rPr>
                <w:rFonts w:asciiTheme="minorHAnsi" w:hAnsiTheme="minorHAnsi" w:cstheme="minorHAnsi"/>
                <w:sz w:val="22"/>
                <w:szCs w:val="22"/>
              </w:rPr>
              <w:t>ntegrat</w:t>
            </w:r>
            <w:r w:rsidR="00AA55D2">
              <w:rPr>
                <w:rFonts w:asciiTheme="minorHAnsi" w:hAnsiTheme="minorHAnsi" w:cstheme="minorHAnsi"/>
                <w:sz w:val="22"/>
                <w:szCs w:val="22"/>
              </w:rPr>
              <w:t>e</w:t>
            </w:r>
            <w:r w:rsidRPr="0071206E">
              <w:rPr>
                <w:rFonts w:asciiTheme="minorHAnsi" w:hAnsiTheme="minorHAnsi" w:cstheme="minorHAnsi"/>
                <w:sz w:val="22"/>
                <w:szCs w:val="22"/>
              </w:rPr>
              <w:t xml:space="preserve"> Inclusive Green Economy Principles at Sub-National Level (</w:t>
            </w:r>
            <w:r w:rsidR="00AA55D2">
              <w:rPr>
                <w:rFonts w:asciiTheme="minorHAnsi" w:hAnsiTheme="minorHAnsi" w:cstheme="minorHAnsi"/>
                <w:sz w:val="22"/>
                <w:szCs w:val="22"/>
              </w:rPr>
              <w:t xml:space="preserve">in the States: </w:t>
            </w:r>
            <w:r w:rsidRPr="0071206E">
              <w:rPr>
                <w:rFonts w:asciiTheme="minorHAnsi" w:hAnsiTheme="minorHAnsi" w:cstheme="minorHAnsi"/>
                <w:sz w:val="22"/>
                <w:szCs w:val="22"/>
              </w:rPr>
              <w:t xml:space="preserve">Madhya Pradesh &amp; Uttarakhand). Based on the findings of the Green Economy Learning Assessment (GELA) study conducted in 2022, training modules were prepared which were used to organize the pilot Training of Trainers in both </w:t>
            </w:r>
            <w:r w:rsidR="00E64AEC">
              <w:rPr>
                <w:rFonts w:asciiTheme="minorHAnsi" w:hAnsiTheme="minorHAnsi" w:cstheme="minorHAnsi"/>
                <w:sz w:val="22"/>
                <w:szCs w:val="22"/>
              </w:rPr>
              <w:t>S</w:t>
            </w:r>
            <w:r w:rsidRPr="0071206E">
              <w:rPr>
                <w:rFonts w:asciiTheme="minorHAnsi" w:hAnsiTheme="minorHAnsi" w:cstheme="minorHAnsi"/>
                <w:sz w:val="22"/>
                <w:szCs w:val="22"/>
              </w:rPr>
              <w:t xml:space="preserve">tates in 2023. </w:t>
            </w:r>
          </w:p>
          <w:p w14:paraId="6002EC06" w14:textId="77777777" w:rsidR="002D169A" w:rsidRPr="0071206E" w:rsidRDefault="002D169A">
            <w:pPr>
              <w:rPr>
                <w:rFonts w:asciiTheme="minorHAnsi" w:hAnsiTheme="minorHAnsi" w:cstheme="minorHAnsi"/>
                <w:sz w:val="22"/>
                <w:szCs w:val="22"/>
              </w:rPr>
            </w:pPr>
            <w:r w:rsidRPr="0071206E">
              <w:rPr>
                <w:rFonts w:asciiTheme="minorHAnsi" w:hAnsiTheme="minorHAnsi" w:cstheme="minorHAnsi"/>
                <w:sz w:val="22"/>
                <w:szCs w:val="22"/>
              </w:rPr>
              <w:t> </w:t>
            </w:r>
          </w:p>
          <w:p w14:paraId="6B25829C" w14:textId="6F1722E5" w:rsidR="002D169A" w:rsidRPr="0071206E" w:rsidRDefault="002D169A">
            <w:pPr>
              <w:rPr>
                <w:rFonts w:asciiTheme="minorHAnsi" w:hAnsiTheme="minorHAnsi" w:cstheme="minorHAnsi"/>
                <w:sz w:val="22"/>
                <w:szCs w:val="22"/>
              </w:rPr>
            </w:pPr>
            <w:r w:rsidRPr="0071206E">
              <w:rPr>
                <w:rFonts w:asciiTheme="minorHAnsi" w:hAnsiTheme="minorHAnsi" w:cstheme="minorHAnsi"/>
                <w:sz w:val="22"/>
                <w:szCs w:val="22"/>
              </w:rPr>
              <w:t xml:space="preserve">Based on the feedback received from the pilot </w:t>
            </w:r>
            <w:proofErr w:type="spellStart"/>
            <w:r w:rsidRPr="0071206E">
              <w:rPr>
                <w:rFonts w:asciiTheme="minorHAnsi" w:hAnsiTheme="minorHAnsi" w:cstheme="minorHAnsi"/>
                <w:sz w:val="22"/>
                <w:szCs w:val="22"/>
              </w:rPr>
              <w:t>ToTs</w:t>
            </w:r>
            <w:proofErr w:type="spellEnd"/>
            <w:r w:rsidRPr="0071206E">
              <w:rPr>
                <w:rFonts w:asciiTheme="minorHAnsi" w:hAnsiTheme="minorHAnsi" w:cstheme="minorHAnsi"/>
                <w:sz w:val="22"/>
                <w:szCs w:val="22"/>
              </w:rPr>
              <w:t xml:space="preserve"> and the inputs received from the government stakeholders and the National Steering Committee in April 2024, it was decided to update, revise and modify the training materials. UNITAR and UNDP partnered with the National Institute of Urban Affairs (NIUA) under the Ministry of Housing and Urban Affairs, </w:t>
            </w:r>
            <w:proofErr w:type="spellStart"/>
            <w:r w:rsidRPr="0071206E">
              <w:rPr>
                <w:rFonts w:asciiTheme="minorHAnsi" w:hAnsiTheme="minorHAnsi" w:cstheme="minorHAnsi"/>
                <w:sz w:val="22"/>
                <w:szCs w:val="22"/>
              </w:rPr>
              <w:t>GoI</w:t>
            </w:r>
            <w:proofErr w:type="spellEnd"/>
            <w:r w:rsidRPr="0071206E">
              <w:rPr>
                <w:rFonts w:asciiTheme="minorHAnsi" w:hAnsiTheme="minorHAnsi" w:cstheme="minorHAnsi"/>
                <w:sz w:val="22"/>
                <w:szCs w:val="22"/>
              </w:rPr>
              <w:t xml:space="preserve">, to carry out </w:t>
            </w:r>
            <w:r w:rsidR="00E81719">
              <w:rPr>
                <w:rFonts w:asciiTheme="minorHAnsi" w:hAnsiTheme="minorHAnsi" w:cstheme="minorHAnsi"/>
                <w:sz w:val="22"/>
                <w:szCs w:val="22"/>
              </w:rPr>
              <w:t>the</w:t>
            </w:r>
            <w:r w:rsidRPr="0071206E">
              <w:rPr>
                <w:rFonts w:asciiTheme="minorHAnsi" w:hAnsiTheme="minorHAnsi" w:cstheme="minorHAnsi"/>
                <w:sz w:val="22"/>
                <w:szCs w:val="22"/>
              </w:rPr>
              <w:t xml:space="preserve"> comprehensive revision of the </w:t>
            </w:r>
            <w:r w:rsidRPr="0071206E">
              <w:rPr>
                <w:rFonts w:asciiTheme="minorHAnsi" w:hAnsiTheme="minorHAnsi" w:cstheme="minorHAnsi"/>
                <w:sz w:val="22"/>
                <w:szCs w:val="22"/>
              </w:rPr>
              <w:lastRenderedPageBreak/>
              <w:t xml:space="preserve">training materials. </w:t>
            </w:r>
            <w:r w:rsidR="00EC00D0">
              <w:rPr>
                <w:rFonts w:asciiTheme="minorHAnsi" w:hAnsiTheme="minorHAnsi" w:cstheme="minorHAnsi"/>
                <w:sz w:val="22"/>
                <w:szCs w:val="22"/>
              </w:rPr>
              <w:t>A</w:t>
            </w:r>
            <w:r w:rsidRPr="0071206E">
              <w:rPr>
                <w:rFonts w:asciiTheme="minorHAnsi" w:hAnsiTheme="minorHAnsi" w:cstheme="minorHAnsi"/>
                <w:sz w:val="22"/>
                <w:szCs w:val="22"/>
              </w:rPr>
              <w:t xml:space="preserve">n inception meeting was held with NIUA followed by a </w:t>
            </w:r>
            <w:r w:rsidR="001D761E">
              <w:rPr>
                <w:rFonts w:asciiTheme="minorHAnsi" w:hAnsiTheme="minorHAnsi" w:cstheme="minorHAnsi"/>
                <w:sz w:val="22"/>
                <w:szCs w:val="22"/>
              </w:rPr>
              <w:t>technical</w:t>
            </w:r>
            <w:r w:rsidR="001D761E" w:rsidRPr="0071206E">
              <w:rPr>
                <w:rFonts w:asciiTheme="minorHAnsi" w:hAnsiTheme="minorHAnsi" w:cstheme="minorHAnsi"/>
                <w:sz w:val="22"/>
                <w:szCs w:val="22"/>
              </w:rPr>
              <w:t xml:space="preserve"> </w:t>
            </w:r>
            <w:r w:rsidR="00841519">
              <w:rPr>
                <w:rFonts w:asciiTheme="minorHAnsi" w:hAnsiTheme="minorHAnsi" w:cstheme="minorHAnsi"/>
                <w:sz w:val="22"/>
                <w:szCs w:val="22"/>
              </w:rPr>
              <w:t>work</w:t>
            </w:r>
            <w:r w:rsidRPr="0071206E">
              <w:rPr>
                <w:rFonts w:asciiTheme="minorHAnsi" w:hAnsiTheme="minorHAnsi" w:cstheme="minorHAnsi"/>
                <w:sz w:val="22"/>
                <w:szCs w:val="22"/>
              </w:rPr>
              <w:t xml:space="preserve">shop </w:t>
            </w:r>
            <w:r w:rsidR="001D761E">
              <w:rPr>
                <w:rFonts w:asciiTheme="minorHAnsi" w:hAnsiTheme="minorHAnsi" w:cstheme="minorHAnsi"/>
                <w:sz w:val="22"/>
                <w:szCs w:val="22"/>
              </w:rPr>
              <w:t xml:space="preserve">aimed at reviewing and revising </w:t>
            </w:r>
            <w:r w:rsidR="005E555C">
              <w:rPr>
                <w:rFonts w:asciiTheme="minorHAnsi" w:hAnsiTheme="minorHAnsi" w:cstheme="minorHAnsi"/>
                <w:sz w:val="22"/>
                <w:szCs w:val="22"/>
              </w:rPr>
              <w:t xml:space="preserve">the training modules </w:t>
            </w:r>
            <w:r w:rsidRPr="0071206E">
              <w:rPr>
                <w:rFonts w:asciiTheme="minorHAnsi" w:hAnsiTheme="minorHAnsi" w:cstheme="minorHAnsi"/>
                <w:sz w:val="22"/>
                <w:szCs w:val="22"/>
              </w:rPr>
              <w:t>attended by NIUA, UNITAR and UNDP colleagues on 9 and 10 May 2024</w:t>
            </w:r>
            <w:r w:rsidR="00A53DF3">
              <w:rPr>
                <w:rFonts w:asciiTheme="minorHAnsi" w:hAnsiTheme="minorHAnsi" w:cstheme="minorHAnsi"/>
                <w:sz w:val="22"/>
                <w:szCs w:val="22"/>
              </w:rPr>
              <w:t xml:space="preserve">. In the workshop </w:t>
            </w:r>
            <w:r w:rsidRPr="0071206E">
              <w:rPr>
                <w:rFonts w:asciiTheme="minorHAnsi" w:hAnsiTheme="minorHAnsi" w:cstheme="minorHAnsi"/>
                <w:sz w:val="22"/>
                <w:szCs w:val="22"/>
              </w:rPr>
              <w:t xml:space="preserve">the revision was finalized, </w:t>
            </w:r>
            <w:r w:rsidR="00F4759B">
              <w:rPr>
                <w:rFonts w:asciiTheme="minorHAnsi" w:hAnsiTheme="minorHAnsi" w:cstheme="minorHAnsi"/>
                <w:sz w:val="22"/>
                <w:szCs w:val="22"/>
              </w:rPr>
              <w:t>including</w:t>
            </w:r>
            <w:r w:rsidRPr="0071206E">
              <w:rPr>
                <w:rFonts w:asciiTheme="minorHAnsi" w:hAnsiTheme="minorHAnsi" w:cstheme="minorHAnsi"/>
                <w:sz w:val="22"/>
                <w:szCs w:val="22"/>
              </w:rPr>
              <w:t xml:space="preserve"> the syllabus and outline for the revised training material, specific objectives and outcomes for each session and </w:t>
            </w:r>
            <w:r w:rsidR="00F4759B">
              <w:rPr>
                <w:rFonts w:asciiTheme="minorHAnsi" w:hAnsiTheme="minorHAnsi" w:cstheme="minorHAnsi"/>
                <w:sz w:val="22"/>
                <w:szCs w:val="22"/>
              </w:rPr>
              <w:t xml:space="preserve">related </w:t>
            </w:r>
            <w:r w:rsidRPr="0071206E">
              <w:rPr>
                <w:rFonts w:asciiTheme="minorHAnsi" w:hAnsiTheme="minorHAnsi" w:cstheme="minorHAnsi"/>
                <w:sz w:val="22"/>
                <w:szCs w:val="22"/>
              </w:rPr>
              <w:t xml:space="preserve"> </w:t>
            </w:r>
            <w:r w:rsidR="00D15165">
              <w:rPr>
                <w:rFonts w:asciiTheme="minorHAnsi" w:hAnsiTheme="minorHAnsi" w:cstheme="minorHAnsi"/>
                <w:sz w:val="22"/>
                <w:szCs w:val="22"/>
              </w:rPr>
              <w:t xml:space="preserve"> training </w:t>
            </w:r>
            <w:r w:rsidR="00D15165" w:rsidRPr="0071206E">
              <w:rPr>
                <w:rFonts w:asciiTheme="minorHAnsi" w:hAnsiTheme="minorHAnsi" w:cstheme="minorHAnsi"/>
                <w:sz w:val="22"/>
                <w:szCs w:val="22"/>
              </w:rPr>
              <w:t>plans</w:t>
            </w:r>
            <w:r w:rsidRPr="0071206E">
              <w:rPr>
                <w:rFonts w:asciiTheme="minorHAnsi" w:hAnsiTheme="minorHAnsi" w:cstheme="minorHAnsi"/>
                <w:sz w:val="22"/>
                <w:szCs w:val="22"/>
              </w:rPr>
              <w:t>.</w:t>
            </w:r>
          </w:p>
          <w:p w14:paraId="1910921C" w14:textId="0CDAEB89" w:rsidR="002D169A" w:rsidRPr="0071206E" w:rsidRDefault="002D169A">
            <w:pPr>
              <w:rPr>
                <w:rFonts w:asciiTheme="minorHAnsi" w:hAnsiTheme="minorHAnsi" w:cstheme="minorHAnsi"/>
                <w:sz w:val="22"/>
                <w:szCs w:val="22"/>
              </w:rPr>
            </w:pPr>
            <w:r w:rsidRPr="0071206E">
              <w:rPr>
                <w:rFonts w:asciiTheme="minorHAnsi" w:hAnsiTheme="minorHAnsi" w:cstheme="minorHAnsi"/>
                <w:sz w:val="22"/>
                <w:szCs w:val="22"/>
              </w:rPr>
              <w:t xml:space="preserve">  </w:t>
            </w:r>
            <w:r w:rsidRPr="0071206E">
              <w:rPr>
                <w:rFonts w:asciiTheme="minorHAnsi" w:hAnsiTheme="minorHAnsi" w:cstheme="minorHAnsi"/>
                <w:sz w:val="22"/>
                <w:szCs w:val="22"/>
              </w:rPr>
              <w:br/>
              <w:t xml:space="preserve">A Training of Trainers using the updated and revised training curriculum, comprising of 9 modules, was conducted by NIUA and UNDP at Dr. R. S. </w:t>
            </w:r>
            <w:proofErr w:type="spellStart"/>
            <w:r w:rsidRPr="0071206E">
              <w:rPr>
                <w:rFonts w:asciiTheme="minorHAnsi" w:hAnsiTheme="minorHAnsi" w:cstheme="minorHAnsi"/>
                <w:sz w:val="22"/>
                <w:szCs w:val="22"/>
              </w:rPr>
              <w:t>Tolia</w:t>
            </w:r>
            <w:proofErr w:type="spellEnd"/>
            <w:r w:rsidRPr="0071206E">
              <w:rPr>
                <w:rFonts w:asciiTheme="minorHAnsi" w:hAnsiTheme="minorHAnsi" w:cstheme="minorHAnsi"/>
                <w:sz w:val="22"/>
                <w:szCs w:val="22"/>
              </w:rPr>
              <w:t xml:space="preserve"> Uttarakhand Academy of Administration, Nainital, from the 17 to the 20 of December, 2024, for a group of 24 Masters Trainers from Madhya Pradesh (13) and Uttarakhand (11) . </w:t>
            </w:r>
            <w:r w:rsidR="00BD4B24">
              <w:rPr>
                <w:rFonts w:asciiTheme="minorHAnsi" w:hAnsiTheme="minorHAnsi" w:cstheme="minorHAnsi"/>
                <w:sz w:val="22"/>
                <w:szCs w:val="22"/>
              </w:rPr>
              <w:t>Since then</w:t>
            </w:r>
            <w:r w:rsidRPr="0071206E">
              <w:rPr>
                <w:rFonts w:asciiTheme="minorHAnsi" w:hAnsiTheme="minorHAnsi" w:cstheme="minorHAnsi"/>
                <w:sz w:val="22"/>
                <w:szCs w:val="22"/>
              </w:rPr>
              <w:t>, UNITAR is working closely with NIUA to adapt the revised training curriculum into a self</w:t>
            </w:r>
            <w:r w:rsidR="00310448">
              <w:rPr>
                <w:rFonts w:asciiTheme="minorHAnsi" w:hAnsiTheme="minorHAnsi" w:cstheme="minorHAnsi"/>
                <w:sz w:val="22"/>
                <w:szCs w:val="22"/>
              </w:rPr>
              <w:t>-</w:t>
            </w:r>
            <w:r w:rsidRPr="0071206E">
              <w:rPr>
                <w:rFonts w:asciiTheme="minorHAnsi" w:hAnsiTheme="minorHAnsi" w:cstheme="minorHAnsi"/>
                <w:sz w:val="22"/>
                <w:szCs w:val="22"/>
              </w:rPr>
              <w:t>paced online course that will be hosted on the National Urban Learning Platform (</w:t>
            </w:r>
            <w:r w:rsidR="00BD4B24">
              <w:rPr>
                <w:rFonts w:asciiTheme="minorHAnsi" w:hAnsiTheme="minorHAnsi" w:cstheme="minorHAnsi"/>
                <w:sz w:val="22"/>
                <w:szCs w:val="22"/>
              </w:rPr>
              <w:t xml:space="preserve">the </w:t>
            </w:r>
            <w:r w:rsidRPr="0071206E">
              <w:rPr>
                <w:rFonts w:asciiTheme="minorHAnsi" w:hAnsiTheme="minorHAnsi" w:cstheme="minorHAnsi"/>
                <w:sz w:val="22"/>
                <w:szCs w:val="22"/>
              </w:rPr>
              <w:t>only knowledge platform dedicated to the urban development sector in India) to ensure sustainability of the Training.  The self-paced online course is expected to be launched in Q1 of 2025.</w:t>
            </w:r>
          </w:p>
        </w:tc>
      </w:tr>
      <w:tr w:rsidR="002D169A" w:rsidRPr="0071206E" w14:paraId="104911CF" w14:textId="77777777" w:rsidTr="00CD09C4">
        <w:tc>
          <w:tcPr>
            <w:tcW w:w="2150" w:type="dxa"/>
            <w:tcMar>
              <w:top w:w="0" w:type="dxa"/>
              <w:left w:w="108" w:type="dxa"/>
              <w:bottom w:w="0" w:type="dxa"/>
              <w:right w:w="108" w:type="dxa"/>
            </w:tcMar>
            <w:hideMark/>
          </w:tcPr>
          <w:p w14:paraId="4D2CE148" w14:textId="77777777" w:rsidR="002D169A" w:rsidRPr="0071206E" w:rsidRDefault="002D169A">
            <w:pPr>
              <w:rPr>
                <w:rFonts w:asciiTheme="minorHAnsi" w:hAnsiTheme="minorHAnsi" w:cstheme="minorHAnsi"/>
                <w:sz w:val="22"/>
                <w:szCs w:val="22"/>
              </w:rPr>
            </w:pPr>
            <w:r w:rsidRPr="0071206E">
              <w:rPr>
                <w:rFonts w:asciiTheme="minorHAnsi" w:hAnsiTheme="minorHAnsi" w:cstheme="minorHAnsi"/>
                <w:b/>
                <w:bCs/>
                <w:sz w:val="22"/>
                <w:szCs w:val="22"/>
              </w:rPr>
              <w:t>Key Achievements 2024</w:t>
            </w:r>
            <w:r w:rsidRPr="0071206E">
              <w:rPr>
                <w:rFonts w:asciiTheme="minorHAnsi" w:hAnsiTheme="minorHAnsi" w:cstheme="minorHAnsi"/>
                <w:sz w:val="22"/>
                <w:szCs w:val="22"/>
              </w:rPr>
              <w:t xml:space="preserve"> (Add. Support for Green Recovery)</w:t>
            </w:r>
          </w:p>
        </w:tc>
        <w:tc>
          <w:tcPr>
            <w:tcW w:w="7740" w:type="dxa"/>
            <w:tcMar>
              <w:top w:w="0" w:type="dxa"/>
              <w:left w:w="108" w:type="dxa"/>
              <w:bottom w:w="0" w:type="dxa"/>
              <w:right w:w="108" w:type="dxa"/>
            </w:tcMar>
            <w:hideMark/>
          </w:tcPr>
          <w:p w14:paraId="4DCB6E08" w14:textId="7E7CC33A" w:rsidR="002D169A" w:rsidRPr="0071206E" w:rsidRDefault="002D169A">
            <w:pPr>
              <w:spacing w:after="200"/>
              <w:rPr>
                <w:rFonts w:asciiTheme="minorHAnsi" w:hAnsiTheme="minorHAnsi" w:cstheme="minorHAnsi"/>
                <w:sz w:val="22"/>
                <w:szCs w:val="22"/>
              </w:rPr>
            </w:pPr>
            <w:r w:rsidRPr="0071206E">
              <w:rPr>
                <w:rFonts w:asciiTheme="minorHAnsi" w:hAnsiTheme="minorHAnsi" w:cstheme="minorHAnsi"/>
                <w:sz w:val="22"/>
                <w:szCs w:val="22"/>
              </w:rPr>
              <w:t> </w:t>
            </w:r>
            <w:r w:rsidR="00EC6964" w:rsidRPr="0071206E">
              <w:rPr>
                <w:rFonts w:asciiTheme="minorHAnsi" w:hAnsiTheme="minorHAnsi" w:cstheme="minorHAnsi"/>
                <w:sz w:val="22"/>
                <w:szCs w:val="22"/>
              </w:rPr>
              <w:t>n/a</w:t>
            </w:r>
          </w:p>
        </w:tc>
      </w:tr>
    </w:tbl>
    <w:p w14:paraId="7C63323B" w14:textId="3D3A5899" w:rsidR="00EA6DB1" w:rsidRPr="0071206E" w:rsidRDefault="002D169A" w:rsidP="00EA6DB1">
      <w:pPr>
        <w:rPr>
          <w:rFonts w:asciiTheme="minorHAnsi" w:hAnsiTheme="minorHAnsi" w:cstheme="minorHAnsi"/>
          <w:b/>
          <w:iCs/>
          <w:sz w:val="22"/>
          <w:szCs w:val="22"/>
        </w:rPr>
      </w:pPr>
      <w:r w:rsidRPr="0071206E">
        <w:rPr>
          <w:rFonts w:asciiTheme="minorHAnsi" w:hAnsiTheme="minorHAnsi" w:cstheme="minorHAnsi"/>
          <w:sz w:val="22"/>
          <w:szCs w:val="22"/>
        </w:rPr>
        <w:t> </w:t>
      </w:r>
    </w:p>
    <w:tbl>
      <w:tblPr>
        <w:tblStyle w:val="TableGrid"/>
        <w:tblW w:w="9895" w:type="dxa"/>
        <w:tblLook w:val="04A0" w:firstRow="1" w:lastRow="0" w:firstColumn="1" w:lastColumn="0" w:noHBand="0" w:noVBand="1"/>
      </w:tblPr>
      <w:tblGrid>
        <w:gridCol w:w="2055"/>
        <w:gridCol w:w="7840"/>
      </w:tblGrid>
      <w:tr w:rsidR="00EA6DB1" w:rsidRPr="0071206E" w14:paraId="610D3B84" w14:textId="77777777" w:rsidTr="7A1375F1">
        <w:tc>
          <w:tcPr>
            <w:tcW w:w="9895" w:type="dxa"/>
            <w:gridSpan w:val="2"/>
          </w:tcPr>
          <w:p w14:paraId="048AEF5B" w14:textId="77777777" w:rsidR="00EA6DB1" w:rsidRPr="0071206E" w:rsidRDefault="00EA6DB1" w:rsidP="00610125">
            <w:pPr>
              <w:rPr>
                <w:rFonts w:asciiTheme="minorHAnsi" w:hAnsiTheme="minorHAnsi" w:cstheme="minorHAnsi"/>
                <w:iCs/>
                <w:sz w:val="22"/>
                <w:szCs w:val="22"/>
              </w:rPr>
            </w:pPr>
            <w:r w:rsidRPr="0071206E">
              <w:rPr>
                <w:rFonts w:asciiTheme="minorHAnsi" w:hAnsiTheme="minorHAnsi" w:cstheme="minorHAnsi"/>
                <w:bCs/>
                <w:iCs/>
                <w:sz w:val="22"/>
                <w:szCs w:val="22"/>
              </w:rPr>
              <w:t xml:space="preserve">Outcome 4 - </w:t>
            </w:r>
            <w:r w:rsidRPr="0071206E">
              <w:rPr>
                <w:rFonts w:asciiTheme="minorHAnsi" w:hAnsiTheme="minorHAnsi" w:cstheme="minorHAnsi"/>
                <w:bCs/>
                <w:i/>
                <w:sz w:val="22"/>
                <w:szCs w:val="22"/>
              </w:rPr>
              <w:t>National and regional stakeholders, including green economy champions, decision-makers, practitioners, and youth representatives, access and apply knowledge for advancing IGE.</w:t>
            </w:r>
          </w:p>
        </w:tc>
      </w:tr>
      <w:tr w:rsidR="00EA6DB1" w:rsidRPr="0071206E" w14:paraId="2C333F1B" w14:textId="77777777" w:rsidTr="7A1375F1">
        <w:tc>
          <w:tcPr>
            <w:tcW w:w="2055" w:type="dxa"/>
          </w:tcPr>
          <w:p w14:paraId="53B11F67" w14:textId="14500E32"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575B69A8" w:rsidRPr="0071206E">
              <w:rPr>
                <w:rFonts w:asciiTheme="minorHAnsi" w:hAnsiTheme="minorHAnsi" w:cstheme="minorHAnsi"/>
                <w:b/>
                <w:bCs/>
                <w:sz w:val="22"/>
                <w:szCs w:val="22"/>
              </w:rPr>
              <w:t>4</w:t>
            </w:r>
          </w:p>
          <w:p w14:paraId="4D0E9433" w14:textId="77777777" w:rsidR="00EA6DB1" w:rsidRPr="0071206E" w:rsidRDefault="00EA6DB1" w:rsidP="00610125">
            <w:pPr>
              <w:rPr>
                <w:rFonts w:asciiTheme="minorHAnsi" w:hAnsiTheme="minorHAnsi" w:cstheme="minorHAnsi"/>
                <w:b/>
                <w:iCs/>
                <w:sz w:val="22"/>
                <w:szCs w:val="22"/>
              </w:rPr>
            </w:pPr>
          </w:p>
        </w:tc>
        <w:tc>
          <w:tcPr>
            <w:tcW w:w="7840" w:type="dxa"/>
            <w:vAlign w:val="center"/>
          </w:tcPr>
          <w:p w14:paraId="435843F1" w14:textId="547D73C4" w:rsidR="00EA6DB1" w:rsidRPr="0071206E" w:rsidRDefault="002D169A" w:rsidP="00610125">
            <w:pPr>
              <w:rPr>
                <w:rFonts w:asciiTheme="minorHAnsi" w:hAnsiTheme="minorHAnsi" w:cstheme="minorHAnsi"/>
                <w:iCs/>
                <w:sz w:val="22"/>
                <w:szCs w:val="22"/>
              </w:rPr>
            </w:pPr>
            <w:r w:rsidRPr="0071206E">
              <w:rPr>
                <w:rFonts w:asciiTheme="minorHAnsi" w:hAnsiTheme="minorHAnsi" w:cstheme="minorHAnsi"/>
                <w:iCs/>
                <w:sz w:val="22"/>
                <w:szCs w:val="22"/>
              </w:rPr>
              <w:t>n/a</w:t>
            </w:r>
          </w:p>
        </w:tc>
      </w:tr>
    </w:tbl>
    <w:p w14:paraId="4508BE62" w14:textId="77777777" w:rsidR="00EA6DB1" w:rsidRPr="0071206E" w:rsidRDefault="00EA6DB1" w:rsidP="00EA6DB1">
      <w:pPr>
        <w:rPr>
          <w:rFonts w:asciiTheme="minorHAnsi" w:hAnsiTheme="minorHAnsi" w:cstheme="minorHAnsi"/>
          <w:b/>
          <w:iCs/>
          <w:sz w:val="22"/>
          <w:szCs w:val="22"/>
        </w:rPr>
      </w:pPr>
    </w:p>
    <w:p w14:paraId="1ED4DF08" w14:textId="77777777" w:rsidR="00CD09C4" w:rsidRDefault="00CD09C4" w:rsidP="00CD09C4">
      <w:pPr>
        <w:jc w:val="center"/>
        <w:rPr>
          <w:rFonts w:asciiTheme="minorHAnsi" w:hAnsiTheme="minorHAnsi" w:cstheme="minorHAnsi"/>
          <w:b/>
          <w:iCs/>
          <w:sz w:val="22"/>
          <w:szCs w:val="22"/>
        </w:rPr>
      </w:pPr>
    </w:p>
    <w:p w14:paraId="7B7C8BB1" w14:textId="790062A2" w:rsidR="00EA6DB1" w:rsidRDefault="005A08AF" w:rsidP="00CD09C4">
      <w:pPr>
        <w:jc w:val="center"/>
        <w:rPr>
          <w:rFonts w:asciiTheme="minorHAnsi" w:hAnsiTheme="minorHAnsi" w:cstheme="minorHAnsi"/>
          <w:b/>
          <w:iCs/>
          <w:sz w:val="22"/>
          <w:szCs w:val="22"/>
        </w:rPr>
      </w:pPr>
      <w:r w:rsidRPr="00CD09C4">
        <w:rPr>
          <w:rFonts w:asciiTheme="minorHAnsi" w:hAnsiTheme="minorHAnsi" w:cstheme="minorHAnsi"/>
          <w:b/>
          <w:iCs/>
          <w:sz w:val="22"/>
          <w:szCs w:val="22"/>
        </w:rPr>
        <w:t>UNDP</w:t>
      </w:r>
      <w:r w:rsidR="00EA6DB1" w:rsidRPr="00CD09C4">
        <w:rPr>
          <w:rFonts w:asciiTheme="minorHAnsi" w:hAnsiTheme="minorHAnsi" w:cstheme="minorHAnsi"/>
          <w:b/>
          <w:iCs/>
          <w:sz w:val="22"/>
          <w:szCs w:val="22"/>
        </w:rPr>
        <w:t xml:space="preserve"> </w:t>
      </w:r>
      <w:r w:rsidR="00CD09C4" w:rsidRPr="00CD09C4">
        <w:rPr>
          <w:rFonts w:asciiTheme="minorHAnsi" w:hAnsiTheme="minorHAnsi" w:cstheme="minorHAnsi"/>
          <w:b/>
          <w:iCs/>
          <w:sz w:val="22"/>
          <w:szCs w:val="22"/>
        </w:rPr>
        <w:t>–</w:t>
      </w:r>
      <w:r w:rsidR="00EA6DB1" w:rsidRPr="00CD09C4">
        <w:rPr>
          <w:rFonts w:asciiTheme="minorHAnsi" w:hAnsiTheme="minorHAnsi" w:cstheme="minorHAnsi"/>
          <w:b/>
          <w:iCs/>
          <w:sz w:val="22"/>
          <w:szCs w:val="22"/>
        </w:rPr>
        <w:t xml:space="preserve"> KAZAKHSTAN</w:t>
      </w:r>
    </w:p>
    <w:p w14:paraId="0EAAA39F" w14:textId="77777777" w:rsidR="00CD09C4" w:rsidRDefault="00CD09C4" w:rsidP="00CD09C4">
      <w:pPr>
        <w:pStyle w:val="xmso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CD09C4" w:rsidRPr="007D66DF" w14:paraId="7F6833CF" w14:textId="77777777" w:rsidTr="00CD09C4">
        <w:tc>
          <w:tcPr>
            <w:tcW w:w="9895" w:type="dxa"/>
            <w:gridSpan w:val="2"/>
            <w:tcMar>
              <w:top w:w="0" w:type="dxa"/>
              <w:left w:w="108" w:type="dxa"/>
              <w:bottom w:w="0" w:type="dxa"/>
              <w:right w:w="108" w:type="dxa"/>
            </w:tcMar>
            <w:hideMark/>
          </w:tcPr>
          <w:p w14:paraId="4353C2E2" w14:textId="77777777" w:rsidR="00CD09C4" w:rsidRPr="007D66DF" w:rsidRDefault="00CD09C4" w:rsidP="009B4DF8">
            <w:pPr>
              <w:pStyle w:val="xmsonormal"/>
            </w:pPr>
            <w:r w:rsidRPr="007D66DF">
              <w:rPr>
                <w:i/>
                <w:iCs/>
              </w:rPr>
              <w:t>Outcome 1 - Countries have reinforced and integrated inclusive green economy (IGE) goals targets into SDG aligned national economic and development planning through multi-stakeholder collaboration.</w:t>
            </w:r>
          </w:p>
        </w:tc>
      </w:tr>
      <w:tr w:rsidR="00CD09C4" w:rsidRPr="007D66DF" w14:paraId="4817F29D" w14:textId="77777777" w:rsidTr="00CD09C4">
        <w:tc>
          <w:tcPr>
            <w:tcW w:w="1885" w:type="dxa"/>
            <w:tcMar>
              <w:top w:w="0" w:type="dxa"/>
              <w:left w:w="108" w:type="dxa"/>
              <w:bottom w:w="0" w:type="dxa"/>
              <w:right w:w="108" w:type="dxa"/>
            </w:tcMar>
            <w:hideMark/>
          </w:tcPr>
          <w:p w14:paraId="5B9898FD" w14:textId="77777777" w:rsidR="00CD09C4" w:rsidRPr="007D66DF" w:rsidRDefault="00CD09C4" w:rsidP="009B4DF8">
            <w:pPr>
              <w:pStyle w:val="xmsonormal"/>
            </w:pPr>
            <w:r w:rsidRPr="007D66DF">
              <w:rPr>
                <w:b/>
                <w:bCs/>
              </w:rPr>
              <w:t>Key achievements in 2024</w:t>
            </w:r>
          </w:p>
          <w:p w14:paraId="08320771" w14:textId="77777777" w:rsidR="00CD09C4" w:rsidRPr="007D66DF" w:rsidRDefault="00CD09C4" w:rsidP="009B4DF8">
            <w:pPr>
              <w:pStyle w:val="xmsonormal"/>
            </w:pPr>
            <w:r w:rsidRPr="007D66DF">
              <w:rPr>
                <w:b/>
                <w:bCs/>
              </w:rPr>
              <w:t> </w:t>
            </w:r>
          </w:p>
        </w:tc>
        <w:tc>
          <w:tcPr>
            <w:tcW w:w="8010" w:type="dxa"/>
            <w:tcMar>
              <w:top w:w="0" w:type="dxa"/>
              <w:left w:w="108" w:type="dxa"/>
              <w:bottom w:w="0" w:type="dxa"/>
              <w:right w:w="108" w:type="dxa"/>
            </w:tcMar>
            <w:hideMark/>
          </w:tcPr>
          <w:p w14:paraId="0E07D171" w14:textId="7791BC2E" w:rsidR="008453ED" w:rsidRPr="00D95842" w:rsidRDefault="008453ED" w:rsidP="009B4DF8">
            <w:pPr>
              <w:pStyle w:val="paragraph"/>
              <w:spacing w:before="0" w:beforeAutospacing="0" w:after="120" w:afterAutospacing="0"/>
              <w:textAlignment w:val="baseline"/>
              <w:rPr>
                <w:sz w:val="22"/>
                <w:szCs w:val="22"/>
              </w:rPr>
            </w:pPr>
            <w:r w:rsidRPr="00D95842">
              <w:rPr>
                <w:rFonts w:ascii="Calibri" w:hAnsi="Calibri" w:cs="Calibri"/>
                <w:sz w:val="22"/>
                <w:szCs w:val="22"/>
              </w:rPr>
              <w:t xml:space="preserve">The </w:t>
            </w:r>
            <w:r w:rsidR="00D95842">
              <w:rPr>
                <w:rFonts w:ascii="Calibri" w:hAnsi="Calibri" w:cs="Calibri"/>
                <w:sz w:val="22"/>
                <w:szCs w:val="22"/>
              </w:rPr>
              <w:t xml:space="preserve">following </w:t>
            </w:r>
            <w:r w:rsidRPr="00D95842">
              <w:rPr>
                <w:rFonts w:ascii="Calibri" w:hAnsi="Calibri" w:cs="Calibri"/>
                <w:sz w:val="22"/>
                <w:szCs w:val="22"/>
              </w:rPr>
              <w:t xml:space="preserve">activities </w:t>
            </w:r>
            <w:r w:rsidR="00D95842">
              <w:rPr>
                <w:rFonts w:ascii="Calibri" w:hAnsi="Calibri" w:cs="Calibri"/>
                <w:sz w:val="22"/>
                <w:szCs w:val="22"/>
              </w:rPr>
              <w:t xml:space="preserve">and results </w:t>
            </w:r>
            <w:r w:rsidRPr="00D95842">
              <w:rPr>
                <w:rFonts w:ascii="Calibri" w:hAnsi="Calibri" w:cs="Calibri"/>
                <w:sz w:val="22"/>
                <w:szCs w:val="22"/>
              </w:rPr>
              <w:t xml:space="preserve">have been </w:t>
            </w:r>
            <w:r w:rsidR="006F3040">
              <w:rPr>
                <w:rFonts w:ascii="Calibri" w:hAnsi="Calibri" w:cs="Calibri"/>
                <w:sz w:val="22"/>
                <w:szCs w:val="22"/>
              </w:rPr>
              <w:t>delivered</w:t>
            </w:r>
            <w:r w:rsidRPr="00D95842">
              <w:rPr>
                <w:rFonts w:ascii="Calibri" w:hAnsi="Calibri" w:cs="Calibri"/>
                <w:sz w:val="22"/>
                <w:szCs w:val="22"/>
              </w:rPr>
              <w:t xml:space="preserve"> by UNDP-PAGE</w:t>
            </w:r>
            <w:r w:rsidRPr="00D95842">
              <w:rPr>
                <w:sz w:val="22"/>
                <w:szCs w:val="22"/>
              </w:rPr>
              <w:t>:</w:t>
            </w:r>
          </w:p>
          <w:p w14:paraId="73187D91" w14:textId="773A6EE3" w:rsidR="00CD09C4" w:rsidRPr="007D66DF" w:rsidRDefault="00CD09C4" w:rsidP="009B4DF8">
            <w:pPr>
              <w:pStyle w:val="paragraph"/>
              <w:spacing w:before="0" w:beforeAutospacing="0" w:after="120" w:afterAutospacing="0"/>
              <w:textAlignment w:val="baseline"/>
              <w:rPr>
                <w:rFonts w:ascii="Calibri" w:hAnsi="Calibri" w:cs="Calibri"/>
                <w:sz w:val="22"/>
                <w:szCs w:val="22"/>
              </w:rPr>
            </w:pPr>
            <w:r w:rsidRPr="007D66DF">
              <w:rPr>
                <w:rStyle w:val="normaltextrun"/>
                <w:rFonts w:ascii="Calibri" w:hAnsi="Calibri" w:cs="Calibri"/>
                <w:b/>
                <w:bCs/>
                <w:sz w:val="22"/>
                <w:szCs w:val="22"/>
              </w:rPr>
              <w:t>Environmental Quality Standards</w:t>
            </w:r>
            <w:r w:rsidR="006F3040">
              <w:rPr>
                <w:rStyle w:val="normaltextrun"/>
                <w:rFonts w:ascii="Calibri" w:hAnsi="Calibri" w:cs="Calibri"/>
                <w:b/>
                <w:bCs/>
                <w:sz w:val="22"/>
                <w:szCs w:val="22"/>
              </w:rPr>
              <w:t>:</w:t>
            </w:r>
            <w:r w:rsidR="006F3040">
              <w:rPr>
                <w:rStyle w:val="normaltextrun"/>
                <w:rFonts w:ascii="Calibri" w:hAnsi="Calibri" w:cs="Calibri"/>
                <w:b/>
                <w:bCs/>
              </w:rPr>
              <w:t xml:space="preserve"> </w:t>
            </w:r>
            <w:r w:rsidRPr="007D66DF">
              <w:rPr>
                <w:rFonts w:ascii="Calibri" w:hAnsi="Calibri" w:cs="Calibri"/>
                <w:sz w:val="22"/>
                <w:szCs w:val="22"/>
              </w:rPr>
              <w:t>Kazakhstan is advancing its environmental regulatory framework with the development of recommendations for Environmental Quality Standards (EQS), which define permissible levels of anthropogenic impact on the environment. The recommendations, developed by PAGE, identify critical substances, physical factors and biological indicators requiring regulatory oversight, thereby enhancing the country’s capacity to protect natural resources and reduce negative impacts of economic activity on the environment and human health.</w:t>
            </w:r>
          </w:p>
          <w:p w14:paraId="4F706B17" w14:textId="48D63383" w:rsidR="00CD09C4" w:rsidRPr="007D66DF" w:rsidRDefault="00CD09C4" w:rsidP="009B4DF8">
            <w:pPr>
              <w:pStyle w:val="paragraph"/>
              <w:spacing w:before="0" w:beforeAutospacing="0" w:after="120" w:afterAutospacing="0"/>
              <w:textAlignment w:val="baseline"/>
              <w:rPr>
                <w:rFonts w:ascii="Calibri" w:eastAsia="Calibri" w:hAnsi="Calibri" w:cs="Calibri"/>
                <w:sz w:val="22"/>
                <w:szCs w:val="22"/>
              </w:rPr>
            </w:pPr>
            <w:r w:rsidRPr="007D66DF">
              <w:rPr>
                <w:rFonts w:ascii="Calibri" w:eastAsia="Calibri" w:hAnsi="Calibri" w:cs="Calibri"/>
                <w:b/>
                <w:bCs/>
                <w:sz w:val="22"/>
                <w:szCs w:val="22"/>
              </w:rPr>
              <w:t>Adoption of Kazakhstan’s updated Green Economy Concept and Action Plan</w:t>
            </w:r>
            <w:r w:rsidR="006F3040">
              <w:rPr>
                <w:rFonts w:ascii="Calibri" w:eastAsia="Calibri" w:hAnsi="Calibri" w:cs="Calibri"/>
                <w:b/>
                <w:bCs/>
                <w:sz w:val="22"/>
                <w:szCs w:val="22"/>
              </w:rPr>
              <w:t xml:space="preserve">: </w:t>
            </w:r>
            <w:r w:rsidRPr="007D66DF">
              <w:rPr>
                <w:rFonts w:ascii="Calibri" w:eastAsia="Calibri" w:hAnsi="Calibri" w:cs="Calibri"/>
                <w:sz w:val="22"/>
                <w:szCs w:val="22"/>
              </w:rPr>
              <w:t xml:space="preserve">PAGE supported the Government of Kazakhstan to update the national Green Economy Concept (GEC), which was adopted in June 2024. The revised document aligns national policies, regulations and commitments with the SDGs targets and indicators, as well as other international agreements, such as the Paris Climate Agreement. The concept reinforces the plans of the government, as reiterated by the national Green Economy Council, to achieve carbon neutrality by 2060. In November, the government approved the Action Plan for the Implementation of the Concept of Transition to a Green Economy for 2024–2030. The plan outlines the strategic roadmap for advancing Kazakhstan’s transition to a green economy, aligning with the country’s commitments to sustainable development and global climate goals. It establishes a framework for </w:t>
            </w:r>
            <w:r w:rsidRPr="007D66DF">
              <w:rPr>
                <w:rFonts w:ascii="Calibri" w:eastAsia="Calibri" w:hAnsi="Calibri" w:cs="Calibri"/>
                <w:sz w:val="22"/>
                <w:szCs w:val="22"/>
              </w:rPr>
              <w:lastRenderedPageBreak/>
              <w:t>achieving key objectives such as decarbonization, increased energy efficiency and sustainable resource management, while ensuring economic resilience and social inclusivity.</w:t>
            </w:r>
          </w:p>
          <w:p w14:paraId="0D5D1C6B" w14:textId="72ACBD9A" w:rsidR="00CD09C4" w:rsidRPr="007D66DF" w:rsidRDefault="00CD09C4" w:rsidP="006F3040">
            <w:pPr>
              <w:pStyle w:val="paragraph"/>
              <w:spacing w:before="0" w:beforeAutospacing="0" w:after="120" w:afterAutospacing="0"/>
              <w:textAlignment w:val="baseline"/>
              <w:rPr>
                <w:rFonts w:ascii="Calibri" w:hAnsi="Calibri" w:cs="Calibri"/>
                <w:b/>
                <w:bCs/>
                <w:sz w:val="22"/>
                <w:szCs w:val="22"/>
              </w:rPr>
            </w:pPr>
            <w:r w:rsidRPr="007D66DF">
              <w:rPr>
                <w:rFonts w:ascii="Calibri" w:eastAsia="Calibri" w:hAnsi="Calibri" w:cs="Calibri"/>
                <w:b/>
                <w:bCs/>
                <w:sz w:val="22"/>
                <w:szCs w:val="22"/>
              </w:rPr>
              <w:t>Update of Water Code</w:t>
            </w:r>
            <w:r w:rsidR="006F3040">
              <w:rPr>
                <w:rFonts w:ascii="Calibri" w:eastAsia="Calibri" w:hAnsi="Calibri" w:cs="Calibri"/>
                <w:b/>
                <w:bCs/>
                <w:sz w:val="22"/>
                <w:szCs w:val="22"/>
              </w:rPr>
              <w:t xml:space="preserve">: </w:t>
            </w:r>
            <w:r w:rsidRPr="007D66DF">
              <w:rPr>
                <w:rFonts w:ascii="Calibri" w:eastAsia="Calibri" w:hAnsi="Calibri" w:cs="Calibri"/>
                <w:sz w:val="22"/>
                <w:szCs w:val="22"/>
              </w:rPr>
              <w:t xml:space="preserve">Kazakhstan’s Water Code focuses primarily on the economic use of water resources, with limited emphasis on conservation, sustainability or ecosystem preservation. In response to these shortcomings, the newly established Ministry of Water Resources and Irrigation sought PAGE’s expertise to support amendments to the legislation. PAGE participated in parliamentary working group meetings, advocating for key updates to address flood protection, watershed management, public participation in water governance, conservation, climate adaptation, and enforcement of related legislation. PAGE presented these suggestions to representatives from </w:t>
            </w:r>
            <w:r w:rsidR="00644B81">
              <w:rPr>
                <w:rFonts w:ascii="Calibri" w:eastAsia="Calibri" w:hAnsi="Calibri" w:cs="Calibri"/>
                <w:sz w:val="22"/>
                <w:szCs w:val="22"/>
              </w:rPr>
              <w:t>all relevant line</w:t>
            </w:r>
            <w:r w:rsidR="002A6C39">
              <w:rPr>
                <w:rFonts w:ascii="Calibri" w:eastAsia="Calibri" w:hAnsi="Calibri" w:cs="Calibri"/>
                <w:sz w:val="22"/>
                <w:szCs w:val="22"/>
              </w:rPr>
              <w:t xml:space="preserve"> </w:t>
            </w:r>
            <w:r w:rsidR="00644B81">
              <w:rPr>
                <w:rFonts w:ascii="Calibri" w:eastAsia="Calibri" w:hAnsi="Calibri" w:cs="Calibri"/>
                <w:sz w:val="22"/>
                <w:szCs w:val="22"/>
              </w:rPr>
              <w:t>ministries (</w:t>
            </w:r>
            <w:r w:rsidR="006813A6">
              <w:rPr>
                <w:rFonts w:ascii="Calibri" w:eastAsia="Calibri" w:hAnsi="Calibri" w:cs="Calibri"/>
                <w:sz w:val="22"/>
                <w:szCs w:val="22"/>
              </w:rPr>
              <w:t>Ministries of national economy, finance, ecology and natural resources, agriculture</w:t>
            </w:r>
            <w:r w:rsidR="003840D4">
              <w:rPr>
                <w:rFonts w:ascii="Calibri" w:eastAsia="Calibri" w:hAnsi="Calibri" w:cs="Calibri"/>
                <w:sz w:val="22"/>
                <w:szCs w:val="22"/>
              </w:rPr>
              <w:t>, water resources, energy, and others)</w:t>
            </w:r>
            <w:r w:rsidR="003840D4" w:rsidRPr="007D66DF" w:rsidDel="003840D4">
              <w:rPr>
                <w:rFonts w:ascii="Calibri" w:eastAsia="Calibri" w:hAnsi="Calibri" w:cs="Calibri"/>
                <w:sz w:val="22"/>
                <w:szCs w:val="22"/>
              </w:rPr>
              <w:t xml:space="preserve"> </w:t>
            </w:r>
            <w:r w:rsidRPr="007D66DF">
              <w:rPr>
                <w:rFonts w:ascii="Calibri" w:eastAsia="Calibri" w:hAnsi="Calibri" w:cs="Calibri"/>
                <w:sz w:val="22"/>
                <w:szCs w:val="22"/>
              </w:rPr>
              <w:t>, NGOs and other stakeholders, emphasizing the importance of strengthening oversight and the role of sustainable water resource management frameworks. The revised version of the Water Code is expected to be adopted in early 2025.</w:t>
            </w:r>
          </w:p>
        </w:tc>
      </w:tr>
      <w:tr w:rsidR="00CD09C4" w:rsidRPr="007D66DF" w14:paraId="5D5C391E" w14:textId="77777777" w:rsidTr="00CD09C4">
        <w:tc>
          <w:tcPr>
            <w:tcW w:w="1885" w:type="dxa"/>
            <w:tcMar>
              <w:top w:w="0" w:type="dxa"/>
              <w:left w:w="108" w:type="dxa"/>
              <w:bottom w:w="0" w:type="dxa"/>
              <w:right w:w="108" w:type="dxa"/>
            </w:tcMar>
            <w:hideMark/>
          </w:tcPr>
          <w:p w14:paraId="59C33E49" w14:textId="77777777" w:rsidR="00CD09C4" w:rsidRPr="007D66DF" w:rsidRDefault="00CD09C4" w:rsidP="009B4DF8">
            <w:pPr>
              <w:pStyle w:val="xmsonormal"/>
            </w:pPr>
            <w:r w:rsidRPr="007D66DF">
              <w:rPr>
                <w:b/>
                <w:bCs/>
              </w:rPr>
              <w:lastRenderedPageBreak/>
              <w:t>Key Achievements 2024</w:t>
            </w:r>
            <w:r w:rsidRPr="007D66DF">
              <w:t xml:space="preserve"> (Add. Support for Green Recovery)</w:t>
            </w:r>
          </w:p>
        </w:tc>
        <w:tc>
          <w:tcPr>
            <w:tcW w:w="8010" w:type="dxa"/>
            <w:tcMar>
              <w:top w:w="0" w:type="dxa"/>
              <w:left w:w="108" w:type="dxa"/>
              <w:bottom w:w="0" w:type="dxa"/>
              <w:right w:w="108" w:type="dxa"/>
            </w:tcMar>
            <w:hideMark/>
          </w:tcPr>
          <w:p w14:paraId="32395AC6" w14:textId="4DAB2C1F" w:rsidR="00CD09C4" w:rsidRPr="007D66DF" w:rsidRDefault="00CD09C4" w:rsidP="009B4DF8">
            <w:pPr>
              <w:pStyle w:val="xmsonormal"/>
              <w:spacing w:after="200"/>
            </w:pPr>
            <w:r w:rsidRPr="007D66DF">
              <w:t> </w:t>
            </w:r>
            <w:r w:rsidR="007958A5">
              <w:t>n/a</w:t>
            </w:r>
          </w:p>
        </w:tc>
      </w:tr>
    </w:tbl>
    <w:p w14:paraId="36080FE9" w14:textId="77777777" w:rsidR="00CD09C4" w:rsidRDefault="00CD09C4" w:rsidP="00CD09C4">
      <w:pPr>
        <w:pStyle w:val="xmsonormal"/>
      </w:pPr>
      <w:r>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CD09C4" w14:paraId="2348DE1A" w14:textId="77777777" w:rsidTr="007958A5">
        <w:tc>
          <w:tcPr>
            <w:tcW w:w="9895" w:type="dxa"/>
            <w:gridSpan w:val="2"/>
            <w:tcMar>
              <w:top w:w="0" w:type="dxa"/>
              <w:left w:w="108" w:type="dxa"/>
              <w:bottom w:w="0" w:type="dxa"/>
              <w:right w:w="108" w:type="dxa"/>
            </w:tcMar>
            <w:hideMark/>
          </w:tcPr>
          <w:p w14:paraId="6E573994" w14:textId="77777777" w:rsidR="00CD09C4" w:rsidRDefault="00CD09C4" w:rsidP="009B4DF8">
            <w:pPr>
              <w:pStyle w:val="xmsonormal"/>
            </w:pPr>
            <w:r>
              <w:rPr>
                <w:i/>
                <w:iCs/>
              </w:rPr>
              <w:t>Outcome 2 - Countries are implementing evidence based sectoral and thematic reforms in line with national IGE priorities</w:t>
            </w:r>
            <w:r>
              <w:t>.</w:t>
            </w:r>
          </w:p>
        </w:tc>
      </w:tr>
      <w:tr w:rsidR="00CD09C4" w14:paraId="31BA6E3D" w14:textId="77777777" w:rsidTr="007958A5">
        <w:tc>
          <w:tcPr>
            <w:tcW w:w="1885" w:type="dxa"/>
            <w:tcMar>
              <w:top w:w="0" w:type="dxa"/>
              <w:left w:w="108" w:type="dxa"/>
              <w:bottom w:w="0" w:type="dxa"/>
              <w:right w:w="108" w:type="dxa"/>
            </w:tcMar>
            <w:hideMark/>
          </w:tcPr>
          <w:p w14:paraId="3D7D3E52" w14:textId="77777777" w:rsidR="00CD09C4" w:rsidRDefault="00CD09C4" w:rsidP="009B4DF8">
            <w:pPr>
              <w:pStyle w:val="xmsonormal"/>
            </w:pPr>
            <w:r>
              <w:rPr>
                <w:b/>
                <w:bCs/>
              </w:rPr>
              <w:t>Key achievements in 2024</w:t>
            </w:r>
          </w:p>
        </w:tc>
        <w:tc>
          <w:tcPr>
            <w:tcW w:w="8010" w:type="dxa"/>
            <w:tcMar>
              <w:top w:w="0" w:type="dxa"/>
              <w:left w:w="108" w:type="dxa"/>
              <w:bottom w:w="0" w:type="dxa"/>
              <w:right w:w="108" w:type="dxa"/>
            </w:tcMar>
            <w:hideMark/>
          </w:tcPr>
          <w:p w14:paraId="307FE10C" w14:textId="41C0A1F3" w:rsidR="00CD09C4" w:rsidRDefault="003840D4" w:rsidP="006F3040">
            <w:pPr>
              <w:pStyle w:val="xmsonormal"/>
              <w:rPr>
                <w:rStyle w:val="normaltextrun"/>
              </w:rPr>
            </w:pPr>
            <w:r>
              <w:rPr>
                <w:rStyle w:val="normaltextrun"/>
                <w:b/>
                <w:bCs/>
              </w:rPr>
              <w:t xml:space="preserve">UNDP-PAE also supported the </w:t>
            </w:r>
            <w:r w:rsidR="00CD09C4" w:rsidRPr="00DC647B">
              <w:rPr>
                <w:rStyle w:val="normaltextrun"/>
                <w:b/>
                <w:bCs/>
              </w:rPr>
              <w:t>Strategic Environmental Assessment</w:t>
            </w:r>
            <w:r w:rsidR="006F3040">
              <w:rPr>
                <w:rStyle w:val="normaltextrun"/>
                <w:b/>
                <w:bCs/>
              </w:rPr>
              <w:t>:</w:t>
            </w:r>
            <w:r w:rsidR="006F3040">
              <w:rPr>
                <w:rStyle w:val="normaltextrun"/>
              </w:rPr>
              <w:t xml:space="preserve"> </w:t>
            </w:r>
            <w:r w:rsidR="00CD09C4" w:rsidRPr="007332B0">
              <w:rPr>
                <w:rStyle w:val="normaltextrun"/>
              </w:rPr>
              <w:t>The Ministry of Ecology and Natural Resources of Kazakhstan approved the Strategic Environmental Assessment (SEA) for the Astana City Masterplan</w:t>
            </w:r>
            <w:r w:rsidR="00CD09C4">
              <w:rPr>
                <w:rStyle w:val="normaltextrun"/>
              </w:rPr>
              <w:t xml:space="preserve"> in 2023</w:t>
            </w:r>
            <w:r w:rsidR="00CD09C4" w:rsidRPr="007332B0">
              <w:rPr>
                <w:rStyle w:val="normaltextrun"/>
              </w:rPr>
              <w:t xml:space="preserve">, marking a significant step forward in implementing SEA methodologies in urban planning. Building on this, PAGE provided support to the </w:t>
            </w:r>
            <w:r w:rsidR="00CD09C4">
              <w:rPr>
                <w:rStyle w:val="normaltextrun"/>
              </w:rPr>
              <w:t>m</w:t>
            </w:r>
            <w:r w:rsidR="00CD09C4" w:rsidRPr="007332B0">
              <w:rPr>
                <w:rStyle w:val="normaltextrun"/>
              </w:rPr>
              <w:t xml:space="preserve">inistry for the SEA procedure of the </w:t>
            </w:r>
            <w:proofErr w:type="spellStart"/>
            <w:r w:rsidR="00CD09C4" w:rsidRPr="007332B0">
              <w:rPr>
                <w:rStyle w:val="normaltextrun"/>
              </w:rPr>
              <w:t>Semey</w:t>
            </w:r>
            <w:proofErr w:type="spellEnd"/>
            <w:r w:rsidR="00CD09C4" w:rsidRPr="007332B0">
              <w:rPr>
                <w:rStyle w:val="normaltextrun"/>
              </w:rPr>
              <w:t xml:space="preserve"> City Masterplan</w:t>
            </w:r>
            <w:r w:rsidR="00CD09C4">
              <w:rPr>
                <w:rStyle w:val="normaltextrun"/>
              </w:rPr>
              <w:t xml:space="preserve"> in 2024 </w:t>
            </w:r>
            <w:r w:rsidR="00CD09C4" w:rsidRPr="007332B0">
              <w:rPr>
                <w:rStyle w:val="normaltextrun"/>
              </w:rPr>
              <w:t>to test the SEA methodology, checklist and instructions. During this process, discrepancies were identified between the Environmental Code and existing SEA instructions, prompting necessary corrections to ensure methodological coherence and legislative alignment.</w:t>
            </w:r>
          </w:p>
          <w:p w14:paraId="43A01CC2" w14:textId="77777777" w:rsidR="006F3040" w:rsidRPr="007332B0" w:rsidRDefault="006F3040" w:rsidP="006F3040">
            <w:pPr>
              <w:pStyle w:val="xmsonormal"/>
              <w:rPr>
                <w:rStyle w:val="normaltextrun"/>
              </w:rPr>
            </w:pPr>
          </w:p>
          <w:p w14:paraId="34E95497" w14:textId="77777777" w:rsidR="00CD09C4" w:rsidRPr="007332B0" w:rsidRDefault="00CD09C4" w:rsidP="009B4DF8">
            <w:pPr>
              <w:pStyle w:val="paragraph"/>
              <w:spacing w:before="0" w:beforeAutospacing="0" w:after="120" w:afterAutospacing="0"/>
              <w:jc w:val="both"/>
              <w:textAlignment w:val="baseline"/>
              <w:rPr>
                <w:rStyle w:val="normaltextrun"/>
                <w:rFonts w:ascii="Calibri" w:hAnsi="Calibri" w:cs="Calibri"/>
                <w:sz w:val="22"/>
                <w:szCs w:val="22"/>
              </w:rPr>
            </w:pPr>
            <w:r w:rsidRPr="007332B0">
              <w:rPr>
                <w:rStyle w:val="normaltextrun"/>
                <w:rFonts w:ascii="Calibri" w:hAnsi="Calibri" w:cs="Calibri"/>
                <w:sz w:val="22"/>
                <w:szCs w:val="22"/>
              </w:rPr>
              <w:t xml:space="preserve">On </w:t>
            </w:r>
            <w:r>
              <w:rPr>
                <w:rStyle w:val="normaltextrun"/>
                <w:rFonts w:ascii="Calibri" w:hAnsi="Calibri" w:cs="Calibri"/>
                <w:sz w:val="22"/>
                <w:szCs w:val="22"/>
              </w:rPr>
              <w:t xml:space="preserve">29 </w:t>
            </w:r>
            <w:r w:rsidRPr="007332B0">
              <w:rPr>
                <w:rStyle w:val="normaltextrun"/>
                <w:rFonts w:ascii="Calibri" w:hAnsi="Calibri" w:cs="Calibri"/>
                <w:sz w:val="22"/>
                <w:szCs w:val="22"/>
              </w:rPr>
              <w:t>August, a virtual presentation and training session on the "Methodology for Conducting Strategic Environmental Assessment</w:t>
            </w:r>
            <w:r>
              <w:rPr>
                <w:rStyle w:val="normaltextrun"/>
                <w:rFonts w:ascii="Calibri" w:hAnsi="Calibri" w:cs="Calibri"/>
                <w:sz w:val="22"/>
                <w:szCs w:val="22"/>
              </w:rPr>
              <w:t>s</w:t>
            </w:r>
            <w:r w:rsidRPr="007332B0">
              <w:rPr>
                <w:rStyle w:val="normaltextrun"/>
                <w:rFonts w:ascii="Calibri" w:hAnsi="Calibri" w:cs="Calibri"/>
                <w:sz w:val="22"/>
                <w:szCs w:val="22"/>
              </w:rPr>
              <w:t>" was held</w:t>
            </w:r>
            <w:r>
              <w:rPr>
                <w:rStyle w:val="normaltextrun"/>
                <w:rFonts w:ascii="Calibri" w:hAnsi="Calibri" w:cs="Calibri"/>
                <w:sz w:val="22"/>
                <w:szCs w:val="22"/>
              </w:rPr>
              <w:t xml:space="preserve"> for </w:t>
            </w:r>
            <w:r w:rsidRPr="007332B0">
              <w:rPr>
                <w:rStyle w:val="normaltextrun"/>
                <w:rFonts w:ascii="Calibri" w:hAnsi="Calibri" w:cs="Calibri"/>
                <w:sz w:val="22"/>
                <w:szCs w:val="22"/>
              </w:rPr>
              <w:t>representatives from government agencies</w:t>
            </w:r>
            <w:r>
              <w:rPr>
                <w:rStyle w:val="normaltextrun"/>
                <w:rFonts w:ascii="Calibri" w:hAnsi="Calibri" w:cs="Calibri"/>
                <w:sz w:val="22"/>
                <w:szCs w:val="22"/>
              </w:rPr>
              <w:t xml:space="preserve"> </w:t>
            </w:r>
            <w:r w:rsidRPr="007332B0">
              <w:rPr>
                <w:rStyle w:val="normaltextrun"/>
                <w:rFonts w:ascii="Calibri" w:hAnsi="Calibri" w:cs="Calibri"/>
                <w:sz w:val="22"/>
                <w:szCs w:val="22"/>
              </w:rPr>
              <w:t xml:space="preserve">and experts. The session introduced SEA fundamentals, highlighted legislative requirements, and shared practical recommendations from the draft methodology. Participants gained insights into organizing SEA procedures, including cost estimation, stakeholder engagement and procedural timelines. </w:t>
            </w:r>
          </w:p>
          <w:p w14:paraId="765EE66A" w14:textId="77777777" w:rsidR="00CD09C4" w:rsidRDefault="00CD09C4" w:rsidP="009B4DF8">
            <w:pPr>
              <w:pStyle w:val="xmsonormal"/>
            </w:pPr>
          </w:p>
        </w:tc>
      </w:tr>
      <w:tr w:rsidR="00CD09C4" w14:paraId="54981C3E" w14:textId="77777777" w:rsidTr="007958A5">
        <w:tc>
          <w:tcPr>
            <w:tcW w:w="1885" w:type="dxa"/>
            <w:tcMar>
              <w:top w:w="0" w:type="dxa"/>
              <w:left w:w="108" w:type="dxa"/>
              <w:bottom w:w="0" w:type="dxa"/>
              <w:right w:w="108" w:type="dxa"/>
            </w:tcMar>
            <w:hideMark/>
          </w:tcPr>
          <w:p w14:paraId="5823EC35" w14:textId="77777777" w:rsidR="00CD09C4" w:rsidRDefault="00CD09C4" w:rsidP="009B4DF8">
            <w:pPr>
              <w:pStyle w:val="xmsonormal"/>
            </w:pPr>
            <w:r>
              <w:rPr>
                <w:b/>
                <w:bCs/>
              </w:rPr>
              <w:t>Key Achievements 2024</w:t>
            </w:r>
            <w:r>
              <w:t xml:space="preserve"> (Add. Support for Green Recovery)</w:t>
            </w:r>
          </w:p>
        </w:tc>
        <w:tc>
          <w:tcPr>
            <w:tcW w:w="8010" w:type="dxa"/>
            <w:tcMar>
              <w:top w:w="0" w:type="dxa"/>
              <w:left w:w="108" w:type="dxa"/>
              <w:bottom w:w="0" w:type="dxa"/>
              <w:right w:w="108" w:type="dxa"/>
            </w:tcMar>
            <w:hideMark/>
          </w:tcPr>
          <w:p w14:paraId="7529831E" w14:textId="43364118" w:rsidR="00CD09C4" w:rsidRDefault="00CD09C4" w:rsidP="009B4DF8">
            <w:pPr>
              <w:pStyle w:val="xdefault"/>
            </w:pPr>
            <w:r>
              <w:rPr>
                <w:sz w:val="22"/>
                <w:szCs w:val="22"/>
              </w:rPr>
              <w:t> </w:t>
            </w:r>
            <w:r w:rsidR="007958A5">
              <w:t>n/a</w:t>
            </w:r>
          </w:p>
        </w:tc>
      </w:tr>
    </w:tbl>
    <w:p w14:paraId="6A806A96" w14:textId="77777777" w:rsidR="00CD09C4" w:rsidRDefault="00CD09C4" w:rsidP="00CD09C4">
      <w:pPr>
        <w:pStyle w:val="xmsonormal"/>
      </w:pPr>
      <w:r>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CD09C4" w14:paraId="3A9014A0" w14:textId="77777777" w:rsidTr="007958A5">
        <w:tc>
          <w:tcPr>
            <w:tcW w:w="9895" w:type="dxa"/>
            <w:gridSpan w:val="2"/>
            <w:tcMar>
              <w:top w:w="0" w:type="dxa"/>
              <w:left w:w="108" w:type="dxa"/>
              <w:bottom w:w="0" w:type="dxa"/>
              <w:right w:w="108" w:type="dxa"/>
            </w:tcMar>
            <w:hideMark/>
          </w:tcPr>
          <w:p w14:paraId="5B85E431" w14:textId="77777777" w:rsidR="00CD09C4" w:rsidRDefault="00CD09C4" w:rsidP="009B4DF8">
            <w:pPr>
              <w:pStyle w:val="xmsonormal"/>
            </w:pPr>
            <w:r>
              <w:rPr>
                <w:i/>
                <w:iCs/>
              </w:rPr>
              <w:t xml:space="preserve">Outcome 3 - Individual, institutional and planning capacities for IGE action strengthened at the </w:t>
            </w:r>
            <w:r>
              <w:rPr>
                <w:i/>
                <w:iCs/>
                <w:u w:val="single"/>
              </w:rPr>
              <w:t>national</w:t>
            </w:r>
            <w:r>
              <w:rPr>
                <w:i/>
                <w:iCs/>
              </w:rPr>
              <w:t xml:space="preserve"> and (global) level.</w:t>
            </w:r>
          </w:p>
        </w:tc>
      </w:tr>
      <w:tr w:rsidR="00CD09C4" w14:paraId="6930205B" w14:textId="77777777" w:rsidTr="007958A5">
        <w:tc>
          <w:tcPr>
            <w:tcW w:w="1885" w:type="dxa"/>
            <w:tcMar>
              <w:top w:w="0" w:type="dxa"/>
              <w:left w:w="108" w:type="dxa"/>
              <w:bottom w:w="0" w:type="dxa"/>
              <w:right w:w="108" w:type="dxa"/>
            </w:tcMar>
            <w:hideMark/>
          </w:tcPr>
          <w:p w14:paraId="44741C63" w14:textId="77777777" w:rsidR="00CD09C4" w:rsidRDefault="00CD09C4" w:rsidP="009B4DF8">
            <w:pPr>
              <w:pStyle w:val="xmsonormal"/>
            </w:pPr>
            <w:r>
              <w:rPr>
                <w:b/>
                <w:bCs/>
              </w:rPr>
              <w:lastRenderedPageBreak/>
              <w:t>Key achievements in 2024</w:t>
            </w:r>
          </w:p>
        </w:tc>
        <w:tc>
          <w:tcPr>
            <w:tcW w:w="8010" w:type="dxa"/>
            <w:tcMar>
              <w:top w:w="0" w:type="dxa"/>
              <w:left w:w="108" w:type="dxa"/>
              <w:bottom w:w="0" w:type="dxa"/>
              <w:right w:w="108" w:type="dxa"/>
            </w:tcMar>
            <w:hideMark/>
          </w:tcPr>
          <w:p w14:paraId="3571C8C6" w14:textId="136C103C" w:rsidR="00CD09C4" w:rsidRDefault="00CD09C4" w:rsidP="009B4DF8">
            <w:pPr>
              <w:pStyle w:val="xmsonormal"/>
            </w:pPr>
            <w:r>
              <w:rPr>
                <w:b/>
                <w:bCs/>
              </w:rPr>
              <w:t> </w:t>
            </w:r>
            <w:r w:rsidR="007958A5">
              <w:t>n/a</w:t>
            </w:r>
          </w:p>
        </w:tc>
      </w:tr>
      <w:tr w:rsidR="00CD09C4" w14:paraId="2EE2F44E" w14:textId="77777777" w:rsidTr="007958A5">
        <w:tc>
          <w:tcPr>
            <w:tcW w:w="1885" w:type="dxa"/>
            <w:tcMar>
              <w:top w:w="0" w:type="dxa"/>
              <w:left w:w="108" w:type="dxa"/>
              <w:bottom w:w="0" w:type="dxa"/>
              <w:right w:w="108" w:type="dxa"/>
            </w:tcMar>
            <w:hideMark/>
          </w:tcPr>
          <w:p w14:paraId="76562762" w14:textId="77777777" w:rsidR="00CD09C4" w:rsidRDefault="00CD09C4" w:rsidP="009B4DF8">
            <w:pPr>
              <w:pStyle w:val="xmsonormal"/>
            </w:pPr>
            <w:r>
              <w:rPr>
                <w:b/>
                <w:bCs/>
              </w:rPr>
              <w:t>Key Achievements 2024</w:t>
            </w:r>
            <w:r>
              <w:t xml:space="preserve"> (Add. Support for Green Recovery)</w:t>
            </w:r>
          </w:p>
        </w:tc>
        <w:tc>
          <w:tcPr>
            <w:tcW w:w="8010" w:type="dxa"/>
            <w:tcMar>
              <w:top w:w="0" w:type="dxa"/>
              <w:left w:w="108" w:type="dxa"/>
              <w:bottom w:w="0" w:type="dxa"/>
              <w:right w:w="108" w:type="dxa"/>
            </w:tcMar>
            <w:hideMark/>
          </w:tcPr>
          <w:p w14:paraId="6231E31F" w14:textId="33B79175" w:rsidR="00CD09C4" w:rsidRDefault="00CD09C4" w:rsidP="009B4DF8">
            <w:pPr>
              <w:pStyle w:val="xmsonormal"/>
              <w:spacing w:after="200"/>
            </w:pPr>
            <w:r>
              <w:t> </w:t>
            </w:r>
            <w:r w:rsidR="007958A5">
              <w:t>n/a</w:t>
            </w:r>
          </w:p>
        </w:tc>
      </w:tr>
    </w:tbl>
    <w:p w14:paraId="53C31838" w14:textId="77777777" w:rsidR="00CD09C4" w:rsidRDefault="00CD09C4" w:rsidP="00CD09C4">
      <w:pPr>
        <w:pStyle w:val="xmsonormal"/>
      </w:pPr>
      <w:r>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CD09C4" w14:paraId="5126D53E" w14:textId="77777777" w:rsidTr="007958A5">
        <w:tc>
          <w:tcPr>
            <w:tcW w:w="9895" w:type="dxa"/>
            <w:gridSpan w:val="2"/>
            <w:tcMar>
              <w:top w:w="0" w:type="dxa"/>
              <w:left w:w="108" w:type="dxa"/>
              <w:bottom w:w="0" w:type="dxa"/>
              <w:right w:w="108" w:type="dxa"/>
            </w:tcMar>
            <w:hideMark/>
          </w:tcPr>
          <w:p w14:paraId="7E850BE9" w14:textId="77777777" w:rsidR="00CD09C4" w:rsidRDefault="00CD09C4" w:rsidP="009B4DF8">
            <w:pPr>
              <w:pStyle w:val="xmsonormal"/>
            </w:pPr>
            <w:r>
              <w:t xml:space="preserve">Outcome 4 - </w:t>
            </w:r>
            <w:r>
              <w:rPr>
                <w:i/>
                <w:iCs/>
                <w:lang w:val="en-GB"/>
              </w:rPr>
              <w:t>National and regional stakeholders, including green economy champions, decision-makers, practitioners, and youth representatives, access and apply knowledge for advancing IGE.</w:t>
            </w:r>
          </w:p>
        </w:tc>
      </w:tr>
      <w:tr w:rsidR="00CD09C4" w14:paraId="56C1EFA0" w14:textId="77777777" w:rsidTr="007958A5">
        <w:tc>
          <w:tcPr>
            <w:tcW w:w="1885" w:type="dxa"/>
            <w:tcMar>
              <w:top w:w="0" w:type="dxa"/>
              <w:left w:w="108" w:type="dxa"/>
              <w:bottom w:w="0" w:type="dxa"/>
              <w:right w:w="108" w:type="dxa"/>
            </w:tcMar>
            <w:hideMark/>
          </w:tcPr>
          <w:p w14:paraId="59CF7F11" w14:textId="77777777" w:rsidR="00CD09C4" w:rsidRDefault="00CD09C4" w:rsidP="009B4DF8">
            <w:pPr>
              <w:pStyle w:val="xmsonormal"/>
            </w:pPr>
            <w:r>
              <w:rPr>
                <w:b/>
                <w:bCs/>
              </w:rPr>
              <w:t>Key achievements in 2024</w:t>
            </w:r>
          </w:p>
          <w:p w14:paraId="084A9D53" w14:textId="77777777" w:rsidR="00CD09C4" w:rsidRDefault="00CD09C4" w:rsidP="009B4DF8">
            <w:pPr>
              <w:pStyle w:val="xmsonormal"/>
            </w:pPr>
            <w:r>
              <w:rPr>
                <w:b/>
                <w:bCs/>
              </w:rPr>
              <w:t> </w:t>
            </w:r>
          </w:p>
        </w:tc>
        <w:tc>
          <w:tcPr>
            <w:tcW w:w="8010" w:type="dxa"/>
            <w:tcMar>
              <w:top w:w="0" w:type="dxa"/>
              <w:left w:w="108" w:type="dxa"/>
              <w:bottom w:w="0" w:type="dxa"/>
              <w:right w:w="108" w:type="dxa"/>
            </w:tcMar>
            <w:vAlign w:val="center"/>
            <w:hideMark/>
          </w:tcPr>
          <w:p w14:paraId="6A082D62" w14:textId="5A23AC09" w:rsidR="00CD09C4" w:rsidRPr="006F3040" w:rsidRDefault="003840D4" w:rsidP="006F3040">
            <w:pPr>
              <w:rPr>
                <w:sz w:val="22"/>
                <w:szCs w:val="22"/>
              </w:rPr>
            </w:pPr>
            <w:r w:rsidRPr="006F3040">
              <w:rPr>
                <w:rFonts w:ascii="Calibri" w:eastAsia="Calibri" w:hAnsi="Calibri" w:cs="Calibri"/>
                <w:b/>
                <w:bCs/>
                <w:sz w:val="22"/>
                <w:szCs w:val="22"/>
              </w:rPr>
              <w:t xml:space="preserve">UNDP-PAGE supported the </w:t>
            </w:r>
            <w:r w:rsidR="00CD09C4" w:rsidRPr="006F3040">
              <w:rPr>
                <w:rFonts w:ascii="Calibri" w:eastAsia="Calibri" w:hAnsi="Calibri" w:cs="Calibri"/>
                <w:b/>
                <w:bCs/>
                <w:sz w:val="22"/>
                <w:szCs w:val="22"/>
              </w:rPr>
              <w:t>Green Economy</w:t>
            </w:r>
            <w:r w:rsidR="00843727" w:rsidRPr="006F3040">
              <w:rPr>
                <w:rFonts w:ascii="Calibri" w:eastAsia="Calibri" w:hAnsi="Calibri" w:cs="Calibri"/>
                <w:b/>
                <w:bCs/>
                <w:sz w:val="22"/>
                <w:szCs w:val="22"/>
              </w:rPr>
              <w:t xml:space="preserve"> series</w:t>
            </w:r>
            <w:r w:rsidR="00CD09C4" w:rsidRPr="006F3040">
              <w:rPr>
                <w:rFonts w:ascii="Calibri" w:eastAsia="Calibri" w:hAnsi="Calibri" w:cs="Calibri"/>
                <w:b/>
                <w:bCs/>
                <w:sz w:val="22"/>
                <w:szCs w:val="22"/>
              </w:rPr>
              <w:t xml:space="preserve"> on National Television</w:t>
            </w:r>
            <w:r w:rsidR="006F3040" w:rsidRPr="006F3040">
              <w:rPr>
                <w:rFonts w:ascii="Calibri" w:eastAsia="Calibri" w:hAnsi="Calibri" w:cs="Calibri"/>
                <w:b/>
                <w:bCs/>
                <w:sz w:val="22"/>
                <w:szCs w:val="22"/>
              </w:rPr>
              <w:t xml:space="preserve">: </w:t>
            </w:r>
            <w:r w:rsidR="00CD09C4" w:rsidRPr="006F3040">
              <w:rPr>
                <w:rFonts w:ascii="Calibri" w:eastAsia="Calibri" w:hAnsi="Calibri"/>
                <w:sz w:val="22"/>
                <w:szCs w:val="22"/>
              </w:rPr>
              <w:t xml:space="preserve">A television series to promote inclusive green economy principles, developed by PAGE in collaboration with </w:t>
            </w:r>
            <w:proofErr w:type="spellStart"/>
            <w:r w:rsidR="00CD09C4" w:rsidRPr="006F3040">
              <w:rPr>
                <w:rFonts w:ascii="Calibri" w:eastAsia="Calibri" w:hAnsi="Calibri"/>
                <w:sz w:val="22"/>
                <w:szCs w:val="22"/>
              </w:rPr>
              <w:t>Atameken</w:t>
            </w:r>
            <w:proofErr w:type="spellEnd"/>
            <w:r w:rsidR="00CD09C4" w:rsidRPr="006F3040">
              <w:rPr>
                <w:rFonts w:ascii="Calibri" w:eastAsia="Calibri" w:hAnsi="Calibri"/>
                <w:sz w:val="22"/>
                <w:szCs w:val="22"/>
              </w:rPr>
              <w:t xml:space="preserve"> Business Channel and aired between October and December, showcased expert discussions on green industrial development, green finance, strategies and challenges in achieving the country’s 2060 carbon neutrality goal, analysis of economic and regional impacts of climate change and adaptation strategies, as well as the role of education and media in fostering environmental awareness.</w:t>
            </w:r>
          </w:p>
        </w:tc>
      </w:tr>
    </w:tbl>
    <w:p w14:paraId="6912C3F6" w14:textId="77777777" w:rsidR="00CD09C4" w:rsidRDefault="00CD09C4" w:rsidP="00CD09C4">
      <w:pPr>
        <w:pStyle w:val="xmsonormal"/>
      </w:pPr>
      <w:r>
        <w:rPr>
          <w:b/>
          <w:bCs/>
        </w:rPr>
        <w:t> </w:t>
      </w:r>
    </w:p>
    <w:p w14:paraId="371DD615" w14:textId="77777777" w:rsidR="00CD09C4" w:rsidRPr="0071206E" w:rsidRDefault="00CD09C4" w:rsidP="00EA6DB1">
      <w:pPr>
        <w:jc w:val="center"/>
        <w:rPr>
          <w:rFonts w:asciiTheme="minorHAnsi" w:hAnsiTheme="minorHAnsi" w:cstheme="minorHAnsi"/>
          <w:b/>
          <w:iCs/>
          <w:sz w:val="22"/>
          <w:szCs w:val="22"/>
        </w:rPr>
      </w:pPr>
    </w:p>
    <w:p w14:paraId="38B36A7A" w14:textId="1B95880D" w:rsidR="00EA6DB1" w:rsidRPr="0071206E" w:rsidRDefault="00DA121F" w:rsidP="00EA6DB1">
      <w:pPr>
        <w:jc w:val="center"/>
        <w:rPr>
          <w:rFonts w:asciiTheme="minorHAnsi" w:hAnsiTheme="minorHAnsi" w:cstheme="minorHAnsi"/>
          <w:b/>
          <w:iCs/>
          <w:sz w:val="22"/>
          <w:szCs w:val="22"/>
        </w:rPr>
      </w:pPr>
      <w:r w:rsidRPr="0071206E">
        <w:rPr>
          <w:rFonts w:asciiTheme="minorHAnsi" w:hAnsiTheme="minorHAnsi" w:cstheme="minorHAnsi"/>
          <w:b/>
          <w:iCs/>
          <w:sz w:val="22"/>
          <w:szCs w:val="22"/>
        </w:rPr>
        <w:t>UNDP</w:t>
      </w:r>
      <w:r w:rsidR="00EA6DB1" w:rsidRPr="0071206E">
        <w:rPr>
          <w:rFonts w:asciiTheme="minorHAnsi" w:hAnsiTheme="minorHAnsi" w:cstheme="minorHAnsi"/>
          <w:b/>
          <w:iCs/>
          <w:sz w:val="22"/>
          <w:szCs w:val="22"/>
        </w:rPr>
        <w:t xml:space="preserve"> - GUATEMALA</w:t>
      </w:r>
    </w:p>
    <w:p w14:paraId="56088A88" w14:textId="77777777" w:rsidR="00EA6DB1" w:rsidRPr="0071206E" w:rsidRDefault="00EA6DB1" w:rsidP="00EA6DB1">
      <w:pPr>
        <w:rPr>
          <w:rFonts w:asciiTheme="minorHAnsi" w:hAnsiTheme="minorHAnsi" w:cstheme="minorHAnsi"/>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7"/>
        <w:gridCol w:w="8627"/>
      </w:tblGrid>
      <w:tr w:rsidR="00DA121F" w:rsidRPr="0071206E" w14:paraId="586BF53F" w14:textId="77777777" w:rsidTr="00830093">
        <w:trPr>
          <w:trHeight w:val="777"/>
        </w:trPr>
        <w:tc>
          <w:tcPr>
            <w:tcW w:w="10204" w:type="dxa"/>
            <w:gridSpan w:val="2"/>
            <w:tcMar>
              <w:top w:w="0" w:type="dxa"/>
              <w:left w:w="108" w:type="dxa"/>
              <w:bottom w:w="0" w:type="dxa"/>
              <w:right w:w="108" w:type="dxa"/>
            </w:tcMar>
            <w:hideMark/>
          </w:tcPr>
          <w:p w14:paraId="19832D42"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i/>
                <w:iCs/>
                <w:color w:val="000000"/>
                <w:sz w:val="22"/>
                <w:szCs w:val="22"/>
              </w:rPr>
              <w:t>Outcome 1 - Countries have reinforced and integrated inclusive green economy (IGE) goals targets into SDG aligned national economic and development planning through multi-stakeholder collaboration.</w:t>
            </w:r>
          </w:p>
        </w:tc>
      </w:tr>
      <w:tr w:rsidR="00DA121F" w:rsidRPr="0071206E" w14:paraId="0EE82105" w14:textId="77777777" w:rsidTr="006F3040">
        <w:trPr>
          <w:trHeight w:val="971"/>
        </w:trPr>
        <w:tc>
          <w:tcPr>
            <w:tcW w:w="1577" w:type="dxa"/>
            <w:tcMar>
              <w:top w:w="0" w:type="dxa"/>
              <w:left w:w="108" w:type="dxa"/>
              <w:bottom w:w="0" w:type="dxa"/>
              <w:right w:w="108" w:type="dxa"/>
            </w:tcMar>
            <w:hideMark/>
          </w:tcPr>
          <w:p w14:paraId="2F4074F5" w14:textId="16B8D6CF" w:rsidR="00DA121F" w:rsidRPr="0071206E" w:rsidRDefault="00DA121F" w:rsidP="006F3040">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Key achievements in 2024</w:t>
            </w:r>
          </w:p>
        </w:tc>
        <w:tc>
          <w:tcPr>
            <w:tcW w:w="8627" w:type="dxa"/>
            <w:tcMar>
              <w:top w:w="0" w:type="dxa"/>
              <w:left w:w="108" w:type="dxa"/>
              <w:bottom w:w="0" w:type="dxa"/>
              <w:right w:w="108" w:type="dxa"/>
            </w:tcMar>
            <w:hideMark/>
          </w:tcPr>
          <w:p w14:paraId="56D39AD7" w14:textId="7A188C19"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 </w:t>
            </w:r>
            <w:r w:rsidR="009D2814" w:rsidRPr="0071206E">
              <w:rPr>
                <w:rFonts w:asciiTheme="minorHAnsi" w:eastAsia="Times New Roman" w:hAnsiTheme="minorHAnsi" w:cstheme="minorHAnsi"/>
                <w:color w:val="000000"/>
                <w:sz w:val="22"/>
                <w:szCs w:val="22"/>
              </w:rPr>
              <w:t>n/a</w:t>
            </w:r>
          </w:p>
        </w:tc>
      </w:tr>
      <w:tr w:rsidR="00DA121F" w:rsidRPr="0071206E" w14:paraId="17299703" w14:textId="77777777" w:rsidTr="00830093">
        <w:trPr>
          <w:trHeight w:val="2956"/>
        </w:trPr>
        <w:tc>
          <w:tcPr>
            <w:tcW w:w="1577" w:type="dxa"/>
            <w:tcMar>
              <w:top w:w="0" w:type="dxa"/>
              <w:left w:w="108" w:type="dxa"/>
              <w:bottom w:w="0" w:type="dxa"/>
              <w:right w:w="108" w:type="dxa"/>
            </w:tcMar>
            <w:hideMark/>
          </w:tcPr>
          <w:p w14:paraId="7A477A67"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Key Achievements 2024</w:t>
            </w:r>
            <w:r w:rsidRPr="0071206E">
              <w:rPr>
                <w:rFonts w:asciiTheme="minorHAnsi" w:eastAsia="Times New Roman" w:hAnsiTheme="minorHAnsi" w:cstheme="minorHAnsi"/>
                <w:color w:val="000000"/>
                <w:sz w:val="22"/>
                <w:szCs w:val="22"/>
              </w:rPr>
              <w:t> (Add. Support for Green Recovery)</w:t>
            </w:r>
          </w:p>
        </w:tc>
        <w:tc>
          <w:tcPr>
            <w:tcW w:w="8627" w:type="dxa"/>
            <w:tcMar>
              <w:top w:w="0" w:type="dxa"/>
              <w:left w:w="108" w:type="dxa"/>
              <w:bottom w:w="0" w:type="dxa"/>
              <w:right w:w="108" w:type="dxa"/>
            </w:tcMar>
            <w:hideMark/>
          </w:tcPr>
          <w:p w14:paraId="7BE9EE12" w14:textId="1AAA66C3"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 xml:space="preserve">To support the implementation and structuring of the Fiscal Incentives and Subsidies Program aimed at promoting clean energy for both public and private transportation, </w:t>
            </w:r>
            <w:r w:rsidR="006C17EE">
              <w:rPr>
                <w:rFonts w:asciiTheme="minorHAnsi" w:eastAsia="Times New Roman" w:hAnsiTheme="minorHAnsi" w:cstheme="minorHAnsi"/>
                <w:color w:val="000000"/>
                <w:sz w:val="22"/>
                <w:szCs w:val="22"/>
              </w:rPr>
              <w:t xml:space="preserve">UNDP-PAGE supported the </w:t>
            </w:r>
            <w:r w:rsidR="00FA0626">
              <w:rPr>
                <w:rFonts w:asciiTheme="minorHAnsi" w:eastAsia="Times New Roman" w:hAnsiTheme="minorHAnsi" w:cstheme="minorHAnsi"/>
                <w:color w:val="000000"/>
                <w:sz w:val="22"/>
                <w:szCs w:val="22"/>
              </w:rPr>
              <w:t xml:space="preserve">review and assessment </w:t>
            </w:r>
            <w:r w:rsidR="007C6B71">
              <w:rPr>
                <w:rFonts w:asciiTheme="minorHAnsi" w:eastAsia="Times New Roman" w:hAnsiTheme="minorHAnsi" w:cstheme="minorHAnsi"/>
                <w:color w:val="000000"/>
                <w:sz w:val="22"/>
                <w:szCs w:val="22"/>
              </w:rPr>
              <w:t xml:space="preserve">of </w:t>
            </w:r>
            <w:r w:rsidRPr="0071206E">
              <w:rPr>
                <w:rFonts w:asciiTheme="minorHAnsi" w:eastAsia="Times New Roman" w:hAnsiTheme="minorHAnsi" w:cstheme="minorHAnsi"/>
                <w:color w:val="000000"/>
                <w:sz w:val="22"/>
                <w:szCs w:val="22"/>
              </w:rPr>
              <w:t xml:space="preserve">the energy, economic, and fiscal impacts of </w:t>
            </w:r>
            <w:r w:rsidR="006637D5">
              <w:rPr>
                <w:rFonts w:asciiTheme="minorHAnsi" w:eastAsia="Times New Roman" w:hAnsiTheme="minorHAnsi" w:cstheme="minorHAnsi"/>
                <w:color w:val="000000"/>
                <w:sz w:val="22"/>
                <w:szCs w:val="22"/>
              </w:rPr>
              <w:t xml:space="preserve">the </w:t>
            </w:r>
            <w:r w:rsidRPr="0071206E">
              <w:rPr>
                <w:rFonts w:asciiTheme="minorHAnsi" w:eastAsia="Times New Roman" w:hAnsiTheme="minorHAnsi" w:cstheme="minorHAnsi"/>
                <w:color w:val="000000"/>
                <w:sz w:val="22"/>
                <w:szCs w:val="22"/>
              </w:rPr>
              <w:t>Decree 40-2022, known as the "Law of Incentives for Electric Mobility".</w:t>
            </w:r>
            <w:r w:rsidR="00382CEF">
              <w:rPr>
                <w:rFonts w:asciiTheme="minorHAnsi" w:eastAsia="Times New Roman" w:hAnsiTheme="minorHAnsi" w:cstheme="minorHAnsi"/>
                <w:color w:val="000000"/>
                <w:sz w:val="22"/>
                <w:szCs w:val="22"/>
              </w:rPr>
              <w:t xml:space="preserve"> </w:t>
            </w:r>
            <w:r w:rsidRPr="0071206E">
              <w:rPr>
                <w:rFonts w:asciiTheme="minorHAnsi" w:eastAsia="Times New Roman" w:hAnsiTheme="minorHAnsi" w:cstheme="minorHAnsi"/>
                <w:color w:val="000000"/>
                <w:sz w:val="22"/>
                <w:szCs w:val="22"/>
              </w:rPr>
              <w:t>This evaluation is crucial for enhancing the capabilities of the Ministry of Energy and Mines as it provides a detailed analysis of:</w:t>
            </w:r>
          </w:p>
          <w:p w14:paraId="585F304F" w14:textId="77777777" w:rsidR="00DA121F" w:rsidRPr="0071206E" w:rsidRDefault="00DA121F" w:rsidP="007B5561">
            <w:pPr>
              <w:numPr>
                <w:ilvl w:val="0"/>
                <w:numId w:val="19"/>
              </w:numPr>
              <w:spacing w:line="276" w:lineRule="auto"/>
              <w:ind w:left="558"/>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The economic and fiscal implications of introducing electric mobility in Guatemala. Notably, it highlights the financial strain on the State due to the potential loss of tax revenue resulting from the law’s implementation (fiscal sacrifice).</w:t>
            </w:r>
          </w:p>
          <w:p w14:paraId="56CD25A2" w14:textId="77777777" w:rsidR="00DA121F" w:rsidRPr="0071206E" w:rsidRDefault="00DA121F" w:rsidP="007B5561">
            <w:pPr>
              <w:numPr>
                <w:ilvl w:val="0"/>
                <w:numId w:val="19"/>
              </w:numPr>
              <w:spacing w:after="160" w:line="276" w:lineRule="auto"/>
              <w:ind w:left="558"/>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The anticipated impact of electric mobility on the country, particularly concerning energy demand stemming from the application of Decree 40-2022.</w:t>
            </w:r>
          </w:p>
        </w:tc>
      </w:tr>
    </w:tbl>
    <w:p w14:paraId="31931BCB" w14:textId="77777777" w:rsidR="00DA121F" w:rsidRPr="0071206E" w:rsidRDefault="00DA121F" w:rsidP="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 </w:t>
      </w: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7"/>
        <w:gridCol w:w="8513"/>
      </w:tblGrid>
      <w:tr w:rsidR="00DA121F" w:rsidRPr="0071206E" w14:paraId="401E327A" w14:textId="77777777" w:rsidTr="00971388">
        <w:trPr>
          <w:trHeight w:val="474"/>
        </w:trPr>
        <w:tc>
          <w:tcPr>
            <w:tcW w:w="10160" w:type="dxa"/>
            <w:gridSpan w:val="2"/>
            <w:tcMar>
              <w:top w:w="0" w:type="dxa"/>
              <w:left w:w="108" w:type="dxa"/>
              <w:bottom w:w="0" w:type="dxa"/>
              <w:right w:w="108" w:type="dxa"/>
            </w:tcMar>
            <w:hideMark/>
          </w:tcPr>
          <w:p w14:paraId="0EDC9A75" w14:textId="06093320"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 </w:t>
            </w:r>
            <w:r w:rsidRPr="0071206E">
              <w:rPr>
                <w:rFonts w:asciiTheme="minorHAnsi" w:eastAsia="Times New Roman" w:hAnsiTheme="minorHAnsi" w:cstheme="minorHAnsi"/>
                <w:i/>
                <w:iCs/>
                <w:color w:val="000000"/>
                <w:sz w:val="22"/>
                <w:szCs w:val="22"/>
              </w:rPr>
              <w:t>Outcome 2 - Countries are implementing evidence based sectoral and thematic reforms in line with national IGE priorities</w:t>
            </w:r>
            <w:r w:rsidRPr="0071206E">
              <w:rPr>
                <w:rFonts w:asciiTheme="minorHAnsi" w:eastAsia="Times New Roman" w:hAnsiTheme="minorHAnsi" w:cstheme="minorHAnsi"/>
                <w:color w:val="000000"/>
                <w:sz w:val="22"/>
                <w:szCs w:val="22"/>
              </w:rPr>
              <w:t>.</w:t>
            </w:r>
          </w:p>
        </w:tc>
      </w:tr>
      <w:tr w:rsidR="00DA121F" w:rsidRPr="0071206E" w14:paraId="06B05BF3" w14:textId="77777777" w:rsidTr="00971388">
        <w:tc>
          <w:tcPr>
            <w:tcW w:w="1647" w:type="dxa"/>
            <w:tcMar>
              <w:top w:w="0" w:type="dxa"/>
              <w:left w:w="108" w:type="dxa"/>
              <w:bottom w:w="0" w:type="dxa"/>
              <w:right w:w="108" w:type="dxa"/>
            </w:tcMar>
            <w:hideMark/>
          </w:tcPr>
          <w:p w14:paraId="61834018"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Key achievements in 2024</w:t>
            </w:r>
          </w:p>
        </w:tc>
        <w:tc>
          <w:tcPr>
            <w:tcW w:w="8513" w:type="dxa"/>
            <w:tcMar>
              <w:top w:w="0" w:type="dxa"/>
              <w:left w:w="108" w:type="dxa"/>
              <w:bottom w:w="0" w:type="dxa"/>
              <w:right w:w="108" w:type="dxa"/>
            </w:tcMar>
            <w:hideMark/>
          </w:tcPr>
          <w:p w14:paraId="033EC764"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 </w:t>
            </w:r>
            <w:r w:rsidRPr="0071206E">
              <w:rPr>
                <w:rFonts w:asciiTheme="minorHAnsi" w:eastAsia="Times New Roman" w:hAnsiTheme="minorHAnsi" w:cstheme="minorHAnsi"/>
                <w:b/>
                <w:bCs/>
                <w:color w:val="000000"/>
                <w:sz w:val="22"/>
                <w:szCs w:val="22"/>
              </w:rPr>
              <w:t>Institutionalization of the training guide to strengthen municipal finances.</w:t>
            </w:r>
          </w:p>
          <w:p w14:paraId="6A11572D" w14:textId="01C9086D" w:rsidR="00B5599F" w:rsidRDefault="00DA121F" w:rsidP="00B5599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 xml:space="preserve">With the support of PAGE and BIOFIN, the Environmental Municipal Public Expenditure Classification Guide </w:t>
            </w:r>
            <w:r w:rsidR="00BC738F">
              <w:rPr>
                <w:rFonts w:asciiTheme="minorHAnsi" w:eastAsia="Times New Roman" w:hAnsiTheme="minorHAnsi" w:cstheme="minorHAnsi"/>
                <w:color w:val="000000"/>
                <w:sz w:val="22"/>
                <w:szCs w:val="22"/>
              </w:rPr>
              <w:t xml:space="preserve">was </w:t>
            </w:r>
            <w:r w:rsidRPr="0071206E">
              <w:rPr>
                <w:rFonts w:asciiTheme="minorHAnsi" w:eastAsia="Times New Roman" w:hAnsiTheme="minorHAnsi" w:cstheme="minorHAnsi"/>
                <w:color w:val="000000"/>
                <w:sz w:val="22"/>
                <w:szCs w:val="22"/>
              </w:rPr>
              <w:t xml:space="preserve"> developed </w:t>
            </w:r>
            <w:r w:rsidR="00BC738F">
              <w:rPr>
                <w:rFonts w:asciiTheme="minorHAnsi" w:eastAsia="Times New Roman" w:hAnsiTheme="minorHAnsi" w:cstheme="minorHAnsi"/>
                <w:color w:val="000000"/>
                <w:sz w:val="22"/>
                <w:szCs w:val="22"/>
              </w:rPr>
              <w:t xml:space="preserve">in 2024 </w:t>
            </w:r>
            <w:r w:rsidRPr="0071206E">
              <w:rPr>
                <w:rFonts w:asciiTheme="minorHAnsi" w:eastAsia="Times New Roman" w:hAnsiTheme="minorHAnsi" w:cstheme="minorHAnsi"/>
                <w:color w:val="000000"/>
                <w:sz w:val="22"/>
                <w:szCs w:val="22"/>
              </w:rPr>
              <w:t xml:space="preserve">to assist local governments in accounting for their environmental expenditures. </w:t>
            </w:r>
            <w:r w:rsidR="00633692">
              <w:rPr>
                <w:rFonts w:asciiTheme="minorHAnsi" w:eastAsia="Times New Roman" w:hAnsiTheme="minorHAnsi" w:cstheme="minorHAnsi"/>
                <w:color w:val="000000"/>
                <w:sz w:val="22"/>
                <w:szCs w:val="22"/>
              </w:rPr>
              <w:t xml:space="preserve">The aim is </w:t>
            </w:r>
            <w:r w:rsidR="00633692" w:rsidRPr="0071206E">
              <w:rPr>
                <w:rFonts w:asciiTheme="minorHAnsi" w:eastAsia="Times New Roman" w:hAnsiTheme="minorHAnsi" w:cstheme="minorHAnsi"/>
                <w:color w:val="000000"/>
                <w:sz w:val="22"/>
                <w:szCs w:val="22"/>
              </w:rPr>
              <w:t>to enhance and redirect municipal investment in biodiversity management using a results-based budgeting (RBB) approach.</w:t>
            </w:r>
            <w:r w:rsidR="00633692">
              <w:rPr>
                <w:rFonts w:asciiTheme="minorHAnsi" w:eastAsia="Times New Roman" w:hAnsiTheme="minorHAnsi" w:cstheme="minorHAnsi"/>
                <w:color w:val="000000"/>
                <w:sz w:val="22"/>
                <w:szCs w:val="22"/>
              </w:rPr>
              <w:t xml:space="preserve"> </w:t>
            </w:r>
            <w:r w:rsidRPr="0071206E">
              <w:rPr>
                <w:rFonts w:asciiTheme="minorHAnsi" w:eastAsia="Times New Roman" w:hAnsiTheme="minorHAnsi" w:cstheme="minorHAnsi"/>
                <w:color w:val="000000"/>
                <w:sz w:val="22"/>
                <w:szCs w:val="22"/>
              </w:rPr>
              <w:t>Th</w:t>
            </w:r>
            <w:r w:rsidR="00B55156">
              <w:rPr>
                <w:rFonts w:asciiTheme="minorHAnsi" w:eastAsia="Times New Roman" w:hAnsiTheme="minorHAnsi" w:cstheme="minorHAnsi"/>
                <w:color w:val="000000"/>
                <w:sz w:val="22"/>
                <w:szCs w:val="22"/>
              </w:rPr>
              <w:t>e</w:t>
            </w:r>
            <w:r w:rsidRPr="0071206E">
              <w:rPr>
                <w:rFonts w:asciiTheme="minorHAnsi" w:eastAsia="Times New Roman" w:hAnsiTheme="minorHAnsi" w:cstheme="minorHAnsi"/>
                <w:color w:val="000000"/>
                <w:sz w:val="22"/>
                <w:szCs w:val="22"/>
              </w:rPr>
              <w:t xml:space="preserve"> guide was </w:t>
            </w:r>
            <w:r w:rsidR="00310448">
              <w:rPr>
                <w:rFonts w:asciiTheme="minorHAnsi" w:eastAsia="Times New Roman" w:hAnsiTheme="minorHAnsi" w:cstheme="minorHAnsi"/>
                <w:color w:val="000000"/>
                <w:sz w:val="22"/>
                <w:szCs w:val="22"/>
              </w:rPr>
              <w:t>developed</w:t>
            </w:r>
            <w:r w:rsidRPr="0071206E">
              <w:rPr>
                <w:rFonts w:asciiTheme="minorHAnsi" w:eastAsia="Times New Roman" w:hAnsiTheme="minorHAnsi" w:cstheme="minorHAnsi"/>
                <w:color w:val="000000"/>
                <w:sz w:val="22"/>
                <w:szCs w:val="22"/>
              </w:rPr>
              <w:t xml:space="preserve"> in collaboration with the Directorate of Fiscal Analysis and Policy (DAPF) and the Directorate of Assistance to Municipal Financial Administration (DAAFIM), each contributing </w:t>
            </w:r>
            <w:r w:rsidRPr="0071206E">
              <w:rPr>
                <w:rFonts w:asciiTheme="minorHAnsi" w:eastAsia="Times New Roman" w:hAnsiTheme="minorHAnsi" w:cstheme="minorHAnsi"/>
                <w:color w:val="000000"/>
                <w:sz w:val="22"/>
                <w:szCs w:val="22"/>
              </w:rPr>
              <w:lastRenderedPageBreak/>
              <w:t>their expertise.</w:t>
            </w:r>
            <w:r w:rsidR="00496044">
              <w:rPr>
                <w:rFonts w:asciiTheme="minorHAnsi" w:eastAsia="Times New Roman" w:hAnsiTheme="minorHAnsi" w:cstheme="minorHAnsi"/>
                <w:color w:val="000000"/>
                <w:sz w:val="22"/>
                <w:szCs w:val="22"/>
              </w:rPr>
              <w:t xml:space="preserve"> </w:t>
            </w:r>
            <w:r w:rsidR="00CE455F">
              <w:rPr>
                <w:rFonts w:asciiTheme="minorHAnsi" w:eastAsia="Times New Roman" w:hAnsiTheme="minorHAnsi" w:cstheme="minorHAnsi"/>
                <w:color w:val="000000"/>
                <w:sz w:val="22"/>
                <w:szCs w:val="22"/>
              </w:rPr>
              <w:t>T</w:t>
            </w:r>
            <w:r w:rsidRPr="0071206E">
              <w:rPr>
                <w:rFonts w:asciiTheme="minorHAnsi" w:eastAsia="Times New Roman" w:hAnsiTheme="minorHAnsi" w:cstheme="minorHAnsi"/>
                <w:color w:val="000000"/>
                <w:sz w:val="22"/>
                <w:szCs w:val="22"/>
              </w:rPr>
              <w:t xml:space="preserve">he Ministry of Public Finance (MINFIN) recognized the need to institutionalize the guide. </w:t>
            </w:r>
          </w:p>
          <w:p w14:paraId="297F0820" w14:textId="77777777" w:rsidR="0062436C" w:rsidRDefault="0062436C">
            <w:pPr>
              <w:rPr>
                <w:rFonts w:asciiTheme="minorHAnsi" w:eastAsia="Times New Roman" w:hAnsiTheme="minorHAnsi" w:cstheme="minorHAnsi"/>
                <w:color w:val="000000"/>
                <w:sz w:val="22"/>
                <w:szCs w:val="22"/>
              </w:rPr>
            </w:pPr>
          </w:p>
          <w:p w14:paraId="00BE5D8A" w14:textId="2FEBF728" w:rsidR="0062436C" w:rsidRDefault="0062436C">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The work resulted in three main products: </w:t>
            </w:r>
          </w:p>
          <w:p w14:paraId="6683A4EB" w14:textId="533268F6" w:rsidR="0062436C" w:rsidRPr="00AB7611" w:rsidRDefault="00A86379" w:rsidP="00AB7611">
            <w:pPr>
              <w:pStyle w:val="ListParagraph"/>
              <w:numPr>
                <w:ilvl w:val="0"/>
                <w:numId w:val="25"/>
              </w:numPr>
              <w:spacing w:line="276" w:lineRule="auto"/>
              <w:jc w:val="left"/>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A </w:t>
            </w:r>
            <w:r w:rsidR="0062436C" w:rsidRPr="00AB7611">
              <w:rPr>
                <w:rFonts w:asciiTheme="minorHAnsi" w:eastAsia="Times New Roman" w:hAnsiTheme="minorHAnsi" w:cstheme="minorHAnsi"/>
                <w:color w:val="000000"/>
                <w:sz w:val="22"/>
                <w:szCs w:val="22"/>
              </w:rPr>
              <w:t>Guide for the Classification of Municipal Environmental Public Expenditure (GC-GPAM).</w:t>
            </w:r>
          </w:p>
          <w:p w14:paraId="635AA9A1" w14:textId="06127A4B" w:rsidR="0062436C" w:rsidRPr="00AB7611" w:rsidRDefault="00A86379" w:rsidP="00AB7611">
            <w:pPr>
              <w:pStyle w:val="ListParagraph"/>
              <w:numPr>
                <w:ilvl w:val="0"/>
                <w:numId w:val="25"/>
              </w:numPr>
              <w:spacing w:line="276" w:lineRule="auto"/>
              <w:jc w:val="left"/>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A </w:t>
            </w:r>
            <w:r w:rsidR="0062436C" w:rsidRPr="00AB7611">
              <w:rPr>
                <w:rFonts w:asciiTheme="minorHAnsi" w:eastAsia="Times New Roman" w:hAnsiTheme="minorHAnsi" w:cstheme="minorHAnsi"/>
                <w:color w:val="000000"/>
                <w:sz w:val="22"/>
                <w:szCs w:val="22"/>
              </w:rPr>
              <w:t>Practical Guide for the Classification of Municipal Environmental Public Expenditure. A summarized version of the previous guide that serves as didactic material.</w:t>
            </w:r>
          </w:p>
          <w:p w14:paraId="282A72A9" w14:textId="2BA7D7E6" w:rsidR="0062436C" w:rsidRPr="00AB7611" w:rsidRDefault="00A86379" w:rsidP="00AB7611">
            <w:pPr>
              <w:pStyle w:val="ListParagraph"/>
              <w:numPr>
                <w:ilvl w:val="0"/>
                <w:numId w:val="25"/>
              </w:numPr>
              <w:spacing w:after="160" w:line="276" w:lineRule="auto"/>
              <w:jc w:val="left"/>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w:t>
            </w:r>
            <w:r w:rsidR="0062436C" w:rsidRPr="00AB7611">
              <w:rPr>
                <w:rFonts w:asciiTheme="minorHAnsi" w:eastAsia="Times New Roman" w:hAnsiTheme="minorHAnsi" w:cstheme="minorHAnsi"/>
                <w:color w:val="000000"/>
                <w:sz w:val="22"/>
                <w:szCs w:val="22"/>
              </w:rPr>
              <w:t xml:space="preserve"> Training Guide.</w:t>
            </w:r>
          </w:p>
          <w:p w14:paraId="700A4FC1" w14:textId="6D6D13D3" w:rsidR="00DA121F" w:rsidRDefault="00AC39DA">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In 2024, in an initial step,</w:t>
            </w:r>
            <w:r w:rsidR="00DA121F" w:rsidRPr="0071206E">
              <w:rPr>
                <w:rFonts w:asciiTheme="minorHAnsi" w:eastAsia="Times New Roman" w:hAnsiTheme="minorHAnsi" w:cstheme="minorHAnsi"/>
                <w:color w:val="000000"/>
                <w:sz w:val="22"/>
                <w:szCs w:val="22"/>
              </w:rPr>
              <w:t xml:space="preserve"> MINFIN received assistance in adapting the Budget Classification Manual for Guatemala's public sector. As part of this process, </w:t>
            </w:r>
            <w:r w:rsidR="00AC3255">
              <w:rPr>
                <w:rFonts w:asciiTheme="minorHAnsi" w:eastAsia="Times New Roman" w:hAnsiTheme="minorHAnsi" w:cstheme="minorHAnsi"/>
                <w:color w:val="000000"/>
                <w:sz w:val="22"/>
                <w:szCs w:val="22"/>
              </w:rPr>
              <w:t xml:space="preserve">the </w:t>
            </w:r>
            <w:r w:rsidR="00DA121F" w:rsidRPr="0071206E">
              <w:rPr>
                <w:rFonts w:asciiTheme="minorHAnsi" w:eastAsia="Times New Roman" w:hAnsiTheme="minorHAnsi" w:cstheme="minorHAnsi"/>
                <w:color w:val="000000"/>
                <w:sz w:val="22"/>
                <w:szCs w:val="22"/>
              </w:rPr>
              <w:t xml:space="preserve">instructional guides and a training program </w:t>
            </w:r>
            <w:r w:rsidR="00AC3255">
              <w:rPr>
                <w:rFonts w:asciiTheme="minorHAnsi" w:eastAsia="Times New Roman" w:hAnsiTheme="minorHAnsi" w:cstheme="minorHAnsi"/>
                <w:color w:val="000000"/>
                <w:sz w:val="22"/>
                <w:szCs w:val="22"/>
              </w:rPr>
              <w:t xml:space="preserve">produced </w:t>
            </w:r>
            <w:r w:rsidR="00DA121F" w:rsidRPr="0071206E">
              <w:rPr>
                <w:rFonts w:asciiTheme="minorHAnsi" w:eastAsia="Times New Roman" w:hAnsiTheme="minorHAnsi" w:cstheme="minorHAnsi"/>
                <w:color w:val="000000"/>
                <w:sz w:val="22"/>
                <w:szCs w:val="22"/>
              </w:rPr>
              <w:t xml:space="preserve">to help formulate municipal budgets that address environmental issues, climate change, risk management, and environmental and biodiversity taxation. </w:t>
            </w:r>
            <w:r w:rsidR="00A46CEB">
              <w:rPr>
                <w:rFonts w:asciiTheme="minorHAnsi" w:eastAsia="Times New Roman" w:hAnsiTheme="minorHAnsi" w:cstheme="minorHAnsi"/>
                <w:color w:val="000000"/>
                <w:sz w:val="22"/>
                <w:szCs w:val="22"/>
              </w:rPr>
              <w:t xml:space="preserve">In 2014, </w:t>
            </w:r>
            <w:r w:rsidR="00633692" w:rsidRPr="0071206E">
              <w:rPr>
                <w:rFonts w:asciiTheme="minorHAnsi" w:eastAsia="Times New Roman" w:hAnsiTheme="minorHAnsi" w:cstheme="minorHAnsi"/>
                <w:color w:val="000000"/>
                <w:sz w:val="22"/>
                <w:szCs w:val="22"/>
              </w:rPr>
              <w:t>the Municipal Environmental Public Expenditure Classification Guide was implemented in ten municipalities</w:t>
            </w:r>
            <w:r w:rsidR="00A46CEB">
              <w:rPr>
                <w:rFonts w:asciiTheme="minorHAnsi" w:eastAsia="Times New Roman" w:hAnsiTheme="minorHAnsi" w:cstheme="minorHAnsi"/>
                <w:color w:val="000000"/>
                <w:sz w:val="22"/>
                <w:szCs w:val="22"/>
              </w:rPr>
              <w:t>.</w:t>
            </w:r>
            <w:r w:rsidR="00633692" w:rsidRPr="0071206E">
              <w:rPr>
                <w:rFonts w:asciiTheme="minorHAnsi" w:eastAsia="Times New Roman" w:hAnsiTheme="minorHAnsi" w:cstheme="minorHAnsi"/>
                <w:color w:val="000000"/>
                <w:sz w:val="22"/>
                <w:szCs w:val="22"/>
              </w:rPr>
              <w:t xml:space="preserve"> </w:t>
            </w:r>
            <w:r w:rsidR="00DA121F" w:rsidRPr="0071206E">
              <w:rPr>
                <w:rFonts w:asciiTheme="minorHAnsi" w:eastAsia="Times New Roman" w:hAnsiTheme="minorHAnsi" w:cstheme="minorHAnsi"/>
                <w:color w:val="000000"/>
                <w:sz w:val="22"/>
                <w:szCs w:val="22"/>
              </w:rPr>
              <w:t xml:space="preserve"> </w:t>
            </w:r>
          </w:p>
          <w:p w14:paraId="4ADD0CF3" w14:textId="77777777" w:rsidR="00727E9F" w:rsidRPr="0071206E" w:rsidRDefault="00727E9F">
            <w:pPr>
              <w:rPr>
                <w:rFonts w:asciiTheme="minorHAnsi" w:eastAsia="Times New Roman" w:hAnsiTheme="minorHAnsi" w:cstheme="minorHAnsi"/>
                <w:color w:val="000000"/>
                <w:sz w:val="22"/>
                <w:szCs w:val="22"/>
              </w:rPr>
            </w:pPr>
          </w:p>
          <w:p w14:paraId="56A29FC4" w14:textId="02687CBA" w:rsidR="00DA121F" w:rsidRPr="0071206E" w:rsidRDefault="00F938F7">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In 2025, in a second step, </w:t>
            </w:r>
            <w:r w:rsidR="00DA121F" w:rsidRPr="0071206E">
              <w:rPr>
                <w:rFonts w:asciiTheme="minorHAnsi" w:eastAsia="Times New Roman" w:hAnsiTheme="minorHAnsi" w:cstheme="minorHAnsi"/>
                <w:color w:val="000000"/>
                <w:sz w:val="22"/>
                <w:szCs w:val="22"/>
              </w:rPr>
              <w:t>the guidelines will be utilized to train the country's 340 municipalities.</w:t>
            </w:r>
          </w:p>
          <w:p w14:paraId="5219675A" w14:textId="77777777" w:rsidR="00BD5863" w:rsidRDefault="00BD5863">
            <w:pPr>
              <w:rPr>
                <w:rFonts w:asciiTheme="minorHAnsi" w:eastAsia="Times New Roman" w:hAnsiTheme="minorHAnsi" w:cstheme="minorHAnsi"/>
                <w:color w:val="000000"/>
                <w:sz w:val="22"/>
                <w:szCs w:val="22"/>
              </w:rPr>
            </w:pPr>
          </w:p>
          <w:p w14:paraId="2D6494E2"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This technical assistance provides the Ministry of Finance (MINFIN) with a tool to classify environmental and biodiversity expenditures. This categorization will enable the State to estimate the resources allocated to these areas more accurately. Ultimately, it will equip decision-makers with the necessary information to formulate policies that promote the sustainable management of natural resources and foster the country's sustainable development. Additionally, this approach will help local authorities understand the significance of public investment in the environment, encouraging them to increase funding in this critical area for their communities.</w:t>
            </w:r>
          </w:p>
        </w:tc>
      </w:tr>
      <w:tr w:rsidR="00DA121F" w:rsidRPr="0071206E" w14:paraId="1C1E6E10" w14:textId="77777777" w:rsidTr="00971388">
        <w:trPr>
          <w:trHeight w:val="980"/>
        </w:trPr>
        <w:tc>
          <w:tcPr>
            <w:tcW w:w="1647" w:type="dxa"/>
            <w:tcMar>
              <w:top w:w="0" w:type="dxa"/>
              <w:left w:w="108" w:type="dxa"/>
              <w:bottom w:w="0" w:type="dxa"/>
              <w:right w:w="108" w:type="dxa"/>
            </w:tcMar>
            <w:hideMark/>
          </w:tcPr>
          <w:p w14:paraId="36C43572"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lastRenderedPageBreak/>
              <w:t>Key achievements in 2024</w:t>
            </w:r>
          </w:p>
        </w:tc>
        <w:tc>
          <w:tcPr>
            <w:tcW w:w="8513" w:type="dxa"/>
            <w:tcMar>
              <w:top w:w="0" w:type="dxa"/>
              <w:left w:w="108" w:type="dxa"/>
              <w:bottom w:w="0" w:type="dxa"/>
              <w:right w:w="108" w:type="dxa"/>
            </w:tcMar>
            <w:hideMark/>
          </w:tcPr>
          <w:p w14:paraId="20432AC9"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Development of a set of fiscal instruments to facilitate access to green and climate finance.</w:t>
            </w:r>
          </w:p>
          <w:p w14:paraId="4BCD28BA" w14:textId="1BA141FE" w:rsidR="00DA121F" w:rsidRPr="0071206E" w:rsidRDefault="00FF7BA7">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UNDP-PAGE has been</w:t>
            </w:r>
            <w:r w:rsidR="00DA121F" w:rsidRPr="0071206E">
              <w:rPr>
                <w:rFonts w:asciiTheme="minorHAnsi" w:eastAsia="Times New Roman" w:hAnsiTheme="minorHAnsi" w:cstheme="minorHAnsi"/>
                <w:color w:val="000000"/>
                <w:sz w:val="22"/>
                <w:szCs w:val="22"/>
              </w:rPr>
              <w:t xml:space="preserve"> support</w:t>
            </w:r>
            <w:r>
              <w:rPr>
                <w:rFonts w:asciiTheme="minorHAnsi" w:eastAsia="Times New Roman" w:hAnsiTheme="minorHAnsi" w:cstheme="minorHAnsi"/>
                <w:color w:val="000000"/>
                <w:sz w:val="22"/>
                <w:szCs w:val="22"/>
              </w:rPr>
              <w:t>ing</w:t>
            </w:r>
            <w:r w:rsidR="00DA121F" w:rsidRPr="0071206E">
              <w:rPr>
                <w:rFonts w:asciiTheme="minorHAnsi" w:eastAsia="Times New Roman" w:hAnsiTheme="minorHAnsi" w:cstheme="minorHAnsi"/>
                <w:color w:val="000000"/>
                <w:sz w:val="22"/>
                <w:szCs w:val="22"/>
              </w:rPr>
              <w:t xml:space="preserve"> the Ministry of Public Finance in developing and/or prioritizing proposals for tax instruments with an environmental focus aligned with current national regulations to support compliance with national and international environmental and climate change commitments. The prioritized mechanisms are:</w:t>
            </w:r>
          </w:p>
          <w:p w14:paraId="18A03AE5" w14:textId="77777777" w:rsidR="00DA121F" w:rsidRPr="0071206E" w:rsidRDefault="00DA121F" w:rsidP="007B5561">
            <w:pPr>
              <w:numPr>
                <w:ilvl w:val="0"/>
                <w:numId w:val="21"/>
              </w:numPr>
              <w:spacing w:before="100" w:beforeAutospacing="1" w:after="100" w:afterAutospacing="1"/>
              <w:jc w:val="left"/>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Inclusion of criteria for mobility, environmental quality, land management plans, and risk management in constitutional funding:</w:t>
            </w:r>
            <w:r w:rsidRPr="0071206E">
              <w:rPr>
                <w:rFonts w:asciiTheme="minorHAnsi" w:eastAsia="Times New Roman" w:hAnsiTheme="minorHAnsi" w:cstheme="minorHAnsi"/>
                <w:color w:val="000000"/>
                <w:sz w:val="22"/>
                <w:szCs w:val="22"/>
              </w:rPr>
              <w:t> this proposal suggests altering the distribution criteria of constitutional funding allocated to municipalities by the Constitution. The goal is to redistribute resources and create incentives for implementing urban mobility projects, risk management strategies, environmental quality improvements, and effective land use planning.</w:t>
            </w:r>
          </w:p>
          <w:p w14:paraId="56001611" w14:textId="3842C4F6" w:rsidR="00DA121F" w:rsidRPr="00AE206C" w:rsidRDefault="00DA121F" w:rsidP="007B5561">
            <w:pPr>
              <w:pStyle w:val="ListParagraph"/>
              <w:numPr>
                <w:ilvl w:val="0"/>
                <w:numId w:val="21"/>
              </w:numPr>
              <w:rPr>
                <w:rFonts w:asciiTheme="minorHAnsi" w:eastAsia="Times New Roman" w:hAnsiTheme="minorHAnsi" w:cstheme="minorHAnsi"/>
                <w:color w:val="000000"/>
                <w:sz w:val="22"/>
                <w:szCs w:val="22"/>
              </w:rPr>
            </w:pPr>
            <w:r w:rsidRPr="00AE206C">
              <w:rPr>
                <w:rFonts w:asciiTheme="minorHAnsi" w:eastAsia="Times New Roman" w:hAnsiTheme="minorHAnsi" w:cstheme="minorHAnsi"/>
                <w:b/>
                <w:bCs/>
                <w:color w:val="000000"/>
                <w:sz w:val="22"/>
                <w:szCs w:val="22"/>
              </w:rPr>
              <w:t>Inclusion of prioritization criteria in the Public Investment Program of the National Council for Urban and Rural Development in Guatemala:</w:t>
            </w:r>
            <w:r w:rsidRPr="00AE206C">
              <w:rPr>
                <w:rFonts w:asciiTheme="minorHAnsi" w:eastAsia="Times New Roman" w:hAnsiTheme="minorHAnsi" w:cstheme="minorHAnsi"/>
                <w:color w:val="000000"/>
                <w:sz w:val="22"/>
                <w:szCs w:val="22"/>
              </w:rPr>
              <w:t> This financial solution advocates for the incorporation of green infrastructure definitions and typologies in the regulations for managing contributions to the Departmental Development Councils (CODEDES) in Guatemala.  </w:t>
            </w:r>
          </w:p>
          <w:p w14:paraId="5C5B70D3" w14:textId="28C0EB8E" w:rsidR="00DA121F" w:rsidRPr="00AE206C" w:rsidRDefault="00DA121F" w:rsidP="007B5561">
            <w:pPr>
              <w:pStyle w:val="ListParagraph"/>
              <w:numPr>
                <w:ilvl w:val="0"/>
                <w:numId w:val="21"/>
              </w:numPr>
              <w:rPr>
                <w:rFonts w:asciiTheme="minorHAnsi" w:eastAsia="Times New Roman" w:hAnsiTheme="minorHAnsi" w:cstheme="minorHAnsi"/>
                <w:color w:val="000000"/>
                <w:sz w:val="22"/>
                <w:szCs w:val="22"/>
              </w:rPr>
            </w:pPr>
            <w:r w:rsidRPr="00AE206C">
              <w:rPr>
                <w:rFonts w:asciiTheme="minorHAnsi" w:eastAsia="Times New Roman" w:hAnsiTheme="minorHAnsi" w:cstheme="minorHAnsi"/>
                <w:b/>
                <w:bCs/>
                <w:color w:val="000000"/>
                <w:sz w:val="22"/>
                <w:szCs w:val="22"/>
              </w:rPr>
              <w:t xml:space="preserve">Environmental Tax on Fixed Sources of Greenhouse Gas Emissions: </w:t>
            </w:r>
            <w:r w:rsidRPr="00AE206C">
              <w:rPr>
                <w:rFonts w:asciiTheme="minorHAnsi" w:eastAsia="Times New Roman" w:hAnsiTheme="minorHAnsi" w:cstheme="minorHAnsi"/>
                <w:color w:val="000000"/>
                <w:sz w:val="22"/>
                <w:szCs w:val="22"/>
              </w:rPr>
              <w:t xml:space="preserve">This proposal focuses on a tax on Greenhouse Gas (GHG) emissions from energy production. The tax revenue </w:t>
            </w:r>
            <w:r w:rsidRPr="00AE206C">
              <w:rPr>
                <w:rFonts w:asciiTheme="minorHAnsi" w:eastAsia="Times New Roman" w:hAnsiTheme="minorHAnsi" w:cstheme="minorHAnsi"/>
                <w:color w:val="000000"/>
                <w:sz w:val="22"/>
                <w:szCs w:val="22"/>
              </w:rPr>
              <w:lastRenderedPageBreak/>
              <w:t>will be used for environmental programs and projects that promote the protection and restoration of forests and access to renewable energy in rural communities.</w:t>
            </w:r>
          </w:p>
          <w:p w14:paraId="3B044903" w14:textId="2381DCFC" w:rsidR="00DA121F" w:rsidRPr="006E250C" w:rsidRDefault="00DA121F" w:rsidP="007B5561">
            <w:pPr>
              <w:pStyle w:val="ListParagraph"/>
              <w:numPr>
                <w:ilvl w:val="0"/>
                <w:numId w:val="21"/>
              </w:numPr>
              <w:rPr>
                <w:rFonts w:asciiTheme="minorHAnsi" w:eastAsia="Times New Roman" w:hAnsiTheme="minorHAnsi" w:cstheme="minorHAnsi"/>
                <w:color w:val="000000"/>
                <w:sz w:val="22"/>
                <w:szCs w:val="22"/>
              </w:rPr>
            </w:pPr>
            <w:r w:rsidRPr="006E250C">
              <w:rPr>
                <w:rFonts w:asciiTheme="minorHAnsi" w:eastAsia="Times New Roman" w:hAnsiTheme="minorHAnsi" w:cstheme="minorHAnsi"/>
                <w:b/>
                <w:bCs/>
                <w:color w:val="000000"/>
                <w:sz w:val="22"/>
                <w:szCs w:val="22"/>
              </w:rPr>
              <w:t>Issuance of green bonds:</w:t>
            </w:r>
            <w:r w:rsidRPr="006E250C">
              <w:rPr>
                <w:rFonts w:asciiTheme="minorHAnsi" w:eastAsia="Times New Roman" w:hAnsiTheme="minorHAnsi" w:cstheme="minorHAnsi"/>
                <w:color w:val="000000"/>
                <w:sz w:val="22"/>
                <w:szCs w:val="22"/>
              </w:rPr>
              <w:t> It is proposed to generate securities to finance projects with positive environmental and social impact, such as renewable energy, energy efficiency, and clean transportation.  </w:t>
            </w:r>
          </w:p>
          <w:p w14:paraId="2E71C352" w14:textId="32F49743" w:rsidR="00DA121F" w:rsidRPr="00451F55" w:rsidRDefault="00DA121F" w:rsidP="007B5561">
            <w:pPr>
              <w:pStyle w:val="ListParagraph"/>
              <w:numPr>
                <w:ilvl w:val="0"/>
                <w:numId w:val="21"/>
              </w:numPr>
              <w:rPr>
                <w:rFonts w:asciiTheme="minorHAnsi" w:eastAsia="Times New Roman" w:hAnsiTheme="minorHAnsi" w:cstheme="minorHAnsi"/>
                <w:color w:val="000000"/>
                <w:sz w:val="22"/>
                <w:szCs w:val="22"/>
              </w:rPr>
            </w:pPr>
            <w:r w:rsidRPr="00451F55">
              <w:rPr>
                <w:rFonts w:asciiTheme="minorHAnsi" w:eastAsia="Times New Roman" w:hAnsiTheme="minorHAnsi" w:cstheme="minorHAnsi"/>
                <w:b/>
                <w:bCs/>
                <w:color w:val="000000"/>
                <w:sz w:val="22"/>
                <w:szCs w:val="22"/>
              </w:rPr>
              <w:t>Debt-for-nature swap:</w:t>
            </w:r>
            <w:r w:rsidRPr="00451F55">
              <w:rPr>
                <w:rFonts w:asciiTheme="minorHAnsi" w:eastAsia="Times New Roman" w:hAnsiTheme="minorHAnsi" w:cstheme="minorHAnsi"/>
                <w:color w:val="000000"/>
                <w:sz w:val="22"/>
                <w:szCs w:val="22"/>
              </w:rPr>
              <w:t> This instrument suggests restructuring national debt to enhance the country’s capacity to service its obligations by modifying payment terms. The funds generated from this restructuring will be invested in priority actions that align with climate objectives and international commitments and in strengthening institutional capacities for project design and climate finance management.</w:t>
            </w:r>
          </w:p>
          <w:p w14:paraId="6C848524" w14:textId="77777777" w:rsidR="00451F55" w:rsidRPr="00451F55" w:rsidRDefault="00451F55" w:rsidP="00451F55">
            <w:pPr>
              <w:pStyle w:val="ListParagraph"/>
              <w:ind w:left="360"/>
              <w:rPr>
                <w:rFonts w:asciiTheme="minorHAnsi" w:eastAsia="Times New Roman" w:hAnsiTheme="minorHAnsi" w:cstheme="minorHAnsi"/>
                <w:color w:val="000000"/>
                <w:sz w:val="22"/>
                <w:szCs w:val="22"/>
              </w:rPr>
            </w:pPr>
          </w:p>
          <w:p w14:paraId="5D5EE25A" w14:textId="442B1A0A" w:rsidR="006E250C"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 xml:space="preserve">These five instruments are crucial as they provide the Ministry of Public Finance (MINFIN) with tools to generate revenue, which can be </w:t>
            </w:r>
            <w:r w:rsidR="00A2779B">
              <w:rPr>
                <w:rFonts w:asciiTheme="minorHAnsi" w:eastAsia="Times New Roman" w:hAnsiTheme="minorHAnsi" w:cstheme="minorHAnsi"/>
                <w:color w:val="000000"/>
                <w:sz w:val="22"/>
                <w:szCs w:val="22"/>
              </w:rPr>
              <w:t xml:space="preserve">applied to </w:t>
            </w:r>
            <w:r w:rsidRPr="0071206E">
              <w:rPr>
                <w:rFonts w:asciiTheme="minorHAnsi" w:eastAsia="Times New Roman" w:hAnsiTheme="minorHAnsi" w:cstheme="minorHAnsi"/>
                <w:color w:val="000000"/>
                <w:sz w:val="22"/>
                <w:szCs w:val="22"/>
              </w:rPr>
              <w:t>address the country's key environmental challenges.</w:t>
            </w:r>
          </w:p>
        </w:tc>
      </w:tr>
      <w:tr w:rsidR="00DA121F" w:rsidRPr="0071206E" w14:paraId="27598A5F" w14:textId="77777777" w:rsidTr="00971388">
        <w:trPr>
          <w:trHeight w:val="5488"/>
        </w:trPr>
        <w:tc>
          <w:tcPr>
            <w:tcW w:w="1647" w:type="dxa"/>
            <w:tcMar>
              <w:top w:w="0" w:type="dxa"/>
              <w:left w:w="108" w:type="dxa"/>
              <w:bottom w:w="0" w:type="dxa"/>
              <w:right w:w="108" w:type="dxa"/>
            </w:tcMar>
            <w:hideMark/>
          </w:tcPr>
          <w:p w14:paraId="56712DB5"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lastRenderedPageBreak/>
              <w:t>Key achievements in 2024</w:t>
            </w:r>
          </w:p>
        </w:tc>
        <w:tc>
          <w:tcPr>
            <w:tcW w:w="8513" w:type="dxa"/>
            <w:tcMar>
              <w:top w:w="0" w:type="dxa"/>
              <w:left w:w="108" w:type="dxa"/>
              <w:bottom w:w="0" w:type="dxa"/>
              <w:right w:w="108" w:type="dxa"/>
            </w:tcMar>
            <w:hideMark/>
          </w:tcPr>
          <w:p w14:paraId="4EF3670C"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Development of manuals for classifiers and capacity-building processes to quantify and improve public expenditures and investment in climate change and water resource issues through thematic classifiers that link each of the institutions of the central government, decentralized entities, and municipal governments.</w:t>
            </w:r>
          </w:p>
          <w:p w14:paraId="6AC51F95" w14:textId="304E0D48" w:rsidR="00DA121F" w:rsidRPr="0071206E" w:rsidRDefault="00C87BD0">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In order</w:t>
            </w:r>
            <w:r w:rsidR="00DA121F" w:rsidRPr="0071206E">
              <w:rPr>
                <w:rFonts w:asciiTheme="minorHAnsi" w:eastAsia="Times New Roman" w:hAnsiTheme="minorHAnsi" w:cstheme="minorHAnsi"/>
                <w:color w:val="000000"/>
                <w:sz w:val="22"/>
                <w:szCs w:val="22"/>
              </w:rPr>
              <w:t xml:space="preserve"> to enhance the quality of public spending related to water resources, sanitation, and climate change</w:t>
            </w:r>
            <w:r>
              <w:rPr>
                <w:rFonts w:asciiTheme="minorHAnsi" w:eastAsia="Times New Roman" w:hAnsiTheme="minorHAnsi" w:cstheme="minorHAnsi"/>
                <w:color w:val="000000"/>
                <w:sz w:val="22"/>
                <w:szCs w:val="22"/>
              </w:rPr>
              <w:t xml:space="preserve">, </w:t>
            </w:r>
            <w:r w:rsidR="00EC743B" w:rsidRPr="0071206E">
              <w:rPr>
                <w:rFonts w:asciiTheme="minorHAnsi" w:eastAsia="Times New Roman" w:hAnsiTheme="minorHAnsi" w:cstheme="minorHAnsi"/>
                <w:color w:val="000000"/>
                <w:sz w:val="22"/>
                <w:szCs w:val="22"/>
              </w:rPr>
              <w:t>the Ministry of Environment and Natural Resources</w:t>
            </w:r>
            <w:r w:rsidR="00EC743B">
              <w:rPr>
                <w:rFonts w:asciiTheme="minorHAnsi" w:eastAsia="Times New Roman" w:hAnsiTheme="minorHAnsi" w:cstheme="minorHAnsi"/>
                <w:color w:val="000000"/>
                <w:sz w:val="22"/>
                <w:szCs w:val="22"/>
              </w:rPr>
              <w:t xml:space="preserve"> in partnership with the other relevant line government agencies </w:t>
            </w:r>
            <w:r w:rsidR="00301871">
              <w:rPr>
                <w:rFonts w:asciiTheme="minorHAnsi" w:eastAsia="Times New Roman" w:hAnsiTheme="minorHAnsi" w:cstheme="minorHAnsi"/>
                <w:color w:val="000000"/>
                <w:sz w:val="22"/>
                <w:szCs w:val="22"/>
              </w:rPr>
              <w:t>and municipalities</w:t>
            </w:r>
            <w:r w:rsidR="002A5C30">
              <w:rPr>
                <w:rFonts w:asciiTheme="minorHAnsi" w:eastAsia="Times New Roman" w:hAnsiTheme="minorHAnsi" w:cstheme="minorHAnsi"/>
                <w:color w:val="000000"/>
                <w:sz w:val="22"/>
                <w:szCs w:val="22"/>
              </w:rPr>
              <w:t xml:space="preserve"> </w:t>
            </w:r>
            <w:r w:rsidR="00EC743B">
              <w:rPr>
                <w:rFonts w:asciiTheme="minorHAnsi" w:eastAsia="Times New Roman" w:hAnsiTheme="minorHAnsi" w:cstheme="minorHAnsi"/>
                <w:color w:val="000000"/>
                <w:sz w:val="22"/>
                <w:szCs w:val="22"/>
              </w:rPr>
              <w:t>initiated</w:t>
            </w:r>
            <w:r w:rsidR="00DA121F" w:rsidRPr="0071206E">
              <w:rPr>
                <w:rFonts w:asciiTheme="minorHAnsi" w:eastAsia="Times New Roman" w:hAnsiTheme="minorHAnsi" w:cstheme="minorHAnsi"/>
                <w:color w:val="000000"/>
                <w:sz w:val="22"/>
                <w:szCs w:val="22"/>
              </w:rPr>
              <w:t xml:space="preserve"> formulation and institutionalization of </w:t>
            </w:r>
            <w:r w:rsidR="00BE3791">
              <w:rPr>
                <w:rFonts w:asciiTheme="minorHAnsi" w:eastAsia="Times New Roman" w:hAnsiTheme="minorHAnsi" w:cstheme="minorHAnsi"/>
                <w:color w:val="000000"/>
                <w:sz w:val="22"/>
                <w:szCs w:val="22"/>
              </w:rPr>
              <w:t>a</w:t>
            </w:r>
            <w:r w:rsidR="00BE3791" w:rsidRPr="0071206E">
              <w:rPr>
                <w:rFonts w:asciiTheme="minorHAnsi" w:eastAsia="Times New Roman" w:hAnsiTheme="minorHAnsi" w:cstheme="minorHAnsi"/>
                <w:color w:val="000000"/>
                <w:sz w:val="22"/>
                <w:szCs w:val="22"/>
              </w:rPr>
              <w:t xml:space="preserve"> </w:t>
            </w:r>
            <w:r w:rsidR="00DA121F" w:rsidRPr="0071206E">
              <w:rPr>
                <w:rFonts w:asciiTheme="minorHAnsi" w:eastAsia="Times New Roman" w:hAnsiTheme="minorHAnsi" w:cstheme="minorHAnsi"/>
                <w:color w:val="000000"/>
                <w:sz w:val="22"/>
                <w:szCs w:val="22"/>
              </w:rPr>
              <w:t xml:space="preserve">Thematic Classifier Guide on Water Resources and Sanitation (GCTRHS), </w:t>
            </w:r>
            <w:r w:rsidR="00BE3791">
              <w:rPr>
                <w:rFonts w:asciiTheme="minorHAnsi" w:eastAsia="Times New Roman" w:hAnsiTheme="minorHAnsi" w:cstheme="minorHAnsi"/>
                <w:color w:val="000000"/>
                <w:sz w:val="22"/>
                <w:szCs w:val="22"/>
              </w:rPr>
              <w:t>and</w:t>
            </w:r>
            <w:r w:rsidR="00DA121F" w:rsidRPr="0071206E">
              <w:rPr>
                <w:rFonts w:asciiTheme="minorHAnsi" w:eastAsia="Times New Roman" w:hAnsiTheme="minorHAnsi" w:cstheme="minorHAnsi"/>
                <w:color w:val="000000"/>
                <w:sz w:val="22"/>
                <w:szCs w:val="22"/>
              </w:rPr>
              <w:t xml:space="preserve"> </w:t>
            </w:r>
            <w:r w:rsidR="00BE3791">
              <w:rPr>
                <w:rFonts w:asciiTheme="minorHAnsi" w:eastAsia="Times New Roman" w:hAnsiTheme="minorHAnsi" w:cstheme="minorHAnsi"/>
                <w:color w:val="000000"/>
                <w:sz w:val="22"/>
                <w:szCs w:val="22"/>
              </w:rPr>
              <w:t>a</w:t>
            </w:r>
            <w:r w:rsidR="00DA121F" w:rsidRPr="0071206E">
              <w:rPr>
                <w:rFonts w:asciiTheme="minorHAnsi" w:eastAsia="Times New Roman" w:hAnsiTheme="minorHAnsi" w:cstheme="minorHAnsi"/>
                <w:color w:val="000000"/>
                <w:sz w:val="22"/>
                <w:szCs w:val="22"/>
              </w:rPr>
              <w:t xml:space="preserve"> Thematic Classifier on Climate Change (CTCC) by . To facilitate this</w:t>
            </w:r>
            <w:r w:rsidR="002A5C30">
              <w:rPr>
                <w:rFonts w:asciiTheme="minorHAnsi" w:eastAsia="Times New Roman" w:hAnsiTheme="minorHAnsi" w:cstheme="minorHAnsi"/>
                <w:color w:val="000000"/>
                <w:sz w:val="22"/>
                <w:szCs w:val="22"/>
              </w:rPr>
              <w:t xml:space="preserve"> work</w:t>
            </w:r>
            <w:r w:rsidR="00DA121F" w:rsidRPr="0071206E">
              <w:rPr>
                <w:rFonts w:asciiTheme="minorHAnsi" w:eastAsia="Times New Roman" w:hAnsiTheme="minorHAnsi" w:cstheme="minorHAnsi"/>
                <w:color w:val="000000"/>
                <w:sz w:val="22"/>
                <w:szCs w:val="22"/>
              </w:rPr>
              <w:t xml:space="preserve">, </w:t>
            </w:r>
            <w:r w:rsidR="003941F8">
              <w:rPr>
                <w:rFonts w:asciiTheme="minorHAnsi" w:eastAsia="Times New Roman" w:hAnsiTheme="minorHAnsi" w:cstheme="minorHAnsi"/>
                <w:color w:val="000000"/>
                <w:sz w:val="22"/>
                <w:szCs w:val="22"/>
              </w:rPr>
              <w:t xml:space="preserve">UNDP-PAGE designed </w:t>
            </w:r>
            <w:r w:rsidR="00DA121F" w:rsidRPr="0071206E">
              <w:rPr>
                <w:rFonts w:asciiTheme="minorHAnsi" w:eastAsia="Times New Roman" w:hAnsiTheme="minorHAnsi" w:cstheme="minorHAnsi"/>
                <w:color w:val="000000"/>
                <w:sz w:val="22"/>
                <w:szCs w:val="22"/>
              </w:rPr>
              <w:t xml:space="preserve">an implementation guide for the Thematic Classification of Water Resources and Sanitation (GCTRHS), which helps link it to the institutional budget. Additionally, ten municipalities and the Ministry of Environment and Natural Resources (MARN) received training </w:t>
            </w:r>
            <w:r w:rsidR="00557EFB">
              <w:rPr>
                <w:rFonts w:asciiTheme="minorHAnsi" w:eastAsia="Times New Roman" w:hAnsiTheme="minorHAnsi" w:cstheme="minorHAnsi"/>
                <w:color w:val="000000"/>
                <w:sz w:val="22"/>
                <w:szCs w:val="22"/>
              </w:rPr>
              <w:t xml:space="preserve">from UNDP-PAGE </w:t>
            </w:r>
            <w:r w:rsidR="00DA121F" w:rsidRPr="0071206E">
              <w:rPr>
                <w:rFonts w:asciiTheme="minorHAnsi" w:eastAsia="Times New Roman" w:hAnsiTheme="minorHAnsi" w:cstheme="minorHAnsi"/>
                <w:color w:val="000000"/>
                <w:sz w:val="22"/>
                <w:szCs w:val="22"/>
              </w:rPr>
              <w:t>to implement the Climate Change Thematic Classifier (CTCC). A monitoring matrix was also prepared for both the Water Resources and Sanitation classifier and the Climate Change classifier, tailored for each prioritized entity, based on the linkage between planning and budgeting. The GCTRHS implementation guide is a crucial tool that connects the programmatic categories defined during the operational planning and institutional programming process. This ensures a genuine and effective relationship with the components and subcomponents of the classifier, guiding budget allocations and improving the quality of public spending. The monitoring matrix enables public entities to align national development priorities and goals with their institutional products and results. It also helps them associate their interventions with a network of programmatic categories, allowing for a coherent and relevant plan-budget alignment with the themes of climate change, water resources, and sanitation. This ensures an effective classification that will be reflected in the institutional budget.</w:t>
            </w:r>
          </w:p>
        </w:tc>
      </w:tr>
      <w:tr w:rsidR="00DA121F" w:rsidRPr="0071206E" w14:paraId="2445EB8B" w14:textId="77777777" w:rsidTr="00971388">
        <w:trPr>
          <w:trHeight w:val="4771"/>
        </w:trPr>
        <w:tc>
          <w:tcPr>
            <w:tcW w:w="1647" w:type="dxa"/>
            <w:tcMar>
              <w:top w:w="0" w:type="dxa"/>
              <w:left w:w="108" w:type="dxa"/>
              <w:bottom w:w="0" w:type="dxa"/>
              <w:right w:w="108" w:type="dxa"/>
            </w:tcMar>
            <w:hideMark/>
          </w:tcPr>
          <w:p w14:paraId="311E2013"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lastRenderedPageBreak/>
              <w:t>Key Achievements 2024</w:t>
            </w:r>
            <w:r w:rsidRPr="0071206E">
              <w:rPr>
                <w:rFonts w:asciiTheme="minorHAnsi" w:eastAsia="Times New Roman" w:hAnsiTheme="minorHAnsi" w:cstheme="minorHAnsi"/>
                <w:color w:val="000000"/>
                <w:sz w:val="22"/>
                <w:szCs w:val="22"/>
              </w:rPr>
              <w:t> (Add. Support for Green Recovery)</w:t>
            </w:r>
          </w:p>
        </w:tc>
        <w:tc>
          <w:tcPr>
            <w:tcW w:w="8513" w:type="dxa"/>
            <w:tcMar>
              <w:top w:w="0" w:type="dxa"/>
              <w:left w:w="108" w:type="dxa"/>
              <w:bottom w:w="0" w:type="dxa"/>
              <w:right w:w="108" w:type="dxa"/>
            </w:tcMar>
            <w:hideMark/>
          </w:tcPr>
          <w:p w14:paraId="6BC15044"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Roll-out of four multi-stakeholder dialogues on green recovery based on the National Development Priorities of Guatemala.</w:t>
            </w:r>
          </w:p>
          <w:p w14:paraId="275ED291" w14:textId="3613B338"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Four dialogues were conducted with 210 people (49% men and 51% women) and 20 high-level speakers from Guatemala, Mexico, Colombia, and Costa Rica (65% men and 35% women).</w:t>
            </w:r>
            <w:r w:rsidR="005F1A2C">
              <w:rPr>
                <w:rFonts w:asciiTheme="minorHAnsi" w:eastAsia="Times New Roman" w:hAnsiTheme="minorHAnsi" w:cstheme="minorHAnsi"/>
                <w:color w:val="000000"/>
                <w:sz w:val="22"/>
                <w:szCs w:val="22"/>
              </w:rPr>
              <w:t xml:space="preserve"> </w:t>
            </w:r>
            <w:r w:rsidRPr="0071206E">
              <w:rPr>
                <w:rFonts w:asciiTheme="minorHAnsi" w:eastAsia="Times New Roman" w:hAnsiTheme="minorHAnsi" w:cstheme="minorHAnsi"/>
                <w:color w:val="000000"/>
                <w:sz w:val="22"/>
                <w:szCs w:val="22"/>
              </w:rPr>
              <w:t xml:space="preserve">These activities </w:t>
            </w:r>
            <w:r w:rsidR="005F1A2C">
              <w:rPr>
                <w:rFonts w:asciiTheme="minorHAnsi" w:eastAsia="Times New Roman" w:hAnsiTheme="minorHAnsi" w:cstheme="minorHAnsi"/>
                <w:color w:val="000000"/>
                <w:sz w:val="22"/>
                <w:szCs w:val="22"/>
              </w:rPr>
              <w:t xml:space="preserve">were </w:t>
            </w:r>
            <w:r w:rsidRPr="0071206E">
              <w:rPr>
                <w:rFonts w:asciiTheme="minorHAnsi" w:eastAsia="Times New Roman" w:hAnsiTheme="minorHAnsi" w:cstheme="minorHAnsi"/>
                <w:color w:val="000000"/>
                <w:sz w:val="22"/>
                <w:szCs w:val="22"/>
              </w:rPr>
              <w:t>aimed to enhance the capacity of public officials (from the National Council of Protected Areas and the Ministries of Finance and Environment) and master's degree students from three universities (two in Guatemala and one in Colombia) on issues of inclusive green economy, cleaner production, the circular economy, green recovery, and environmental finance.</w:t>
            </w:r>
            <w:r w:rsidR="005215EF">
              <w:rPr>
                <w:rFonts w:asciiTheme="minorHAnsi" w:eastAsia="Times New Roman" w:hAnsiTheme="minorHAnsi" w:cstheme="minorHAnsi"/>
                <w:color w:val="000000"/>
                <w:sz w:val="22"/>
                <w:szCs w:val="22"/>
              </w:rPr>
              <w:t xml:space="preserve"> </w:t>
            </w:r>
            <w:r w:rsidRPr="0071206E">
              <w:rPr>
                <w:rFonts w:asciiTheme="minorHAnsi" w:eastAsia="Times New Roman" w:hAnsiTheme="minorHAnsi" w:cstheme="minorHAnsi"/>
                <w:color w:val="000000"/>
                <w:sz w:val="22"/>
                <w:szCs w:val="22"/>
              </w:rPr>
              <w:t>In addition, the dialogues enabled:</w:t>
            </w:r>
          </w:p>
          <w:p w14:paraId="7BC0D465"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 Exchanging experiences from Latin America regarding financial solutions based on biodiversity.</w:t>
            </w:r>
          </w:p>
          <w:p w14:paraId="2FA13116"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 Generating discussions on the current challenges faced in implementing the green economy in Guatemala and its connection to national economic, social, and environmental priorities while exploring current and alternative development models.</w:t>
            </w:r>
          </w:p>
          <w:p w14:paraId="55E4DF59"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 Raising awareness about the benefits and challenges companies encounter when implementing environmental tools to comply with national legislation while implementing circular economy practices and cleaner production initiatives.</w:t>
            </w:r>
          </w:p>
          <w:p w14:paraId="485948AD" w14:textId="77777777" w:rsidR="00DA121F" w:rsidRPr="0071206E" w:rsidRDefault="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color w:val="000000"/>
                <w:sz w:val="22"/>
                <w:szCs w:val="22"/>
              </w:rPr>
              <w:t>- Generating discussions on green recovery based on the National Development Priorities of Guatemala.</w:t>
            </w:r>
          </w:p>
        </w:tc>
      </w:tr>
    </w:tbl>
    <w:p w14:paraId="2969ED0B" w14:textId="77777777" w:rsidR="00DA121F" w:rsidRPr="0071206E" w:rsidRDefault="00DA121F" w:rsidP="00DA121F">
      <w:pPr>
        <w:rPr>
          <w:rFonts w:asciiTheme="minorHAnsi" w:eastAsia="Times New Roman" w:hAnsiTheme="minorHAnsi" w:cstheme="minorHAnsi"/>
          <w:color w:val="000000"/>
          <w:sz w:val="22"/>
          <w:szCs w:val="22"/>
        </w:rPr>
      </w:pPr>
      <w:r w:rsidRPr="0071206E">
        <w:rPr>
          <w:rFonts w:asciiTheme="minorHAnsi" w:eastAsia="Times New Roman" w:hAnsiTheme="minorHAnsi" w:cstheme="minorHAnsi"/>
          <w:b/>
          <w:bCs/>
          <w:color w:val="000000"/>
          <w:sz w:val="22"/>
          <w:szCs w:val="22"/>
        </w:rPr>
        <w:t> </w:t>
      </w:r>
    </w:p>
    <w:p w14:paraId="22ECD278" w14:textId="77777777" w:rsidR="00DA121F" w:rsidRPr="0071206E" w:rsidRDefault="00DA121F" w:rsidP="00EA6DB1">
      <w:pPr>
        <w:rPr>
          <w:rFonts w:asciiTheme="minorHAnsi" w:hAnsiTheme="minorHAnsi" w:cstheme="minorHAnsi"/>
          <w:b/>
          <w:iCs/>
          <w:sz w:val="22"/>
          <w:szCs w:val="22"/>
        </w:rPr>
      </w:pPr>
    </w:p>
    <w:p w14:paraId="2BC63CAE" w14:textId="2F49584F" w:rsidR="00EA6DB1" w:rsidRPr="0071206E" w:rsidRDefault="005A08AF" w:rsidP="00EA6DB1">
      <w:pPr>
        <w:jc w:val="center"/>
        <w:rPr>
          <w:rFonts w:asciiTheme="minorHAnsi" w:hAnsiTheme="minorHAnsi" w:cstheme="minorHAnsi"/>
          <w:b/>
          <w:iCs/>
          <w:sz w:val="22"/>
          <w:szCs w:val="22"/>
        </w:rPr>
      </w:pPr>
      <w:r w:rsidRPr="0071206E">
        <w:rPr>
          <w:rFonts w:asciiTheme="minorHAnsi" w:hAnsiTheme="minorHAnsi" w:cstheme="minorHAnsi"/>
          <w:b/>
          <w:iCs/>
          <w:sz w:val="22"/>
          <w:szCs w:val="22"/>
        </w:rPr>
        <w:t>UNDP</w:t>
      </w:r>
      <w:r w:rsidR="00EA6DB1" w:rsidRPr="0071206E">
        <w:rPr>
          <w:rFonts w:asciiTheme="minorHAnsi" w:hAnsiTheme="minorHAnsi" w:cstheme="minorHAnsi"/>
          <w:b/>
          <w:iCs/>
          <w:sz w:val="22"/>
          <w:szCs w:val="22"/>
        </w:rPr>
        <w:t xml:space="preserve"> - Morocco</w:t>
      </w:r>
    </w:p>
    <w:p w14:paraId="6F129DEC" w14:textId="77777777" w:rsidR="00EA6DB1" w:rsidRPr="0071206E" w:rsidRDefault="00EA6DB1" w:rsidP="00EA6DB1">
      <w:pPr>
        <w:rPr>
          <w:rFonts w:asciiTheme="minorHAnsi" w:hAnsiTheme="minorHAnsi" w:cstheme="minorHAnsi"/>
          <w:b/>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4047B4A9" w14:textId="77777777" w:rsidTr="7A1375F1">
        <w:tc>
          <w:tcPr>
            <w:tcW w:w="9895" w:type="dxa"/>
            <w:gridSpan w:val="2"/>
          </w:tcPr>
          <w:p w14:paraId="38416836" w14:textId="77777777" w:rsidR="00EA6DB1" w:rsidRPr="0071206E" w:rsidRDefault="00EA6DB1" w:rsidP="00610125">
            <w:pPr>
              <w:rPr>
                <w:rFonts w:asciiTheme="minorHAnsi" w:hAnsiTheme="minorHAnsi" w:cstheme="minorHAnsi"/>
                <w:i/>
                <w:iCs/>
                <w:sz w:val="22"/>
                <w:szCs w:val="22"/>
              </w:rPr>
            </w:pPr>
            <w:r w:rsidRPr="0071206E">
              <w:rPr>
                <w:rFonts w:asciiTheme="minorHAnsi" w:hAnsiTheme="minorHAnsi" w:cstheme="minorHAnsi"/>
                <w:i/>
                <w:iCs/>
                <w:sz w:val="22"/>
                <w:szCs w:val="22"/>
              </w:rPr>
              <w:t>Outcome 1- Countries have reinforced and integrated inclusive green economy (IGE) goals targets into SDG aligned national economic and development planning through multi-stakeholder collaboration.</w:t>
            </w:r>
          </w:p>
        </w:tc>
      </w:tr>
      <w:tr w:rsidR="00EA6DB1" w:rsidRPr="0071206E" w14:paraId="2F6AF29A" w14:textId="77777777" w:rsidTr="7A1375F1">
        <w:tc>
          <w:tcPr>
            <w:tcW w:w="2547" w:type="dxa"/>
          </w:tcPr>
          <w:p w14:paraId="19EA9775" w14:textId="5E0EEF4D"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720C58C4" w:rsidRPr="0071206E">
              <w:rPr>
                <w:rFonts w:asciiTheme="minorHAnsi" w:hAnsiTheme="minorHAnsi" w:cstheme="minorHAnsi"/>
                <w:b/>
                <w:bCs/>
                <w:sz w:val="22"/>
                <w:szCs w:val="22"/>
              </w:rPr>
              <w:t>4</w:t>
            </w:r>
          </w:p>
          <w:p w14:paraId="57C111BC" w14:textId="77777777" w:rsidR="00EA6DB1" w:rsidRPr="0071206E" w:rsidRDefault="00EA6DB1" w:rsidP="00610125">
            <w:pPr>
              <w:rPr>
                <w:rFonts w:asciiTheme="minorHAnsi" w:hAnsiTheme="minorHAnsi" w:cstheme="minorHAnsi"/>
                <w:b/>
                <w:i/>
                <w:iCs/>
                <w:sz w:val="22"/>
                <w:szCs w:val="22"/>
              </w:rPr>
            </w:pPr>
          </w:p>
        </w:tc>
        <w:tc>
          <w:tcPr>
            <w:tcW w:w="7348" w:type="dxa"/>
          </w:tcPr>
          <w:p w14:paraId="24D235E9" w14:textId="5AA52E3C" w:rsidR="00EA6DB1" w:rsidRPr="0071206E" w:rsidRDefault="009D2814" w:rsidP="00610125">
            <w:pPr>
              <w:rPr>
                <w:rFonts w:asciiTheme="minorHAnsi" w:hAnsiTheme="minorHAnsi" w:cstheme="minorHAnsi"/>
                <w:sz w:val="22"/>
                <w:szCs w:val="22"/>
              </w:rPr>
            </w:pPr>
            <w:r w:rsidRPr="0071206E">
              <w:rPr>
                <w:rFonts w:asciiTheme="minorHAnsi" w:eastAsia="Times New Roman" w:hAnsiTheme="minorHAnsi" w:cstheme="minorHAnsi"/>
                <w:color w:val="000000"/>
                <w:sz w:val="22"/>
                <w:szCs w:val="22"/>
              </w:rPr>
              <w:t>n/a</w:t>
            </w:r>
          </w:p>
        </w:tc>
      </w:tr>
      <w:tr w:rsidR="00EA6DB1" w:rsidRPr="0071206E" w14:paraId="75A243EC" w14:textId="77777777" w:rsidTr="7A1375F1">
        <w:tc>
          <w:tcPr>
            <w:tcW w:w="2547" w:type="dxa"/>
          </w:tcPr>
          <w:p w14:paraId="34E9D84F" w14:textId="087C93CC"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0DF9D884"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3D3EFEEC"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0A1C2ACA" w14:textId="0DEB968E" w:rsidR="00EA6DB1" w:rsidRPr="0071206E" w:rsidRDefault="009D2814" w:rsidP="00610125">
            <w:pPr>
              <w:spacing w:after="200"/>
              <w:rPr>
                <w:rFonts w:asciiTheme="minorHAnsi" w:hAnsiTheme="minorHAnsi" w:cstheme="minorHAnsi"/>
                <w:sz w:val="22"/>
                <w:szCs w:val="22"/>
              </w:rPr>
            </w:pPr>
            <w:r w:rsidRPr="0071206E">
              <w:rPr>
                <w:rFonts w:asciiTheme="minorHAnsi" w:eastAsia="Times New Roman" w:hAnsiTheme="minorHAnsi" w:cstheme="minorHAnsi"/>
                <w:color w:val="000000"/>
                <w:sz w:val="22"/>
                <w:szCs w:val="22"/>
              </w:rPr>
              <w:t>n/a</w:t>
            </w:r>
          </w:p>
        </w:tc>
      </w:tr>
    </w:tbl>
    <w:p w14:paraId="6D14ABF1" w14:textId="77777777" w:rsidR="00EA6DB1" w:rsidRPr="0071206E" w:rsidRDefault="00EA6DB1" w:rsidP="00EA6DB1">
      <w:pPr>
        <w:rPr>
          <w:rFonts w:asciiTheme="minorHAnsi" w:hAnsiTheme="minorHAnsi" w:cstheme="minorHAnsi"/>
          <w:b/>
          <w:i/>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42BD0A61" w14:textId="77777777" w:rsidTr="7A1375F1">
        <w:tc>
          <w:tcPr>
            <w:tcW w:w="9895" w:type="dxa"/>
            <w:gridSpan w:val="2"/>
          </w:tcPr>
          <w:p w14:paraId="4D153C74" w14:textId="2825F291" w:rsidR="00EA6DB1" w:rsidRPr="0071206E" w:rsidRDefault="00EA6DB1" w:rsidP="7A1375F1">
            <w:pPr>
              <w:rPr>
                <w:rFonts w:asciiTheme="minorHAnsi" w:hAnsiTheme="minorHAnsi" w:cstheme="minorHAnsi"/>
                <w:b/>
                <w:bCs/>
                <w:i/>
                <w:iCs/>
                <w:sz w:val="22"/>
                <w:szCs w:val="22"/>
              </w:rPr>
            </w:pPr>
            <w:r w:rsidRPr="0071206E">
              <w:rPr>
                <w:rFonts w:asciiTheme="minorHAnsi" w:hAnsiTheme="minorHAnsi" w:cstheme="minorHAnsi"/>
                <w:i/>
                <w:iCs/>
                <w:sz w:val="22"/>
                <w:szCs w:val="22"/>
              </w:rPr>
              <w:t xml:space="preserve">Outcome 2 - Countries are implementing </w:t>
            </w:r>
            <w:r w:rsidR="6CAB4565" w:rsidRPr="0071206E">
              <w:rPr>
                <w:rFonts w:asciiTheme="minorHAnsi" w:hAnsiTheme="minorHAnsi" w:cstheme="minorHAnsi"/>
                <w:i/>
                <w:iCs/>
                <w:sz w:val="22"/>
                <w:szCs w:val="22"/>
              </w:rPr>
              <w:t>evidence-based</w:t>
            </w:r>
            <w:r w:rsidRPr="0071206E">
              <w:rPr>
                <w:rFonts w:asciiTheme="minorHAnsi" w:hAnsiTheme="minorHAnsi" w:cstheme="minorHAnsi"/>
                <w:i/>
                <w:iCs/>
                <w:sz w:val="22"/>
                <w:szCs w:val="22"/>
              </w:rPr>
              <w:t xml:space="preserve"> sectoral and thematic reforms in line with national IGE priorities.</w:t>
            </w:r>
          </w:p>
        </w:tc>
      </w:tr>
      <w:tr w:rsidR="00EA6DB1" w:rsidRPr="0071206E" w14:paraId="03D8BB6D" w14:textId="77777777" w:rsidTr="7A1375F1">
        <w:tc>
          <w:tcPr>
            <w:tcW w:w="2547" w:type="dxa"/>
            <w:shd w:val="clear" w:color="auto" w:fill="auto"/>
          </w:tcPr>
          <w:p w14:paraId="6943F5B7" w14:textId="6109048F"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02757437" w:rsidRPr="0071206E">
              <w:rPr>
                <w:rFonts w:asciiTheme="minorHAnsi" w:hAnsiTheme="minorHAnsi" w:cstheme="minorHAnsi"/>
                <w:b/>
                <w:bCs/>
                <w:sz w:val="22"/>
                <w:szCs w:val="22"/>
              </w:rPr>
              <w:t>4</w:t>
            </w:r>
          </w:p>
          <w:p w14:paraId="6F365C72" w14:textId="77777777" w:rsidR="00EA6DB1" w:rsidRPr="0071206E" w:rsidRDefault="00EA6DB1" w:rsidP="00610125">
            <w:pPr>
              <w:rPr>
                <w:rFonts w:asciiTheme="minorHAnsi" w:hAnsiTheme="minorHAnsi" w:cstheme="minorHAnsi"/>
                <w:b/>
                <w:i/>
                <w:iCs/>
                <w:sz w:val="22"/>
                <w:szCs w:val="22"/>
              </w:rPr>
            </w:pPr>
            <w:r w:rsidRPr="0071206E">
              <w:rPr>
                <w:rFonts w:asciiTheme="minorHAnsi" w:hAnsiTheme="minorHAnsi" w:cstheme="minorHAnsi"/>
                <w:b/>
                <w:i/>
                <w:iCs/>
                <w:sz w:val="22"/>
                <w:szCs w:val="22"/>
              </w:rPr>
              <w:t xml:space="preserve"> </w:t>
            </w:r>
          </w:p>
        </w:tc>
        <w:tc>
          <w:tcPr>
            <w:tcW w:w="7348" w:type="dxa"/>
            <w:shd w:val="clear" w:color="auto" w:fill="auto"/>
          </w:tcPr>
          <w:p w14:paraId="138581FE" w14:textId="21FB8880" w:rsidR="00EA6DB1" w:rsidRPr="0071206E" w:rsidRDefault="009D2814" w:rsidP="00610125">
            <w:pPr>
              <w:rPr>
                <w:rFonts w:asciiTheme="minorHAnsi" w:hAnsiTheme="minorHAnsi" w:cstheme="minorHAnsi"/>
                <w:iCs/>
                <w:sz w:val="22"/>
                <w:szCs w:val="22"/>
              </w:rPr>
            </w:pPr>
            <w:r w:rsidRPr="0071206E">
              <w:rPr>
                <w:rFonts w:asciiTheme="minorHAnsi" w:eastAsia="Times New Roman" w:hAnsiTheme="minorHAnsi" w:cstheme="minorHAnsi"/>
                <w:color w:val="000000"/>
                <w:sz w:val="22"/>
                <w:szCs w:val="22"/>
              </w:rPr>
              <w:t>n/a</w:t>
            </w:r>
          </w:p>
        </w:tc>
      </w:tr>
      <w:tr w:rsidR="00EA6DB1" w:rsidRPr="0071206E" w14:paraId="3B5DE789" w14:textId="77777777" w:rsidTr="7A1375F1">
        <w:tc>
          <w:tcPr>
            <w:tcW w:w="2547" w:type="dxa"/>
          </w:tcPr>
          <w:p w14:paraId="2C9B0962" w14:textId="58181DC0"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65EC089A"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0BABBEB6"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52C3C4B3" w14:textId="49B051D8" w:rsidR="00EA6DB1" w:rsidRPr="0071206E" w:rsidRDefault="009D2814" w:rsidP="00610125">
            <w:pPr>
              <w:spacing w:after="200"/>
              <w:rPr>
                <w:rFonts w:asciiTheme="minorHAnsi" w:hAnsiTheme="minorHAnsi" w:cstheme="minorHAnsi"/>
                <w:sz w:val="22"/>
                <w:szCs w:val="22"/>
              </w:rPr>
            </w:pPr>
            <w:r w:rsidRPr="0071206E">
              <w:rPr>
                <w:rFonts w:asciiTheme="minorHAnsi" w:eastAsia="Times New Roman" w:hAnsiTheme="minorHAnsi" w:cstheme="minorHAnsi"/>
                <w:color w:val="000000"/>
                <w:sz w:val="22"/>
                <w:szCs w:val="22"/>
              </w:rPr>
              <w:t>n/a</w:t>
            </w:r>
          </w:p>
        </w:tc>
      </w:tr>
    </w:tbl>
    <w:p w14:paraId="1C884AD0" w14:textId="77777777" w:rsidR="00EA6DB1" w:rsidRPr="0071206E" w:rsidRDefault="00EA6DB1" w:rsidP="00EA6DB1">
      <w:pPr>
        <w:rPr>
          <w:rFonts w:asciiTheme="minorHAnsi" w:hAnsiTheme="minorHAnsi" w:cstheme="minorHAnsi"/>
          <w:b/>
          <w:i/>
          <w:iCs/>
          <w:sz w:val="22"/>
          <w:szCs w:val="22"/>
        </w:rPr>
      </w:pPr>
    </w:p>
    <w:p w14:paraId="0F3EE886" w14:textId="77777777" w:rsidR="003A110B" w:rsidRPr="0071206E" w:rsidRDefault="003A110B" w:rsidP="003A110B">
      <w:pPr>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3A110B" w:rsidRPr="0071206E" w14:paraId="5668B3EB" w14:textId="77777777" w:rsidTr="00971388">
        <w:tc>
          <w:tcPr>
            <w:tcW w:w="9895" w:type="dxa"/>
            <w:gridSpan w:val="2"/>
            <w:tcMar>
              <w:top w:w="0" w:type="dxa"/>
              <w:left w:w="108" w:type="dxa"/>
              <w:bottom w:w="0" w:type="dxa"/>
              <w:right w:w="108" w:type="dxa"/>
            </w:tcMar>
            <w:hideMark/>
          </w:tcPr>
          <w:p w14:paraId="7B6B1745" w14:textId="77777777" w:rsidR="003A110B" w:rsidRPr="0071206E" w:rsidRDefault="003A110B">
            <w:pPr>
              <w:rPr>
                <w:rFonts w:asciiTheme="minorHAnsi" w:hAnsiTheme="minorHAnsi" w:cstheme="minorHAnsi"/>
                <w:i/>
                <w:iCs/>
                <w:sz w:val="22"/>
                <w:szCs w:val="22"/>
                <w:lang w:eastAsia="en-US"/>
              </w:rPr>
            </w:pPr>
            <w:r w:rsidRPr="0071206E">
              <w:rPr>
                <w:rFonts w:asciiTheme="minorHAnsi" w:hAnsiTheme="minorHAnsi" w:cstheme="minorHAnsi"/>
                <w:i/>
                <w:iCs/>
                <w:sz w:val="22"/>
                <w:szCs w:val="22"/>
              </w:rPr>
              <w:t xml:space="preserve">Outcome 3 - Individual, institutional and planning capacities for IGE action strengthened at the </w:t>
            </w:r>
            <w:r w:rsidRPr="0071206E">
              <w:rPr>
                <w:rFonts w:asciiTheme="minorHAnsi" w:hAnsiTheme="minorHAnsi" w:cstheme="minorHAnsi"/>
                <w:i/>
                <w:iCs/>
                <w:sz w:val="22"/>
                <w:szCs w:val="22"/>
                <w:u w:val="single"/>
              </w:rPr>
              <w:t>national</w:t>
            </w:r>
            <w:r w:rsidRPr="0071206E">
              <w:rPr>
                <w:rFonts w:asciiTheme="minorHAnsi" w:hAnsiTheme="minorHAnsi" w:cstheme="minorHAnsi"/>
                <w:i/>
                <w:iCs/>
                <w:sz w:val="22"/>
                <w:szCs w:val="22"/>
              </w:rPr>
              <w:t xml:space="preserve"> and (global) level.</w:t>
            </w:r>
          </w:p>
        </w:tc>
      </w:tr>
      <w:tr w:rsidR="003A110B" w:rsidRPr="0071206E" w14:paraId="5455864B" w14:textId="77777777" w:rsidTr="00971388">
        <w:tc>
          <w:tcPr>
            <w:tcW w:w="1885" w:type="dxa"/>
            <w:tcMar>
              <w:top w:w="0" w:type="dxa"/>
              <w:left w:w="108" w:type="dxa"/>
              <w:bottom w:w="0" w:type="dxa"/>
              <w:right w:w="108" w:type="dxa"/>
            </w:tcMar>
            <w:hideMark/>
          </w:tcPr>
          <w:p w14:paraId="09CB0FF9" w14:textId="77777777" w:rsidR="003A110B" w:rsidRPr="0071206E" w:rsidRDefault="003A110B">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2024</w:t>
            </w:r>
          </w:p>
        </w:tc>
        <w:tc>
          <w:tcPr>
            <w:tcW w:w="8010" w:type="dxa"/>
            <w:tcMar>
              <w:top w:w="0" w:type="dxa"/>
              <w:left w:w="108" w:type="dxa"/>
              <w:bottom w:w="0" w:type="dxa"/>
              <w:right w:w="108" w:type="dxa"/>
            </w:tcMar>
            <w:hideMark/>
          </w:tcPr>
          <w:p w14:paraId="4E306F84" w14:textId="2C183A86" w:rsidR="003A110B" w:rsidRDefault="003A110B">
            <w:pPr>
              <w:rPr>
                <w:rFonts w:asciiTheme="minorHAnsi" w:hAnsiTheme="minorHAnsi" w:cstheme="minorHAnsi"/>
                <w:sz w:val="22"/>
                <w:szCs w:val="22"/>
              </w:rPr>
            </w:pPr>
            <w:r w:rsidRPr="0071206E">
              <w:rPr>
                <w:rFonts w:asciiTheme="minorHAnsi" w:hAnsiTheme="minorHAnsi" w:cstheme="minorHAnsi"/>
                <w:sz w:val="22"/>
                <w:szCs w:val="22"/>
              </w:rPr>
              <w:t>UNDP and UNIDO supported the development of the water governance study in close collaboration with COALMA and the main stakeholders. This study identif</w:t>
            </w:r>
            <w:r w:rsidR="00506474">
              <w:rPr>
                <w:rFonts w:asciiTheme="minorHAnsi" w:hAnsiTheme="minorHAnsi" w:cstheme="minorHAnsi"/>
                <w:sz w:val="22"/>
                <w:szCs w:val="22"/>
              </w:rPr>
              <w:t>ied</w:t>
            </w:r>
            <w:r w:rsidRPr="0071206E">
              <w:rPr>
                <w:rFonts w:asciiTheme="minorHAnsi" w:hAnsiTheme="minorHAnsi" w:cstheme="minorHAnsi"/>
                <w:sz w:val="22"/>
                <w:szCs w:val="22"/>
              </w:rPr>
              <w:t xml:space="preserve"> critical areas for improvement and proposed strategic recommendations to ensure good governance of this vital resource. </w:t>
            </w:r>
            <w:r w:rsidR="00FB3C28">
              <w:rPr>
                <w:rFonts w:asciiTheme="minorHAnsi" w:hAnsiTheme="minorHAnsi" w:cstheme="minorHAnsi"/>
                <w:sz w:val="22"/>
                <w:szCs w:val="22"/>
              </w:rPr>
              <w:t>In order to</w:t>
            </w:r>
            <w:r w:rsidRPr="0071206E">
              <w:rPr>
                <w:rFonts w:asciiTheme="minorHAnsi" w:hAnsiTheme="minorHAnsi" w:cstheme="minorHAnsi"/>
                <w:sz w:val="22"/>
                <w:szCs w:val="22"/>
              </w:rPr>
              <w:t xml:space="preserve"> communicat</w:t>
            </w:r>
            <w:r w:rsidR="00FB3C28">
              <w:rPr>
                <w:rFonts w:asciiTheme="minorHAnsi" w:hAnsiTheme="minorHAnsi" w:cstheme="minorHAnsi"/>
                <w:sz w:val="22"/>
                <w:szCs w:val="22"/>
              </w:rPr>
              <w:t>e</w:t>
            </w:r>
            <w:r w:rsidRPr="0071206E">
              <w:rPr>
                <w:rFonts w:asciiTheme="minorHAnsi" w:hAnsiTheme="minorHAnsi" w:cstheme="minorHAnsi"/>
                <w:sz w:val="22"/>
                <w:szCs w:val="22"/>
              </w:rPr>
              <w:t xml:space="preserve"> and shar</w:t>
            </w:r>
            <w:r w:rsidR="00FB3C28">
              <w:rPr>
                <w:rFonts w:asciiTheme="minorHAnsi" w:hAnsiTheme="minorHAnsi" w:cstheme="minorHAnsi"/>
                <w:sz w:val="22"/>
                <w:szCs w:val="22"/>
              </w:rPr>
              <w:t>e</w:t>
            </w:r>
            <w:r w:rsidRPr="0071206E">
              <w:rPr>
                <w:rFonts w:asciiTheme="minorHAnsi" w:hAnsiTheme="minorHAnsi" w:cstheme="minorHAnsi"/>
                <w:sz w:val="22"/>
                <w:szCs w:val="22"/>
              </w:rPr>
              <w:t xml:space="preserve"> the results of th</w:t>
            </w:r>
            <w:r w:rsidR="00FB3C28">
              <w:rPr>
                <w:rFonts w:asciiTheme="minorHAnsi" w:hAnsiTheme="minorHAnsi" w:cstheme="minorHAnsi"/>
                <w:sz w:val="22"/>
                <w:szCs w:val="22"/>
              </w:rPr>
              <w:t>is</w:t>
            </w:r>
            <w:r w:rsidRPr="0071206E">
              <w:rPr>
                <w:rFonts w:asciiTheme="minorHAnsi" w:hAnsiTheme="minorHAnsi" w:cstheme="minorHAnsi"/>
                <w:sz w:val="22"/>
                <w:szCs w:val="22"/>
              </w:rPr>
              <w:t xml:space="preserve"> study, a round table was organized on </w:t>
            </w:r>
            <w:r w:rsidR="00D82DE9">
              <w:rPr>
                <w:rFonts w:asciiTheme="minorHAnsi" w:hAnsiTheme="minorHAnsi" w:cstheme="minorHAnsi"/>
                <w:sz w:val="22"/>
                <w:szCs w:val="22"/>
              </w:rPr>
              <w:t xml:space="preserve">7 </w:t>
            </w:r>
            <w:r w:rsidRPr="0071206E">
              <w:rPr>
                <w:rFonts w:asciiTheme="minorHAnsi" w:hAnsiTheme="minorHAnsi" w:cstheme="minorHAnsi"/>
                <w:sz w:val="22"/>
                <w:szCs w:val="22"/>
              </w:rPr>
              <w:t>June  2024 with the participation of the main stakeholders concerned by this theme.</w:t>
            </w:r>
          </w:p>
          <w:p w14:paraId="4F444D0B" w14:textId="77777777" w:rsidR="007656C8" w:rsidRPr="0071206E" w:rsidRDefault="007656C8">
            <w:pPr>
              <w:rPr>
                <w:rFonts w:asciiTheme="minorHAnsi" w:hAnsiTheme="minorHAnsi" w:cstheme="minorHAnsi"/>
                <w:sz w:val="22"/>
                <w:szCs w:val="22"/>
              </w:rPr>
            </w:pPr>
          </w:p>
          <w:p w14:paraId="43C66E5A" w14:textId="3889E9D1" w:rsidR="003A110B" w:rsidRPr="0071206E" w:rsidRDefault="003A110B">
            <w:pPr>
              <w:rPr>
                <w:rFonts w:asciiTheme="minorHAnsi" w:hAnsiTheme="minorHAnsi" w:cstheme="minorHAnsi"/>
                <w:sz w:val="22"/>
                <w:szCs w:val="22"/>
              </w:rPr>
            </w:pPr>
            <w:r w:rsidRPr="0071206E">
              <w:rPr>
                <w:rFonts w:asciiTheme="minorHAnsi" w:hAnsiTheme="minorHAnsi" w:cstheme="minorHAnsi"/>
                <w:sz w:val="22"/>
                <w:szCs w:val="22"/>
              </w:rPr>
              <w:t>The results of the discussions and the main recommendations of this round table ensure</w:t>
            </w:r>
            <w:r w:rsidR="00D82DE9">
              <w:rPr>
                <w:rFonts w:asciiTheme="minorHAnsi" w:hAnsiTheme="minorHAnsi" w:cstheme="minorHAnsi"/>
                <w:sz w:val="22"/>
                <w:szCs w:val="22"/>
              </w:rPr>
              <w:t>d</w:t>
            </w:r>
            <w:r w:rsidRPr="0071206E">
              <w:rPr>
                <w:rFonts w:asciiTheme="minorHAnsi" w:hAnsiTheme="minorHAnsi" w:cstheme="minorHAnsi"/>
                <w:sz w:val="22"/>
                <w:szCs w:val="22"/>
              </w:rPr>
              <w:t xml:space="preserve"> strategic and effective communication with the main stakeholders in order to improve inclusion, prevent institutional and political bottlenecks and administrative conflicts, and improve the general governance of natural resources in the long term. Below are the main recommendations made during the round table:</w:t>
            </w:r>
          </w:p>
          <w:p w14:paraId="2E844232" w14:textId="77777777" w:rsidR="003A110B" w:rsidRPr="0071206E" w:rsidRDefault="003A110B">
            <w:pPr>
              <w:rPr>
                <w:rFonts w:asciiTheme="minorHAnsi" w:hAnsiTheme="minorHAnsi" w:cstheme="minorHAnsi"/>
                <w:sz w:val="22"/>
                <w:szCs w:val="22"/>
              </w:rPr>
            </w:pPr>
            <w:r w:rsidRPr="0071206E">
              <w:rPr>
                <w:rFonts w:asciiTheme="minorHAnsi" w:hAnsiTheme="minorHAnsi" w:cstheme="minorHAnsi"/>
                <w:sz w:val="22"/>
                <w:szCs w:val="22"/>
              </w:rPr>
              <w:t>o Ensure coherence and effective coordination of sectoral policies at the national and regional levels;</w:t>
            </w:r>
          </w:p>
          <w:p w14:paraId="22EC474A" w14:textId="77777777" w:rsidR="003A110B" w:rsidRPr="0071206E" w:rsidRDefault="003A110B">
            <w:pPr>
              <w:rPr>
                <w:rFonts w:asciiTheme="minorHAnsi" w:hAnsiTheme="minorHAnsi" w:cstheme="minorHAnsi"/>
                <w:sz w:val="22"/>
                <w:szCs w:val="22"/>
              </w:rPr>
            </w:pPr>
            <w:r w:rsidRPr="0071206E">
              <w:rPr>
                <w:rFonts w:asciiTheme="minorHAnsi" w:hAnsiTheme="minorHAnsi" w:cstheme="minorHAnsi"/>
                <w:sz w:val="22"/>
                <w:szCs w:val="22"/>
              </w:rPr>
              <w:t>o Consolidate collaboration between the various stakeholders (public institutions, research organizations, private sector, civil society, local actors) to ensure integrated and effective management of water resources.</w:t>
            </w:r>
          </w:p>
          <w:p w14:paraId="5D77B487" w14:textId="77777777" w:rsidR="003A110B" w:rsidRPr="0071206E" w:rsidRDefault="003A110B">
            <w:pPr>
              <w:rPr>
                <w:rFonts w:asciiTheme="minorHAnsi" w:hAnsiTheme="minorHAnsi" w:cstheme="minorHAnsi"/>
                <w:b/>
                <w:bCs/>
                <w:sz w:val="22"/>
                <w:szCs w:val="22"/>
              </w:rPr>
            </w:pPr>
            <w:r w:rsidRPr="0071206E">
              <w:rPr>
                <w:rFonts w:asciiTheme="minorHAnsi" w:hAnsiTheme="minorHAnsi" w:cstheme="minorHAnsi"/>
                <w:sz w:val="22"/>
                <w:szCs w:val="22"/>
              </w:rPr>
              <w:t>o Strengthen the integration of climate data into sectoral strategies and programs, in particular to promote investments aimed at adaptation to climate change.</w:t>
            </w:r>
          </w:p>
        </w:tc>
      </w:tr>
      <w:tr w:rsidR="003A110B" w:rsidRPr="0071206E" w14:paraId="4AEB3C4F" w14:textId="77777777" w:rsidTr="00971388">
        <w:tc>
          <w:tcPr>
            <w:tcW w:w="1885" w:type="dxa"/>
            <w:tcMar>
              <w:top w:w="0" w:type="dxa"/>
              <w:left w:w="108" w:type="dxa"/>
              <w:bottom w:w="0" w:type="dxa"/>
              <w:right w:w="108" w:type="dxa"/>
            </w:tcMar>
            <w:hideMark/>
          </w:tcPr>
          <w:p w14:paraId="700DD09F" w14:textId="77777777" w:rsidR="003A110B" w:rsidRPr="0071206E" w:rsidRDefault="003A110B">
            <w:pPr>
              <w:rPr>
                <w:rFonts w:asciiTheme="minorHAnsi" w:hAnsiTheme="minorHAnsi" w:cstheme="minorHAnsi"/>
                <w:sz w:val="22"/>
                <w:szCs w:val="22"/>
              </w:rPr>
            </w:pPr>
            <w:r w:rsidRPr="0071206E">
              <w:rPr>
                <w:rFonts w:asciiTheme="minorHAnsi" w:hAnsiTheme="minorHAnsi" w:cstheme="minorHAnsi"/>
                <w:b/>
                <w:bCs/>
                <w:sz w:val="22"/>
                <w:szCs w:val="22"/>
              </w:rPr>
              <w:lastRenderedPageBreak/>
              <w:t>Key Achievements 2024</w:t>
            </w:r>
            <w:r w:rsidRPr="0071206E">
              <w:rPr>
                <w:rFonts w:asciiTheme="minorHAnsi" w:hAnsiTheme="minorHAnsi" w:cstheme="minorHAnsi"/>
                <w:sz w:val="22"/>
                <w:szCs w:val="22"/>
              </w:rPr>
              <w:t xml:space="preserve"> (Add. Support for Green Recovery)</w:t>
            </w:r>
          </w:p>
        </w:tc>
        <w:tc>
          <w:tcPr>
            <w:tcW w:w="8010" w:type="dxa"/>
            <w:tcMar>
              <w:top w:w="0" w:type="dxa"/>
              <w:left w:w="108" w:type="dxa"/>
              <w:bottom w:w="0" w:type="dxa"/>
              <w:right w:w="108" w:type="dxa"/>
            </w:tcMar>
          </w:tcPr>
          <w:p w14:paraId="5D095ABF" w14:textId="0C409FEB" w:rsidR="003A110B" w:rsidRPr="0071206E" w:rsidRDefault="009D2814">
            <w:pPr>
              <w:spacing w:after="200"/>
              <w:rPr>
                <w:rFonts w:asciiTheme="minorHAnsi" w:hAnsiTheme="minorHAnsi" w:cstheme="minorHAnsi"/>
                <w:sz w:val="22"/>
                <w:szCs w:val="22"/>
              </w:rPr>
            </w:pPr>
            <w:r w:rsidRPr="0071206E">
              <w:rPr>
                <w:rFonts w:asciiTheme="minorHAnsi" w:eastAsia="Times New Roman" w:hAnsiTheme="minorHAnsi" w:cstheme="minorHAnsi"/>
                <w:color w:val="000000"/>
                <w:sz w:val="22"/>
                <w:szCs w:val="22"/>
              </w:rPr>
              <w:t>n/a</w:t>
            </w:r>
          </w:p>
        </w:tc>
      </w:tr>
    </w:tbl>
    <w:p w14:paraId="3D758442" w14:textId="77777777" w:rsidR="003A110B" w:rsidRPr="0071206E" w:rsidRDefault="003A110B" w:rsidP="003A110B">
      <w:pPr>
        <w:rPr>
          <w:rFonts w:asciiTheme="minorHAnsi" w:hAnsiTheme="minorHAnsi" w:cstheme="minorHAnsi"/>
          <w:b/>
          <w:bCs/>
          <w:sz w:val="22"/>
          <w:szCs w:val="22"/>
        </w:rPr>
      </w:pPr>
    </w:p>
    <w:tbl>
      <w:tblPr>
        <w:tblW w:w="0" w:type="auto"/>
        <w:tblCellMar>
          <w:left w:w="0" w:type="dxa"/>
          <w:right w:w="0" w:type="dxa"/>
        </w:tblCellMar>
        <w:tblLook w:val="04A0" w:firstRow="1" w:lastRow="0" w:firstColumn="1" w:lastColumn="0" w:noHBand="0" w:noVBand="1"/>
      </w:tblPr>
      <w:tblGrid>
        <w:gridCol w:w="1885"/>
        <w:gridCol w:w="8010"/>
      </w:tblGrid>
      <w:tr w:rsidR="003A110B" w:rsidRPr="0071206E" w14:paraId="4F4FD1F7" w14:textId="77777777" w:rsidTr="003A110B">
        <w:tc>
          <w:tcPr>
            <w:tcW w:w="98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5F9E7C" w14:textId="77777777" w:rsidR="003A110B" w:rsidRPr="0071206E" w:rsidRDefault="003A110B">
            <w:pPr>
              <w:rPr>
                <w:rFonts w:asciiTheme="minorHAnsi" w:hAnsiTheme="minorHAnsi" w:cstheme="minorHAnsi"/>
                <w:sz w:val="22"/>
                <w:szCs w:val="22"/>
                <w:lang w:val="en-GB" w:eastAsia="en-US"/>
              </w:rPr>
            </w:pPr>
            <w:r w:rsidRPr="0071206E">
              <w:rPr>
                <w:rFonts w:asciiTheme="minorHAnsi" w:hAnsiTheme="minorHAnsi" w:cstheme="minorHAnsi"/>
                <w:sz w:val="22"/>
                <w:szCs w:val="22"/>
              </w:rPr>
              <w:t xml:space="preserve">Outcome 4 - </w:t>
            </w:r>
            <w:r w:rsidRPr="0071206E">
              <w:rPr>
                <w:rFonts w:asciiTheme="minorHAnsi" w:hAnsiTheme="minorHAnsi" w:cstheme="minorHAnsi"/>
                <w:i/>
                <w:iCs/>
                <w:sz w:val="22"/>
                <w:szCs w:val="22"/>
                <w:lang w:val="en-GB"/>
              </w:rPr>
              <w:t>National and regional stakeholders, including green economy champions, decision-makers, practitioners, and youth representatives, access and apply knowledge for advancing IGE.</w:t>
            </w:r>
          </w:p>
        </w:tc>
      </w:tr>
      <w:tr w:rsidR="003A110B" w:rsidRPr="0071206E" w14:paraId="08CF74B1" w14:textId="77777777" w:rsidTr="003A110B">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6BF2E" w14:textId="77777777" w:rsidR="003A110B" w:rsidRPr="0071206E" w:rsidRDefault="003A110B">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2024</w:t>
            </w:r>
          </w:p>
          <w:p w14:paraId="0351285F" w14:textId="77777777" w:rsidR="003A110B" w:rsidRPr="0071206E" w:rsidRDefault="003A110B">
            <w:pPr>
              <w:rPr>
                <w:rFonts w:asciiTheme="minorHAnsi" w:hAnsiTheme="minorHAnsi" w:cstheme="minorHAnsi"/>
                <w:b/>
                <w:bCs/>
                <w:sz w:val="22"/>
                <w:szCs w:val="22"/>
              </w:rPr>
            </w:pPr>
          </w:p>
        </w:tc>
        <w:tc>
          <w:tcPr>
            <w:tcW w:w="80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68420" w14:textId="60941311" w:rsidR="003A110B" w:rsidRPr="0071206E" w:rsidRDefault="003A110B">
            <w:pPr>
              <w:rPr>
                <w:rFonts w:asciiTheme="minorHAnsi" w:hAnsiTheme="minorHAnsi" w:cstheme="minorHAnsi"/>
                <w:sz w:val="22"/>
                <w:szCs w:val="22"/>
              </w:rPr>
            </w:pPr>
            <w:r w:rsidRPr="0071206E">
              <w:rPr>
                <w:rFonts w:asciiTheme="minorHAnsi" w:hAnsiTheme="minorHAnsi" w:cstheme="minorHAnsi"/>
                <w:sz w:val="22"/>
                <w:szCs w:val="22"/>
              </w:rPr>
              <w:t>In collaboration with the Moroccan Agency for Sustainable Energies (MASEN), UNDP has conducted stakeholder consultations and a benchmarking study to support the institutionalization and operationalization of the Coalition for Sustainable Energy Access (CSEA)</w:t>
            </w:r>
            <w:r w:rsidR="00CB5596">
              <w:rPr>
                <w:rFonts w:asciiTheme="minorHAnsi" w:hAnsiTheme="minorHAnsi" w:cstheme="minorHAnsi"/>
                <w:sz w:val="22"/>
                <w:szCs w:val="22"/>
              </w:rPr>
              <w:t xml:space="preserve">. CSEA </w:t>
            </w:r>
            <w:r w:rsidRPr="0071206E">
              <w:rPr>
                <w:rFonts w:asciiTheme="minorHAnsi" w:hAnsiTheme="minorHAnsi" w:cstheme="minorHAnsi"/>
                <w:sz w:val="22"/>
                <w:szCs w:val="22"/>
              </w:rPr>
              <w:t xml:space="preserve">aims to support the sharing of know-how, expertise and best practices; </w:t>
            </w:r>
            <w:r w:rsidR="00F3655F">
              <w:rPr>
                <w:rFonts w:asciiTheme="minorHAnsi" w:hAnsiTheme="minorHAnsi" w:cstheme="minorHAnsi"/>
                <w:sz w:val="22"/>
                <w:szCs w:val="22"/>
              </w:rPr>
              <w:t>s</w:t>
            </w:r>
            <w:r w:rsidRPr="0071206E">
              <w:rPr>
                <w:rFonts w:asciiTheme="minorHAnsi" w:hAnsiTheme="minorHAnsi" w:cstheme="minorHAnsi"/>
                <w:sz w:val="22"/>
                <w:szCs w:val="22"/>
              </w:rPr>
              <w:t xml:space="preserve">trengthen of South-to-South cooperation; </w:t>
            </w:r>
            <w:r w:rsidR="00976349">
              <w:rPr>
                <w:rFonts w:asciiTheme="minorHAnsi" w:hAnsiTheme="minorHAnsi" w:cstheme="minorHAnsi"/>
                <w:sz w:val="22"/>
                <w:szCs w:val="22"/>
              </w:rPr>
              <w:t>i</w:t>
            </w:r>
            <w:r w:rsidRPr="0071206E">
              <w:rPr>
                <w:rFonts w:asciiTheme="minorHAnsi" w:hAnsiTheme="minorHAnsi" w:cstheme="minorHAnsi"/>
                <w:sz w:val="22"/>
                <w:szCs w:val="22"/>
              </w:rPr>
              <w:t>ncreas</w:t>
            </w:r>
            <w:r w:rsidR="00976349">
              <w:rPr>
                <w:rFonts w:asciiTheme="minorHAnsi" w:hAnsiTheme="minorHAnsi" w:cstheme="minorHAnsi"/>
                <w:sz w:val="22"/>
                <w:szCs w:val="22"/>
              </w:rPr>
              <w:t>e</w:t>
            </w:r>
            <w:r w:rsidRPr="0071206E">
              <w:rPr>
                <w:rFonts w:asciiTheme="minorHAnsi" w:hAnsiTheme="minorHAnsi" w:cstheme="minorHAnsi"/>
                <w:sz w:val="22"/>
                <w:szCs w:val="22"/>
              </w:rPr>
              <w:t xml:space="preserve"> access to sustainable energy; </w:t>
            </w:r>
            <w:r w:rsidR="00F3655F">
              <w:rPr>
                <w:rFonts w:asciiTheme="minorHAnsi" w:hAnsiTheme="minorHAnsi" w:cstheme="minorHAnsi"/>
                <w:sz w:val="22"/>
                <w:szCs w:val="22"/>
              </w:rPr>
              <w:t xml:space="preserve">and improve </w:t>
            </w:r>
            <w:r w:rsidRPr="0071206E">
              <w:rPr>
                <w:rFonts w:asciiTheme="minorHAnsi" w:hAnsiTheme="minorHAnsi" w:cstheme="minorHAnsi"/>
                <w:sz w:val="22"/>
                <w:szCs w:val="22"/>
              </w:rPr>
              <w:t>Southern countries' understanding of the roles of the various existing</w:t>
            </w:r>
            <w:r w:rsidR="007951DF">
              <w:rPr>
                <w:rFonts w:asciiTheme="minorHAnsi" w:hAnsiTheme="minorHAnsi" w:cstheme="minorHAnsi"/>
                <w:sz w:val="22"/>
                <w:szCs w:val="22"/>
              </w:rPr>
              <w:t xml:space="preserve"> national</w:t>
            </w:r>
            <w:r w:rsidRPr="0071206E">
              <w:rPr>
                <w:rFonts w:asciiTheme="minorHAnsi" w:hAnsiTheme="minorHAnsi" w:cstheme="minorHAnsi"/>
                <w:sz w:val="22"/>
                <w:szCs w:val="22"/>
              </w:rPr>
              <w:t xml:space="preserve"> institutions and </w:t>
            </w:r>
            <w:r w:rsidR="007951DF">
              <w:rPr>
                <w:rFonts w:asciiTheme="minorHAnsi" w:hAnsiTheme="minorHAnsi" w:cstheme="minorHAnsi"/>
                <w:sz w:val="22"/>
                <w:szCs w:val="22"/>
              </w:rPr>
              <w:t xml:space="preserve">sustainable energy </w:t>
            </w:r>
            <w:r w:rsidRPr="0071206E">
              <w:rPr>
                <w:rFonts w:asciiTheme="minorHAnsi" w:hAnsiTheme="minorHAnsi" w:cstheme="minorHAnsi"/>
                <w:sz w:val="22"/>
                <w:szCs w:val="22"/>
              </w:rPr>
              <w:t xml:space="preserve">initiatives. </w:t>
            </w:r>
          </w:p>
          <w:p w14:paraId="5287A1A2" w14:textId="77777777" w:rsidR="003A110B" w:rsidRPr="0071206E" w:rsidRDefault="003A110B">
            <w:pPr>
              <w:rPr>
                <w:rFonts w:asciiTheme="minorHAnsi" w:hAnsiTheme="minorHAnsi" w:cstheme="minorHAnsi"/>
                <w:sz w:val="22"/>
                <w:szCs w:val="22"/>
              </w:rPr>
            </w:pPr>
          </w:p>
          <w:p w14:paraId="3850A4CF" w14:textId="4E582F02" w:rsidR="003A110B" w:rsidRPr="0071206E" w:rsidRDefault="003A110B">
            <w:pPr>
              <w:rPr>
                <w:rFonts w:asciiTheme="minorHAnsi" w:hAnsiTheme="minorHAnsi" w:cstheme="minorHAnsi"/>
                <w:b/>
                <w:bCs/>
                <w:sz w:val="22"/>
                <w:szCs w:val="22"/>
              </w:rPr>
            </w:pPr>
            <w:r w:rsidRPr="0071206E">
              <w:rPr>
                <w:rFonts w:asciiTheme="minorHAnsi" w:hAnsiTheme="minorHAnsi" w:cstheme="minorHAnsi"/>
                <w:sz w:val="22"/>
                <w:szCs w:val="22"/>
              </w:rPr>
              <w:t xml:space="preserve">The study </w:t>
            </w:r>
            <w:r w:rsidR="005967DE">
              <w:rPr>
                <w:rFonts w:asciiTheme="minorHAnsi" w:hAnsiTheme="minorHAnsi" w:cstheme="minorHAnsi"/>
                <w:sz w:val="22"/>
                <w:szCs w:val="22"/>
              </w:rPr>
              <w:t xml:space="preserve">has been finalized including </w:t>
            </w:r>
            <w:r w:rsidRPr="0071206E">
              <w:rPr>
                <w:rFonts w:asciiTheme="minorHAnsi" w:hAnsiTheme="minorHAnsi" w:cstheme="minorHAnsi"/>
                <w:sz w:val="22"/>
                <w:szCs w:val="22"/>
              </w:rPr>
              <w:t xml:space="preserve">1) </w:t>
            </w:r>
            <w:r w:rsidR="005967DE">
              <w:rPr>
                <w:rFonts w:asciiTheme="minorHAnsi" w:hAnsiTheme="minorHAnsi" w:cstheme="minorHAnsi"/>
                <w:sz w:val="22"/>
                <w:szCs w:val="22"/>
              </w:rPr>
              <w:t>a</w:t>
            </w:r>
            <w:r w:rsidRPr="0071206E">
              <w:rPr>
                <w:rFonts w:asciiTheme="minorHAnsi" w:hAnsiTheme="minorHAnsi" w:cstheme="minorHAnsi"/>
                <w:sz w:val="22"/>
                <w:szCs w:val="22"/>
              </w:rPr>
              <w:t xml:space="preserve"> roadmap for the operationalization of the CSEA with the first actions of the Coalition</w:t>
            </w:r>
            <w:r w:rsidR="00436384">
              <w:rPr>
                <w:rFonts w:asciiTheme="minorHAnsi" w:hAnsiTheme="minorHAnsi" w:cstheme="minorHAnsi"/>
                <w:sz w:val="22"/>
                <w:szCs w:val="22"/>
              </w:rPr>
              <w:t xml:space="preserve">;  </w:t>
            </w:r>
            <w:r w:rsidRPr="0071206E">
              <w:rPr>
                <w:rFonts w:asciiTheme="minorHAnsi" w:hAnsiTheme="minorHAnsi" w:cstheme="minorHAnsi"/>
                <w:sz w:val="22"/>
                <w:szCs w:val="22"/>
              </w:rPr>
              <w:t>2) the Coalition's Statutes</w:t>
            </w:r>
            <w:r w:rsidR="00436384">
              <w:rPr>
                <w:rFonts w:asciiTheme="minorHAnsi" w:hAnsiTheme="minorHAnsi" w:cstheme="minorHAnsi"/>
                <w:sz w:val="22"/>
                <w:szCs w:val="22"/>
              </w:rPr>
              <w:t xml:space="preserve">; </w:t>
            </w:r>
            <w:r w:rsidRPr="0071206E">
              <w:rPr>
                <w:rFonts w:asciiTheme="minorHAnsi" w:hAnsiTheme="minorHAnsi" w:cstheme="minorHAnsi"/>
                <w:sz w:val="22"/>
                <w:szCs w:val="22"/>
              </w:rPr>
              <w:t xml:space="preserve"> and 3) the Coalition's governance mechanism </w:t>
            </w:r>
            <w:r w:rsidR="000264D2">
              <w:rPr>
                <w:rFonts w:asciiTheme="minorHAnsi" w:hAnsiTheme="minorHAnsi" w:cstheme="minorHAnsi"/>
                <w:sz w:val="22"/>
                <w:szCs w:val="22"/>
              </w:rPr>
              <w:t xml:space="preserve">called </w:t>
            </w:r>
            <w:r w:rsidRPr="0071206E">
              <w:rPr>
                <w:rFonts w:asciiTheme="minorHAnsi" w:hAnsiTheme="minorHAnsi" w:cstheme="minorHAnsi"/>
                <w:sz w:val="22"/>
                <w:szCs w:val="22"/>
              </w:rPr>
              <w:t xml:space="preserve"> “Transition Committee and Secretariat” </w:t>
            </w:r>
            <w:r w:rsidR="000264D2">
              <w:rPr>
                <w:rFonts w:asciiTheme="minorHAnsi" w:hAnsiTheme="minorHAnsi" w:cstheme="minorHAnsi"/>
                <w:sz w:val="22"/>
                <w:szCs w:val="22"/>
              </w:rPr>
              <w:t>.</w:t>
            </w:r>
          </w:p>
        </w:tc>
      </w:tr>
    </w:tbl>
    <w:p w14:paraId="19BC5576" w14:textId="77777777" w:rsidR="003A110B" w:rsidRPr="0071206E" w:rsidRDefault="003A110B" w:rsidP="003A110B">
      <w:pPr>
        <w:rPr>
          <w:rFonts w:asciiTheme="minorHAnsi" w:hAnsiTheme="minorHAnsi" w:cstheme="minorHAnsi"/>
          <w:b/>
          <w:bCs/>
          <w:sz w:val="22"/>
          <w:szCs w:val="22"/>
        </w:rPr>
      </w:pPr>
    </w:p>
    <w:p w14:paraId="4EC1EBFA" w14:textId="77777777" w:rsidR="00971388" w:rsidRDefault="00971388" w:rsidP="00EA6DB1">
      <w:pPr>
        <w:jc w:val="center"/>
        <w:rPr>
          <w:rFonts w:asciiTheme="minorHAnsi" w:hAnsiTheme="minorHAnsi" w:cstheme="minorHAnsi"/>
          <w:b/>
          <w:iCs/>
          <w:sz w:val="22"/>
          <w:szCs w:val="22"/>
        </w:rPr>
      </w:pPr>
    </w:p>
    <w:p w14:paraId="4B6F4829" w14:textId="77777777" w:rsidR="00971388" w:rsidRDefault="00971388" w:rsidP="00EA6DB1">
      <w:pPr>
        <w:jc w:val="center"/>
        <w:rPr>
          <w:rFonts w:asciiTheme="minorHAnsi" w:hAnsiTheme="minorHAnsi" w:cstheme="minorHAnsi"/>
          <w:b/>
          <w:iCs/>
          <w:sz w:val="22"/>
          <w:szCs w:val="22"/>
        </w:rPr>
      </w:pPr>
    </w:p>
    <w:p w14:paraId="1636C214" w14:textId="0086B8E1" w:rsidR="00EA6DB1" w:rsidRPr="0071206E" w:rsidRDefault="005A08AF" w:rsidP="00EA6DB1">
      <w:pPr>
        <w:jc w:val="center"/>
        <w:rPr>
          <w:rFonts w:asciiTheme="minorHAnsi" w:hAnsiTheme="minorHAnsi" w:cstheme="minorHAnsi"/>
          <w:b/>
          <w:iCs/>
          <w:sz w:val="22"/>
          <w:szCs w:val="22"/>
        </w:rPr>
      </w:pPr>
      <w:r w:rsidRPr="0071206E">
        <w:rPr>
          <w:rFonts w:asciiTheme="minorHAnsi" w:hAnsiTheme="minorHAnsi" w:cstheme="minorHAnsi"/>
          <w:b/>
          <w:iCs/>
          <w:sz w:val="22"/>
          <w:szCs w:val="22"/>
        </w:rPr>
        <w:t>UNDP</w:t>
      </w:r>
      <w:r w:rsidR="00EA6DB1" w:rsidRPr="0071206E">
        <w:rPr>
          <w:rFonts w:asciiTheme="minorHAnsi" w:hAnsiTheme="minorHAnsi" w:cstheme="minorHAnsi"/>
          <w:b/>
          <w:iCs/>
          <w:sz w:val="22"/>
          <w:szCs w:val="22"/>
        </w:rPr>
        <w:t xml:space="preserve"> - Thailand</w:t>
      </w:r>
    </w:p>
    <w:p w14:paraId="4DC03402" w14:textId="77777777" w:rsidR="00EA6DB1" w:rsidRPr="0071206E" w:rsidRDefault="00EA6DB1" w:rsidP="00EA6DB1">
      <w:pPr>
        <w:rPr>
          <w:rFonts w:asciiTheme="minorHAnsi" w:hAnsiTheme="minorHAnsi" w:cstheme="minorHAnsi"/>
          <w:b/>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23301373" w14:textId="77777777" w:rsidTr="7A1375F1">
        <w:tc>
          <w:tcPr>
            <w:tcW w:w="9895" w:type="dxa"/>
            <w:gridSpan w:val="2"/>
          </w:tcPr>
          <w:p w14:paraId="61981A26" w14:textId="77777777" w:rsidR="00EA6DB1" w:rsidRPr="0071206E" w:rsidRDefault="00EA6DB1" w:rsidP="00610125">
            <w:pPr>
              <w:rPr>
                <w:rFonts w:asciiTheme="minorHAnsi" w:hAnsiTheme="minorHAnsi" w:cstheme="minorHAnsi"/>
                <w:i/>
                <w:iCs/>
                <w:sz w:val="22"/>
                <w:szCs w:val="22"/>
              </w:rPr>
            </w:pPr>
            <w:r w:rsidRPr="0071206E">
              <w:rPr>
                <w:rFonts w:asciiTheme="minorHAnsi" w:hAnsiTheme="minorHAnsi" w:cstheme="minorHAnsi"/>
                <w:i/>
                <w:iCs/>
                <w:sz w:val="22"/>
                <w:szCs w:val="22"/>
              </w:rPr>
              <w:t>Outcome 1- Countries have reinforced and integrated inclusive green economy (IGE) goals targets into SDG aligned national economic and development planning through multi-stakeholder collaboration.</w:t>
            </w:r>
          </w:p>
        </w:tc>
      </w:tr>
      <w:tr w:rsidR="00EA6DB1" w:rsidRPr="0071206E" w14:paraId="318495C9" w14:textId="77777777" w:rsidTr="7A1375F1">
        <w:tc>
          <w:tcPr>
            <w:tcW w:w="2547" w:type="dxa"/>
          </w:tcPr>
          <w:p w14:paraId="0666EEFC" w14:textId="0333A1FD"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27373DF7" w:rsidRPr="0071206E">
              <w:rPr>
                <w:rFonts w:asciiTheme="minorHAnsi" w:hAnsiTheme="minorHAnsi" w:cstheme="minorHAnsi"/>
                <w:b/>
                <w:bCs/>
                <w:sz w:val="22"/>
                <w:szCs w:val="22"/>
              </w:rPr>
              <w:t>4</w:t>
            </w:r>
          </w:p>
          <w:p w14:paraId="35EAE29C" w14:textId="77777777" w:rsidR="00EA6DB1" w:rsidRPr="0071206E" w:rsidRDefault="00EA6DB1" w:rsidP="00610125">
            <w:pPr>
              <w:rPr>
                <w:rFonts w:asciiTheme="minorHAnsi" w:hAnsiTheme="minorHAnsi" w:cstheme="minorHAnsi"/>
                <w:b/>
                <w:i/>
                <w:iCs/>
                <w:sz w:val="22"/>
                <w:szCs w:val="22"/>
              </w:rPr>
            </w:pPr>
          </w:p>
        </w:tc>
        <w:tc>
          <w:tcPr>
            <w:tcW w:w="7348" w:type="dxa"/>
          </w:tcPr>
          <w:p w14:paraId="0F0442D5" w14:textId="2FFF4F13" w:rsidR="00EA6DB1" w:rsidRPr="0071206E" w:rsidRDefault="000F7DE8" w:rsidP="00610125">
            <w:pPr>
              <w:rPr>
                <w:rFonts w:asciiTheme="minorHAnsi" w:hAnsiTheme="minorHAnsi" w:cstheme="minorHAnsi"/>
                <w:sz w:val="22"/>
                <w:szCs w:val="22"/>
              </w:rPr>
            </w:pPr>
            <w:r w:rsidRPr="0071206E">
              <w:rPr>
                <w:rFonts w:asciiTheme="minorHAnsi" w:hAnsiTheme="minorHAnsi" w:cstheme="minorHAnsi"/>
                <w:sz w:val="22"/>
                <w:szCs w:val="22"/>
              </w:rPr>
              <w:t>n/a</w:t>
            </w:r>
          </w:p>
        </w:tc>
      </w:tr>
      <w:tr w:rsidR="00EA6DB1" w:rsidRPr="0071206E" w14:paraId="1E777791" w14:textId="77777777" w:rsidTr="7A1375F1">
        <w:tc>
          <w:tcPr>
            <w:tcW w:w="2547" w:type="dxa"/>
          </w:tcPr>
          <w:p w14:paraId="46730088" w14:textId="69A6A610"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665F176E"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72E70EFC"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44E84A4E" w14:textId="13FC6BEA" w:rsidR="00EA6DB1" w:rsidRPr="0071206E" w:rsidRDefault="000F7DE8" w:rsidP="00610125">
            <w:pPr>
              <w:spacing w:after="200"/>
              <w:rPr>
                <w:rFonts w:asciiTheme="minorHAnsi" w:hAnsiTheme="minorHAnsi" w:cstheme="minorHAnsi"/>
                <w:sz w:val="22"/>
                <w:szCs w:val="22"/>
              </w:rPr>
            </w:pPr>
            <w:r w:rsidRPr="0071206E">
              <w:rPr>
                <w:rFonts w:asciiTheme="minorHAnsi" w:hAnsiTheme="minorHAnsi" w:cstheme="minorHAnsi"/>
                <w:sz w:val="22"/>
                <w:szCs w:val="22"/>
              </w:rPr>
              <w:t>n/a</w:t>
            </w:r>
          </w:p>
        </w:tc>
      </w:tr>
    </w:tbl>
    <w:p w14:paraId="6832B85C" w14:textId="77777777" w:rsidR="00EA6DB1" w:rsidRPr="0071206E" w:rsidRDefault="00EA6DB1" w:rsidP="00EA6DB1">
      <w:pPr>
        <w:rPr>
          <w:rFonts w:asciiTheme="minorHAnsi" w:hAnsiTheme="minorHAnsi" w:cstheme="minorHAnsi"/>
          <w:b/>
          <w:i/>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756C1F4C" w14:textId="77777777" w:rsidTr="7A1375F1">
        <w:tc>
          <w:tcPr>
            <w:tcW w:w="9895" w:type="dxa"/>
            <w:gridSpan w:val="2"/>
          </w:tcPr>
          <w:p w14:paraId="7CD79495" w14:textId="7722DE74" w:rsidR="00EA6DB1" w:rsidRPr="0071206E" w:rsidRDefault="00EA6DB1" w:rsidP="7A1375F1">
            <w:pPr>
              <w:rPr>
                <w:rFonts w:asciiTheme="minorHAnsi" w:hAnsiTheme="minorHAnsi" w:cstheme="minorHAnsi"/>
                <w:b/>
                <w:bCs/>
                <w:i/>
                <w:iCs/>
                <w:sz w:val="22"/>
                <w:szCs w:val="22"/>
              </w:rPr>
            </w:pPr>
            <w:r w:rsidRPr="0071206E">
              <w:rPr>
                <w:rFonts w:asciiTheme="minorHAnsi" w:hAnsiTheme="minorHAnsi" w:cstheme="minorHAnsi"/>
                <w:i/>
                <w:iCs/>
                <w:sz w:val="22"/>
                <w:szCs w:val="22"/>
              </w:rPr>
              <w:t xml:space="preserve">Outcome 2 - Countries are implementing </w:t>
            </w:r>
            <w:r w:rsidR="2FE5E925" w:rsidRPr="0071206E">
              <w:rPr>
                <w:rFonts w:asciiTheme="minorHAnsi" w:hAnsiTheme="minorHAnsi" w:cstheme="minorHAnsi"/>
                <w:i/>
                <w:iCs/>
                <w:sz w:val="22"/>
                <w:szCs w:val="22"/>
              </w:rPr>
              <w:t>evidence-based</w:t>
            </w:r>
            <w:r w:rsidRPr="0071206E">
              <w:rPr>
                <w:rFonts w:asciiTheme="minorHAnsi" w:hAnsiTheme="minorHAnsi" w:cstheme="minorHAnsi"/>
                <w:i/>
                <w:iCs/>
                <w:sz w:val="22"/>
                <w:szCs w:val="22"/>
              </w:rPr>
              <w:t xml:space="preserve"> sectoral and thematic reforms in line with national IGE priorities.</w:t>
            </w:r>
          </w:p>
        </w:tc>
      </w:tr>
      <w:tr w:rsidR="00EA6DB1" w:rsidRPr="0071206E" w14:paraId="7F33064C" w14:textId="77777777" w:rsidTr="7A1375F1">
        <w:tc>
          <w:tcPr>
            <w:tcW w:w="2547" w:type="dxa"/>
            <w:shd w:val="clear" w:color="auto" w:fill="auto"/>
          </w:tcPr>
          <w:p w14:paraId="4FF99A86" w14:textId="35B07811"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4A3B09C5" w:rsidRPr="0071206E">
              <w:rPr>
                <w:rFonts w:asciiTheme="minorHAnsi" w:hAnsiTheme="minorHAnsi" w:cstheme="minorHAnsi"/>
                <w:b/>
                <w:bCs/>
                <w:sz w:val="22"/>
                <w:szCs w:val="22"/>
              </w:rPr>
              <w:t>4</w:t>
            </w:r>
          </w:p>
          <w:p w14:paraId="35A9E085" w14:textId="77777777" w:rsidR="00EA6DB1" w:rsidRPr="0071206E" w:rsidRDefault="00EA6DB1" w:rsidP="00610125">
            <w:pPr>
              <w:rPr>
                <w:rFonts w:asciiTheme="minorHAnsi" w:hAnsiTheme="minorHAnsi" w:cstheme="minorHAnsi"/>
                <w:b/>
                <w:i/>
                <w:iCs/>
                <w:sz w:val="22"/>
                <w:szCs w:val="22"/>
              </w:rPr>
            </w:pPr>
            <w:r w:rsidRPr="0071206E">
              <w:rPr>
                <w:rFonts w:asciiTheme="minorHAnsi" w:hAnsiTheme="minorHAnsi" w:cstheme="minorHAnsi"/>
                <w:b/>
                <w:i/>
                <w:iCs/>
                <w:sz w:val="22"/>
                <w:szCs w:val="22"/>
              </w:rPr>
              <w:lastRenderedPageBreak/>
              <w:t xml:space="preserve"> </w:t>
            </w:r>
          </w:p>
        </w:tc>
        <w:tc>
          <w:tcPr>
            <w:tcW w:w="7348" w:type="dxa"/>
            <w:shd w:val="clear" w:color="auto" w:fill="auto"/>
          </w:tcPr>
          <w:p w14:paraId="51171FFD" w14:textId="55C4AC8D" w:rsidR="00EA6DB1" w:rsidRPr="0071206E" w:rsidRDefault="000F7DE8" w:rsidP="00610125">
            <w:pPr>
              <w:rPr>
                <w:rFonts w:asciiTheme="minorHAnsi" w:hAnsiTheme="minorHAnsi" w:cstheme="minorHAnsi"/>
                <w:iCs/>
                <w:sz w:val="22"/>
                <w:szCs w:val="22"/>
              </w:rPr>
            </w:pPr>
            <w:r w:rsidRPr="0071206E">
              <w:rPr>
                <w:rFonts w:asciiTheme="minorHAnsi" w:hAnsiTheme="minorHAnsi" w:cstheme="minorHAnsi"/>
                <w:sz w:val="22"/>
                <w:szCs w:val="22"/>
              </w:rPr>
              <w:lastRenderedPageBreak/>
              <w:t>n/a</w:t>
            </w:r>
          </w:p>
        </w:tc>
      </w:tr>
      <w:tr w:rsidR="00EA6DB1" w:rsidRPr="0071206E" w14:paraId="2BE87C23" w14:textId="77777777" w:rsidTr="7A1375F1">
        <w:tc>
          <w:tcPr>
            <w:tcW w:w="2547" w:type="dxa"/>
          </w:tcPr>
          <w:p w14:paraId="63858632" w14:textId="71089EAF"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5254CC2B"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4861F206"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147A1E48" w14:textId="751C6E11" w:rsidR="00EA6DB1" w:rsidRPr="0071206E" w:rsidRDefault="000F7DE8" w:rsidP="00610125">
            <w:pPr>
              <w:spacing w:after="200"/>
              <w:rPr>
                <w:rFonts w:asciiTheme="minorHAnsi" w:hAnsiTheme="minorHAnsi" w:cstheme="minorHAnsi"/>
                <w:sz w:val="22"/>
                <w:szCs w:val="22"/>
              </w:rPr>
            </w:pPr>
            <w:r w:rsidRPr="0071206E">
              <w:rPr>
                <w:rFonts w:asciiTheme="minorHAnsi" w:hAnsiTheme="minorHAnsi" w:cstheme="minorHAnsi"/>
                <w:sz w:val="22"/>
                <w:szCs w:val="22"/>
              </w:rPr>
              <w:t>n/a</w:t>
            </w:r>
          </w:p>
        </w:tc>
      </w:tr>
    </w:tbl>
    <w:p w14:paraId="10EF053D" w14:textId="77777777" w:rsidR="00EA6DB1" w:rsidRPr="0071206E" w:rsidRDefault="00EA6DB1" w:rsidP="00EA6DB1">
      <w:pPr>
        <w:rPr>
          <w:rFonts w:asciiTheme="minorHAnsi" w:hAnsiTheme="minorHAnsi" w:cstheme="minorHAnsi"/>
          <w:b/>
          <w:i/>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2C8E3012" w14:textId="77777777" w:rsidTr="7A1375F1">
        <w:tc>
          <w:tcPr>
            <w:tcW w:w="9895" w:type="dxa"/>
            <w:gridSpan w:val="2"/>
          </w:tcPr>
          <w:p w14:paraId="3CA8A351" w14:textId="77777777" w:rsidR="00EA6DB1" w:rsidRPr="0071206E" w:rsidRDefault="00EA6DB1" w:rsidP="00610125">
            <w:pPr>
              <w:rPr>
                <w:rFonts w:asciiTheme="minorHAnsi" w:hAnsiTheme="minorHAnsi" w:cstheme="minorHAnsi"/>
                <w:i/>
                <w:iCs/>
                <w:sz w:val="22"/>
                <w:szCs w:val="22"/>
              </w:rPr>
            </w:pPr>
            <w:r w:rsidRPr="0071206E">
              <w:rPr>
                <w:rFonts w:asciiTheme="minorHAnsi" w:hAnsiTheme="minorHAnsi" w:cstheme="minorHAnsi"/>
                <w:i/>
                <w:iCs/>
                <w:sz w:val="22"/>
                <w:szCs w:val="22"/>
              </w:rPr>
              <w:t xml:space="preserve">Outcome 3 - Individual, institutional and planning capacities for IGE action strengthened at the </w:t>
            </w:r>
            <w:r w:rsidRPr="0071206E">
              <w:rPr>
                <w:rFonts w:asciiTheme="minorHAnsi" w:hAnsiTheme="minorHAnsi" w:cstheme="minorHAnsi"/>
                <w:i/>
                <w:iCs/>
                <w:sz w:val="22"/>
                <w:szCs w:val="22"/>
                <w:u w:val="single"/>
              </w:rPr>
              <w:t>national</w:t>
            </w:r>
            <w:r w:rsidRPr="0071206E">
              <w:rPr>
                <w:rFonts w:asciiTheme="minorHAnsi" w:hAnsiTheme="minorHAnsi" w:cstheme="minorHAnsi"/>
                <w:i/>
                <w:iCs/>
                <w:sz w:val="22"/>
                <w:szCs w:val="22"/>
              </w:rPr>
              <w:t xml:space="preserve"> and (global) level.</w:t>
            </w:r>
          </w:p>
        </w:tc>
      </w:tr>
      <w:tr w:rsidR="00EA6DB1" w:rsidRPr="0071206E" w14:paraId="4EC5398D" w14:textId="77777777" w:rsidTr="7A1375F1">
        <w:tc>
          <w:tcPr>
            <w:tcW w:w="2547" w:type="dxa"/>
          </w:tcPr>
          <w:p w14:paraId="65D6ED9D" w14:textId="48CC98B6"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0702C094" w:rsidRPr="0071206E">
              <w:rPr>
                <w:rFonts w:asciiTheme="minorHAnsi" w:hAnsiTheme="minorHAnsi" w:cstheme="minorHAnsi"/>
                <w:b/>
                <w:bCs/>
                <w:sz w:val="22"/>
                <w:szCs w:val="22"/>
              </w:rPr>
              <w:t>4</w:t>
            </w:r>
          </w:p>
          <w:p w14:paraId="0166A064" w14:textId="77777777" w:rsidR="00EA6DB1" w:rsidRPr="0071206E" w:rsidRDefault="00EA6DB1" w:rsidP="00610125">
            <w:pPr>
              <w:rPr>
                <w:rFonts w:asciiTheme="minorHAnsi" w:hAnsiTheme="minorHAnsi" w:cstheme="minorHAnsi"/>
                <w:b/>
                <w:i/>
                <w:iCs/>
                <w:sz w:val="22"/>
                <w:szCs w:val="22"/>
              </w:rPr>
            </w:pPr>
            <w:r w:rsidRPr="0071206E">
              <w:rPr>
                <w:rFonts w:asciiTheme="minorHAnsi" w:hAnsiTheme="minorHAnsi" w:cstheme="minorHAnsi"/>
                <w:b/>
                <w:i/>
                <w:iCs/>
                <w:sz w:val="22"/>
                <w:szCs w:val="22"/>
              </w:rPr>
              <w:t xml:space="preserve"> </w:t>
            </w:r>
          </w:p>
        </w:tc>
        <w:tc>
          <w:tcPr>
            <w:tcW w:w="7348" w:type="dxa"/>
          </w:tcPr>
          <w:p w14:paraId="5923D592" w14:textId="14576080" w:rsidR="00EA6DB1" w:rsidRPr="0071206E" w:rsidRDefault="000F7DE8" w:rsidP="00610125">
            <w:pPr>
              <w:rPr>
                <w:rFonts w:asciiTheme="minorHAnsi" w:hAnsiTheme="minorHAnsi" w:cstheme="minorHAnsi"/>
                <w:iCs/>
                <w:sz w:val="22"/>
                <w:szCs w:val="22"/>
              </w:rPr>
            </w:pPr>
            <w:r w:rsidRPr="0071206E">
              <w:rPr>
                <w:rFonts w:asciiTheme="minorHAnsi" w:hAnsiTheme="minorHAnsi" w:cstheme="minorHAnsi"/>
                <w:sz w:val="22"/>
                <w:szCs w:val="22"/>
              </w:rPr>
              <w:t xml:space="preserve">UNDP, together with, Thammasat University, conducted a study on developing a mandatory Emission Trading Scheme (ETS) and scaling the existing voluntary carbon market for Thailand, which will inform the country’s PAGE Committee and Emission Trading Scheme (ETS) Subcommittee chaired by the National Economic and Social Development Council.  Recommendations from this study </w:t>
            </w:r>
            <w:r w:rsidR="00A341F9">
              <w:rPr>
                <w:rFonts w:asciiTheme="minorHAnsi" w:hAnsiTheme="minorHAnsi" w:cstheme="minorHAnsi"/>
                <w:sz w:val="22"/>
                <w:szCs w:val="22"/>
              </w:rPr>
              <w:t xml:space="preserve">have </w:t>
            </w:r>
            <w:r w:rsidR="00722BEC">
              <w:rPr>
                <w:rFonts w:asciiTheme="minorHAnsi" w:hAnsiTheme="minorHAnsi" w:cstheme="minorHAnsi"/>
                <w:sz w:val="22"/>
                <w:szCs w:val="22"/>
              </w:rPr>
              <w:t xml:space="preserve">also </w:t>
            </w:r>
            <w:r w:rsidR="00A341F9">
              <w:rPr>
                <w:rFonts w:asciiTheme="minorHAnsi" w:hAnsiTheme="minorHAnsi" w:cstheme="minorHAnsi"/>
                <w:sz w:val="22"/>
                <w:szCs w:val="22"/>
              </w:rPr>
              <w:t>been</w:t>
            </w:r>
            <w:r w:rsidRPr="0071206E">
              <w:rPr>
                <w:rFonts w:asciiTheme="minorHAnsi" w:hAnsiTheme="minorHAnsi" w:cstheme="minorHAnsi"/>
                <w:sz w:val="22"/>
                <w:szCs w:val="22"/>
              </w:rPr>
              <w:t xml:space="preserve"> embedded in the design of the country’s Integrated National Finance Framework (INFF) Financing Strategy to help redirect resources towards achieving the SDGs, carbon neutrality, and net zero greenhouse gas emissions</w:t>
            </w:r>
            <w:r w:rsidR="005E7E9D" w:rsidRPr="0071206E">
              <w:rPr>
                <w:rFonts w:asciiTheme="minorHAnsi" w:hAnsiTheme="minorHAnsi" w:cstheme="minorHAnsi"/>
                <w:sz w:val="22"/>
                <w:szCs w:val="22"/>
              </w:rPr>
              <w:t>.</w:t>
            </w:r>
          </w:p>
        </w:tc>
      </w:tr>
      <w:tr w:rsidR="00EA6DB1" w:rsidRPr="0071206E" w14:paraId="6662E8B6" w14:textId="77777777" w:rsidTr="7A1375F1">
        <w:tc>
          <w:tcPr>
            <w:tcW w:w="2547" w:type="dxa"/>
          </w:tcPr>
          <w:p w14:paraId="7F3DB0A8" w14:textId="2E392384"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6170DB48"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1EC68945"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7CAF2672" w14:textId="5EB78200" w:rsidR="00EA6DB1" w:rsidRPr="0071206E" w:rsidRDefault="000F7DE8" w:rsidP="00610125">
            <w:pPr>
              <w:spacing w:after="200"/>
              <w:rPr>
                <w:rFonts w:asciiTheme="minorHAnsi" w:hAnsiTheme="minorHAnsi" w:cstheme="minorHAnsi"/>
                <w:sz w:val="22"/>
                <w:szCs w:val="22"/>
              </w:rPr>
            </w:pPr>
            <w:r w:rsidRPr="0071206E">
              <w:rPr>
                <w:rFonts w:asciiTheme="minorHAnsi" w:hAnsiTheme="minorHAnsi" w:cstheme="minorHAnsi"/>
                <w:sz w:val="22"/>
                <w:szCs w:val="22"/>
              </w:rPr>
              <w:t>n/a</w:t>
            </w:r>
          </w:p>
        </w:tc>
      </w:tr>
    </w:tbl>
    <w:p w14:paraId="7B866D59" w14:textId="77777777" w:rsidR="00EA6DB1" w:rsidRPr="0071206E" w:rsidRDefault="00EA6DB1" w:rsidP="00EA6DB1">
      <w:pPr>
        <w:rPr>
          <w:rFonts w:asciiTheme="minorHAnsi" w:hAnsiTheme="minorHAnsi" w:cstheme="minorHAnsi"/>
          <w:b/>
          <w:iCs/>
          <w:sz w:val="22"/>
          <w:szCs w:val="22"/>
        </w:rPr>
      </w:pPr>
    </w:p>
    <w:tbl>
      <w:tblPr>
        <w:tblStyle w:val="TableGrid"/>
        <w:tblW w:w="9895" w:type="dxa"/>
        <w:tblLook w:val="04A0" w:firstRow="1" w:lastRow="0" w:firstColumn="1" w:lastColumn="0" w:noHBand="0" w:noVBand="1"/>
      </w:tblPr>
      <w:tblGrid>
        <w:gridCol w:w="2475"/>
        <w:gridCol w:w="7420"/>
      </w:tblGrid>
      <w:tr w:rsidR="00EA6DB1" w:rsidRPr="0071206E" w14:paraId="69B4D583" w14:textId="77777777" w:rsidTr="7A1375F1">
        <w:tc>
          <w:tcPr>
            <w:tcW w:w="9895" w:type="dxa"/>
            <w:gridSpan w:val="2"/>
          </w:tcPr>
          <w:p w14:paraId="6F1DEA5D" w14:textId="77777777" w:rsidR="00EA6DB1" w:rsidRPr="0071206E" w:rsidRDefault="00EA6DB1" w:rsidP="00610125">
            <w:pPr>
              <w:rPr>
                <w:rFonts w:asciiTheme="minorHAnsi" w:hAnsiTheme="minorHAnsi" w:cstheme="minorHAnsi"/>
                <w:iCs/>
                <w:sz w:val="22"/>
                <w:szCs w:val="22"/>
              </w:rPr>
            </w:pPr>
            <w:r w:rsidRPr="0071206E">
              <w:rPr>
                <w:rFonts w:asciiTheme="minorHAnsi" w:hAnsiTheme="minorHAnsi" w:cstheme="minorHAnsi"/>
                <w:bCs/>
                <w:iCs/>
                <w:sz w:val="22"/>
                <w:szCs w:val="22"/>
              </w:rPr>
              <w:t xml:space="preserve">Outcome 4 - </w:t>
            </w:r>
            <w:r w:rsidRPr="0071206E">
              <w:rPr>
                <w:rFonts w:asciiTheme="minorHAnsi" w:hAnsiTheme="minorHAnsi" w:cstheme="minorHAnsi"/>
                <w:bCs/>
                <w:i/>
                <w:sz w:val="22"/>
                <w:szCs w:val="22"/>
              </w:rPr>
              <w:t>National and regional stakeholders, including green economy champions, decision-makers, practitioners, and youth representatives, access and apply knowledge for advancing IGE.</w:t>
            </w:r>
          </w:p>
        </w:tc>
      </w:tr>
      <w:tr w:rsidR="00EA6DB1" w:rsidRPr="0071206E" w14:paraId="5D17493B" w14:textId="77777777" w:rsidTr="7A1375F1">
        <w:tc>
          <w:tcPr>
            <w:tcW w:w="2475" w:type="dxa"/>
          </w:tcPr>
          <w:p w14:paraId="596FF9CD" w14:textId="783D73A8"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7C2DD4FE" w:rsidRPr="0071206E">
              <w:rPr>
                <w:rFonts w:asciiTheme="minorHAnsi" w:hAnsiTheme="minorHAnsi" w:cstheme="minorHAnsi"/>
                <w:b/>
                <w:bCs/>
                <w:sz w:val="22"/>
                <w:szCs w:val="22"/>
              </w:rPr>
              <w:t>4</w:t>
            </w:r>
          </w:p>
          <w:p w14:paraId="37CF06F0" w14:textId="77777777" w:rsidR="00EA6DB1" w:rsidRPr="0071206E" w:rsidRDefault="00EA6DB1" w:rsidP="00610125">
            <w:pPr>
              <w:rPr>
                <w:rFonts w:asciiTheme="minorHAnsi" w:hAnsiTheme="minorHAnsi" w:cstheme="minorHAnsi"/>
                <w:b/>
                <w:iCs/>
                <w:sz w:val="22"/>
                <w:szCs w:val="22"/>
              </w:rPr>
            </w:pPr>
          </w:p>
        </w:tc>
        <w:tc>
          <w:tcPr>
            <w:tcW w:w="7420" w:type="dxa"/>
            <w:vAlign w:val="center"/>
          </w:tcPr>
          <w:p w14:paraId="1C49FA62" w14:textId="410335B5" w:rsidR="00EA6DB1" w:rsidRPr="0071206E" w:rsidRDefault="000F7DE8" w:rsidP="00610125">
            <w:pPr>
              <w:rPr>
                <w:rFonts w:asciiTheme="minorHAnsi" w:hAnsiTheme="minorHAnsi" w:cstheme="minorHAnsi"/>
                <w:iCs/>
                <w:sz w:val="22"/>
                <w:szCs w:val="22"/>
              </w:rPr>
            </w:pPr>
            <w:r w:rsidRPr="0071206E">
              <w:rPr>
                <w:rFonts w:asciiTheme="minorHAnsi" w:hAnsiTheme="minorHAnsi" w:cstheme="minorHAnsi"/>
                <w:sz w:val="22"/>
                <w:szCs w:val="22"/>
              </w:rPr>
              <w:t>n/a</w:t>
            </w:r>
          </w:p>
        </w:tc>
      </w:tr>
    </w:tbl>
    <w:p w14:paraId="61614F26" w14:textId="77777777" w:rsidR="00EA6DB1" w:rsidRPr="0071206E" w:rsidRDefault="00EA6DB1" w:rsidP="00EA6DB1">
      <w:pPr>
        <w:rPr>
          <w:rFonts w:asciiTheme="minorHAnsi" w:hAnsiTheme="minorHAnsi" w:cstheme="minorHAnsi"/>
          <w:b/>
          <w:iCs/>
          <w:sz w:val="22"/>
          <w:szCs w:val="22"/>
        </w:rPr>
      </w:pPr>
    </w:p>
    <w:p w14:paraId="615A8A44" w14:textId="77777777" w:rsidR="00971388" w:rsidRDefault="00971388" w:rsidP="00EA6DB1">
      <w:pPr>
        <w:jc w:val="center"/>
        <w:rPr>
          <w:rFonts w:asciiTheme="minorHAnsi" w:hAnsiTheme="minorHAnsi" w:cstheme="minorHAnsi"/>
          <w:b/>
          <w:iCs/>
          <w:sz w:val="22"/>
          <w:szCs w:val="22"/>
        </w:rPr>
      </w:pPr>
    </w:p>
    <w:p w14:paraId="1E33884E" w14:textId="77777777" w:rsidR="00971388" w:rsidRDefault="00971388" w:rsidP="00EA6DB1">
      <w:pPr>
        <w:jc w:val="center"/>
        <w:rPr>
          <w:rFonts w:asciiTheme="minorHAnsi" w:hAnsiTheme="minorHAnsi" w:cstheme="minorHAnsi"/>
          <w:b/>
          <w:iCs/>
          <w:sz w:val="22"/>
          <w:szCs w:val="22"/>
        </w:rPr>
      </w:pPr>
    </w:p>
    <w:p w14:paraId="7A23FE5C" w14:textId="69773B87" w:rsidR="00EA6DB1" w:rsidRPr="0071206E" w:rsidRDefault="005A08AF" w:rsidP="00EA6DB1">
      <w:pPr>
        <w:jc w:val="center"/>
        <w:rPr>
          <w:rFonts w:asciiTheme="minorHAnsi" w:hAnsiTheme="minorHAnsi" w:cstheme="minorHAnsi"/>
          <w:b/>
          <w:iCs/>
          <w:sz w:val="22"/>
          <w:szCs w:val="22"/>
        </w:rPr>
      </w:pPr>
      <w:r w:rsidRPr="0071206E">
        <w:rPr>
          <w:rFonts w:asciiTheme="minorHAnsi" w:hAnsiTheme="minorHAnsi" w:cstheme="minorHAnsi"/>
          <w:b/>
          <w:iCs/>
          <w:sz w:val="22"/>
          <w:szCs w:val="22"/>
        </w:rPr>
        <w:t>UNDP</w:t>
      </w:r>
      <w:r w:rsidR="00EA6DB1" w:rsidRPr="0071206E">
        <w:rPr>
          <w:rFonts w:asciiTheme="minorHAnsi" w:hAnsiTheme="minorHAnsi" w:cstheme="minorHAnsi"/>
          <w:b/>
          <w:iCs/>
          <w:sz w:val="22"/>
          <w:szCs w:val="22"/>
        </w:rPr>
        <w:t xml:space="preserve"> - Cambodia</w:t>
      </w:r>
    </w:p>
    <w:p w14:paraId="3B5429D9" w14:textId="77777777" w:rsidR="00A40AC7" w:rsidRPr="0071206E" w:rsidRDefault="00A40AC7" w:rsidP="00A40AC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A40AC7" w:rsidRPr="0071206E" w14:paraId="0408F982" w14:textId="77777777" w:rsidTr="00971388">
        <w:tc>
          <w:tcPr>
            <w:tcW w:w="9895" w:type="dxa"/>
            <w:gridSpan w:val="2"/>
            <w:tcMar>
              <w:top w:w="0" w:type="dxa"/>
              <w:left w:w="108" w:type="dxa"/>
              <w:bottom w:w="0" w:type="dxa"/>
              <w:right w:w="108" w:type="dxa"/>
            </w:tcMar>
            <w:hideMark/>
          </w:tcPr>
          <w:p w14:paraId="26D63DAE"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i/>
                <w:iCs/>
                <w:sz w:val="22"/>
                <w:szCs w:val="22"/>
              </w:rPr>
              <w:t>Outcome 1 - Countries have reinforced and integrated inclusive green economy (IGE) goals targets into SDG aligned national economic and development planning through multi-stakeholder collaboration.</w:t>
            </w:r>
          </w:p>
        </w:tc>
      </w:tr>
      <w:tr w:rsidR="00A40AC7" w:rsidRPr="0071206E" w14:paraId="157FC4AB" w14:textId="77777777" w:rsidTr="00971388">
        <w:tc>
          <w:tcPr>
            <w:tcW w:w="1885" w:type="dxa"/>
            <w:tcMar>
              <w:top w:w="0" w:type="dxa"/>
              <w:left w:w="108" w:type="dxa"/>
              <w:bottom w:w="0" w:type="dxa"/>
              <w:right w:w="108" w:type="dxa"/>
            </w:tcMar>
            <w:hideMark/>
          </w:tcPr>
          <w:p w14:paraId="675893AA"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b/>
                <w:bCs/>
                <w:sz w:val="22"/>
                <w:szCs w:val="22"/>
              </w:rPr>
              <w:t>Key achievements in 2024</w:t>
            </w:r>
          </w:p>
          <w:p w14:paraId="4C25DDBD"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b/>
                <w:bCs/>
                <w:sz w:val="22"/>
                <w:szCs w:val="22"/>
              </w:rPr>
              <w:t> </w:t>
            </w:r>
          </w:p>
        </w:tc>
        <w:tc>
          <w:tcPr>
            <w:tcW w:w="8010" w:type="dxa"/>
            <w:tcMar>
              <w:top w:w="0" w:type="dxa"/>
              <w:left w:w="108" w:type="dxa"/>
              <w:bottom w:w="0" w:type="dxa"/>
              <w:right w:w="108" w:type="dxa"/>
            </w:tcMar>
            <w:hideMark/>
          </w:tcPr>
          <w:p w14:paraId="63B87499"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sz w:val="22"/>
                <w:szCs w:val="22"/>
              </w:rPr>
              <w:t>UNDP contributed to the inception phase of PAGE Cambodia, participating in stakeholder consultations, providing inputs to the inception study and supporting the definition of the work plan. Specifically, UNDP led the development of the work stream on economic foresight and fiscal policy for achieving green and socially inclusive growth, leveraging its solid relationship with the Ministry of Economy and Finance (MEF).</w:t>
            </w:r>
          </w:p>
          <w:p w14:paraId="365E02BA" w14:textId="77777777" w:rsidR="00A40AC7" w:rsidRPr="0071206E" w:rsidRDefault="00A40AC7" w:rsidP="009B4DF8">
            <w:pPr>
              <w:rPr>
                <w:rFonts w:asciiTheme="minorHAnsi" w:hAnsiTheme="minorHAnsi" w:cstheme="minorHAnsi"/>
                <w:sz w:val="22"/>
                <w:szCs w:val="22"/>
              </w:rPr>
            </w:pPr>
          </w:p>
          <w:p w14:paraId="4F9B57AF" w14:textId="33A6F26C"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sz w:val="22"/>
                <w:szCs w:val="22"/>
              </w:rPr>
              <w:t xml:space="preserve">Following the inception phase, </w:t>
            </w:r>
            <w:r w:rsidR="00DD0E99">
              <w:rPr>
                <w:rFonts w:asciiTheme="minorHAnsi" w:hAnsiTheme="minorHAnsi" w:cstheme="minorHAnsi"/>
                <w:sz w:val="22"/>
                <w:szCs w:val="22"/>
              </w:rPr>
              <w:t>l</w:t>
            </w:r>
            <w:r w:rsidRPr="0071206E">
              <w:rPr>
                <w:rFonts w:asciiTheme="minorHAnsi" w:hAnsiTheme="minorHAnsi" w:cstheme="minorHAnsi"/>
                <w:sz w:val="22"/>
                <w:szCs w:val="22"/>
              </w:rPr>
              <w:t>everaging existing collaboration with the MEF, UNDP has initiated discussion with the Ministry on C</w:t>
            </w:r>
            <w:r w:rsidR="00AC5ED0">
              <w:rPr>
                <w:rFonts w:asciiTheme="minorHAnsi" w:hAnsiTheme="minorHAnsi" w:cstheme="minorHAnsi"/>
                <w:sz w:val="22"/>
                <w:szCs w:val="22"/>
              </w:rPr>
              <w:t xml:space="preserve">ambodian </w:t>
            </w:r>
            <w:r w:rsidRPr="0071206E">
              <w:rPr>
                <w:rFonts w:asciiTheme="minorHAnsi" w:hAnsiTheme="minorHAnsi" w:cstheme="minorHAnsi"/>
                <w:sz w:val="22"/>
                <w:szCs w:val="22"/>
              </w:rPr>
              <w:t>S</w:t>
            </w:r>
            <w:r w:rsidR="00A77536">
              <w:rPr>
                <w:rFonts w:asciiTheme="minorHAnsi" w:hAnsiTheme="minorHAnsi" w:cstheme="minorHAnsi"/>
                <w:sz w:val="22"/>
                <w:szCs w:val="22"/>
              </w:rPr>
              <w:t>ustainable Development Goals (CS</w:t>
            </w:r>
            <w:r w:rsidRPr="0071206E">
              <w:rPr>
                <w:rFonts w:asciiTheme="minorHAnsi" w:hAnsiTheme="minorHAnsi" w:cstheme="minorHAnsi"/>
                <w:sz w:val="22"/>
                <w:szCs w:val="22"/>
              </w:rPr>
              <w:t>DG</w:t>
            </w:r>
            <w:r w:rsidR="00A77536">
              <w:rPr>
                <w:rFonts w:asciiTheme="minorHAnsi" w:hAnsiTheme="minorHAnsi" w:cstheme="minorHAnsi"/>
                <w:sz w:val="22"/>
                <w:szCs w:val="22"/>
              </w:rPr>
              <w:t>)</w:t>
            </w:r>
            <w:r w:rsidRPr="0071206E">
              <w:rPr>
                <w:rFonts w:asciiTheme="minorHAnsi" w:hAnsiTheme="minorHAnsi" w:cstheme="minorHAnsi"/>
                <w:sz w:val="22"/>
                <w:szCs w:val="22"/>
              </w:rPr>
              <w:t xml:space="preserve"> budget tagging and economic foresight to explore new sources of green growth and circular economy. In relation to the economic foresight, UNDP has initiated the discussion with the New Economy Department of the General Department of Policy. This </w:t>
            </w:r>
            <w:r w:rsidR="00314AD3">
              <w:rPr>
                <w:rFonts w:asciiTheme="minorHAnsi" w:hAnsiTheme="minorHAnsi" w:cstheme="minorHAnsi"/>
                <w:sz w:val="22"/>
                <w:szCs w:val="22"/>
              </w:rPr>
              <w:t>discussion builds</w:t>
            </w:r>
            <w:r w:rsidRPr="0071206E">
              <w:rPr>
                <w:rFonts w:asciiTheme="minorHAnsi" w:hAnsiTheme="minorHAnsi" w:cstheme="minorHAnsi"/>
                <w:sz w:val="22"/>
                <w:szCs w:val="22"/>
              </w:rPr>
              <w:t xml:space="preserve"> on the existing work on the foresight roadmap development that UNDP is supporting MEF</w:t>
            </w:r>
            <w:r w:rsidR="00314AD3">
              <w:rPr>
                <w:rFonts w:asciiTheme="minorHAnsi" w:hAnsiTheme="minorHAnsi" w:cstheme="minorHAnsi"/>
                <w:sz w:val="22"/>
                <w:szCs w:val="22"/>
              </w:rPr>
              <w:t>.</w:t>
            </w:r>
          </w:p>
        </w:tc>
      </w:tr>
      <w:tr w:rsidR="00A40AC7" w:rsidRPr="0071206E" w14:paraId="0ED57FE5" w14:textId="77777777" w:rsidTr="00971388">
        <w:tc>
          <w:tcPr>
            <w:tcW w:w="1885" w:type="dxa"/>
            <w:tcMar>
              <w:top w:w="0" w:type="dxa"/>
              <w:left w:w="108" w:type="dxa"/>
              <w:bottom w:w="0" w:type="dxa"/>
              <w:right w:w="108" w:type="dxa"/>
            </w:tcMar>
            <w:hideMark/>
          </w:tcPr>
          <w:p w14:paraId="61A8A3C5"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b/>
                <w:bCs/>
                <w:sz w:val="22"/>
                <w:szCs w:val="22"/>
              </w:rPr>
              <w:t>Key Achievements 2024</w:t>
            </w:r>
            <w:r w:rsidRPr="0071206E">
              <w:rPr>
                <w:rFonts w:asciiTheme="minorHAnsi" w:hAnsiTheme="minorHAnsi" w:cstheme="minorHAnsi"/>
                <w:sz w:val="22"/>
                <w:szCs w:val="22"/>
              </w:rPr>
              <w:t xml:space="preserve"> (Add. Support for Green Recovery)</w:t>
            </w:r>
          </w:p>
        </w:tc>
        <w:tc>
          <w:tcPr>
            <w:tcW w:w="8010" w:type="dxa"/>
            <w:tcMar>
              <w:top w:w="0" w:type="dxa"/>
              <w:left w:w="108" w:type="dxa"/>
              <w:bottom w:w="0" w:type="dxa"/>
              <w:right w:w="108" w:type="dxa"/>
            </w:tcMar>
            <w:hideMark/>
          </w:tcPr>
          <w:p w14:paraId="1D9F99A1" w14:textId="6B700954" w:rsidR="00A40AC7" w:rsidRPr="0071206E" w:rsidRDefault="00A40AC7" w:rsidP="009B4DF8">
            <w:pPr>
              <w:spacing w:after="200"/>
              <w:rPr>
                <w:rFonts w:asciiTheme="minorHAnsi" w:hAnsiTheme="minorHAnsi" w:cstheme="minorHAnsi"/>
                <w:sz w:val="22"/>
                <w:szCs w:val="22"/>
              </w:rPr>
            </w:pPr>
            <w:r w:rsidRPr="0071206E">
              <w:rPr>
                <w:rFonts w:asciiTheme="minorHAnsi" w:hAnsiTheme="minorHAnsi" w:cstheme="minorHAnsi"/>
                <w:sz w:val="22"/>
                <w:szCs w:val="22"/>
              </w:rPr>
              <w:t> n/a</w:t>
            </w:r>
          </w:p>
        </w:tc>
      </w:tr>
    </w:tbl>
    <w:p w14:paraId="2F9835D4" w14:textId="77777777" w:rsidR="00A40AC7" w:rsidRPr="0071206E" w:rsidRDefault="00A40AC7" w:rsidP="00A40AC7">
      <w:pPr>
        <w:rPr>
          <w:rFonts w:asciiTheme="minorHAnsi" w:hAnsiTheme="minorHAnsi" w:cstheme="minorHAnsi"/>
          <w:sz w:val="22"/>
          <w:szCs w:val="22"/>
        </w:rPr>
      </w:pPr>
      <w:r w:rsidRPr="0071206E">
        <w:rPr>
          <w:rFonts w:asciiTheme="minorHAnsi" w:hAnsiTheme="minorHAnsi" w:cstheme="minorHAnsi"/>
          <w:b/>
          <w:bCs/>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A40AC7" w:rsidRPr="0071206E" w14:paraId="63261E78" w14:textId="77777777" w:rsidTr="00971388">
        <w:tc>
          <w:tcPr>
            <w:tcW w:w="9895" w:type="dxa"/>
            <w:gridSpan w:val="2"/>
            <w:tcMar>
              <w:top w:w="0" w:type="dxa"/>
              <w:left w:w="108" w:type="dxa"/>
              <w:bottom w:w="0" w:type="dxa"/>
              <w:right w:w="108" w:type="dxa"/>
            </w:tcMar>
            <w:hideMark/>
          </w:tcPr>
          <w:p w14:paraId="7D55E459"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i/>
                <w:iCs/>
                <w:sz w:val="22"/>
                <w:szCs w:val="22"/>
              </w:rPr>
              <w:lastRenderedPageBreak/>
              <w:t>Outcome 2 - Countries are implementing evidence based sectoral and thematic reforms in line with national IGE priorities</w:t>
            </w:r>
            <w:r w:rsidRPr="0071206E">
              <w:rPr>
                <w:rFonts w:asciiTheme="minorHAnsi" w:hAnsiTheme="minorHAnsi" w:cstheme="minorHAnsi"/>
                <w:sz w:val="22"/>
                <w:szCs w:val="22"/>
              </w:rPr>
              <w:t>.</w:t>
            </w:r>
          </w:p>
        </w:tc>
      </w:tr>
      <w:tr w:rsidR="00A40AC7" w:rsidRPr="0071206E" w14:paraId="66006C82" w14:textId="77777777" w:rsidTr="00971388">
        <w:tc>
          <w:tcPr>
            <w:tcW w:w="1885" w:type="dxa"/>
            <w:tcMar>
              <w:top w:w="0" w:type="dxa"/>
              <w:left w:w="108" w:type="dxa"/>
              <w:bottom w:w="0" w:type="dxa"/>
              <w:right w:w="108" w:type="dxa"/>
            </w:tcMar>
            <w:hideMark/>
          </w:tcPr>
          <w:p w14:paraId="486BD06A"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b/>
                <w:bCs/>
                <w:sz w:val="22"/>
                <w:szCs w:val="22"/>
              </w:rPr>
              <w:t>Key achievements in 2024</w:t>
            </w:r>
          </w:p>
        </w:tc>
        <w:tc>
          <w:tcPr>
            <w:tcW w:w="8010" w:type="dxa"/>
            <w:tcMar>
              <w:top w:w="0" w:type="dxa"/>
              <w:left w:w="108" w:type="dxa"/>
              <w:bottom w:w="0" w:type="dxa"/>
              <w:right w:w="108" w:type="dxa"/>
            </w:tcMar>
            <w:hideMark/>
          </w:tcPr>
          <w:p w14:paraId="6B273EC8" w14:textId="1928CE88"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sz w:val="22"/>
                <w:szCs w:val="22"/>
              </w:rPr>
              <w:t>UNDP is supporting the Cambodian Government, particularly the Ministry of Commerce (</w:t>
            </w:r>
            <w:proofErr w:type="spellStart"/>
            <w:r w:rsidRPr="0071206E">
              <w:rPr>
                <w:rFonts w:asciiTheme="minorHAnsi" w:hAnsiTheme="minorHAnsi" w:cstheme="minorHAnsi"/>
                <w:sz w:val="22"/>
                <w:szCs w:val="22"/>
              </w:rPr>
              <w:t>MoC</w:t>
            </w:r>
            <w:proofErr w:type="spellEnd"/>
            <w:r w:rsidRPr="0071206E">
              <w:rPr>
                <w:rFonts w:asciiTheme="minorHAnsi" w:hAnsiTheme="minorHAnsi" w:cstheme="minorHAnsi"/>
                <w:sz w:val="22"/>
                <w:szCs w:val="22"/>
              </w:rPr>
              <w:t xml:space="preserve">), in developing a roadmap to guide Cambodia’s compliance with the EU’s green trade standard, rules of origin, and double transformation rules. This activity aims to promote green growth while addressing sustainability requirements of Cambodia’s key export markets and strengthen the country’s trade competitiveness.  An international consultant was recruited and  draft assessment and roadmap are </w:t>
            </w:r>
            <w:r w:rsidR="009A464D">
              <w:rPr>
                <w:rFonts w:asciiTheme="minorHAnsi" w:hAnsiTheme="minorHAnsi" w:cstheme="minorHAnsi"/>
                <w:sz w:val="22"/>
                <w:szCs w:val="22"/>
              </w:rPr>
              <w:t xml:space="preserve">being </w:t>
            </w:r>
            <w:r w:rsidRPr="0071206E">
              <w:rPr>
                <w:rFonts w:asciiTheme="minorHAnsi" w:hAnsiTheme="minorHAnsi" w:cstheme="minorHAnsi"/>
                <w:sz w:val="22"/>
                <w:szCs w:val="22"/>
              </w:rPr>
              <w:t>produced. This work is carried out in close collaboration with UNIDO’s expert on Sustainable Investment and Responsible Business from the Division of Fair Production, Sustainability Standards and Trade.</w:t>
            </w:r>
            <w:r w:rsidRPr="0071206E" w:rsidDel="002F28C3">
              <w:rPr>
                <w:rFonts w:asciiTheme="minorHAnsi" w:hAnsiTheme="minorHAnsi" w:cstheme="minorHAnsi"/>
                <w:sz w:val="22"/>
                <w:szCs w:val="22"/>
              </w:rPr>
              <w:t xml:space="preserve"> </w:t>
            </w:r>
            <w:r w:rsidRPr="0071206E">
              <w:rPr>
                <w:rFonts w:asciiTheme="minorHAnsi" w:hAnsiTheme="minorHAnsi" w:cstheme="minorHAnsi"/>
                <w:sz w:val="22"/>
                <w:szCs w:val="22"/>
              </w:rPr>
              <w:t xml:space="preserve">The consultation workshop and bilateral consultations </w:t>
            </w:r>
            <w:r w:rsidR="009A464D">
              <w:rPr>
                <w:rFonts w:asciiTheme="minorHAnsi" w:hAnsiTheme="minorHAnsi" w:cstheme="minorHAnsi"/>
                <w:sz w:val="22"/>
                <w:szCs w:val="22"/>
              </w:rPr>
              <w:t xml:space="preserve">on the roadmap development </w:t>
            </w:r>
            <w:r w:rsidRPr="0071206E">
              <w:rPr>
                <w:rFonts w:asciiTheme="minorHAnsi" w:hAnsiTheme="minorHAnsi" w:cstheme="minorHAnsi"/>
                <w:sz w:val="22"/>
                <w:szCs w:val="22"/>
              </w:rPr>
              <w:t xml:space="preserve">with relevant stakeholders were conducted in December 2024. The validation workshop, </w:t>
            </w:r>
            <w:r w:rsidR="00DB7FA3">
              <w:rPr>
                <w:rFonts w:asciiTheme="minorHAnsi" w:hAnsiTheme="minorHAnsi" w:cstheme="minorHAnsi"/>
                <w:sz w:val="22"/>
                <w:szCs w:val="22"/>
              </w:rPr>
              <w:t>chaired</w:t>
            </w:r>
            <w:r w:rsidRPr="0071206E">
              <w:rPr>
                <w:rFonts w:asciiTheme="minorHAnsi" w:hAnsiTheme="minorHAnsi" w:cstheme="minorHAnsi"/>
                <w:sz w:val="22"/>
                <w:szCs w:val="22"/>
              </w:rPr>
              <w:t xml:space="preserve"> by the Minister</w:t>
            </w:r>
            <w:r w:rsidR="00722BEC">
              <w:rPr>
                <w:rFonts w:asciiTheme="minorHAnsi" w:hAnsiTheme="minorHAnsi" w:cstheme="minorHAnsi"/>
                <w:sz w:val="22"/>
                <w:szCs w:val="22"/>
              </w:rPr>
              <w:t xml:space="preserve"> of Commerce</w:t>
            </w:r>
            <w:r w:rsidR="00873738">
              <w:rPr>
                <w:rFonts w:asciiTheme="minorHAnsi" w:hAnsiTheme="minorHAnsi" w:cstheme="minorHAnsi"/>
                <w:sz w:val="22"/>
                <w:szCs w:val="22"/>
              </w:rPr>
              <w:t xml:space="preserve"> will be</w:t>
            </w:r>
            <w:r w:rsidRPr="0071206E">
              <w:rPr>
                <w:rFonts w:asciiTheme="minorHAnsi" w:hAnsiTheme="minorHAnsi" w:cstheme="minorHAnsi"/>
                <w:sz w:val="22"/>
                <w:szCs w:val="22"/>
              </w:rPr>
              <w:t xml:space="preserve"> organized </w:t>
            </w:r>
            <w:r w:rsidR="00873738">
              <w:rPr>
                <w:rFonts w:asciiTheme="minorHAnsi" w:hAnsiTheme="minorHAnsi" w:cstheme="minorHAnsi"/>
                <w:sz w:val="22"/>
                <w:szCs w:val="22"/>
              </w:rPr>
              <w:t>in</w:t>
            </w:r>
            <w:r w:rsidRPr="0071206E">
              <w:rPr>
                <w:rFonts w:asciiTheme="minorHAnsi" w:hAnsiTheme="minorHAnsi" w:cstheme="minorHAnsi"/>
                <w:sz w:val="22"/>
                <w:szCs w:val="22"/>
              </w:rPr>
              <w:t xml:space="preserve"> 2025. The roadmap is expected to be finalized and ready by February 2025. </w:t>
            </w:r>
          </w:p>
          <w:p w14:paraId="5BA07B69" w14:textId="77777777" w:rsidR="00A40AC7" w:rsidRPr="0071206E" w:rsidRDefault="00A40AC7" w:rsidP="009B4DF8">
            <w:pPr>
              <w:rPr>
                <w:rFonts w:asciiTheme="minorHAnsi" w:hAnsiTheme="minorHAnsi" w:cstheme="minorHAnsi"/>
                <w:sz w:val="22"/>
                <w:szCs w:val="22"/>
              </w:rPr>
            </w:pPr>
          </w:p>
          <w:p w14:paraId="36AB559E" w14:textId="30D705DA"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sz w:val="22"/>
                <w:szCs w:val="22"/>
              </w:rPr>
              <w:t>With regard to the component on Reducing Single-Use Plastic (SUP) in the garment sector, UNDP has engaged with the Department of Green Economy (DGE) of the Ministry of Environment as the responsible party under the Letter of Agreement (</w:t>
            </w:r>
            <w:proofErr w:type="spellStart"/>
            <w:r w:rsidRPr="0071206E">
              <w:rPr>
                <w:rFonts w:asciiTheme="minorHAnsi" w:hAnsiTheme="minorHAnsi" w:cstheme="minorHAnsi"/>
                <w:sz w:val="22"/>
                <w:szCs w:val="22"/>
              </w:rPr>
              <w:t>LoA</w:t>
            </w:r>
            <w:proofErr w:type="spellEnd"/>
            <w:r w:rsidRPr="0071206E">
              <w:rPr>
                <w:rFonts w:asciiTheme="minorHAnsi" w:hAnsiTheme="minorHAnsi" w:cstheme="minorHAnsi"/>
                <w:sz w:val="22"/>
                <w:szCs w:val="22"/>
              </w:rPr>
              <w:t>)</w:t>
            </w:r>
            <w:r w:rsidR="00FB3E9D">
              <w:rPr>
                <w:rFonts w:asciiTheme="minorHAnsi" w:hAnsiTheme="minorHAnsi" w:cstheme="minorHAnsi"/>
                <w:sz w:val="22"/>
                <w:szCs w:val="22"/>
              </w:rPr>
              <w:t xml:space="preserve"> to develop policy recommendations for </w:t>
            </w:r>
            <w:r w:rsidR="00FB3E9D" w:rsidRPr="003F1D84">
              <w:rPr>
                <w:rFonts w:asciiTheme="minorHAnsi" w:hAnsiTheme="minorHAnsi" w:cstheme="minorHAnsi"/>
                <w:sz w:val="22"/>
                <w:szCs w:val="22"/>
              </w:rPr>
              <w:t>promoting circular economy with emphasis on the single-use plastics reduction and 4R principles and green jobs within the garment industry</w:t>
            </w:r>
            <w:r w:rsidRPr="0071206E">
              <w:rPr>
                <w:rFonts w:asciiTheme="minorHAnsi" w:hAnsiTheme="minorHAnsi" w:cstheme="minorHAnsi"/>
                <w:sz w:val="22"/>
                <w:szCs w:val="22"/>
              </w:rPr>
              <w:t xml:space="preserve">. </w:t>
            </w:r>
          </w:p>
        </w:tc>
      </w:tr>
      <w:tr w:rsidR="00A40AC7" w:rsidRPr="0071206E" w14:paraId="27E3C85A" w14:textId="77777777" w:rsidTr="00971388">
        <w:tc>
          <w:tcPr>
            <w:tcW w:w="1885" w:type="dxa"/>
            <w:tcMar>
              <w:top w:w="0" w:type="dxa"/>
              <w:left w:w="108" w:type="dxa"/>
              <w:bottom w:w="0" w:type="dxa"/>
              <w:right w:w="108" w:type="dxa"/>
            </w:tcMar>
            <w:hideMark/>
          </w:tcPr>
          <w:p w14:paraId="394F9676"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b/>
                <w:bCs/>
                <w:sz w:val="22"/>
                <w:szCs w:val="22"/>
              </w:rPr>
              <w:t>Key Achievements 2024</w:t>
            </w:r>
            <w:r w:rsidRPr="0071206E">
              <w:rPr>
                <w:rFonts w:asciiTheme="minorHAnsi" w:hAnsiTheme="minorHAnsi" w:cstheme="minorHAnsi"/>
                <w:sz w:val="22"/>
                <w:szCs w:val="22"/>
              </w:rPr>
              <w:t xml:space="preserve"> (Add. Support for Green Recovery)</w:t>
            </w:r>
          </w:p>
        </w:tc>
        <w:tc>
          <w:tcPr>
            <w:tcW w:w="8010" w:type="dxa"/>
            <w:tcMar>
              <w:top w:w="0" w:type="dxa"/>
              <w:left w:w="108" w:type="dxa"/>
              <w:bottom w:w="0" w:type="dxa"/>
              <w:right w:w="108" w:type="dxa"/>
            </w:tcMar>
            <w:hideMark/>
          </w:tcPr>
          <w:p w14:paraId="3D4C0189" w14:textId="3D8B4CED" w:rsidR="00A40AC7" w:rsidRPr="0071206E" w:rsidRDefault="00A40AC7" w:rsidP="009B4DF8">
            <w:pPr>
              <w:pStyle w:val="default0"/>
              <w:rPr>
                <w:rFonts w:asciiTheme="minorHAnsi" w:hAnsiTheme="minorHAnsi" w:cstheme="minorHAnsi"/>
                <w:sz w:val="22"/>
                <w:szCs w:val="22"/>
              </w:rPr>
            </w:pPr>
            <w:r w:rsidRPr="0071206E">
              <w:rPr>
                <w:rFonts w:asciiTheme="minorHAnsi" w:hAnsiTheme="minorHAnsi" w:cstheme="minorHAnsi"/>
                <w:sz w:val="22"/>
                <w:szCs w:val="22"/>
              </w:rPr>
              <w:t> n/a</w:t>
            </w:r>
          </w:p>
        </w:tc>
      </w:tr>
    </w:tbl>
    <w:p w14:paraId="6889E787" w14:textId="77777777" w:rsidR="00A40AC7" w:rsidRPr="0071206E" w:rsidRDefault="00A40AC7" w:rsidP="00A40AC7">
      <w:pPr>
        <w:rPr>
          <w:rFonts w:asciiTheme="minorHAnsi" w:hAnsiTheme="minorHAnsi" w:cstheme="minorHAnsi"/>
          <w:sz w:val="22"/>
          <w:szCs w:val="22"/>
        </w:rPr>
      </w:pPr>
      <w:r w:rsidRPr="0071206E">
        <w:rPr>
          <w:rFonts w:asciiTheme="minorHAnsi" w:hAnsiTheme="minorHAnsi" w:cstheme="minorHAnsi"/>
          <w:b/>
          <w:bCs/>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A40AC7" w:rsidRPr="0071206E" w14:paraId="21DE8F02" w14:textId="77777777" w:rsidTr="00971388">
        <w:tc>
          <w:tcPr>
            <w:tcW w:w="9895" w:type="dxa"/>
            <w:gridSpan w:val="2"/>
            <w:tcMar>
              <w:top w:w="0" w:type="dxa"/>
              <w:left w:w="108" w:type="dxa"/>
              <w:bottom w:w="0" w:type="dxa"/>
              <w:right w:w="108" w:type="dxa"/>
            </w:tcMar>
            <w:hideMark/>
          </w:tcPr>
          <w:p w14:paraId="0D842726"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i/>
                <w:iCs/>
                <w:sz w:val="22"/>
                <w:szCs w:val="22"/>
              </w:rPr>
              <w:t xml:space="preserve">Outcome 3 - Individual, institutional and planning capacities for IGE action strengthened at the </w:t>
            </w:r>
            <w:r w:rsidRPr="0071206E">
              <w:rPr>
                <w:rFonts w:asciiTheme="minorHAnsi" w:hAnsiTheme="minorHAnsi" w:cstheme="minorHAnsi"/>
                <w:i/>
                <w:iCs/>
                <w:sz w:val="22"/>
                <w:szCs w:val="22"/>
                <w:u w:val="single"/>
              </w:rPr>
              <w:t>national</w:t>
            </w:r>
            <w:r w:rsidRPr="0071206E">
              <w:rPr>
                <w:rFonts w:asciiTheme="minorHAnsi" w:hAnsiTheme="minorHAnsi" w:cstheme="minorHAnsi"/>
                <w:i/>
                <w:iCs/>
                <w:sz w:val="22"/>
                <w:szCs w:val="22"/>
              </w:rPr>
              <w:t xml:space="preserve"> and (global) level.</w:t>
            </w:r>
          </w:p>
        </w:tc>
      </w:tr>
      <w:tr w:rsidR="00A40AC7" w:rsidRPr="0071206E" w14:paraId="7384F98E" w14:textId="77777777" w:rsidTr="00971388">
        <w:tc>
          <w:tcPr>
            <w:tcW w:w="1885" w:type="dxa"/>
            <w:tcMar>
              <w:top w:w="0" w:type="dxa"/>
              <w:left w:w="108" w:type="dxa"/>
              <w:bottom w:w="0" w:type="dxa"/>
              <w:right w:w="108" w:type="dxa"/>
            </w:tcMar>
            <w:hideMark/>
          </w:tcPr>
          <w:p w14:paraId="72210E06"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b/>
                <w:bCs/>
                <w:sz w:val="22"/>
                <w:szCs w:val="22"/>
              </w:rPr>
              <w:t>Key achievements in 2024</w:t>
            </w:r>
          </w:p>
        </w:tc>
        <w:tc>
          <w:tcPr>
            <w:tcW w:w="8010" w:type="dxa"/>
            <w:tcMar>
              <w:top w:w="0" w:type="dxa"/>
              <w:left w:w="108" w:type="dxa"/>
              <w:bottom w:w="0" w:type="dxa"/>
              <w:right w:w="108" w:type="dxa"/>
            </w:tcMar>
            <w:hideMark/>
          </w:tcPr>
          <w:p w14:paraId="7923F543"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sz w:val="22"/>
                <w:szCs w:val="22"/>
              </w:rPr>
              <w:t>UNDP contributed to the inception capacity building activities implemented by PAGE Cambodia, sharing its experience in SDG budget tagging and developing an Extended Producer Responsibility pilot on plastic.</w:t>
            </w:r>
          </w:p>
        </w:tc>
      </w:tr>
      <w:tr w:rsidR="00A40AC7" w:rsidRPr="0071206E" w14:paraId="671A2669" w14:textId="77777777" w:rsidTr="00971388">
        <w:tc>
          <w:tcPr>
            <w:tcW w:w="1885" w:type="dxa"/>
            <w:tcMar>
              <w:top w:w="0" w:type="dxa"/>
              <w:left w:w="108" w:type="dxa"/>
              <w:bottom w:w="0" w:type="dxa"/>
              <w:right w:w="108" w:type="dxa"/>
            </w:tcMar>
            <w:hideMark/>
          </w:tcPr>
          <w:p w14:paraId="4F66C448"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b/>
                <w:bCs/>
                <w:sz w:val="22"/>
                <w:szCs w:val="22"/>
              </w:rPr>
              <w:t>Key Achievements 2024</w:t>
            </w:r>
            <w:r w:rsidRPr="0071206E">
              <w:rPr>
                <w:rFonts w:asciiTheme="minorHAnsi" w:hAnsiTheme="minorHAnsi" w:cstheme="minorHAnsi"/>
                <w:sz w:val="22"/>
                <w:szCs w:val="22"/>
              </w:rPr>
              <w:t xml:space="preserve"> (Add. Support for Green Recovery)</w:t>
            </w:r>
          </w:p>
        </w:tc>
        <w:tc>
          <w:tcPr>
            <w:tcW w:w="8010" w:type="dxa"/>
            <w:tcMar>
              <w:top w:w="0" w:type="dxa"/>
              <w:left w:w="108" w:type="dxa"/>
              <w:bottom w:w="0" w:type="dxa"/>
              <w:right w:w="108" w:type="dxa"/>
            </w:tcMar>
            <w:hideMark/>
          </w:tcPr>
          <w:p w14:paraId="3484D633" w14:textId="366644DD" w:rsidR="00A40AC7" w:rsidRPr="0071206E" w:rsidRDefault="00A40AC7" w:rsidP="009B4DF8">
            <w:pPr>
              <w:spacing w:after="200"/>
              <w:rPr>
                <w:rFonts w:asciiTheme="minorHAnsi" w:hAnsiTheme="minorHAnsi" w:cstheme="minorHAnsi"/>
                <w:sz w:val="22"/>
                <w:szCs w:val="22"/>
              </w:rPr>
            </w:pPr>
            <w:r w:rsidRPr="0071206E">
              <w:rPr>
                <w:rFonts w:asciiTheme="minorHAnsi" w:hAnsiTheme="minorHAnsi" w:cstheme="minorHAnsi"/>
                <w:sz w:val="22"/>
                <w:szCs w:val="22"/>
              </w:rPr>
              <w:t> n/a</w:t>
            </w:r>
          </w:p>
        </w:tc>
      </w:tr>
    </w:tbl>
    <w:p w14:paraId="714079B6" w14:textId="77777777" w:rsidR="00A40AC7" w:rsidRPr="0071206E" w:rsidRDefault="00A40AC7" w:rsidP="00A40AC7">
      <w:pPr>
        <w:rPr>
          <w:rFonts w:asciiTheme="minorHAnsi" w:hAnsiTheme="minorHAnsi" w:cstheme="minorHAnsi"/>
          <w:sz w:val="22"/>
          <w:szCs w:val="22"/>
        </w:rPr>
      </w:pPr>
      <w:r w:rsidRPr="0071206E">
        <w:rPr>
          <w:rFonts w:asciiTheme="minorHAnsi" w:hAnsiTheme="minorHAnsi" w:cstheme="minorHAnsi"/>
          <w:b/>
          <w:bCs/>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A40AC7" w:rsidRPr="0071206E" w14:paraId="3BFC0E07" w14:textId="77777777" w:rsidTr="002F4EE0">
        <w:tc>
          <w:tcPr>
            <w:tcW w:w="9895" w:type="dxa"/>
            <w:gridSpan w:val="2"/>
            <w:tcMar>
              <w:top w:w="0" w:type="dxa"/>
              <w:left w:w="108" w:type="dxa"/>
              <w:bottom w:w="0" w:type="dxa"/>
              <w:right w:w="108" w:type="dxa"/>
            </w:tcMar>
            <w:hideMark/>
          </w:tcPr>
          <w:p w14:paraId="518A26B7"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sz w:val="22"/>
                <w:szCs w:val="22"/>
              </w:rPr>
              <w:t xml:space="preserve">Outcome 4 - </w:t>
            </w:r>
            <w:r w:rsidRPr="0071206E">
              <w:rPr>
                <w:rFonts w:asciiTheme="minorHAnsi" w:hAnsiTheme="minorHAnsi" w:cstheme="minorHAnsi"/>
                <w:i/>
                <w:iCs/>
                <w:sz w:val="22"/>
                <w:szCs w:val="22"/>
                <w:lang w:val="en-GB"/>
              </w:rPr>
              <w:t>National and regional stakeholders, including green economy champions, decision-makers, practitioners, and youth representatives, access and apply knowledge for advancing IGE.</w:t>
            </w:r>
          </w:p>
        </w:tc>
      </w:tr>
      <w:tr w:rsidR="00A40AC7" w:rsidRPr="0071206E" w14:paraId="3BC738A6" w14:textId="77777777" w:rsidTr="002F4EE0">
        <w:tc>
          <w:tcPr>
            <w:tcW w:w="1885" w:type="dxa"/>
            <w:tcMar>
              <w:top w:w="0" w:type="dxa"/>
              <w:left w:w="108" w:type="dxa"/>
              <w:bottom w:w="0" w:type="dxa"/>
              <w:right w:w="108" w:type="dxa"/>
            </w:tcMar>
            <w:hideMark/>
          </w:tcPr>
          <w:p w14:paraId="4FB2EA53"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b/>
                <w:bCs/>
                <w:sz w:val="22"/>
                <w:szCs w:val="22"/>
              </w:rPr>
              <w:t>Key achievements in 2024</w:t>
            </w:r>
          </w:p>
          <w:p w14:paraId="1DD44C71" w14:textId="7777777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b/>
                <w:bCs/>
                <w:sz w:val="22"/>
                <w:szCs w:val="22"/>
              </w:rPr>
              <w:t> </w:t>
            </w:r>
          </w:p>
        </w:tc>
        <w:tc>
          <w:tcPr>
            <w:tcW w:w="8010" w:type="dxa"/>
            <w:tcMar>
              <w:top w:w="0" w:type="dxa"/>
              <w:left w:w="108" w:type="dxa"/>
              <w:bottom w:w="0" w:type="dxa"/>
              <w:right w:w="108" w:type="dxa"/>
            </w:tcMar>
            <w:vAlign w:val="center"/>
            <w:hideMark/>
          </w:tcPr>
          <w:p w14:paraId="7485602B" w14:textId="458587B7" w:rsidR="00A40AC7" w:rsidRPr="0071206E" w:rsidRDefault="00A40AC7" w:rsidP="009B4DF8">
            <w:pPr>
              <w:rPr>
                <w:rFonts w:asciiTheme="minorHAnsi" w:hAnsiTheme="minorHAnsi" w:cstheme="minorHAnsi"/>
                <w:sz w:val="22"/>
                <w:szCs w:val="22"/>
              </w:rPr>
            </w:pPr>
            <w:r w:rsidRPr="0071206E">
              <w:rPr>
                <w:rFonts w:asciiTheme="minorHAnsi" w:hAnsiTheme="minorHAnsi" w:cstheme="minorHAnsi"/>
                <w:sz w:val="22"/>
                <w:szCs w:val="22"/>
              </w:rPr>
              <w:t>UNDP has supported a government official from the Department of Green Economy of the Ministry of Environment to participate in COP 29 in Baku, Azerbaijan in November 2024, and another official from the same department to participate in the ILO Just Transition Pavilion on 20-21 November 2024. The latter was also organized in Baku. Participating in the ILO-organized event, the Cambodian government official also made an intervention discussing Cambodia’s climate and carbon neutrality plans for sustainable energy transition (</w:t>
            </w:r>
            <w:hyperlink r:id="rId17" w:history="1">
              <w:r w:rsidR="00000F9B" w:rsidRPr="00F22393">
                <w:rPr>
                  <w:rStyle w:val="Hyperlink"/>
                  <w:rFonts w:asciiTheme="minorHAnsi" w:hAnsiTheme="minorHAnsi" w:cstheme="minorHAnsi"/>
                  <w:sz w:val="22"/>
                  <w:szCs w:val="22"/>
                </w:rPr>
                <w:t>https://www.un-page.org/news/page-at-cop29-a-just-transition-for-bold-climate-measures/</w:t>
              </w:r>
            </w:hyperlink>
            <w:r w:rsidRPr="0071206E">
              <w:rPr>
                <w:rFonts w:asciiTheme="minorHAnsi" w:hAnsiTheme="minorHAnsi" w:cstheme="minorHAnsi"/>
                <w:sz w:val="22"/>
                <w:szCs w:val="22"/>
              </w:rPr>
              <w:t>)</w:t>
            </w:r>
          </w:p>
        </w:tc>
      </w:tr>
    </w:tbl>
    <w:p w14:paraId="64D508DA" w14:textId="77777777" w:rsidR="00A40AC7" w:rsidRPr="0071206E" w:rsidRDefault="00A40AC7" w:rsidP="00A40AC7">
      <w:pPr>
        <w:rPr>
          <w:rFonts w:asciiTheme="minorHAnsi" w:hAnsiTheme="minorHAnsi" w:cstheme="minorHAnsi"/>
          <w:sz w:val="22"/>
          <w:szCs w:val="22"/>
        </w:rPr>
      </w:pPr>
    </w:p>
    <w:p w14:paraId="0488FBFF" w14:textId="77777777" w:rsidR="00EA6DB1" w:rsidRDefault="00EA6DB1" w:rsidP="00EA6DB1">
      <w:pPr>
        <w:rPr>
          <w:rFonts w:asciiTheme="minorHAnsi" w:hAnsiTheme="minorHAnsi" w:cstheme="minorHAnsi"/>
          <w:b/>
          <w:iCs/>
          <w:sz w:val="22"/>
          <w:szCs w:val="22"/>
        </w:rPr>
      </w:pPr>
    </w:p>
    <w:p w14:paraId="34E5DC00" w14:textId="77777777" w:rsidR="006F3040" w:rsidRDefault="006F3040" w:rsidP="00EA6DB1">
      <w:pPr>
        <w:rPr>
          <w:rFonts w:asciiTheme="minorHAnsi" w:hAnsiTheme="minorHAnsi" w:cstheme="minorHAnsi"/>
          <w:b/>
          <w:iCs/>
          <w:sz w:val="22"/>
          <w:szCs w:val="22"/>
        </w:rPr>
      </w:pPr>
    </w:p>
    <w:p w14:paraId="35D147D7" w14:textId="77777777" w:rsidR="006F3040" w:rsidRDefault="006F3040" w:rsidP="00EA6DB1">
      <w:pPr>
        <w:rPr>
          <w:rFonts w:asciiTheme="minorHAnsi" w:hAnsiTheme="minorHAnsi" w:cstheme="minorHAnsi"/>
          <w:b/>
          <w:iCs/>
          <w:sz w:val="22"/>
          <w:szCs w:val="22"/>
        </w:rPr>
      </w:pPr>
    </w:p>
    <w:p w14:paraId="0A114093" w14:textId="77777777" w:rsidR="0038727A" w:rsidRPr="0071206E" w:rsidRDefault="0038727A" w:rsidP="00EA6DB1">
      <w:pPr>
        <w:rPr>
          <w:rFonts w:asciiTheme="minorHAnsi" w:hAnsiTheme="minorHAnsi" w:cstheme="minorHAnsi"/>
          <w:b/>
          <w:iCs/>
          <w:sz w:val="22"/>
          <w:szCs w:val="22"/>
        </w:rPr>
      </w:pPr>
    </w:p>
    <w:p w14:paraId="163825A1" w14:textId="6AC5A2B7" w:rsidR="00EA6DB1" w:rsidRPr="0071206E" w:rsidRDefault="005A08AF" w:rsidP="00EA6DB1">
      <w:pPr>
        <w:jc w:val="center"/>
        <w:rPr>
          <w:rFonts w:asciiTheme="minorHAnsi" w:hAnsiTheme="minorHAnsi" w:cstheme="minorHAnsi"/>
          <w:b/>
          <w:iCs/>
          <w:sz w:val="22"/>
          <w:szCs w:val="22"/>
        </w:rPr>
      </w:pPr>
      <w:r w:rsidRPr="00D16D8A">
        <w:rPr>
          <w:rFonts w:asciiTheme="minorHAnsi" w:hAnsiTheme="minorHAnsi" w:cstheme="minorHAnsi"/>
          <w:b/>
          <w:iCs/>
          <w:sz w:val="22"/>
          <w:szCs w:val="22"/>
        </w:rPr>
        <w:lastRenderedPageBreak/>
        <w:t>UNDP</w:t>
      </w:r>
      <w:r w:rsidR="00EA6DB1" w:rsidRPr="00D16D8A">
        <w:rPr>
          <w:rFonts w:asciiTheme="minorHAnsi" w:hAnsiTheme="minorHAnsi" w:cstheme="minorHAnsi"/>
          <w:b/>
          <w:iCs/>
          <w:sz w:val="22"/>
          <w:szCs w:val="22"/>
        </w:rPr>
        <w:t xml:space="preserve"> - Rwanda</w:t>
      </w:r>
    </w:p>
    <w:p w14:paraId="0DA8868E" w14:textId="77777777" w:rsidR="00BD10B0" w:rsidRDefault="00BD10B0" w:rsidP="00BD10B0">
      <w:pPr>
        <w:rPr>
          <w:b/>
          <w:bCs/>
          <w:sz w:val="22"/>
          <w:szCs w:val="22"/>
          <w:lang w:eastAsia="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BD10B0" w:rsidRPr="00BD10B0" w14:paraId="232A36FB" w14:textId="77777777" w:rsidTr="00BD10B0">
        <w:tc>
          <w:tcPr>
            <w:tcW w:w="9895" w:type="dxa"/>
            <w:gridSpan w:val="2"/>
            <w:tcMar>
              <w:top w:w="0" w:type="dxa"/>
              <w:left w:w="108" w:type="dxa"/>
              <w:bottom w:w="0" w:type="dxa"/>
              <w:right w:w="108" w:type="dxa"/>
            </w:tcMar>
            <w:hideMark/>
          </w:tcPr>
          <w:p w14:paraId="153EBECB" w14:textId="77777777" w:rsidR="00BD10B0" w:rsidRPr="00BD10B0" w:rsidRDefault="00BD10B0">
            <w:pPr>
              <w:rPr>
                <w:rFonts w:asciiTheme="minorHAnsi" w:hAnsiTheme="minorHAnsi" w:cstheme="minorHAnsi"/>
                <w:i/>
                <w:iCs/>
                <w:sz w:val="22"/>
                <w:szCs w:val="22"/>
              </w:rPr>
            </w:pPr>
            <w:r w:rsidRPr="00BD10B0">
              <w:rPr>
                <w:rFonts w:asciiTheme="minorHAnsi" w:hAnsiTheme="minorHAnsi" w:cstheme="minorHAnsi"/>
                <w:i/>
                <w:iCs/>
                <w:sz w:val="22"/>
                <w:szCs w:val="22"/>
              </w:rPr>
              <w:t>Outcome 1 - Countries have reinforced and integrated inclusive green economy (IGE) goals targets into SDG aligned national economic and development planning through multi-stakeholder collaboration.</w:t>
            </w:r>
          </w:p>
        </w:tc>
      </w:tr>
      <w:tr w:rsidR="00BD10B0" w:rsidRPr="00BD10B0" w14:paraId="6DA310AB" w14:textId="77777777" w:rsidTr="00BD10B0">
        <w:tc>
          <w:tcPr>
            <w:tcW w:w="1885" w:type="dxa"/>
            <w:tcMar>
              <w:top w:w="0" w:type="dxa"/>
              <w:left w:w="108" w:type="dxa"/>
              <w:bottom w:w="0" w:type="dxa"/>
              <w:right w:w="108" w:type="dxa"/>
            </w:tcMar>
          </w:tcPr>
          <w:p w14:paraId="258C0EBB" w14:textId="77777777" w:rsidR="00BD10B0" w:rsidRPr="00BD10B0" w:rsidRDefault="00BD10B0">
            <w:pPr>
              <w:rPr>
                <w:rFonts w:asciiTheme="minorHAnsi" w:hAnsiTheme="minorHAnsi" w:cstheme="minorHAnsi"/>
                <w:b/>
                <w:bCs/>
                <w:sz w:val="22"/>
                <w:szCs w:val="22"/>
              </w:rPr>
            </w:pPr>
            <w:r w:rsidRPr="00BD10B0">
              <w:rPr>
                <w:rFonts w:asciiTheme="minorHAnsi" w:hAnsiTheme="minorHAnsi" w:cstheme="minorHAnsi"/>
                <w:b/>
                <w:bCs/>
                <w:sz w:val="22"/>
                <w:szCs w:val="22"/>
              </w:rPr>
              <w:t>Key achievements in 2024</w:t>
            </w:r>
          </w:p>
          <w:p w14:paraId="091DE3B8" w14:textId="77777777" w:rsidR="00BD10B0" w:rsidRPr="00BD10B0" w:rsidRDefault="00BD10B0">
            <w:pPr>
              <w:rPr>
                <w:rFonts w:asciiTheme="minorHAnsi" w:hAnsiTheme="minorHAnsi" w:cstheme="minorHAnsi"/>
                <w:b/>
                <w:bCs/>
                <w:sz w:val="22"/>
                <w:szCs w:val="22"/>
              </w:rPr>
            </w:pPr>
          </w:p>
        </w:tc>
        <w:tc>
          <w:tcPr>
            <w:tcW w:w="8010" w:type="dxa"/>
            <w:tcMar>
              <w:top w:w="0" w:type="dxa"/>
              <w:left w:w="108" w:type="dxa"/>
              <w:bottom w:w="0" w:type="dxa"/>
              <w:right w:w="108" w:type="dxa"/>
            </w:tcMar>
          </w:tcPr>
          <w:p w14:paraId="08BCF366" w14:textId="44084926" w:rsidR="00761A18" w:rsidRPr="00923AB4" w:rsidRDefault="0038727A" w:rsidP="00106C47">
            <w:pPr>
              <w:jc w:val="left"/>
              <w:rPr>
                <w:rFonts w:asciiTheme="minorHAnsi" w:eastAsia="Times New Roman" w:hAnsiTheme="minorHAnsi" w:cstheme="minorHAnsi"/>
                <w:sz w:val="22"/>
                <w:szCs w:val="22"/>
              </w:rPr>
            </w:pPr>
            <w:r w:rsidRPr="00923AB4">
              <w:rPr>
                <w:rFonts w:asciiTheme="minorHAnsi" w:eastAsia="Times New Roman" w:hAnsiTheme="minorHAnsi" w:cstheme="minorHAnsi"/>
                <w:sz w:val="22"/>
                <w:szCs w:val="22"/>
              </w:rPr>
              <w:t xml:space="preserve">UNDP is the lead agency for PAGE work in Rwanda and has been supporting the overall coordination and planning of the PAGE support. </w:t>
            </w:r>
            <w:r w:rsidR="00E66F60" w:rsidRPr="00923AB4">
              <w:rPr>
                <w:rFonts w:asciiTheme="minorHAnsi" w:eastAsia="Times New Roman" w:hAnsiTheme="minorHAnsi" w:cstheme="minorHAnsi"/>
                <w:sz w:val="22"/>
                <w:szCs w:val="22"/>
              </w:rPr>
              <w:t>The reporting period constitute</w:t>
            </w:r>
            <w:r w:rsidR="00761A18" w:rsidRPr="00923AB4">
              <w:rPr>
                <w:rFonts w:asciiTheme="minorHAnsi" w:eastAsia="Times New Roman" w:hAnsiTheme="minorHAnsi" w:cstheme="minorHAnsi"/>
                <w:sz w:val="22"/>
                <w:szCs w:val="22"/>
              </w:rPr>
              <w:t>s</w:t>
            </w:r>
            <w:r w:rsidR="00E66F60" w:rsidRPr="00923AB4">
              <w:rPr>
                <w:rFonts w:asciiTheme="minorHAnsi" w:eastAsia="Times New Roman" w:hAnsiTheme="minorHAnsi" w:cstheme="minorHAnsi"/>
                <w:sz w:val="22"/>
                <w:szCs w:val="22"/>
              </w:rPr>
              <w:t xml:space="preserve"> the first full year of PAGE implementation</w:t>
            </w:r>
            <w:r w:rsidR="00761A18" w:rsidRPr="00923AB4">
              <w:rPr>
                <w:rFonts w:asciiTheme="minorHAnsi" w:eastAsia="Times New Roman" w:hAnsiTheme="minorHAnsi" w:cstheme="minorHAnsi"/>
                <w:sz w:val="22"/>
                <w:szCs w:val="22"/>
              </w:rPr>
              <w:t xml:space="preserve"> in Rwanda. </w:t>
            </w:r>
            <w:r w:rsidR="00EF7EC6" w:rsidRPr="00923AB4">
              <w:rPr>
                <w:rFonts w:asciiTheme="minorHAnsi" w:eastAsia="Times New Roman" w:hAnsiTheme="minorHAnsi" w:cstheme="minorHAnsi"/>
                <w:sz w:val="22"/>
                <w:szCs w:val="22"/>
              </w:rPr>
              <w:t>The PAGE inception period, work planning and budgeting took longer tha</w:t>
            </w:r>
            <w:r w:rsidR="007A627F">
              <w:rPr>
                <w:rFonts w:asciiTheme="minorHAnsi" w:eastAsia="Times New Roman" w:hAnsiTheme="minorHAnsi" w:cstheme="minorHAnsi"/>
                <w:sz w:val="22"/>
                <w:szCs w:val="22"/>
              </w:rPr>
              <w:t>n</w:t>
            </w:r>
            <w:r w:rsidR="00EF7EC6" w:rsidRPr="00923AB4">
              <w:rPr>
                <w:rFonts w:asciiTheme="minorHAnsi" w:eastAsia="Times New Roman" w:hAnsiTheme="minorHAnsi" w:cstheme="minorHAnsi"/>
                <w:sz w:val="22"/>
                <w:szCs w:val="22"/>
              </w:rPr>
              <w:t xml:space="preserve"> anticipated</w:t>
            </w:r>
            <w:r w:rsidR="007A627F">
              <w:rPr>
                <w:rFonts w:asciiTheme="minorHAnsi" w:eastAsia="Times New Roman" w:hAnsiTheme="minorHAnsi" w:cstheme="minorHAnsi"/>
                <w:sz w:val="22"/>
                <w:szCs w:val="22"/>
              </w:rPr>
              <w:t>,</w:t>
            </w:r>
            <w:r w:rsidR="00EF7EC6" w:rsidRPr="00923AB4">
              <w:rPr>
                <w:rFonts w:asciiTheme="minorHAnsi" w:eastAsia="Times New Roman" w:hAnsiTheme="minorHAnsi" w:cstheme="minorHAnsi"/>
                <w:sz w:val="22"/>
                <w:szCs w:val="22"/>
              </w:rPr>
              <w:t xml:space="preserve"> as a result the work plan implementation has been delayed. The </w:t>
            </w:r>
            <w:r w:rsidR="00923AB4" w:rsidRPr="00923AB4">
              <w:rPr>
                <w:rFonts w:asciiTheme="minorHAnsi" w:eastAsia="Times New Roman" w:hAnsiTheme="minorHAnsi" w:cstheme="minorHAnsi"/>
                <w:sz w:val="22"/>
                <w:szCs w:val="22"/>
              </w:rPr>
              <w:t xml:space="preserve">following results </w:t>
            </w:r>
            <w:r w:rsidR="00EF7EC6" w:rsidRPr="00923AB4">
              <w:rPr>
                <w:rFonts w:asciiTheme="minorHAnsi" w:eastAsia="Times New Roman" w:hAnsiTheme="minorHAnsi" w:cstheme="minorHAnsi"/>
                <w:sz w:val="22"/>
                <w:szCs w:val="22"/>
              </w:rPr>
              <w:t>ha</w:t>
            </w:r>
            <w:r w:rsidR="00923AB4" w:rsidRPr="00923AB4">
              <w:rPr>
                <w:rFonts w:asciiTheme="minorHAnsi" w:eastAsia="Times New Roman" w:hAnsiTheme="minorHAnsi" w:cstheme="minorHAnsi"/>
                <w:sz w:val="22"/>
                <w:szCs w:val="22"/>
              </w:rPr>
              <w:t>ve</w:t>
            </w:r>
            <w:r w:rsidR="00EF7EC6" w:rsidRPr="00923AB4">
              <w:rPr>
                <w:rFonts w:asciiTheme="minorHAnsi" w:eastAsia="Times New Roman" w:hAnsiTheme="minorHAnsi" w:cstheme="minorHAnsi"/>
                <w:sz w:val="22"/>
                <w:szCs w:val="22"/>
              </w:rPr>
              <w:t xml:space="preserve"> been </w:t>
            </w:r>
            <w:r w:rsidR="00923AB4" w:rsidRPr="00923AB4">
              <w:rPr>
                <w:rFonts w:asciiTheme="minorHAnsi" w:eastAsia="Times New Roman" w:hAnsiTheme="minorHAnsi" w:cstheme="minorHAnsi"/>
                <w:sz w:val="22"/>
                <w:szCs w:val="22"/>
              </w:rPr>
              <w:t>achieved so far.</w:t>
            </w:r>
          </w:p>
          <w:p w14:paraId="4691F1C4" w14:textId="77777777" w:rsidR="00761A18" w:rsidRDefault="00761A18" w:rsidP="00106C47">
            <w:pPr>
              <w:jc w:val="left"/>
              <w:rPr>
                <w:rFonts w:asciiTheme="minorHAnsi" w:eastAsia="Times New Roman" w:hAnsiTheme="minorHAnsi" w:cstheme="minorHAnsi"/>
                <w:b/>
                <w:bCs/>
                <w:sz w:val="22"/>
                <w:szCs w:val="22"/>
              </w:rPr>
            </w:pPr>
          </w:p>
          <w:p w14:paraId="2B20379A" w14:textId="7115BB27" w:rsidR="00BD10B0" w:rsidRPr="00106C47" w:rsidRDefault="00BD10B0" w:rsidP="00106C47">
            <w:pPr>
              <w:jc w:val="left"/>
              <w:rPr>
                <w:rFonts w:asciiTheme="minorHAnsi" w:eastAsia="Times New Roman" w:hAnsiTheme="minorHAnsi" w:cstheme="minorHAnsi"/>
                <w:sz w:val="22"/>
                <w:szCs w:val="22"/>
              </w:rPr>
            </w:pPr>
            <w:r w:rsidRPr="00106C47">
              <w:rPr>
                <w:rFonts w:asciiTheme="minorHAnsi" w:eastAsia="Times New Roman" w:hAnsiTheme="minorHAnsi" w:cstheme="minorHAnsi"/>
                <w:b/>
                <w:bCs/>
                <w:sz w:val="22"/>
                <w:szCs w:val="22"/>
              </w:rPr>
              <w:t>Technical Support to the revision of the National Strategy for Transformation (NST-2), Sector Strategic Plans (SSPs) and District Development Plans (DDS</w:t>
            </w:r>
            <w:r w:rsidRPr="00106C47">
              <w:rPr>
                <w:rFonts w:asciiTheme="minorHAnsi" w:eastAsia="Times New Roman" w:hAnsiTheme="minorHAnsi" w:cstheme="minorHAnsi"/>
                <w:sz w:val="22"/>
                <w:szCs w:val="22"/>
              </w:rPr>
              <w:t xml:space="preserve">). These are government medium term strategies for the next five years until 2029. </w:t>
            </w:r>
            <w:r w:rsidR="00D8391B">
              <w:rPr>
                <w:rFonts w:asciiTheme="minorHAnsi" w:eastAsia="Times New Roman" w:hAnsiTheme="minorHAnsi" w:cstheme="minorHAnsi"/>
                <w:sz w:val="22"/>
                <w:szCs w:val="22"/>
              </w:rPr>
              <w:t>T</w:t>
            </w:r>
            <w:r w:rsidR="001E3659">
              <w:rPr>
                <w:rFonts w:asciiTheme="minorHAnsi" w:eastAsia="Times New Roman" w:hAnsiTheme="minorHAnsi" w:cstheme="minorHAnsi"/>
                <w:sz w:val="22"/>
                <w:szCs w:val="22"/>
              </w:rPr>
              <w:t xml:space="preserve">he </w:t>
            </w:r>
            <w:r w:rsidRPr="00106C47">
              <w:rPr>
                <w:rFonts w:asciiTheme="minorHAnsi" w:eastAsia="Times New Roman" w:hAnsiTheme="minorHAnsi" w:cstheme="minorHAnsi"/>
                <w:sz w:val="22"/>
                <w:szCs w:val="22"/>
              </w:rPr>
              <w:t xml:space="preserve">PAGE </w:t>
            </w:r>
            <w:r w:rsidR="001D345C">
              <w:rPr>
                <w:rFonts w:asciiTheme="minorHAnsi" w:eastAsia="Times New Roman" w:hAnsiTheme="minorHAnsi" w:cstheme="minorHAnsi"/>
                <w:sz w:val="22"/>
                <w:szCs w:val="22"/>
              </w:rPr>
              <w:t>C</w:t>
            </w:r>
            <w:r w:rsidR="001D345C" w:rsidRPr="00106C47">
              <w:rPr>
                <w:rFonts w:asciiTheme="minorHAnsi" w:eastAsia="Times New Roman" w:hAnsiTheme="minorHAnsi" w:cstheme="minorHAnsi"/>
                <w:sz w:val="22"/>
                <w:szCs w:val="22"/>
              </w:rPr>
              <w:t xml:space="preserve">oordinator </w:t>
            </w:r>
            <w:r w:rsidR="00D8391B">
              <w:rPr>
                <w:rFonts w:asciiTheme="minorHAnsi" w:eastAsia="Times New Roman" w:hAnsiTheme="minorHAnsi" w:cstheme="minorHAnsi"/>
                <w:sz w:val="22"/>
                <w:szCs w:val="22"/>
              </w:rPr>
              <w:t xml:space="preserve">supported the </w:t>
            </w:r>
            <w:r w:rsidRPr="00106C47">
              <w:rPr>
                <w:rFonts w:asciiTheme="minorHAnsi" w:eastAsia="Times New Roman" w:hAnsiTheme="minorHAnsi" w:cstheme="minorHAnsi"/>
                <w:sz w:val="22"/>
                <w:szCs w:val="22"/>
              </w:rPr>
              <w:t xml:space="preserve">Ministry of Finance and Economic Planning (MINECOFIN) </w:t>
            </w:r>
            <w:r w:rsidR="00D8391B">
              <w:rPr>
                <w:rFonts w:asciiTheme="minorHAnsi" w:eastAsia="Times New Roman" w:hAnsiTheme="minorHAnsi" w:cstheme="minorHAnsi"/>
                <w:sz w:val="22"/>
                <w:szCs w:val="22"/>
              </w:rPr>
              <w:t>in</w:t>
            </w:r>
            <w:r w:rsidRPr="00106C47">
              <w:rPr>
                <w:rFonts w:asciiTheme="minorHAnsi" w:eastAsia="Times New Roman" w:hAnsiTheme="minorHAnsi" w:cstheme="minorHAnsi"/>
                <w:sz w:val="22"/>
                <w:szCs w:val="22"/>
              </w:rPr>
              <w:t xml:space="preserve"> designing a concept note that included the process that will be undertaken to develop these medium-term strategies. </w:t>
            </w:r>
            <w:r w:rsidR="00E16DAE">
              <w:rPr>
                <w:rFonts w:asciiTheme="minorHAnsi" w:eastAsia="Times New Roman" w:hAnsiTheme="minorHAnsi" w:cstheme="minorHAnsi"/>
                <w:sz w:val="22"/>
                <w:szCs w:val="22"/>
              </w:rPr>
              <w:t>Importantly, t</w:t>
            </w:r>
            <w:r w:rsidRPr="00106C47">
              <w:rPr>
                <w:rFonts w:asciiTheme="minorHAnsi" w:eastAsia="Times New Roman" w:hAnsiTheme="minorHAnsi" w:cstheme="minorHAnsi"/>
                <w:sz w:val="22"/>
                <w:szCs w:val="22"/>
              </w:rPr>
              <w:t xml:space="preserve">he Ministry </w:t>
            </w:r>
            <w:r w:rsidR="00E16DAE">
              <w:rPr>
                <w:rFonts w:asciiTheme="minorHAnsi" w:eastAsia="Times New Roman" w:hAnsiTheme="minorHAnsi" w:cstheme="minorHAnsi"/>
                <w:sz w:val="22"/>
                <w:szCs w:val="22"/>
              </w:rPr>
              <w:t xml:space="preserve">was supported </w:t>
            </w:r>
            <w:r w:rsidR="0001674C">
              <w:rPr>
                <w:rFonts w:asciiTheme="minorHAnsi" w:eastAsia="Times New Roman" w:hAnsiTheme="minorHAnsi" w:cstheme="minorHAnsi"/>
                <w:sz w:val="22"/>
                <w:szCs w:val="22"/>
              </w:rPr>
              <w:t>with the documents review and recommendations for</w:t>
            </w:r>
            <w:r w:rsidR="0001674C" w:rsidRPr="00106C47">
              <w:rPr>
                <w:rFonts w:asciiTheme="minorHAnsi" w:eastAsia="Times New Roman" w:hAnsiTheme="minorHAnsi" w:cstheme="minorHAnsi"/>
                <w:sz w:val="22"/>
                <w:szCs w:val="22"/>
              </w:rPr>
              <w:t xml:space="preserve"> </w:t>
            </w:r>
            <w:r w:rsidRPr="00106C47">
              <w:rPr>
                <w:rFonts w:asciiTheme="minorHAnsi" w:eastAsia="Times New Roman" w:hAnsiTheme="minorHAnsi" w:cstheme="minorHAnsi"/>
                <w:sz w:val="22"/>
                <w:szCs w:val="22"/>
              </w:rPr>
              <w:t xml:space="preserve">the greening of the NST-2, SSPs and DDSs. </w:t>
            </w:r>
          </w:p>
          <w:p w14:paraId="4BF998E3" w14:textId="77777777" w:rsidR="00AC721C" w:rsidRPr="00BD10B0" w:rsidRDefault="00AC721C" w:rsidP="00AC721C">
            <w:pPr>
              <w:pStyle w:val="ListParagraph"/>
              <w:contextualSpacing w:val="0"/>
              <w:jc w:val="left"/>
              <w:rPr>
                <w:rFonts w:asciiTheme="minorHAnsi" w:eastAsia="Times New Roman" w:hAnsiTheme="minorHAnsi" w:cstheme="minorHAnsi"/>
                <w:sz w:val="22"/>
                <w:szCs w:val="22"/>
              </w:rPr>
            </w:pPr>
          </w:p>
          <w:p w14:paraId="0E01DF6C" w14:textId="4C83846B" w:rsidR="00BD10B0" w:rsidRPr="00106C47" w:rsidRDefault="00DF5BBC" w:rsidP="00106C47">
            <w:pPr>
              <w:jc w:val="left"/>
              <w:rPr>
                <w:rFonts w:asciiTheme="minorHAnsi" w:eastAsia="Times New Roman" w:hAnsiTheme="minorHAnsi" w:cstheme="minorHAnsi"/>
                <w:sz w:val="22"/>
                <w:szCs w:val="22"/>
              </w:rPr>
            </w:pPr>
            <w:r w:rsidRPr="00106C47">
              <w:rPr>
                <w:rFonts w:asciiTheme="minorHAnsi" w:eastAsia="Times New Roman" w:hAnsiTheme="minorHAnsi" w:cstheme="minorHAnsi"/>
                <w:b/>
                <w:bCs/>
                <w:sz w:val="22"/>
                <w:szCs w:val="22"/>
              </w:rPr>
              <w:t>C</w:t>
            </w:r>
            <w:r w:rsidR="00BD10B0" w:rsidRPr="00106C47">
              <w:rPr>
                <w:rFonts w:asciiTheme="minorHAnsi" w:eastAsia="Times New Roman" w:hAnsiTheme="minorHAnsi" w:cstheme="minorHAnsi"/>
                <w:b/>
                <w:bCs/>
                <w:sz w:val="22"/>
                <w:szCs w:val="22"/>
              </w:rPr>
              <w:t>apacity building on the climate budget tagging (CBT).</w:t>
            </w:r>
            <w:r w:rsidR="00BD10B0" w:rsidRPr="00106C47">
              <w:rPr>
                <w:rFonts w:asciiTheme="minorHAnsi" w:eastAsia="Times New Roman" w:hAnsiTheme="minorHAnsi" w:cstheme="minorHAnsi"/>
                <w:sz w:val="22"/>
                <w:szCs w:val="22"/>
              </w:rPr>
              <w:t xml:space="preserve"> Rwanda has adopted the system of tracking climate finance. PAGE supported in the design of the CBT guidelines and subsequently supported the training of staff of the Ministry of Finance and </w:t>
            </w:r>
            <w:r w:rsidR="004B2544">
              <w:rPr>
                <w:rFonts w:asciiTheme="minorHAnsi" w:eastAsia="Times New Roman" w:hAnsiTheme="minorHAnsi" w:cstheme="minorHAnsi"/>
                <w:sz w:val="22"/>
                <w:szCs w:val="22"/>
              </w:rPr>
              <w:t>E</w:t>
            </w:r>
            <w:r w:rsidR="00BD10B0" w:rsidRPr="00106C47">
              <w:rPr>
                <w:rFonts w:asciiTheme="minorHAnsi" w:eastAsia="Times New Roman" w:hAnsiTheme="minorHAnsi" w:cstheme="minorHAnsi"/>
                <w:sz w:val="22"/>
                <w:szCs w:val="22"/>
              </w:rPr>
              <w:t>conomic Planning</w:t>
            </w:r>
            <w:r w:rsidR="004B2544">
              <w:rPr>
                <w:rFonts w:asciiTheme="minorHAnsi" w:eastAsia="Times New Roman" w:hAnsiTheme="minorHAnsi" w:cstheme="minorHAnsi"/>
                <w:sz w:val="22"/>
                <w:szCs w:val="22"/>
              </w:rPr>
              <w:t>,</w:t>
            </w:r>
            <w:r w:rsidR="00BD10B0" w:rsidRPr="00106C47">
              <w:rPr>
                <w:rFonts w:asciiTheme="minorHAnsi" w:eastAsia="Times New Roman" w:hAnsiTheme="minorHAnsi" w:cstheme="minorHAnsi"/>
                <w:sz w:val="22"/>
                <w:szCs w:val="22"/>
              </w:rPr>
              <w:t xml:space="preserve"> especially </w:t>
            </w:r>
            <w:r w:rsidR="004B2544">
              <w:rPr>
                <w:rFonts w:asciiTheme="minorHAnsi" w:eastAsia="Times New Roman" w:hAnsiTheme="minorHAnsi" w:cstheme="minorHAnsi"/>
                <w:sz w:val="22"/>
                <w:szCs w:val="22"/>
              </w:rPr>
              <w:t xml:space="preserve">from the </w:t>
            </w:r>
            <w:r w:rsidR="00BD10B0" w:rsidRPr="00106C47">
              <w:rPr>
                <w:rFonts w:asciiTheme="minorHAnsi" w:eastAsia="Times New Roman" w:hAnsiTheme="minorHAnsi" w:cstheme="minorHAnsi"/>
                <w:sz w:val="22"/>
                <w:szCs w:val="22"/>
              </w:rPr>
              <w:t xml:space="preserve">Budget </w:t>
            </w:r>
            <w:r w:rsidR="004B2544">
              <w:rPr>
                <w:rFonts w:asciiTheme="minorHAnsi" w:eastAsia="Times New Roman" w:hAnsiTheme="minorHAnsi" w:cstheme="minorHAnsi"/>
                <w:sz w:val="22"/>
                <w:szCs w:val="22"/>
              </w:rPr>
              <w:t>D</w:t>
            </w:r>
            <w:r w:rsidR="00BD10B0" w:rsidRPr="00106C47">
              <w:rPr>
                <w:rFonts w:asciiTheme="minorHAnsi" w:eastAsia="Times New Roman" w:hAnsiTheme="minorHAnsi" w:cstheme="minorHAnsi"/>
                <w:sz w:val="22"/>
                <w:szCs w:val="22"/>
              </w:rPr>
              <w:t xml:space="preserve">epartment as well as other planning staff in the Ministry of </w:t>
            </w:r>
            <w:r w:rsidR="004B2544">
              <w:rPr>
                <w:rFonts w:asciiTheme="minorHAnsi" w:eastAsia="Times New Roman" w:hAnsiTheme="minorHAnsi" w:cstheme="minorHAnsi"/>
                <w:sz w:val="22"/>
                <w:szCs w:val="22"/>
              </w:rPr>
              <w:t>E</w:t>
            </w:r>
            <w:r w:rsidR="00BD10B0" w:rsidRPr="00106C47">
              <w:rPr>
                <w:rFonts w:asciiTheme="minorHAnsi" w:eastAsia="Times New Roman" w:hAnsiTheme="minorHAnsi" w:cstheme="minorHAnsi"/>
                <w:sz w:val="22"/>
                <w:szCs w:val="22"/>
              </w:rPr>
              <w:t xml:space="preserve">nvironment. In total 40 staff </w:t>
            </w:r>
            <w:r w:rsidR="004B2544">
              <w:rPr>
                <w:rFonts w:asciiTheme="minorHAnsi" w:eastAsia="Times New Roman" w:hAnsiTheme="minorHAnsi" w:cstheme="minorHAnsi"/>
                <w:sz w:val="22"/>
                <w:szCs w:val="22"/>
              </w:rPr>
              <w:t xml:space="preserve">were </w:t>
            </w:r>
            <w:r w:rsidR="00BD10B0" w:rsidRPr="00106C47">
              <w:rPr>
                <w:rFonts w:asciiTheme="minorHAnsi" w:eastAsia="Times New Roman" w:hAnsiTheme="minorHAnsi" w:cstheme="minorHAnsi"/>
                <w:sz w:val="22"/>
                <w:szCs w:val="22"/>
              </w:rPr>
              <w:t xml:space="preserve">trained. </w:t>
            </w:r>
          </w:p>
          <w:p w14:paraId="0E9D131F" w14:textId="77777777" w:rsidR="00106C47" w:rsidRDefault="00106C47" w:rsidP="00106C47">
            <w:pPr>
              <w:jc w:val="left"/>
              <w:rPr>
                <w:rFonts w:asciiTheme="minorHAnsi" w:eastAsia="Times New Roman" w:hAnsiTheme="minorHAnsi" w:cstheme="minorHAnsi"/>
                <w:sz w:val="22"/>
                <w:szCs w:val="22"/>
              </w:rPr>
            </w:pPr>
          </w:p>
          <w:p w14:paraId="78E4E8DB" w14:textId="361A86FE" w:rsidR="00BD10B0" w:rsidRPr="00106C47" w:rsidRDefault="004B2544" w:rsidP="00106C47">
            <w:pPr>
              <w:jc w:val="left"/>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w:t>
            </w:r>
            <w:r w:rsidR="00BD10B0" w:rsidRPr="00106C47">
              <w:rPr>
                <w:rFonts w:asciiTheme="minorHAnsi" w:eastAsia="Times New Roman" w:hAnsiTheme="minorHAnsi" w:cstheme="minorHAnsi"/>
                <w:sz w:val="22"/>
                <w:szCs w:val="22"/>
              </w:rPr>
              <w:t>PAGE project coordinator also supported MINECOFIN to develop E</w:t>
            </w:r>
            <w:r w:rsidR="00D21333">
              <w:rPr>
                <w:rFonts w:asciiTheme="minorHAnsi" w:eastAsia="Times New Roman" w:hAnsiTheme="minorHAnsi" w:cstheme="minorHAnsi"/>
                <w:sz w:val="22"/>
                <w:szCs w:val="22"/>
              </w:rPr>
              <w:t>nvironmental</w:t>
            </w:r>
            <w:r w:rsidR="00E51CFC">
              <w:rPr>
                <w:rFonts w:asciiTheme="minorHAnsi" w:eastAsia="Times New Roman" w:hAnsiTheme="minorHAnsi" w:cstheme="minorHAnsi"/>
                <w:sz w:val="22"/>
                <w:szCs w:val="22"/>
              </w:rPr>
              <w:t>,</w:t>
            </w:r>
            <w:r w:rsidR="00D21333">
              <w:rPr>
                <w:rFonts w:asciiTheme="minorHAnsi" w:eastAsia="Times New Roman" w:hAnsiTheme="minorHAnsi" w:cstheme="minorHAnsi"/>
                <w:sz w:val="22"/>
                <w:szCs w:val="22"/>
              </w:rPr>
              <w:t xml:space="preserve"> Social </w:t>
            </w:r>
            <w:r w:rsidR="00E51CFC">
              <w:rPr>
                <w:rFonts w:asciiTheme="minorHAnsi" w:eastAsia="Times New Roman" w:hAnsiTheme="minorHAnsi" w:cstheme="minorHAnsi"/>
                <w:sz w:val="22"/>
                <w:szCs w:val="22"/>
              </w:rPr>
              <w:t xml:space="preserve">and </w:t>
            </w:r>
            <w:r w:rsidR="00D21333">
              <w:rPr>
                <w:rFonts w:asciiTheme="minorHAnsi" w:eastAsia="Times New Roman" w:hAnsiTheme="minorHAnsi" w:cstheme="minorHAnsi"/>
                <w:sz w:val="22"/>
                <w:szCs w:val="22"/>
              </w:rPr>
              <w:t>Governance (E</w:t>
            </w:r>
            <w:r w:rsidR="00BD10B0" w:rsidRPr="00106C47">
              <w:rPr>
                <w:rFonts w:asciiTheme="minorHAnsi" w:eastAsia="Times New Roman" w:hAnsiTheme="minorHAnsi" w:cstheme="minorHAnsi"/>
                <w:sz w:val="22"/>
                <w:szCs w:val="22"/>
              </w:rPr>
              <w:t>SG</w:t>
            </w:r>
            <w:r w:rsidR="00D21333">
              <w:rPr>
                <w:rFonts w:asciiTheme="minorHAnsi" w:eastAsia="Times New Roman" w:hAnsiTheme="minorHAnsi" w:cstheme="minorHAnsi"/>
                <w:sz w:val="22"/>
                <w:szCs w:val="22"/>
              </w:rPr>
              <w:t>)</w:t>
            </w:r>
            <w:r w:rsidR="00BD10B0" w:rsidRPr="00106C47">
              <w:rPr>
                <w:rFonts w:asciiTheme="minorHAnsi" w:eastAsia="Times New Roman" w:hAnsiTheme="minorHAnsi" w:cstheme="minorHAnsi"/>
                <w:sz w:val="22"/>
                <w:szCs w:val="22"/>
              </w:rPr>
              <w:t xml:space="preserve"> Framework for resource mobilization. This supported the Ministry to mobilize and subsequently received 200m Euros from the African Development Bank (AfDB</w:t>
            </w:r>
            <w:r w:rsidR="00106C47" w:rsidRPr="00106C47">
              <w:rPr>
                <w:rFonts w:asciiTheme="minorHAnsi" w:eastAsia="Times New Roman" w:hAnsiTheme="minorHAnsi" w:cstheme="minorHAnsi"/>
                <w:sz w:val="22"/>
                <w:szCs w:val="22"/>
              </w:rPr>
              <w:t>).</w:t>
            </w:r>
          </w:p>
          <w:p w14:paraId="23AD73A5" w14:textId="77777777" w:rsidR="00106C47" w:rsidRDefault="00106C47" w:rsidP="00106C47">
            <w:pPr>
              <w:jc w:val="left"/>
              <w:rPr>
                <w:rFonts w:asciiTheme="minorHAnsi" w:eastAsia="Times New Roman" w:hAnsiTheme="minorHAnsi" w:cstheme="minorHAnsi"/>
                <w:sz w:val="22"/>
                <w:szCs w:val="22"/>
              </w:rPr>
            </w:pPr>
          </w:p>
          <w:p w14:paraId="477BA62E" w14:textId="6561BBDE" w:rsidR="00BD10B0" w:rsidRPr="00106C47" w:rsidRDefault="00BD10B0" w:rsidP="00106C47">
            <w:pPr>
              <w:jc w:val="left"/>
              <w:rPr>
                <w:rFonts w:asciiTheme="minorHAnsi" w:eastAsia="Times New Roman" w:hAnsiTheme="minorHAnsi" w:cstheme="minorHAnsi"/>
                <w:sz w:val="22"/>
                <w:szCs w:val="22"/>
              </w:rPr>
            </w:pPr>
          </w:p>
        </w:tc>
      </w:tr>
      <w:tr w:rsidR="00BD10B0" w:rsidRPr="00BD10B0" w14:paraId="6DE1E684" w14:textId="77777777" w:rsidTr="00BD10B0">
        <w:tc>
          <w:tcPr>
            <w:tcW w:w="1885" w:type="dxa"/>
            <w:tcMar>
              <w:top w:w="0" w:type="dxa"/>
              <w:left w:w="108" w:type="dxa"/>
              <w:bottom w:w="0" w:type="dxa"/>
              <w:right w:w="108" w:type="dxa"/>
            </w:tcMar>
            <w:hideMark/>
          </w:tcPr>
          <w:p w14:paraId="23C3733F" w14:textId="77777777" w:rsidR="00BD10B0" w:rsidRPr="00BD10B0" w:rsidRDefault="00BD10B0">
            <w:pPr>
              <w:rPr>
                <w:rFonts w:asciiTheme="minorHAnsi" w:hAnsiTheme="minorHAnsi" w:cstheme="minorHAnsi"/>
                <w:sz w:val="22"/>
                <w:szCs w:val="22"/>
              </w:rPr>
            </w:pPr>
            <w:r w:rsidRPr="00BD10B0">
              <w:rPr>
                <w:rFonts w:asciiTheme="minorHAnsi" w:hAnsiTheme="minorHAnsi" w:cstheme="minorHAnsi"/>
                <w:b/>
                <w:bCs/>
                <w:sz w:val="22"/>
                <w:szCs w:val="22"/>
              </w:rPr>
              <w:t>Key Achievements 2024</w:t>
            </w:r>
            <w:r w:rsidRPr="00BD10B0">
              <w:rPr>
                <w:rFonts w:asciiTheme="minorHAnsi" w:hAnsiTheme="minorHAnsi" w:cstheme="minorHAnsi"/>
                <w:sz w:val="22"/>
                <w:szCs w:val="22"/>
              </w:rPr>
              <w:t xml:space="preserve"> (Add. Support for Green Recovery)</w:t>
            </w:r>
          </w:p>
        </w:tc>
        <w:tc>
          <w:tcPr>
            <w:tcW w:w="8010" w:type="dxa"/>
            <w:tcMar>
              <w:top w:w="0" w:type="dxa"/>
              <w:left w:w="108" w:type="dxa"/>
              <w:bottom w:w="0" w:type="dxa"/>
              <w:right w:w="108" w:type="dxa"/>
            </w:tcMar>
            <w:hideMark/>
          </w:tcPr>
          <w:p w14:paraId="1C290CEF" w14:textId="77777777" w:rsidR="00BD10B0" w:rsidRPr="00D16D8A" w:rsidRDefault="00BD10B0" w:rsidP="00D16D8A">
            <w:pPr>
              <w:spacing w:after="200"/>
              <w:rPr>
                <w:rFonts w:asciiTheme="minorHAnsi" w:hAnsiTheme="minorHAnsi" w:cstheme="minorHAnsi"/>
                <w:sz w:val="22"/>
                <w:szCs w:val="22"/>
              </w:rPr>
            </w:pPr>
            <w:r w:rsidRPr="00D16D8A">
              <w:rPr>
                <w:rFonts w:asciiTheme="minorHAnsi" w:hAnsiTheme="minorHAnsi" w:cstheme="minorHAnsi"/>
                <w:sz w:val="22"/>
                <w:szCs w:val="22"/>
              </w:rPr>
              <w:t>N/A</w:t>
            </w:r>
          </w:p>
        </w:tc>
      </w:tr>
    </w:tbl>
    <w:p w14:paraId="0E5550EA" w14:textId="77777777" w:rsidR="00BD10B0" w:rsidRDefault="00BD10B0" w:rsidP="00BD10B0">
      <w:pP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BD10B0" w:rsidRPr="00D16D8A" w14:paraId="000AA5CF" w14:textId="77777777" w:rsidTr="00D16D8A">
        <w:tc>
          <w:tcPr>
            <w:tcW w:w="9895" w:type="dxa"/>
            <w:gridSpan w:val="2"/>
            <w:tcMar>
              <w:top w:w="0" w:type="dxa"/>
              <w:left w:w="108" w:type="dxa"/>
              <w:bottom w:w="0" w:type="dxa"/>
              <w:right w:w="108" w:type="dxa"/>
            </w:tcMar>
            <w:hideMark/>
          </w:tcPr>
          <w:p w14:paraId="7A0DD754" w14:textId="77777777" w:rsidR="00BD10B0" w:rsidRPr="00D16D8A" w:rsidRDefault="00BD10B0">
            <w:pPr>
              <w:rPr>
                <w:rFonts w:asciiTheme="minorHAnsi" w:hAnsiTheme="minorHAnsi" w:cstheme="minorHAnsi"/>
                <w:b/>
                <w:bCs/>
                <w:sz w:val="22"/>
                <w:szCs w:val="22"/>
                <w:lang w:eastAsia="en-US"/>
              </w:rPr>
            </w:pPr>
            <w:r w:rsidRPr="00D16D8A">
              <w:rPr>
                <w:rFonts w:asciiTheme="minorHAnsi" w:hAnsiTheme="minorHAnsi" w:cstheme="minorHAnsi"/>
                <w:i/>
                <w:iCs/>
                <w:sz w:val="22"/>
                <w:szCs w:val="22"/>
              </w:rPr>
              <w:t>Outcome 2 - Countries are implementing evidence based sectoral and thematic reforms in line with national IGE priorities</w:t>
            </w:r>
            <w:r w:rsidRPr="00D16D8A">
              <w:rPr>
                <w:rFonts w:asciiTheme="minorHAnsi" w:hAnsiTheme="minorHAnsi" w:cstheme="minorHAnsi"/>
                <w:sz w:val="22"/>
                <w:szCs w:val="22"/>
              </w:rPr>
              <w:t>.</w:t>
            </w:r>
          </w:p>
        </w:tc>
      </w:tr>
      <w:tr w:rsidR="00BD10B0" w:rsidRPr="00D16D8A" w14:paraId="3F7CB197" w14:textId="77777777" w:rsidTr="00D16D8A">
        <w:tc>
          <w:tcPr>
            <w:tcW w:w="1885" w:type="dxa"/>
            <w:tcMar>
              <w:top w:w="0" w:type="dxa"/>
              <w:left w:w="108" w:type="dxa"/>
              <w:bottom w:w="0" w:type="dxa"/>
              <w:right w:w="108" w:type="dxa"/>
            </w:tcMar>
            <w:hideMark/>
          </w:tcPr>
          <w:p w14:paraId="3387A614" w14:textId="77777777" w:rsidR="00BD10B0" w:rsidRPr="00D16D8A" w:rsidRDefault="00BD10B0">
            <w:pPr>
              <w:rPr>
                <w:rFonts w:asciiTheme="minorHAnsi" w:hAnsiTheme="minorHAnsi" w:cstheme="minorHAnsi"/>
                <w:b/>
                <w:bCs/>
                <w:sz w:val="22"/>
                <w:szCs w:val="22"/>
              </w:rPr>
            </w:pPr>
            <w:r w:rsidRPr="00D16D8A">
              <w:rPr>
                <w:rFonts w:asciiTheme="minorHAnsi" w:hAnsiTheme="minorHAnsi" w:cstheme="minorHAnsi"/>
                <w:b/>
                <w:bCs/>
                <w:sz w:val="22"/>
                <w:szCs w:val="22"/>
              </w:rPr>
              <w:t>Key achievements in 2024</w:t>
            </w:r>
          </w:p>
        </w:tc>
        <w:tc>
          <w:tcPr>
            <w:tcW w:w="8010" w:type="dxa"/>
            <w:tcMar>
              <w:top w:w="0" w:type="dxa"/>
              <w:left w:w="108" w:type="dxa"/>
              <w:bottom w:w="0" w:type="dxa"/>
              <w:right w:w="108" w:type="dxa"/>
            </w:tcMar>
          </w:tcPr>
          <w:p w14:paraId="75FB29BA" w14:textId="34E66E4C" w:rsidR="00BD10B0" w:rsidRPr="00D16D8A" w:rsidRDefault="00D16D8A">
            <w:pPr>
              <w:rPr>
                <w:rFonts w:asciiTheme="minorHAnsi" w:hAnsiTheme="minorHAnsi" w:cstheme="minorHAnsi"/>
                <w:sz w:val="22"/>
                <w:szCs w:val="22"/>
              </w:rPr>
            </w:pPr>
            <w:r w:rsidRPr="00D16D8A">
              <w:rPr>
                <w:rFonts w:asciiTheme="minorHAnsi" w:hAnsiTheme="minorHAnsi" w:cstheme="minorHAnsi"/>
                <w:sz w:val="22"/>
                <w:szCs w:val="22"/>
              </w:rPr>
              <w:t>N/A</w:t>
            </w:r>
          </w:p>
        </w:tc>
      </w:tr>
      <w:tr w:rsidR="00BD10B0" w:rsidRPr="00D16D8A" w14:paraId="267FF974" w14:textId="77777777" w:rsidTr="00D16D8A">
        <w:tc>
          <w:tcPr>
            <w:tcW w:w="1885" w:type="dxa"/>
            <w:tcMar>
              <w:top w:w="0" w:type="dxa"/>
              <w:left w:w="108" w:type="dxa"/>
              <w:bottom w:w="0" w:type="dxa"/>
              <w:right w:w="108" w:type="dxa"/>
            </w:tcMar>
            <w:hideMark/>
          </w:tcPr>
          <w:p w14:paraId="2DB5D2C9" w14:textId="77777777" w:rsidR="00BD10B0" w:rsidRPr="00D16D8A" w:rsidRDefault="00BD10B0">
            <w:pPr>
              <w:rPr>
                <w:rFonts w:asciiTheme="minorHAnsi" w:hAnsiTheme="minorHAnsi" w:cstheme="minorHAnsi"/>
                <w:sz w:val="22"/>
                <w:szCs w:val="22"/>
              </w:rPr>
            </w:pPr>
            <w:r w:rsidRPr="00D16D8A">
              <w:rPr>
                <w:rFonts w:asciiTheme="minorHAnsi" w:hAnsiTheme="minorHAnsi" w:cstheme="minorHAnsi"/>
                <w:b/>
                <w:bCs/>
                <w:sz w:val="22"/>
                <w:szCs w:val="22"/>
              </w:rPr>
              <w:t>Key Achievements 2024</w:t>
            </w:r>
            <w:r w:rsidRPr="00D16D8A">
              <w:rPr>
                <w:rFonts w:asciiTheme="minorHAnsi" w:hAnsiTheme="minorHAnsi" w:cstheme="minorHAnsi"/>
                <w:sz w:val="22"/>
                <w:szCs w:val="22"/>
              </w:rPr>
              <w:t xml:space="preserve"> (Add. Support for Green Recovery)</w:t>
            </w:r>
          </w:p>
        </w:tc>
        <w:tc>
          <w:tcPr>
            <w:tcW w:w="8010" w:type="dxa"/>
            <w:tcMar>
              <w:top w:w="0" w:type="dxa"/>
              <w:left w:w="108" w:type="dxa"/>
              <w:bottom w:w="0" w:type="dxa"/>
              <w:right w:w="108" w:type="dxa"/>
            </w:tcMar>
          </w:tcPr>
          <w:p w14:paraId="33643632" w14:textId="07222B96" w:rsidR="00BD10B0" w:rsidRPr="00D16D8A" w:rsidRDefault="00D16D8A">
            <w:pPr>
              <w:pStyle w:val="Default"/>
              <w:rPr>
                <w:rFonts w:asciiTheme="minorHAnsi" w:hAnsiTheme="minorHAnsi" w:cstheme="minorHAnsi"/>
                <w:sz w:val="22"/>
                <w:szCs w:val="22"/>
              </w:rPr>
            </w:pPr>
            <w:r w:rsidRPr="00D16D8A">
              <w:rPr>
                <w:rFonts w:asciiTheme="minorHAnsi" w:hAnsiTheme="minorHAnsi" w:cstheme="minorHAnsi"/>
                <w:sz w:val="22"/>
                <w:szCs w:val="22"/>
              </w:rPr>
              <w:t>N/A</w:t>
            </w:r>
          </w:p>
        </w:tc>
      </w:tr>
    </w:tbl>
    <w:p w14:paraId="16919017" w14:textId="77777777" w:rsidR="00BD10B0" w:rsidRDefault="00BD10B0" w:rsidP="00BD10B0">
      <w:pP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BD10B0" w:rsidRPr="00D16D8A" w14:paraId="75673AF2" w14:textId="77777777" w:rsidTr="00D16D8A">
        <w:tc>
          <w:tcPr>
            <w:tcW w:w="9895" w:type="dxa"/>
            <w:gridSpan w:val="2"/>
            <w:tcMar>
              <w:top w:w="0" w:type="dxa"/>
              <w:left w:w="108" w:type="dxa"/>
              <w:bottom w:w="0" w:type="dxa"/>
              <w:right w:w="108" w:type="dxa"/>
            </w:tcMar>
            <w:hideMark/>
          </w:tcPr>
          <w:p w14:paraId="695177A1" w14:textId="77777777" w:rsidR="00BD10B0" w:rsidRPr="00D16D8A" w:rsidRDefault="00BD10B0">
            <w:pPr>
              <w:rPr>
                <w:rFonts w:asciiTheme="minorHAnsi" w:hAnsiTheme="minorHAnsi" w:cstheme="minorHAnsi"/>
                <w:i/>
                <w:iCs/>
                <w:sz w:val="22"/>
                <w:szCs w:val="22"/>
                <w:lang w:eastAsia="en-US"/>
              </w:rPr>
            </w:pPr>
            <w:r w:rsidRPr="00D16D8A">
              <w:rPr>
                <w:rFonts w:asciiTheme="minorHAnsi" w:hAnsiTheme="minorHAnsi" w:cstheme="minorHAnsi"/>
                <w:i/>
                <w:iCs/>
                <w:sz w:val="22"/>
                <w:szCs w:val="22"/>
              </w:rPr>
              <w:t xml:space="preserve">Outcome 3 - Individual, institutional and planning capacities for IGE action strengthened at the </w:t>
            </w:r>
            <w:r w:rsidRPr="00D16D8A">
              <w:rPr>
                <w:rFonts w:asciiTheme="minorHAnsi" w:hAnsiTheme="minorHAnsi" w:cstheme="minorHAnsi"/>
                <w:i/>
                <w:iCs/>
                <w:sz w:val="22"/>
                <w:szCs w:val="22"/>
                <w:u w:val="single"/>
              </w:rPr>
              <w:t>national</w:t>
            </w:r>
            <w:r w:rsidRPr="00D16D8A">
              <w:rPr>
                <w:rFonts w:asciiTheme="minorHAnsi" w:hAnsiTheme="minorHAnsi" w:cstheme="minorHAnsi"/>
                <w:i/>
                <w:iCs/>
                <w:sz w:val="22"/>
                <w:szCs w:val="22"/>
              </w:rPr>
              <w:t xml:space="preserve"> and (global) level.</w:t>
            </w:r>
          </w:p>
        </w:tc>
      </w:tr>
      <w:tr w:rsidR="00BD10B0" w:rsidRPr="00D16D8A" w14:paraId="1E754552" w14:textId="77777777" w:rsidTr="00D16D8A">
        <w:tc>
          <w:tcPr>
            <w:tcW w:w="1885" w:type="dxa"/>
            <w:tcMar>
              <w:top w:w="0" w:type="dxa"/>
              <w:left w:w="108" w:type="dxa"/>
              <w:bottom w:w="0" w:type="dxa"/>
              <w:right w:w="108" w:type="dxa"/>
            </w:tcMar>
            <w:hideMark/>
          </w:tcPr>
          <w:p w14:paraId="144D3F7E" w14:textId="77777777" w:rsidR="00BD10B0" w:rsidRPr="00D16D8A" w:rsidRDefault="00BD10B0">
            <w:pPr>
              <w:rPr>
                <w:rFonts w:asciiTheme="minorHAnsi" w:hAnsiTheme="minorHAnsi" w:cstheme="minorHAnsi"/>
                <w:b/>
                <w:bCs/>
                <w:sz w:val="22"/>
                <w:szCs w:val="22"/>
              </w:rPr>
            </w:pPr>
            <w:r w:rsidRPr="00D16D8A">
              <w:rPr>
                <w:rFonts w:asciiTheme="minorHAnsi" w:hAnsiTheme="minorHAnsi" w:cstheme="minorHAnsi"/>
                <w:b/>
                <w:bCs/>
                <w:sz w:val="22"/>
                <w:szCs w:val="22"/>
              </w:rPr>
              <w:t>Key achievements in 2024</w:t>
            </w:r>
          </w:p>
        </w:tc>
        <w:tc>
          <w:tcPr>
            <w:tcW w:w="8010" w:type="dxa"/>
            <w:tcMar>
              <w:top w:w="0" w:type="dxa"/>
              <w:left w:w="108" w:type="dxa"/>
              <w:bottom w:w="0" w:type="dxa"/>
              <w:right w:w="108" w:type="dxa"/>
            </w:tcMar>
          </w:tcPr>
          <w:p w14:paraId="728975B3" w14:textId="44EEC207" w:rsidR="00BD10B0" w:rsidRPr="00D16D8A" w:rsidRDefault="00D16D8A">
            <w:pPr>
              <w:rPr>
                <w:rFonts w:asciiTheme="minorHAnsi" w:hAnsiTheme="minorHAnsi" w:cstheme="minorHAnsi"/>
                <w:b/>
                <w:bCs/>
                <w:sz w:val="22"/>
                <w:szCs w:val="22"/>
              </w:rPr>
            </w:pPr>
            <w:r w:rsidRPr="00D16D8A">
              <w:rPr>
                <w:rFonts w:asciiTheme="minorHAnsi" w:hAnsiTheme="minorHAnsi" w:cstheme="minorHAnsi"/>
                <w:sz w:val="22"/>
                <w:szCs w:val="22"/>
              </w:rPr>
              <w:t>N/A</w:t>
            </w:r>
          </w:p>
        </w:tc>
      </w:tr>
      <w:tr w:rsidR="00BD10B0" w:rsidRPr="00D16D8A" w14:paraId="3894A067" w14:textId="77777777" w:rsidTr="00D16D8A">
        <w:tc>
          <w:tcPr>
            <w:tcW w:w="1885" w:type="dxa"/>
            <w:tcMar>
              <w:top w:w="0" w:type="dxa"/>
              <w:left w:w="108" w:type="dxa"/>
              <w:bottom w:w="0" w:type="dxa"/>
              <w:right w:w="108" w:type="dxa"/>
            </w:tcMar>
            <w:hideMark/>
          </w:tcPr>
          <w:p w14:paraId="13F126D8" w14:textId="77777777" w:rsidR="00BD10B0" w:rsidRPr="00D16D8A" w:rsidRDefault="00BD10B0">
            <w:pPr>
              <w:rPr>
                <w:rFonts w:asciiTheme="minorHAnsi" w:hAnsiTheme="minorHAnsi" w:cstheme="minorHAnsi"/>
                <w:sz w:val="22"/>
                <w:szCs w:val="22"/>
              </w:rPr>
            </w:pPr>
            <w:r w:rsidRPr="00D16D8A">
              <w:rPr>
                <w:rFonts w:asciiTheme="minorHAnsi" w:hAnsiTheme="minorHAnsi" w:cstheme="minorHAnsi"/>
                <w:b/>
                <w:bCs/>
                <w:sz w:val="22"/>
                <w:szCs w:val="22"/>
              </w:rPr>
              <w:lastRenderedPageBreak/>
              <w:t>Key Achievements 2024</w:t>
            </w:r>
            <w:r w:rsidRPr="00D16D8A">
              <w:rPr>
                <w:rFonts w:asciiTheme="minorHAnsi" w:hAnsiTheme="minorHAnsi" w:cstheme="minorHAnsi"/>
                <w:sz w:val="22"/>
                <w:szCs w:val="22"/>
              </w:rPr>
              <w:t xml:space="preserve"> (Add. Support for Green Recovery)</w:t>
            </w:r>
          </w:p>
        </w:tc>
        <w:tc>
          <w:tcPr>
            <w:tcW w:w="8010" w:type="dxa"/>
            <w:tcMar>
              <w:top w:w="0" w:type="dxa"/>
              <w:left w:w="108" w:type="dxa"/>
              <w:bottom w:w="0" w:type="dxa"/>
              <w:right w:w="108" w:type="dxa"/>
            </w:tcMar>
          </w:tcPr>
          <w:p w14:paraId="256BEDF5" w14:textId="16966AA6" w:rsidR="00BD10B0" w:rsidRPr="00D16D8A" w:rsidRDefault="00D16D8A">
            <w:pPr>
              <w:spacing w:after="200"/>
              <w:rPr>
                <w:rFonts w:asciiTheme="minorHAnsi" w:hAnsiTheme="minorHAnsi" w:cstheme="minorHAnsi"/>
                <w:sz w:val="22"/>
                <w:szCs w:val="22"/>
              </w:rPr>
            </w:pPr>
            <w:r w:rsidRPr="00D16D8A">
              <w:rPr>
                <w:rFonts w:asciiTheme="minorHAnsi" w:hAnsiTheme="minorHAnsi" w:cstheme="minorHAnsi"/>
                <w:sz w:val="22"/>
                <w:szCs w:val="22"/>
              </w:rPr>
              <w:t>N/A</w:t>
            </w:r>
          </w:p>
        </w:tc>
      </w:tr>
    </w:tbl>
    <w:p w14:paraId="38DA6570" w14:textId="77777777" w:rsidR="00BD10B0" w:rsidRDefault="00BD10B0" w:rsidP="00BD10B0">
      <w:pP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010"/>
      </w:tblGrid>
      <w:tr w:rsidR="00BD10B0" w:rsidRPr="00D16D8A" w14:paraId="133DD346" w14:textId="77777777" w:rsidTr="00D16D8A">
        <w:tc>
          <w:tcPr>
            <w:tcW w:w="9895" w:type="dxa"/>
            <w:gridSpan w:val="2"/>
            <w:tcMar>
              <w:top w:w="0" w:type="dxa"/>
              <w:left w:w="108" w:type="dxa"/>
              <w:bottom w:w="0" w:type="dxa"/>
              <w:right w:w="108" w:type="dxa"/>
            </w:tcMar>
            <w:hideMark/>
          </w:tcPr>
          <w:p w14:paraId="2D72413F" w14:textId="77777777" w:rsidR="00BD10B0" w:rsidRPr="00D16D8A" w:rsidRDefault="00BD10B0">
            <w:pPr>
              <w:rPr>
                <w:rFonts w:asciiTheme="minorHAnsi" w:hAnsiTheme="minorHAnsi" w:cstheme="minorHAnsi"/>
                <w:sz w:val="22"/>
                <w:szCs w:val="22"/>
                <w:lang w:val="en-GB" w:eastAsia="en-US"/>
              </w:rPr>
            </w:pPr>
            <w:r w:rsidRPr="00D16D8A">
              <w:rPr>
                <w:rFonts w:asciiTheme="minorHAnsi" w:hAnsiTheme="minorHAnsi" w:cstheme="minorHAnsi"/>
                <w:sz w:val="22"/>
                <w:szCs w:val="22"/>
              </w:rPr>
              <w:t xml:space="preserve">Outcome 4 - </w:t>
            </w:r>
            <w:r w:rsidRPr="00D16D8A">
              <w:rPr>
                <w:rFonts w:asciiTheme="minorHAnsi" w:hAnsiTheme="minorHAnsi" w:cstheme="minorHAnsi"/>
                <w:i/>
                <w:iCs/>
                <w:sz w:val="22"/>
                <w:szCs w:val="22"/>
                <w:lang w:val="en-GB"/>
              </w:rPr>
              <w:t>National and regional stakeholders, including green economy champions, decision-makers, practitioners, and youth representatives, access and apply knowledge for advancing IGE.</w:t>
            </w:r>
          </w:p>
        </w:tc>
      </w:tr>
      <w:tr w:rsidR="00BD10B0" w:rsidRPr="00D16D8A" w14:paraId="70D4A7D0" w14:textId="77777777" w:rsidTr="00D16D8A">
        <w:tc>
          <w:tcPr>
            <w:tcW w:w="1885" w:type="dxa"/>
            <w:tcMar>
              <w:top w:w="0" w:type="dxa"/>
              <w:left w:w="108" w:type="dxa"/>
              <w:bottom w:w="0" w:type="dxa"/>
              <w:right w:w="108" w:type="dxa"/>
            </w:tcMar>
          </w:tcPr>
          <w:p w14:paraId="45DEDF8C" w14:textId="77777777" w:rsidR="00BD10B0" w:rsidRPr="00D16D8A" w:rsidRDefault="00BD10B0">
            <w:pPr>
              <w:rPr>
                <w:rFonts w:asciiTheme="minorHAnsi" w:hAnsiTheme="minorHAnsi" w:cstheme="minorHAnsi"/>
                <w:b/>
                <w:bCs/>
                <w:sz w:val="22"/>
                <w:szCs w:val="22"/>
              </w:rPr>
            </w:pPr>
            <w:r w:rsidRPr="00D16D8A">
              <w:rPr>
                <w:rFonts w:asciiTheme="minorHAnsi" w:hAnsiTheme="minorHAnsi" w:cstheme="minorHAnsi"/>
                <w:b/>
                <w:bCs/>
                <w:sz w:val="22"/>
                <w:szCs w:val="22"/>
              </w:rPr>
              <w:t>Key achievements in 2024</w:t>
            </w:r>
          </w:p>
          <w:p w14:paraId="1232E3C4" w14:textId="77777777" w:rsidR="00BD10B0" w:rsidRPr="00D16D8A" w:rsidRDefault="00BD10B0">
            <w:pPr>
              <w:rPr>
                <w:rFonts w:asciiTheme="minorHAnsi" w:hAnsiTheme="minorHAnsi" w:cstheme="minorHAnsi"/>
                <w:b/>
                <w:bCs/>
                <w:sz w:val="22"/>
                <w:szCs w:val="22"/>
              </w:rPr>
            </w:pPr>
          </w:p>
        </w:tc>
        <w:tc>
          <w:tcPr>
            <w:tcW w:w="8010" w:type="dxa"/>
            <w:tcMar>
              <w:top w:w="0" w:type="dxa"/>
              <w:left w:w="108" w:type="dxa"/>
              <w:bottom w:w="0" w:type="dxa"/>
              <w:right w:w="108" w:type="dxa"/>
            </w:tcMar>
            <w:vAlign w:val="center"/>
            <w:hideMark/>
          </w:tcPr>
          <w:p w14:paraId="45588AE1" w14:textId="23862F8F" w:rsidR="00BD10B0" w:rsidRPr="00D16D8A" w:rsidRDefault="00D16D8A">
            <w:pPr>
              <w:rPr>
                <w:rFonts w:asciiTheme="minorHAnsi" w:hAnsiTheme="minorHAnsi" w:cstheme="minorHAnsi"/>
                <w:b/>
                <w:bCs/>
                <w:sz w:val="22"/>
                <w:szCs w:val="22"/>
              </w:rPr>
            </w:pPr>
            <w:r w:rsidRPr="00D16D8A">
              <w:rPr>
                <w:rFonts w:asciiTheme="minorHAnsi" w:hAnsiTheme="minorHAnsi" w:cstheme="minorHAnsi"/>
                <w:sz w:val="22"/>
                <w:szCs w:val="22"/>
              </w:rPr>
              <w:t>N/A</w:t>
            </w:r>
          </w:p>
        </w:tc>
      </w:tr>
    </w:tbl>
    <w:p w14:paraId="2936BABE" w14:textId="77777777" w:rsidR="00BD10B0" w:rsidRDefault="00BD10B0" w:rsidP="00BD10B0">
      <w:pPr>
        <w:rPr>
          <w:rFonts w:ascii="Calibri" w:hAnsi="Calibri" w:cs="Calibri"/>
          <w:b/>
          <w:bCs/>
          <w:sz w:val="22"/>
          <w:szCs w:val="22"/>
        </w:rPr>
      </w:pPr>
    </w:p>
    <w:p w14:paraId="786350EF" w14:textId="77777777" w:rsidR="00EA6DB1" w:rsidRPr="0071206E" w:rsidRDefault="00EA6DB1" w:rsidP="00EA6DB1">
      <w:pPr>
        <w:rPr>
          <w:rFonts w:asciiTheme="minorHAnsi" w:hAnsiTheme="minorHAnsi" w:cstheme="minorHAnsi"/>
          <w:b/>
          <w:iCs/>
          <w:sz w:val="22"/>
          <w:szCs w:val="22"/>
        </w:rPr>
      </w:pPr>
    </w:p>
    <w:p w14:paraId="1524D7D0" w14:textId="77777777" w:rsidR="00EA6DB1" w:rsidRPr="0071206E" w:rsidRDefault="00EA6DB1" w:rsidP="00EA6DB1">
      <w:pPr>
        <w:rPr>
          <w:rFonts w:asciiTheme="minorHAnsi" w:hAnsiTheme="minorHAnsi" w:cstheme="minorHAnsi"/>
          <w:b/>
          <w:iCs/>
          <w:sz w:val="22"/>
          <w:szCs w:val="22"/>
        </w:rPr>
      </w:pPr>
    </w:p>
    <w:p w14:paraId="41780B1F" w14:textId="77777777" w:rsidR="00EA6DB1" w:rsidRPr="0071206E" w:rsidRDefault="00EA6DB1" w:rsidP="007B5561">
      <w:pPr>
        <w:pStyle w:val="ListParagraph"/>
        <w:numPr>
          <w:ilvl w:val="0"/>
          <w:numId w:val="1"/>
        </w:numPr>
        <w:jc w:val="left"/>
        <w:rPr>
          <w:rFonts w:asciiTheme="minorHAnsi" w:hAnsiTheme="minorHAnsi" w:cstheme="minorHAnsi"/>
          <w:b/>
          <w:iCs/>
          <w:sz w:val="22"/>
          <w:szCs w:val="22"/>
        </w:rPr>
      </w:pPr>
      <w:r w:rsidRPr="0071206E">
        <w:rPr>
          <w:rFonts w:asciiTheme="minorHAnsi" w:hAnsiTheme="minorHAnsi" w:cstheme="minorHAnsi"/>
          <w:b/>
          <w:iCs/>
          <w:sz w:val="22"/>
          <w:szCs w:val="22"/>
        </w:rPr>
        <w:t>Project Title:  AGENCY – PAGE Workplan (NON-ODA Countries)</w:t>
      </w:r>
    </w:p>
    <w:p w14:paraId="354F85D2" w14:textId="77777777" w:rsidR="00EA6DB1" w:rsidRPr="0071206E" w:rsidRDefault="00EA6DB1" w:rsidP="00EA6DB1">
      <w:pPr>
        <w:rPr>
          <w:rFonts w:asciiTheme="minorHAnsi" w:hAnsiTheme="minorHAnsi" w:cstheme="minorHAnsi"/>
          <w:b/>
          <w:iCs/>
          <w:sz w:val="22"/>
          <w:szCs w:val="22"/>
        </w:rPr>
      </w:pPr>
    </w:p>
    <w:p w14:paraId="46CD8FCC" w14:textId="7A77AAF0" w:rsidR="00EA6DB1" w:rsidRPr="0071206E" w:rsidRDefault="00EA6DB1" w:rsidP="007B5561">
      <w:pPr>
        <w:pStyle w:val="ListParagraph"/>
        <w:numPr>
          <w:ilvl w:val="0"/>
          <w:numId w:val="2"/>
        </w:numPr>
        <w:jc w:val="left"/>
        <w:rPr>
          <w:rFonts w:asciiTheme="minorHAnsi" w:hAnsiTheme="minorHAnsi" w:cstheme="minorHAnsi"/>
          <w:b/>
          <w:iCs/>
          <w:sz w:val="22"/>
          <w:szCs w:val="22"/>
        </w:rPr>
      </w:pPr>
      <w:r w:rsidRPr="0071206E">
        <w:rPr>
          <w:rFonts w:asciiTheme="minorHAnsi" w:hAnsiTheme="minorHAnsi" w:cstheme="minorHAnsi"/>
          <w:b/>
          <w:iCs/>
          <w:sz w:val="22"/>
          <w:szCs w:val="22"/>
        </w:rPr>
        <w:t>MPTF Project Number:  107850</w:t>
      </w:r>
    </w:p>
    <w:p w14:paraId="57125C06" w14:textId="77777777" w:rsidR="00EA6DB1" w:rsidRPr="0071206E" w:rsidRDefault="00EA6DB1" w:rsidP="00EA6DB1">
      <w:pPr>
        <w:jc w:val="center"/>
        <w:rPr>
          <w:rFonts w:asciiTheme="minorHAnsi" w:hAnsiTheme="minorHAnsi" w:cstheme="minorHAnsi"/>
          <w:b/>
          <w:iCs/>
          <w:sz w:val="22"/>
          <w:szCs w:val="22"/>
        </w:rPr>
      </w:pPr>
    </w:p>
    <w:p w14:paraId="0CED5EEF" w14:textId="77777777" w:rsidR="00EA6DB1" w:rsidRPr="0071206E" w:rsidRDefault="00EA6DB1" w:rsidP="00EA6DB1">
      <w:pPr>
        <w:jc w:val="center"/>
        <w:rPr>
          <w:rFonts w:asciiTheme="minorHAnsi" w:hAnsiTheme="minorHAnsi" w:cstheme="minorHAnsi"/>
          <w:b/>
          <w:iCs/>
          <w:sz w:val="22"/>
          <w:szCs w:val="22"/>
        </w:rPr>
      </w:pPr>
    </w:p>
    <w:p w14:paraId="095FB698" w14:textId="63DD504B" w:rsidR="00EA6DB1" w:rsidRPr="0071206E" w:rsidRDefault="005A08AF" w:rsidP="00EA6DB1">
      <w:pPr>
        <w:jc w:val="center"/>
        <w:rPr>
          <w:rFonts w:asciiTheme="minorHAnsi" w:hAnsiTheme="minorHAnsi" w:cstheme="minorHAnsi"/>
          <w:b/>
          <w:iCs/>
          <w:sz w:val="22"/>
          <w:szCs w:val="22"/>
        </w:rPr>
      </w:pPr>
      <w:r w:rsidRPr="0071206E">
        <w:rPr>
          <w:rFonts w:asciiTheme="minorHAnsi" w:hAnsiTheme="minorHAnsi" w:cstheme="minorHAnsi"/>
          <w:b/>
          <w:iCs/>
          <w:sz w:val="22"/>
          <w:szCs w:val="22"/>
        </w:rPr>
        <w:t>UNDP</w:t>
      </w:r>
      <w:r w:rsidR="00EA6DB1" w:rsidRPr="0071206E">
        <w:rPr>
          <w:rFonts w:asciiTheme="minorHAnsi" w:hAnsiTheme="minorHAnsi" w:cstheme="minorHAnsi"/>
          <w:b/>
          <w:iCs/>
          <w:sz w:val="22"/>
          <w:szCs w:val="22"/>
        </w:rPr>
        <w:t xml:space="preserve"> </w:t>
      </w:r>
      <w:r w:rsidR="00636258" w:rsidRPr="0071206E">
        <w:rPr>
          <w:rFonts w:asciiTheme="minorHAnsi" w:hAnsiTheme="minorHAnsi" w:cstheme="minorHAnsi"/>
          <w:b/>
          <w:iCs/>
          <w:sz w:val="22"/>
          <w:szCs w:val="22"/>
        </w:rPr>
        <w:t>–</w:t>
      </w:r>
      <w:r w:rsidR="00EA6DB1" w:rsidRPr="0071206E">
        <w:rPr>
          <w:rFonts w:asciiTheme="minorHAnsi" w:hAnsiTheme="minorHAnsi" w:cstheme="minorHAnsi"/>
          <w:b/>
          <w:iCs/>
          <w:sz w:val="22"/>
          <w:szCs w:val="22"/>
        </w:rPr>
        <w:t xml:space="preserve"> BARBADOS</w:t>
      </w:r>
    </w:p>
    <w:p w14:paraId="37EC8870" w14:textId="77777777" w:rsidR="00EA6DB1" w:rsidRPr="0071206E" w:rsidRDefault="00EA6DB1" w:rsidP="00EA6DB1">
      <w:pPr>
        <w:rPr>
          <w:rFonts w:asciiTheme="minorHAnsi" w:hAnsiTheme="minorHAnsi" w:cstheme="minorHAnsi"/>
          <w:b/>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5872185B" w14:textId="77777777" w:rsidTr="7A1375F1">
        <w:tc>
          <w:tcPr>
            <w:tcW w:w="9895" w:type="dxa"/>
            <w:gridSpan w:val="2"/>
          </w:tcPr>
          <w:p w14:paraId="083AF267" w14:textId="77777777" w:rsidR="00EA6DB1" w:rsidRPr="0071206E" w:rsidRDefault="00EA6DB1" w:rsidP="00610125">
            <w:pPr>
              <w:rPr>
                <w:rFonts w:asciiTheme="minorHAnsi" w:hAnsiTheme="minorHAnsi" w:cstheme="minorHAnsi"/>
                <w:i/>
                <w:iCs/>
                <w:sz w:val="22"/>
                <w:szCs w:val="22"/>
              </w:rPr>
            </w:pPr>
            <w:r w:rsidRPr="0071206E">
              <w:rPr>
                <w:rFonts w:asciiTheme="minorHAnsi" w:hAnsiTheme="minorHAnsi" w:cstheme="minorHAnsi"/>
                <w:i/>
                <w:iCs/>
                <w:sz w:val="22"/>
                <w:szCs w:val="22"/>
              </w:rPr>
              <w:t>Outcome 1- Countries have reinforced and integrated inclusive green economy (IGE) goals targets into SDG aligned national economic and development planning through multi-stakeholder collaboration.</w:t>
            </w:r>
          </w:p>
        </w:tc>
      </w:tr>
      <w:tr w:rsidR="00EA6DB1" w:rsidRPr="0071206E" w14:paraId="35E1B030" w14:textId="77777777" w:rsidTr="7A1375F1">
        <w:tc>
          <w:tcPr>
            <w:tcW w:w="2547" w:type="dxa"/>
          </w:tcPr>
          <w:p w14:paraId="2C1D4B14" w14:textId="0F0184A2"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22AAF148" w:rsidRPr="0071206E">
              <w:rPr>
                <w:rFonts w:asciiTheme="minorHAnsi" w:hAnsiTheme="minorHAnsi" w:cstheme="minorHAnsi"/>
                <w:b/>
                <w:bCs/>
                <w:sz w:val="22"/>
                <w:szCs w:val="22"/>
              </w:rPr>
              <w:t>4</w:t>
            </w:r>
          </w:p>
          <w:p w14:paraId="7AD606F1" w14:textId="77777777" w:rsidR="00EA6DB1" w:rsidRPr="0071206E" w:rsidRDefault="00EA6DB1" w:rsidP="00610125">
            <w:pPr>
              <w:rPr>
                <w:rFonts w:asciiTheme="minorHAnsi" w:hAnsiTheme="minorHAnsi" w:cstheme="minorHAnsi"/>
                <w:b/>
                <w:i/>
                <w:iCs/>
                <w:sz w:val="22"/>
                <w:szCs w:val="22"/>
              </w:rPr>
            </w:pPr>
          </w:p>
        </w:tc>
        <w:tc>
          <w:tcPr>
            <w:tcW w:w="7348" w:type="dxa"/>
          </w:tcPr>
          <w:p w14:paraId="3971284E" w14:textId="13671F32" w:rsidR="00205EEF" w:rsidRPr="0071206E" w:rsidRDefault="00205EEF" w:rsidP="00205EEF">
            <w:pP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rPr>
              <w:t>N</w:t>
            </w:r>
            <w:r w:rsidRPr="0071206E">
              <w:rPr>
                <w:rFonts w:asciiTheme="minorHAnsi" w:eastAsia="Times New Roman" w:hAnsiTheme="minorHAnsi" w:cstheme="minorHAnsi"/>
                <w:color w:val="000000"/>
                <w:sz w:val="22"/>
                <w:szCs w:val="22"/>
              </w:rPr>
              <w:t xml:space="preserve">o activities took place in 2024. UNDP requested </w:t>
            </w:r>
            <w:r>
              <w:rPr>
                <w:rFonts w:asciiTheme="minorHAnsi" w:eastAsia="Times New Roman" w:hAnsiTheme="minorHAnsi" w:cstheme="minorHAnsi"/>
                <w:color w:val="000000"/>
                <w:sz w:val="22"/>
                <w:szCs w:val="22"/>
              </w:rPr>
              <w:t>the</w:t>
            </w:r>
            <w:r w:rsidRPr="0071206E">
              <w:rPr>
                <w:rFonts w:asciiTheme="minorHAnsi" w:eastAsia="Times New Roman" w:hAnsiTheme="minorHAnsi" w:cstheme="minorHAnsi"/>
                <w:color w:val="000000"/>
                <w:sz w:val="22"/>
                <w:szCs w:val="22"/>
              </w:rPr>
              <w:t xml:space="preserve"> project </w:t>
            </w:r>
            <w:r>
              <w:rPr>
                <w:rFonts w:asciiTheme="minorHAnsi" w:eastAsia="Times New Roman" w:hAnsiTheme="minorHAnsi" w:cstheme="minorHAnsi"/>
                <w:color w:val="000000"/>
                <w:sz w:val="22"/>
                <w:szCs w:val="22"/>
              </w:rPr>
              <w:t xml:space="preserve">no-cost </w:t>
            </w:r>
            <w:r w:rsidRPr="0071206E">
              <w:rPr>
                <w:rFonts w:asciiTheme="minorHAnsi" w:eastAsia="Times New Roman" w:hAnsiTheme="minorHAnsi" w:cstheme="minorHAnsi"/>
                <w:color w:val="000000"/>
                <w:sz w:val="22"/>
                <w:szCs w:val="22"/>
              </w:rPr>
              <w:t xml:space="preserve">extension </w:t>
            </w:r>
            <w:r>
              <w:rPr>
                <w:rFonts w:asciiTheme="minorHAnsi" w:eastAsia="Times New Roman" w:hAnsiTheme="minorHAnsi" w:cstheme="minorHAnsi"/>
                <w:color w:val="000000"/>
                <w:sz w:val="22"/>
                <w:szCs w:val="22"/>
              </w:rPr>
              <w:t xml:space="preserve">through the end of 2025. The extension request </w:t>
            </w:r>
            <w:r w:rsidRPr="0071206E">
              <w:rPr>
                <w:rFonts w:asciiTheme="minorHAnsi" w:eastAsia="Times New Roman" w:hAnsiTheme="minorHAnsi" w:cstheme="minorHAnsi"/>
                <w:color w:val="000000"/>
                <w:sz w:val="22"/>
                <w:szCs w:val="22"/>
              </w:rPr>
              <w:t xml:space="preserve">was approved. </w:t>
            </w:r>
            <w:r>
              <w:rPr>
                <w:rFonts w:asciiTheme="minorHAnsi" w:eastAsia="Times New Roman" w:hAnsiTheme="minorHAnsi" w:cstheme="minorHAnsi"/>
                <w:color w:val="000000"/>
                <w:sz w:val="22"/>
                <w:szCs w:val="22"/>
              </w:rPr>
              <w:t>The activities will be resumed and finalized in 2025.</w:t>
            </w:r>
          </w:p>
          <w:p w14:paraId="7FD55318" w14:textId="77777777" w:rsidR="00EA6DB1" w:rsidRPr="0071206E" w:rsidRDefault="00EA6DB1" w:rsidP="00610125">
            <w:pPr>
              <w:rPr>
                <w:rFonts w:asciiTheme="minorHAnsi" w:hAnsiTheme="minorHAnsi" w:cstheme="minorHAnsi"/>
                <w:sz w:val="22"/>
                <w:szCs w:val="22"/>
              </w:rPr>
            </w:pPr>
          </w:p>
        </w:tc>
      </w:tr>
      <w:tr w:rsidR="00EA6DB1" w:rsidRPr="0071206E" w14:paraId="3AB6FA85" w14:textId="77777777" w:rsidTr="7A1375F1">
        <w:tc>
          <w:tcPr>
            <w:tcW w:w="2547" w:type="dxa"/>
          </w:tcPr>
          <w:p w14:paraId="2E30EDA4" w14:textId="54558D83"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56BB5B0D"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51BD2643"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26197C01" w14:textId="211599AE" w:rsidR="00EA6DB1" w:rsidRPr="0071206E" w:rsidRDefault="00205EEF" w:rsidP="00610125">
            <w:pPr>
              <w:spacing w:after="200"/>
              <w:rPr>
                <w:rFonts w:asciiTheme="minorHAnsi" w:hAnsiTheme="minorHAnsi" w:cstheme="minorHAnsi"/>
                <w:sz w:val="22"/>
                <w:szCs w:val="22"/>
              </w:rPr>
            </w:pPr>
            <w:r>
              <w:rPr>
                <w:rFonts w:asciiTheme="minorHAnsi" w:hAnsiTheme="minorHAnsi" w:cstheme="minorHAnsi"/>
                <w:sz w:val="22"/>
                <w:szCs w:val="22"/>
              </w:rPr>
              <w:t>n/a</w:t>
            </w:r>
          </w:p>
        </w:tc>
      </w:tr>
    </w:tbl>
    <w:p w14:paraId="18B59716" w14:textId="77777777" w:rsidR="00EA6DB1" w:rsidRPr="0071206E" w:rsidRDefault="00EA6DB1" w:rsidP="00EA6DB1">
      <w:pPr>
        <w:rPr>
          <w:rFonts w:asciiTheme="minorHAnsi" w:hAnsiTheme="minorHAnsi" w:cstheme="minorHAnsi"/>
          <w:b/>
          <w:i/>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71CB28C3" w14:textId="77777777" w:rsidTr="7A1375F1">
        <w:tc>
          <w:tcPr>
            <w:tcW w:w="9895" w:type="dxa"/>
            <w:gridSpan w:val="2"/>
          </w:tcPr>
          <w:p w14:paraId="0971E782" w14:textId="5AF31E57" w:rsidR="00EA6DB1" w:rsidRPr="0071206E" w:rsidRDefault="00EA6DB1" w:rsidP="7A1375F1">
            <w:pPr>
              <w:rPr>
                <w:rFonts w:asciiTheme="minorHAnsi" w:hAnsiTheme="minorHAnsi" w:cstheme="minorHAnsi"/>
                <w:b/>
                <w:bCs/>
                <w:i/>
                <w:iCs/>
                <w:sz w:val="22"/>
                <w:szCs w:val="22"/>
              </w:rPr>
            </w:pPr>
            <w:r w:rsidRPr="0071206E">
              <w:rPr>
                <w:rFonts w:asciiTheme="minorHAnsi" w:hAnsiTheme="minorHAnsi" w:cstheme="minorHAnsi"/>
                <w:i/>
                <w:iCs/>
                <w:sz w:val="22"/>
                <w:szCs w:val="22"/>
              </w:rPr>
              <w:t xml:space="preserve">Outcome 2 - Countries are implementing </w:t>
            </w:r>
            <w:r w:rsidR="3DC02E3E" w:rsidRPr="0071206E">
              <w:rPr>
                <w:rFonts w:asciiTheme="minorHAnsi" w:hAnsiTheme="minorHAnsi" w:cstheme="minorHAnsi"/>
                <w:i/>
                <w:iCs/>
                <w:sz w:val="22"/>
                <w:szCs w:val="22"/>
              </w:rPr>
              <w:t>evidence-based</w:t>
            </w:r>
            <w:r w:rsidRPr="0071206E">
              <w:rPr>
                <w:rFonts w:asciiTheme="minorHAnsi" w:hAnsiTheme="minorHAnsi" w:cstheme="minorHAnsi"/>
                <w:i/>
                <w:iCs/>
                <w:sz w:val="22"/>
                <w:szCs w:val="22"/>
              </w:rPr>
              <w:t xml:space="preserve"> sectoral and thematic reforms in line with national IGE priorities.</w:t>
            </w:r>
          </w:p>
        </w:tc>
      </w:tr>
      <w:tr w:rsidR="00EA6DB1" w:rsidRPr="0071206E" w14:paraId="518B39B6" w14:textId="77777777" w:rsidTr="7A1375F1">
        <w:tc>
          <w:tcPr>
            <w:tcW w:w="2547" w:type="dxa"/>
            <w:shd w:val="clear" w:color="auto" w:fill="auto"/>
          </w:tcPr>
          <w:p w14:paraId="19E7A612" w14:textId="52766549"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16AE447F" w:rsidRPr="0071206E">
              <w:rPr>
                <w:rFonts w:asciiTheme="minorHAnsi" w:hAnsiTheme="minorHAnsi" w:cstheme="minorHAnsi"/>
                <w:b/>
                <w:bCs/>
                <w:sz w:val="22"/>
                <w:szCs w:val="22"/>
              </w:rPr>
              <w:t>4</w:t>
            </w:r>
          </w:p>
          <w:p w14:paraId="66DAC34C" w14:textId="77777777" w:rsidR="00EA6DB1" w:rsidRPr="0071206E" w:rsidRDefault="00EA6DB1" w:rsidP="00610125">
            <w:pPr>
              <w:rPr>
                <w:rFonts w:asciiTheme="minorHAnsi" w:hAnsiTheme="minorHAnsi" w:cstheme="minorHAnsi"/>
                <w:b/>
                <w:i/>
                <w:iCs/>
                <w:sz w:val="22"/>
                <w:szCs w:val="22"/>
              </w:rPr>
            </w:pPr>
            <w:r w:rsidRPr="0071206E">
              <w:rPr>
                <w:rFonts w:asciiTheme="minorHAnsi" w:hAnsiTheme="minorHAnsi" w:cstheme="minorHAnsi"/>
                <w:b/>
                <w:i/>
                <w:iCs/>
                <w:sz w:val="22"/>
                <w:szCs w:val="22"/>
              </w:rPr>
              <w:t xml:space="preserve"> </w:t>
            </w:r>
          </w:p>
        </w:tc>
        <w:tc>
          <w:tcPr>
            <w:tcW w:w="7348" w:type="dxa"/>
            <w:shd w:val="clear" w:color="auto" w:fill="auto"/>
          </w:tcPr>
          <w:p w14:paraId="718334BD" w14:textId="26D4F311" w:rsidR="00EA6DB1" w:rsidRPr="0071206E" w:rsidRDefault="00205EEF" w:rsidP="00610125">
            <w:pPr>
              <w:rPr>
                <w:rFonts w:asciiTheme="minorHAnsi" w:hAnsiTheme="minorHAnsi" w:cstheme="minorHAnsi"/>
                <w:iCs/>
                <w:sz w:val="22"/>
                <w:szCs w:val="22"/>
              </w:rPr>
            </w:pPr>
            <w:r>
              <w:rPr>
                <w:rFonts w:asciiTheme="minorHAnsi" w:hAnsiTheme="minorHAnsi" w:cstheme="minorHAnsi"/>
                <w:sz w:val="22"/>
                <w:szCs w:val="22"/>
              </w:rPr>
              <w:t>n/a</w:t>
            </w:r>
          </w:p>
        </w:tc>
      </w:tr>
      <w:tr w:rsidR="00EA6DB1" w:rsidRPr="0071206E" w14:paraId="30834783" w14:textId="77777777" w:rsidTr="7A1375F1">
        <w:tc>
          <w:tcPr>
            <w:tcW w:w="2547" w:type="dxa"/>
          </w:tcPr>
          <w:p w14:paraId="6531C91E" w14:textId="6075FF7D"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6B2B5EF4"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2D6A00E4"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41FD611C" w14:textId="527D9304" w:rsidR="00EA6DB1" w:rsidRPr="0071206E" w:rsidRDefault="00205EEF" w:rsidP="00610125">
            <w:pPr>
              <w:spacing w:after="200"/>
              <w:rPr>
                <w:rFonts w:asciiTheme="minorHAnsi" w:hAnsiTheme="minorHAnsi" w:cstheme="minorHAnsi"/>
                <w:sz w:val="22"/>
                <w:szCs w:val="22"/>
              </w:rPr>
            </w:pPr>
            <w:r>
              <w:rPr>
                <w:rFonts w:asciiTheme="minorHAnsi" w:hAnsiTheme="minorHAnsi" w:cstheme="minorHAnsi"/>
                <w:sz w:val="22"/>
                <w:szCs w:val="22"/>
              </w:rPr>
              <w:t>n/a</w:t>
            </w:r>
          </w:p>
        </w:tc>
      </w:tr>
    </w:tbl>
    <w:p w14:paraId="375B4C59" w14:textId="77777777" w:rsidR="00EA6DB1" w:rsidRPr="0071206E" w:rsidRDefault="00EA6DB1" w:rsidP="00EA6DB1">
      <w:pPr>
        <w:rPr>
          <w:rFonts w:asciiTheme="minorHAnsi" w:hAnsiTheme="minorHAnsi" w:cstheme="minorHAnsi"/>
          <w:b/>
          <w:i/>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694ABC9A" w14:textId="77777777" w:rsidTr="7A1375F1">
        <w:tc>
          <w:tcPr>
            <w:tcW w:w="9895" w:type="dxa"/>
            <w:gridSpan w:val="2"/>
          </w:tcPr>
          <w:p w14:paraId="448CD16B" w14:textId="77777777" w:rsidR="00EA6DB1" w:rsidRPr="0071206E" w:rsidRDefault="00EA6DB1" w:rsidP="00610125">
            <w:pPr>
              <w:rPr>
                <w:rFonts w:asciiTheme="minorHAnsi" w:hAnsiTheme="minorHAnsi" w:cstheme="minorHAnsi"/>
                <w:i/>
                <w:iCs/>
                <w:sz w:val="22"/>
                <w:szCs w:val="22"/>
              </w:rPr>
            </w:pPr>
            <w:r w:rsidRPr="0071206E">
              <w:rPr>
                <w:rFonts w:asciiTheme="minorHAnsi" w:hAnsiTheme="minorHAnsi" w:cstheme="minorHAnsi"/>
                <w:i/>
                <w:iCs/>
                <w:sz w:val="22"/>
                <w:szCs w:val="22"/>
              </w:rPr>
              <w:t xml:space="preserve">Outcome 3 - Individual, institutional and planning capacities for IGE action strengthened at the </w:t>
            </w:r>
            <w:r w:rsidRPr="0071206E">
              <w:rPr>
                <w:rFonts w:asciiTheme="minorHAnsi" w:hAnsiTheme="minorHAnsi" w:cstheme="minorHAnsi"/>
                <w:i/>
                <w:iCs/>
                <w:sz w:val="22"/>
                <w:szCs w:val="22"/>
                <w:u w:val="single"/>
              </w:rPr>
              <w:t>national</w:t>
            </w:r>
            <w:r w:rsidRPr="0071206E">
              <w:rPr>
                <w:rFonts w:asciiTheme="minorHAnsi" w:hAnsiTheme="minorHAnsi" w:cstheme="minorHAnsi"/>
                <w:i/>
                <w:iCs/>
                <w:sz w:val="22"/>
                <w:szCs w:val="22"/>
              </w:rPr>
              <w:t xml:space="preserve"> and (global) level.</w:t>
            </w:r>
          </w:p>
        </w:tc>
      </w:tr>
      <w:tr w:rsidR="00EA6DB1" w:rsidRPr="0071206E" w14:paraId="77895501" w14:textId="77777777" w:rsidTr="7A1375F1">
        <w:tc>
          <w:tcPr>
            <w:tcW w:w="2547" w:type="dxa"/>
          </w:tcPr>
          <w:p w14:paraId="73324BC4" w14:textId="0D2071ED"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76DF52C9" w:rsidRPr="0071206E">
              <w:rPr>
                <w:rFonts w:asciiTheme="minorHAnsi" w:hAnsiTheme="minorHAnsi" w:cstheme="minorHAnsi"/>
                <w:b/>
                <w:bCs/>
                <w:sz w:val="22"/>
                <w:szCs w:val="22"/>
              </w:rPr>
              <w:t>4</w:t>
            </w:r>
          </w:p>
          <w:p w14:paraId="6B9186A7" w14:textId="77777777" w:rsidR="00EA6DB1" w:rsidRPr="0071206E" w:rsidRDefault="00EA6DB1" w:rsidP="00610125">
            <w:pPr>
              <w:rPr>
                <w:rFonts w:asciiTheme="minorHAnsi" w:hAnsiTheme="minorHAnsi" w:cstheme="minorHAnsi"/>
                <w:b/>
                <w:i/>
                <w:iCs/>
                <w:sz w:val="22"/>
                <w:szCs w:val="22"/>
              </w:rPr>
            </w:pPr>
            <w:r w:rsidRPr="0071206E">
              <w:rPr>
                <w:rFonts w:asciiTheme="minorHAnsi" w:hAnsiTheme="minorHAnsi" w:cstheme="minorHAnsi"/>
                <w:b/>
                <w:i/>
                <w:iCs/>
                <w:sz w:val="22"/>
                <w:szCs w:val="22"/>
              </w:rPr>
              <w:t xml:space="preserve"> </w:t>
            </w:r>
          </w:p>
        </w:tc>
        <w:tc>
          <w:tcPr>
            <w:tcW w:w="7348" w:type="dxa"/>
          </w:tcPr>
          <w:p w14:paraId="48E79699" w14:textId="367DD100" w:rsidR="00EA6DB1" w:rsidRPr="0071206E" w:rsidRDefault="00205EEF" w:rsidP="00610125">
            <w:pPr>
              <w:rPr>
                <w:rFonts w:asciiTheme="minorHAnsi" w:hAnsiTheme="minorHAnsi" w:cstheme="minorHAnsi"/>
                <w:iCs/>
                <w:sz w:val="22"/>
                <w:szCs w:val="22"/>
              </w:rPr>
            </w:pPr>
            <w:r>
              <w:rPr>
                <w:rFonts w:asciiTheme="minorHAnsi" w:hAnsiTheme="minorHAnsi" w:cstheme="minorHAnsi"/>
                <w:sz w:val="22"/>
                <w:szCs w:val="22"/>
              </w:rPr>
              <w:t>n/a</w:t>
            </w:r>
          </w:p>
        </w:tc>
      </w:tr>
      <w:tr w:rsidR="00EA6DB1" w:rsidRPr="0071206E" w14:paraId="6022E0A0" w14:textId="77777777" w:rsidTr="7A1375F1">
        <w:tc>
          <w:tcPr>
            <w:tcW w:w="2547" w:type="dxa"/>
          </w:tcPr>
          <w:p w14:paraId="6A8EF701" w14:textId="0025D333"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7706951A"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07770D99"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09A6D415" w14:textId="13C7D0F5" w:rsidR="00EA6DB1" w:rsidRPr="0071206E" w:rsidRDefault="00205EEF" w:rsidP="00610125">
            <w:pPr>
              <w:spacing w:after="200"/>
              <w:rPr>
                <w:rFonts w:asciiTheme="minorHAnsi" w:hAnsiTheme="minorHAnsi" w:cstheme="minorHAnsi"/>
                <w:sz w:val="22"/>
                <w:szCs w:val="22"/>
              </w:rPr>
            </w:pPr>
            <w:r>
              <w:rPr>
                <w:rFonts w:asciiTheme="minorHAnsi" w:hAnsiTheme="minorHAnsi" w:cstheme="minorHAnsi"/>
                <w:sz w:val="22"/>
                <w:szCs w:val="22"/>
              </w:rPr>
              <w:t>n/a</w:t>
            </w:r>
          </w:p>
        </w:tc>
      </w:tr>
    </w:tbl>
    <w:p w14:paraId="35104067" w14:textId="77777777" w:rsidR="00EA6DB1" w:rsidRPr="0071206E" w:rsidRDefault="00EA6DB1" w:rsidP="00EA6DB1">
      <w:pPr>
        <w:rPr>
          <w:rFonts w:asciiTheme="minorHAnsi" w:hAnsiTheme="minorHAnsi" w:cstheme="minorHAnsi"/>
          <w:b/>
          <w:i/>
          <w:iCs/>
          <w:sz w:val="22"/>
          <w:szCs w:val="22"/>
        </w:rPr>
      </w:pPr>
    </w:p>
    <w:tbl>
      <w:tblPr>
        <w:tblStyle w:val="TableGrid"/>
        <w:tblW w:w="9895" w:type="dxa"/>
        <w:tblLook w:val="04A0" w:firstRow="1" w:lastRow="0" w:firstColumn="1" w:lastColumn="0" w:noHBand="0" w:noVBand="1"/>
      </w:tblPr>
      <w:tblGrid>
        <w:gridCol w:w="2535"/>
        <w:gridCol w:w="7360"/>
      </w:tblGrid>
      <w:tr w:rsidR="00EA6DB1" w:rsidRPr="0071206E" w14:paraId="0FDC5EA9" w14:textId="77777777" w:rsidTr="7A1375F1">
        <w:tc>
          <w:tcPr>
            <w:tcW w:w="9895" w:type="dxa"/>
            <w:gridSpan w:val="2"/>
          </w:tcPr>
          <w:p w14:paraId="4B8386EF" w14:textId="77777777" w:rsidR="00EA6DB1" w:rsidRPr="0071206E" w:rsidRDefault="00EA6DB1" w:rsidP="00610125">
            <w:pPr>
              <w:rPr>
                <w:rFonts w:asciiTheme="minorHAnsi" w:hAnsiTheme="minorHAnsi" w:cstheme="minorHAnsi"/>
                <w:iCs/>
                <w:sz w:val="22"/>
                <w:szCs w:val="22"/>
              </w:rPr>
            </w:pPr>
            <w:r w:rsidRPr="0071206E">
              <w:rPr>
                <w:rFonts w:asciiTheme="minorHAnsi" w:hAnsiTheme="minorHAnsi" w:cstheme="minorHAnsi"/>
                <w:bCs/>
                <w:iCs/>
                <w:sz w:val="22"/>
                <w:szCs w:val="22"/>
              </w:rPr>
              <w:lastRenderedPageBreak/>
              <w:t xml:space="preserve">Outcome 4 - </w:t>
            </w:r>
            <w:r w:rsidRPr="0071206E">
              <w:rPr>
                <w:rFonts w:asciiTheme="minorHAnsi" w:hAnsiTheme="minorHAnsi" w:cstheme="minorHAnsi"/>
                <w:bCs/>
                <w:i/>
                <w:sz w:val="22"/>
                <w:szCs w:val="22"/>
              </w:rPr>
              <w:t>National and regional stakeholders, including green economy champions, decision-makers, practitioners, and youth representatives, access and apply knowledge for advancing IGE.</w:t>
            </w:r>
          </w:p>
        </w:tc>
      </w:tr>
      <w:tr w:rsidR="00EA6DB1" w:rsidRPr="0071206E" w14:paraId="27686502" w14:textId="77777777" w:rsidTr="7A1375F1">
        <w:tc>
          <w:tcPr>
            <w:tcW w:w="2535" w:type="dxa"/>
          </w:tcPr>
          <w:p w14:paraId="14283916" w14:textId="0B493910"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06D9DD1D" w:rsidRPr="0071206E">
              <w:rPr>
                <w:rFonts w:asciiTheme="minorHAnsi" w:hAnsiTheme="minorHAnsi" w:cstheme="minorHAnsi"/>
                <w:b/>
                <w:bCs/>
                <w:sz w:val="22"/>
                <w:szCs w:val="22"/>
              </w:rPr>
              <w:t>4</w:t>
            </w:r>
          </w:p>
          <w:p w14:paraId="6622C39A" w14:textId="77777777" w:rsidR="00EA6DB1" w:rsidRPr="0071206E" w:rsidRDefault="00EA6DB1" w:rsidP="00610125">
            <w:pPr>
              <w:rPr>
                <w:rFonts w:asciiTheme="minorHAnsi" w:hAnsiTheme="minorHAnsi" w:cstheme="minorHAnsi"/>
                <w:b/>
                <w:iCs/>
                <w:sz w:val="22"/>
                <w:szCs w:val="22"/>
              </w:rPr>
            </w:pPr>
          </w:p>
        </w:tc>
        <w:tc>
          <w:tcPr>
            <w:tcW w:w="7360" w:type="dxa"/>
            <w:vAlign w:val="center"/>
          </w:tcPr>
          <w:p w14:paraId="5EB6D724" w14:textId="73A80651" w:rsidR="00EA6DB1" w:rsidRPr="0071206E" w:rsidRDefault="00205EEF" w:rsidP="00610125">
            <w:pPr>
              <w:rPr>
                <w:rFonts w:asciiTheme="minorHAnsi" w:hAnsiTheme="minorHAnsi" w:cstheme="minorHAnsi"/>
                <w:iCs/>
                <w:sz w:val="22"/>
                <w:szCs w:val="22"/>
              </w:rPr>
            </w:pPr>
            <w:r>
              <w:rPr>
                <w:rFonts w:asciiTheme="minorHAnsi" w:hAnsiTheme="minorHAnsi" w:cstheme="minorHAnsi"/>
                <w:sz w:val="22"/>
                <w:szCs w:val="22"/>
              </w:rPr>
              <w:t>n/a</w:t>
            </w:r>
          </w:p>
        </w:tc>
      </w:tr>
    </w:tbl>
    <w:p w14:paraId="6AF7CAE7" w14:textId="77777777" w:rsidR="00EA6DB1" w:rsidRPr="0071206E" w:rsidRDefault="00EA6DB1" w:rsidP="00EA6DB1">
      <w:pPr>
        <w:rPr>
          <w:rFonts w:asciiTheme="minorHAnsi" w:hAnsiTheme="minorHAnsi" w:cstheme="minorHAnsi"/>
          <w:b/>
          <w:iCs/>
          <w:sz w:val="22"/>
          <w:szCs w:val="22"/>
        </w:rPr>
      </w:pPr>
    </w:p>
    <w:p w14:paraId="6F0888F4" w14:textId="77777777" w:rsidR="002F4EE0" w:rsidRDefault="002F4EE0" w:rsidP="00EA6DB1">
      <w:pPr>
        <w:jc w:val="center"/>
        <w:rPr>
          <w:rFonts w:asciiTheme="minorHAnsi" w:hAnsiTheme="minorHAnsi" w:cstheme="minorHAnsi"/>
          <w:b/>
          <w:iCs/>
          <w:sz w:val="22"/>
          <w:szCs w:val="22"/>
        </w:rPr>
      </w:pPr>
    </w:p>
    <w:p w14:paraId="49B4C7B3" w14:textId="77777777" w:rsidR="002F4EE0" w:rsidRDefault="002F4EE0" w:rsidP="00EA6DB1">
      <w:pPr>
        <w:jc w:val="center"/>
        <w:rPr>
          <w:rFonts w:asciiTheme="minorHAnsi" w:hAnsiTheme="minorHAnsi" w:cstheme="minorHAnsi"/>
          <w:b/>
          <w:iCs/>
          <w:sz w:val="22"/>
          <w:szCs w:val="22"/>
        </w:rPr>
      </w:pPr>
    </w:p>
    <w:p w14:paraId="2A45F347" w14:textId="357AF925" w:rsidR="00EA6DB1" w:rsidRPr="0071206E" w:rsidRDefault="005A08AF" w:rsidP="00EA6DB1">
      <w:pPr>
        <w:jc w:val="center"/>
        <w:rPr>
          <w:rFonts w:asciiTheme="minorHAnsi" w:hAnsiTheme="minorHAnsi" w:cstheme="minorHAnsi"/>
          <w:b/>
          <w:iCs/>
          <w:sz w:val="22"/>
          <w:szCs w:val="22"/>
        </w:rPr>
      </w:pPr>
      <w:r w:rsidRPr="0071206E">
        <w:rPr>
          <w:rFonts w:asciiTheme="minorHAnsi" w:hAnsiTheme="minorHAnsi" w:cstheme="minorHAnsi"/>
          <w:b/>
          <w:iCs/>
          <w:sz w:val="22"/>
          <w:szCs w:val="22"/>
        </w:rPr>
        <w:t>UNDP</w:t>
      </w:r>
      <w:r w:rsidR="00EA6DB1" w:rsidRPr="0071206E">
        <w:rPr>
          <w:rFonts w:asciiTheme="minorHAnsi" w:hAnsiTheme="minorHAnsi" w:cstheme="minorHAnsi"/>
          <w:b/>
          <w:iCs/>
          <w:sz w:val="22"/>
          <w:szCs w:val="22"/>
        </w:rPr>
        <w:t xml:space="preserve"> - URUGUAY</w:t>
      </w:r>
    </w:p>
    <w:p w14:paraId="5892A709" w14:textId="77777777" w:rsidR="00EA6DB1" w:rsidRPr="0071206E" w:rsidRDefault="00EA6DB1" w:rsidP="00EA6DB1">
      <w:pPr>
        <w:rPr>
          <w:rFonts w:asciiTheme="minorHAnsi" w:hAnsiTheme="minorHAnsi" w:cstheme="minorHAnsi"/>
          <w:b/>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74752741" w14:textId="77777777" w:rsidTr="7A1375F1">
        <w:tc>
          <w:tcPr>
            <w:tcW w:w="9895" w:type="dxa"/>
            <w:gridSpan w:val="2"/>
          </w:tcPr>
          <w:p w14:paraId="0D1EDF9C" w14:textId="77777777" w:rsidR="00EA6DB1" w:rsidRPr="0071206E" w:rsidRDefault="00EA6DB1" w:rsidP="00610125">
            <w:pPr>
              <w:rPr>
                <w:rFonts w:asciiTheme="minorHAnsi" w:hAnsiTheme="minorHAnsi" w:cstheme="minorHAnsi"/>
                <w:i/>
                <w:iCs/>
                <w:sz w:val="22"/>
                <w:szCs w:val="22"/>
              </w:rPr>
            </w:pPr>
            <w:r w:rsidRPr="0071206E">
              <w:rPr>
                <w:rFonts w:asciiTheme="minorHAnsi" w:hAnsiTheme="minorHAnsi" w:cstheme="minorHAnsi"/>
                <w:i/>
                <w:iCs/>
                <w:sz w:val="22"/>
                <w:szCs w:val="22"/>
              </w:rPr>
              <w:t>Outcome 1- Countries have reinforced and integrated inclusive green economy (IGE) goals targets into SDG aligned national economic and development planning through multi-stakeholder collaboration.</w:t>
            </w:r>
          </w:p>
        </w:tc>
      </w:tr>
      <w:tr w:rsidR="00EA6DB1" w:rsidRPr="0071206E" w14:paraId="5757C8F2" w14:textId="77777777" w:rsidTr="7A1375F1">
        <w:tc>
          <w:tcPr>
            <w:tcW w:w="2547" w:type="dxa"/>
          </w:tcPr>
          <w:p w14:paraId="4D6FE2AC" w14:textId="6EE1F301"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5DABE755" w:rsidRPr="0071206E">
              <w:rPr>
                <w:rFonts w:asciiTheme="minorHAnsi" w:hAnsiTheme="minorHAnsi" w:cstheme="minorHAnsi"/>
                <w:b/>
                <w:bCs/>
                <w:sz w:val="22"/>
                <w:szCs w:val="22"/>
              </w:rPr>
              <w:t>4</w:t>
            </w:r>
          </w:p>
          <w:p w14:paraId="5857B647" w14:textId="77777777" w:rsidR="00EA6DB1" w:rsidRPr="0071206E" w:rsidRDefault="00EA6DB1" w:rsidP="00610125">
            <w:pPr>
              <w:rPr>
                <w:rFonts w:asciiTheme="minorHAnsi" w:hAnsiTheme="minorHAnsi" w:cstheme="minorHAnsi"/>
                <w:b/>
                <w:i/>
                <w:iCs/>
                <w:sz w:val="22"/>
                <w:szCs w:val="22"/>
              </w:rPr>
            </w:pPr>
          </w:p>
        </w:tc>
        <w:tc>
          <w:tcPr>
            <w:tcW w:w="7348" w:type="dxa"/>
          </w:tcPr>
          <w:p w14:paraId="37F89ACF" w14:textId="10073DED" w:rsidR="00EA6DB1" w:rsidRPr="0071206E" w:rsidRDefault="00205EEF" w:rsidP="00610125">
            <w:pPr>
              <w:rPr>
                <w:rFonts w:asciiTheme="minorHAnsi" w:hAnsiTheme="minorHAnsi" w:cstheme="minorHAnsi"/>
                <w:sz w:val="22"/>
                <w:szCs w:val="22"/>
              </w:rPr>
            </w:pPr>
            <w:r>
              <w:rPr>
                <w:rFonts w:asciiTheme="minorHAnsi" w:hAnsiTheme="minorHAnsi" w:cstheme="minorHAnsi"/>
                <w:sz w:val="22"/>
                <w:szCs w:val="22"/>
              </w:rPr>
              <w:t>n/a</w:t>
            </w:r>
          </w:p>
        </w:tc>
      </w:tr>
      <w:tr w:rsidR="00EA6DB1" w:rsidRPr="0071206E" w14:paraId="05404AE7" w14:textId="77777777" w:rsidTr="7A1375F1">
        <w:tc>
          <w:tcPr>
            <w:tcW w:w="2547" w:type="dxa"/>
          </w:tcPr>
          <w:p w14:paraId="5DC4CC45" w14:textId="21AAE8ED"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42052ACE"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69838609"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61DD6388" w14:textId="00DF612D" w:rsidR="00EA6DB1" w:rsidRPr="0071206E" w:rsidRDefault="00205EEF" w:rsidP="00610125">
            <w:pPr>
              <w:spacing w:after="200"/>
              <w:rPr>
                <w:rFonts w:asciiTheme="minorHAnsi" w:hAnsiTheme="minorHAnsi" w:cstheme="minorHAnsi"/>
                <w:sz w:val="22"/>
                <w:szCs w:val="22"/>
              </w:rPr>
            </w:pPr>
            <w:r>
              <w:rPr>
                <w:rFonts w:asciiTheme="minorHAnsi" w:hAnsiTheme="minorHAnsi" w:cstheme="minorHAnsi"/>
                <w:sz w:val="22"/>
                <w:szCs w:val="22"/>
              </w:rPr>
              <w:t>n/a</w:t>
            </w:r>
          </w:p>
        </w:tc>
      </w:tr>
    </w:tbl>
    <w:p w14:paraId="0E862204" w14:textId="77777777" w:rsidR="00EA6DB1" w:rsidRPr="0071206E" w:rsidRDefault="00EA6DB1" w:rsidP="00EA6DB1">
      <w:pPr>
        <w:rPr>
          <w:rFonts w:asciiTheme="minorHAnsi" w:hAnsiTheme="minorHAnsi" w:cstheme="minorHAnsi"/>
          <w:b/>
          <w:i/>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32AF818B" w14:textId="77777777" w:rsidTr="7A1375F1">
        <w:tc>
          <w:tcPr>
            <w:tcW w:w="9895" w:type="dxa"/>
            <w:gridSpan w:val="2"/>
          </w:tcPr>
          <w:p w14:paraId="4AD3995E" w14:textId="7C082DFA" w:rsidR="00EA6DB1" w:rsidRPr="0071206E" w:rsidRDefault="00EA6DB1" w:rsidP="7A1375F1">
            <w:pPr>
              <w:rPr>
                <w:rFonts w:asciiTheme="minorHAnsi" w:hAnsiTheme="minorHAnsi" w:cstheme="minorHAnsi"/>
                <w:b/>
                <w:bCs/>
                <w:i/>
                <w:iCs/>
                <w:sz w:val="22"/>
                <w:szCs w:val="22"/>
              </w:rPr>
            </w:pPr>
            <w:r w:rsidRPr="0071206E">
              <w:rPr>
                <w:rFonts w:asciiTheme="minorHAnsi" w:hAnsiTheme="minorHAnsi" w:cstheme="minorHAnsi"/>
                <w:i/>
                <w:iCs/>
                <w:sz w:val="22"/>
                <w:szCs w:val="22"/>
              </w:rPr>
              <w:t xml:space="preserve">Outcome 2 - Countries are implementing </w:t>
            </w:r>
            <w:r w:rsidR="6F4AE523" w:rsidRPr="0071206E">
              <w:rPr>
                <w:rFonts w:asciiTheme="minorHAnsi" w:hAnsiTheme="minorHAnsi" w:cstheme="minorHAnsi"/>
                <w:i/>
                <w:iCs/>
                <w:sz w:val="22"/>
                <w:szCs w:val="22"/>
              </w:rPr>
              <w:t>evidence-based</w:t>
            </w:r>
            <w:r w:rsidRPr="0071206E">
              <w:rPr>
                <w:rFonts w:asciiTheme="minorHAnsi" w:hAnsiTheme="minorHAnsi" w:cstheme="minorHAnsi"/>
                <w:i/>
                <w:iCs/>
                <w:sz w:val="22"/>
                <w:szCs w:val="22"/>
              </w:rPr>
              <w:t xml:space="preserve"> sectoral and thematic reforms in line with national IGE priorities.</w:t>
            </w:r>
          </w:p>
        </w:tc>
      </w:tr>
      <w:tr w:rsidR="00EA6DB1" w:rsidRPr="0071206E" w14:paraId="455AF946" w14:textId="77777777" w:rsidTr="7A1375F1">
        <w:tc>
          <w:tcPr>
            <w:tcW w:w="2547" w:type="dxa"/>
            <w:shd w:val="clear" w:color="auto" w:fill="auto"/>
          </w:tcPr>
          <w:p w14:paraId="12097589" w14:textId="0DE01C50"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116B9685" w:rsidRPr="0071206E">
              <w:rPr>
                <w:rFonts w:asciiTheme="minorHAnsi" w:hAnsiTheme="minorHAnsi" w:cstheme="minorHAnsi"/>
                <w:b/>
                <w:bCs/>
                <w:sz w:val="22"/>
                <w:szCs w:val="22"/>
              </w:rPr>
              <w:t>4</w:t>
            </w:r>
          </w:p>
          <w:p w14:paraId="0FEEB98D" w14:textId="77777777" w:rsidR="00EA6DB1" w:rsidRPr="0071206E" w:rsidRDefault="00EA6DB1" w:rsidP="00610125">
            <w:pPr>
              <w:rPr>
                <w:rFonts w:asciiTheme="minorHAnsi" w:hAnsiTheme="minorHAnsi" w:cstheme="minorHAnsi"/>
                <w:b/>
                <w:i/>
                <w:iCs/>
                <w:sz w:val="22"/>
                <w:szCs w:val="22"/>
              </w:rPr>
            </w:pPr>
            <w:r w:rsidRPr="0071206E">
              <w:rPr>
                <w:rFonts w:asciiTheme="minorHAnsi" w:hAnsiTheme="minorHAnsi" w:cstheme="minorHAnsi"/>
                <w:b/>
                <w:i/>
                <w:iCs/>
                <w:sz w:val="22"/>
                <w:szCs w:val="22"/>
              </w:rPr>
              <w:t xml:space="preserve"> </w:t>
            </w:r>
          </w:p>
        </w:tc>
        <w:tc>
          <w:tcPr>
            <w:tcW w:w="7348" w:type="dxa"/>
            <w:shd w:val="clear" w:color="auto" w:fill="auto"/>
          </w:tcPr>
          <w:p w14:paraId="54511337" w14:textId="149FB80B" w:rsidR="00EA6DB1" w:rsidRPr="0071206E" w:rsidRDefault="00205EEF" w:rsidP="00610125">
            <w:pPr>
              <w:rPr>
                <w:rFonts w:asciiTheme="minorHAnsi" w:hAnsiTheme="minorHAnsi" w:cstheme="minorHAnsi"/>
                <w:iCs/>
                <w:sz w:val="22"/>
                <w:szCs w:val="22"/>
              </w:rPr>
            </w:pPr>
            <w:r>
              <w:rPr>
                <w:rFonts w:asciiTheme="minorHAnsi" w:hAnsiTheme="minorHAnsi" w:cstheme="minorHAnsi"/>
                <w:sz w:val="22"/>
                <w:szCs w:val="22"/>
              </w:rPr>
              <w:t>n/a</w:t>
            </w:r>
          </w:p>
        </w:tc>
      </w:tr>
      <w:tr w:rsidR="00EA6DB1" w:rsidRPr="0071206E" w14:paraId="330F16B3" w14:textId="77777777" w:rsidTr="7A1375F1">
        <w:tc>
          <w:tcPr>
            <w:tcW w:w="2547" w:type="dxa"/>
          </w:tcPr>
          <w:p w14:paraId="4E19D988" w14:textId="4ECBFAE7"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2D62E8AA"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68D8F3C2"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50BB0DD9" w14:textId="4E64366B" w:rsidR="00EA6DB1" w:rsidRPr="0071206E" w:rsidRDefault="00205EEF" w:rsidP="00610125">
            <w:pPr>
              <w:spacing w:after="200"/>
              <w:rPr>
                <w:rFonts w:asciiTheme="minorHAnsi" w:hAnsiTheme="minorHAnsi" w:cstheme="minorHAnsi"/>
                <w:sz w:val="22"/>
                <w:szCs w:val="22"/>
              </w:rPr>
            </w:pPr>
            <w:r>
              <w:rPr>
                <w:rFonts w:asciiTheme="minorHAnsi" w:hAnsiTheme="minorHAnsi" w:cstheme="minorHAnsi"/>
                <w:sz w:val="22"/>
                <w:szCs w:val="22"/>
              </w:rPr>
              <w:t>n/a</w:t>
            </w:r>
          </w:p>
        </w:tc>
      </w:tr>
    </w:tbl>
    <w:p w14:paraId="64E694D6" w14:textId="77777777" w:rsidR="00EA6DB1" w:rsidRPr="0071206E" w:rsidRDefault="00EA6DB1" w:rsidP="00EA6DB1">
      <w:pPr>
        <w:rPr>
          <w:rFonts w:asciiTheme="minorHAnsi" w:hAnsiTheme="minorHAnsi" w:cstheme="minorHAnsi"/>
          <w:b/>
          <w:i/>
          <w:iCs/>
          <w:sz w:val="22"/>
          <w:szCs w:val="22"/>
        </w:rPr>
      </w:pPr>
    </w:p>
    <w:tbl>
      <w:tblPr>
        <w:tblStyle w:val="TableGrid"/>
        <w:tblW w:w="0" w:type="auto"/>
        <w:tblLook w:val="04A0" w:firstRow="1" w:lastRow="0" w:firstColumn="1" w:lastColumn="0" w:noHBand="0" w:noVBand="1"/>
      </w:tblPr>
      <w:tblGrid>
        <w:gridCol w:w="2547"/>
        <w:gridCol w:w="7348"/>
      </w:tblGrid>
      <w:tr w:rsidR="00EA6DB1" w:rsidRPr="0071206E" w14:paraId="07DAFF54" w14:textId="77777777" w:rsidTr="7A1375F1">
        <w:tc>
          <w:tcPr>
            <w:tcW w:w="9895" w:type="dxa"/>
            <w:gridSpan w:val="2"/>
          </w:tcPr>
          <w:p w14:paraId="7CE8BE57" w14:textId="77777777" w:rsidR="00EA6DB1" w:rsidRPr="0071206E" w:rsidRDefault="00EA6DB1" w:rsidP="00610125">
            <w:pPr>
              <w:rPr>
                <w:rFonts w:asciiTheme="minorHAnsi" w:hAnsiTheme="minorHAnsi" w:cstheme="minorHAnsi"/>
                <w:i/>
                <w:iCs/>
                <w:sz w:val="22"/>
                <w:szCs w:val="22"/>
              </w:rPr>
            </w:pPr>
            <w:r w:rsidRPr="0071206E">
              <w:rPr>
                <w:rFonts w:asciiTheme="minorHAnsi" w:hAnsiTheme="minorHAnsi" w:cstheme="minorHAnsi"/>
                <w:i/>
                <w:iCs/>
                <w:sz w:val="22"/>
                <w:szCs w:val="22"/>
              </w:rPr>
              <w:t xml:space="preserve">Outcome 3 - Individual, institutional and planning capacities for IGE action strengthened at the </w:t>
            </w:r>
            <w:r w:rsidRPr="0071206E">
              <w:rPr>
                <w:rFonts w:asciiTheme="minorHAnsi" w:hAnsiTheme="minorHAnsi" w:cstheme="minorHAnsi"/>
                <w:i/>
                <w:iCs/>
                <w:sz w:val="22"/>
                <w:szCs w:val="22"/>
                <w:u w:val="single"/>
              </w:rPr>
              <w:t>national</w:t>
            </w:r>
            <w:r w:rsidRPr="0071206E">
              <w:rPr>
                <w:rFonts w:asciiTheme="minorHAnsi" w:hAnsiTheme="minorHAnsi" w:cstheme="minorHAnsi"/>
                <w:i/>
                <w:iCs/>
                <w:sz w:val="22"/>
                <w:szCs w:val="22"/>
              </w:rPr>
              <w:t xml:space="preserve"> and (global) level.</w:t>
            </w:r>
          </w:p>
        </w:tc>
      </w:tr>
      <w:tr w:rsidR="00EA6DB1" w:rsidRPr="0071206E" w14:paraId="48017A75" w14:textId="77777777" w:rsidTr="7A1375F1">
        <w:tc>
          <w:tcPr>
            <w:tcW w:w="2547" w:type="dxa"/>
          </w:tcPr>
          <w:p w14:paraId="7781E665" w14:textId="4FB7E99F"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594B9400" w:rsidRPr="0071206E">
              <w:rPr>
                <w:rFonts w:asciiTheme="minorHAnsi" w:hAnsiTheme="minorHAnsi" w:cstheme="minorHAnsi"/>
                <w:b/>
                <w:bCs/>
                <w:sz w:val="22"/>
                <w:szCs w:val="22"/>
              </w:rPr>
              <w:t>4</w:t>
            </w:r>
          </w:p>
          <w:p w14:paraId="4D70A953" w14:textId="77777777" w:rsidR="00EA6DB1" w:rsidRPr="0071206E" w:rsidRDefault="00EA6DB1" w:rsidP="00610125">
            <w:pPr>
              <w:rPr>
                <w:rFonts w:asciiTheme="minorHAnsi" w:hAnsiTheme="minorHAnsi" w:cstheme="minorHAnsi"/>
                <w:b/>
                <w:i/>
                <w:iCs/>
                <w:sz w:val="22"/>
                <w:szCs w:val="22"/>
              </w:rPr>
            </w:pPr>
            <w:r w:rsidRPr="0071206E">
              <w:rPr>
                <w:rFonts w:asciiTheme="minorHAnsi" w:hAnsiTheme="minorHAnsi" w:cstheme="minorHAnsi"/>
                <w:b/>
                <w:i/>
                <w:iCs/>
                <w:sz w:val="22"/>
                <w:szCs w:val="22"/>
              </w:rPr>
              <w:t xml:space="preserve"> </w:t>
            </w:r>
          </w:p>
        </w:tc>
        <w:tc>
          <w:tcPr>
            <w:tcW w:w="7348" w:type="dxa"/>
          </w:tcPr>
          <w:p w14:paraId="761CC012" w14:textId="75888398" w:rsidR="00EA6DB1" w:rsidRPr="0071206E" w:rsidRDefault="00205EEF" w:rsidP="00610125">
            <w:pPr>
              <w:rPr>
                <w:rFonts w:asciiTheme="minorHAnsi" w:hAnsiTheme="minorHAnsi" w:cstheme="minorHAnsi"/>
                <w:iCs/>
                <w:sz w:val="22"/>
                <w:szCs w:val="22"/>
              </w:rPr>
            </w:pPr>
            <w:r>
              <w:rPr>
                <w:rFonts w:asciiTheme="minorHAnsi" w:hAnsiTheme="minorHAnsi" w:cstheme="minorHAnsi"/>
                <w:sz w:val="22"/>
                <w:szCs w:val="22"/>
              </w:rPr>
              <w:t>n/a</w:t>
            </w:r>
          </w:p>
        </w:tc>
      </w:tr>
      <w:tr w:rsidR="00EA6DB1" w:rsidRPr="0071206E" w14:paraId="0AB40221" w14:textId="77777777" w:rsidTr="7A1375F1">
        <w:tc>
          <w:tcPr>
            <w:tcW w:w="2547" w:type="dxa"/>
          </w:tcPr>
          <w:p w14:paraId="7BC3C785" w14:textId="7EBE7190" w:rsidR="00EA6DB1" w:rsidRPr="0071206E" w:rsidRDefault="00EA6DB1" w:rsidP="7A1375F1">
            <w:pPr>
              <w:rPr>
                <w:rFonts w:asciiTheme="minorHAnsi" w:hAnsiTheme="minorHAnsi" w:cstheme="minorHAnsi"/>
                <w:sz w:val="22"/>
                <w:szCs w:val="22"/>
              </w:rPr>
            </w:pPr>
            <w:r w:rsidRPr="0071206E">
              <w:rPr>
                <w:rFonts w:asciiTheme="minorHAnsi" w:hAnsiTheme="minorHAnsi" w:cstheme="minorHAnsi"/>
                <w:b/>
                <w:bCs/>
                <w:sz w:val="22"/>
                <w:szCs w:val="22"/>
              </w:rPr>
              <w:t xml:space="preserve">Key </w:t>
            </w:r>
            <w:r w:rsidR="4855D4C5" w:rsidRPr="0071206E">
              <w:rPr>
                <w:rFonts w:asciiTheme="minorHAnsi" w:hAnsiTheme="minorHAnsi" w:cstheme="minorHAnsi"/>
                <w:b/>
                <w:bCs/>
                <w:sz w:val="22"/>
                <w:szCs w:val="22"/>
              </w:rPr>
              <w:t>a</w:t>
            </w:r>
            <w:r w:rsidRPr="0071206E">
              <w:rPr>
                <w:rFonts w:asciiTheme="minorHAnsi" w:hAnsiTheme="minorHAnsi" w:cstheme="minorHAnsi"/>
                <w:b/>
                <w:bCs/>
                <w:sz w:val="22"/>
                <w:szCs w:val="22"/>
              </w:rPr>
              <w:t>chievements 202</w:t>
            </w:r>
            <w:r w:rsidR="296A9B64" w:rsidRPr="0071206E">
              <w:rPr>
                <w:rFonts w:asciiTheme="minorHAnsi" w:hAnsiTheme="minorHAnsi" w:cstheme="minorHAnsi"/>
                <w:b/>
                <w:bCs/>
                <w:sz w:val="22"/>
                <w:szCs w:val="22"/>
              </w:rPr>
              <w:t>4</w:t>
            </w:r>
            <w:r w:rsidRPr="0071206E">
              <w:rPr>
                <w:rFonts w:asciiTheme="minorHAnsi" w:hAnsiTheme="minorHAnsi" w:cstheme="minorHAnsi"/>
                <w:sz w:val="22"/>
                <w:szCs w:val="22"/>
              </w:rPr>
              <w:t xml:space="preserve"> (Add. Support for Green Recovery)</w:t>
            </w:r>
          </w:p>
        </w:tc>
        <w:tc>
          <w:tcPr>
            <w:tcW w:w="7348" w:type="dxa"/>
          </w:tcPr>
          <w:p w14:paraId="20CA4489" w14:textId="112D42C7" w:rsidR="00EA6DB1" w:rsidRPr="0071206E" w:rsidRDefault="00205EEF" w:rsidP="00610125">
            <w:pPr>
              <w:spacing w:after="200"/>
              <w:rPr>
                <w:rFonts w:asciiTheme="minorHAnsi" w:hAnsiTheme="minorHAnsi" w:cstheme="minorHAnsi"/>
                <w:sz w:val="22"/>
                <w:szCs w:val="22"/>
              </w:rPr>
            </w:pPr>
            <w:r>
              <w:rPr>
                <w:rFonts w:asciiTheme="minorHAnsi" w:hAnsiTheme="minorHAnsi" w:cstheme="minorHAnsi"/>
                <w:sz w:val="22"/>
                <w:szCs w:val="22"/>
              </w:rPr>
              <w:t>n/a</w:t>
            </w:r>
          </w:p>
        </w:tc>
      </w:tr>
    </w:tbl>
    <w:p w14:paraId="36C274F8" w14:textId="77777777" w:rsidR="00EA6DB1" w:rsidRPr="0071206E" w:rsidRDefault="00EA6DB1" w:rsidP="00EA6DB1">
      <w:pPr>
        <w:rPr>
          <w:rFonts w:asciiTheme="minorHAnsi" w:hAnsiTheme="minorHAnsi" w:cstheme="minorHAnsi"/>
          <w:b/>
          <w:iCs/>
          <w:sz w:val="22"/>
          <w:szCs w:val="22"/>
        </w:rPr>
      </w:pPr>
    </w:p>
    <w:tbl>
      <w:tblPr>
        <w:tblStyle w:val="TableGrid"/>
        <w:tblW w:w="9895" w:type="dxa"/>
        <w:tblLook w:val="04A0" w:firstRow="1" w:lastRow="0" w:firstColumn="1" w:lastColumn="0" w:noHBand="0" w:noVBand="1"/>
      </w:tblPr>
      <w:tblGrid>
        <w:gridCol w:w="2475"/>
        <w:gridCol w:w="7420"/>
      </w:tblGrid>
      <w:tr w:rsidR="00EA6DB1" w:rsidRPr="0071206E" w14:paraId="02A612EF" w14:textId="77777777" w:rsidTr="7A1375F1">
        <w:tc>
          <w:tcPr>
            <w:tcW w:w="9895" w:type="dxa"/>
            <w:gridSpan w:val="2"/>
          </w:tcPr>
          <w:p w14:paraId="5D0E24C9" w14:textId="77777777" w:rsidR="00EA6DB1" w:rsidRPr="0071206E" w:rsidRDefault="00EA6DB1" w:rsidP="00610125">
            <w:pPr>
              <w:rPr>
                <w:rFonts w:asciiTheme="minorHAnsi" w:hAnsiTheme="minorHAnsi" w:cstheme="minorHAnsi"/>
                <w:iCs/>
                <w:sz w:val="22"/>
                <w:szCs w:val="22"/>
              </w:rPr>
            </w:pPr>
            <w:r w:rsidRPr="0071206E">
              <w:rPr>
                <w:rFonts w:asciiTheme="minorHAnsi" w:hAnsiTheme="minorHAnsi" w:cstheme="minorHAnsi"/>
                <w:bCs/>
                <w:iCs/>
                <w:sz w:val="22"/>
                <w:szCs w:val="22"/>
              </w:rPr>
              <w:t xml:space="preserve">Outcome 4 - </w:t>
            </w:r>
            <w:r w:rsidRPr="0071206E">
              <w:rPr>
                <w:rFonts w:asciiTheme="minorHAnsi" w:hAnsiTheme="minorHAnsi" w:cstheme="minorHAnsi"/>
                <w:bCs/>
                <w:i/>
                <w:sz w:val="22"/>
                <w:szCs w:val="22"/>
              </w:rPr>
              <w:t>National and regional stakeholders, including green economy champions, decision-makers, practitioners, and youth representatives, access and apply knowledge for advancing IGE.</w:t>
            </w:r>
          </w:p>
        </w:tc>
      </w:tr>
      <w:tr w:rsidR="00EA6DB1" w:rsidRPr="0071206E" w14:paraId="5EE7EF7E" w14:textId="77777777" w:rsidTr="7A1375F1">
        <w:tc>
          <w:tcPr>
            <w:tcW w:w="2475" w:type="dxa"/>
          </w:tcPr>
          <w:p w14:paraId="3830FB1E" w14:textId="4F69AEA5" w:rsidR="00EA6DB1" w:rsidRPr="0071206E" w:rsidRDefault="00EA6DB1" w:rsidP="7A1375F1">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1F214D9A" w:rsidRPr="0071206E">
              <w:rPr>
                <w:rFonts w:asciiTheme="minorHAnsi" w:hAnsiTheme="minorHAnsi" w:cstheme="minorHAnsi"/>
                <w:b/>
                <w:bCs/>
                <w:sz w:val="22"/>
                <w:szCs w:val="22"/>
              </w:rPr>
              <w:t>4</w:t>
            </w:r>
          </w:p>
          <w:p w14:paraId="4A1E92C1" w14:textId="77777777" w:rsidR="00EA6DB1" w:rsidRPr="0071206E" w:rsidRDefault="00EA6DB1" w:rsidP="00610125">
            <w:pPr>
              <w:rPr>
                <w:rFonts w:asciiTheme="minorHAnsi" w:hAnsiTheme="minorHAnsi" w:cstheme="minorHAnsi"/>
                <w:b/>
                <w:iCs/>
                <w:sz w:val="22"/>
                <w:szCs w:val="22"/>
              </w:rPr>
            </w:pPr>
          </w:p>
        </w:tc>
        <w:tc>
          <w:tcPr>
            <w:tcW w:w="7420" w:type="dxa"/>
            <w:vAlign w:val="center"/>
          </w:tcPr>
          <w:p w14:paraId="15D0DD2F" w14:textId="4182E1EC" w:rsidR="009D3DF9" w:rsidRPr="00D8559A" w:rsidRDefault="00EC0653" w:rsidP="00295652">
            <w:pPr>
              <w:rPr>
                <w:rFonts w:asciiTheme="minorHAnsi" w:hAnsiTheme="minorHAnsi" w:cstheme="minorHAnsi"/>
                <w:color w:val="000000" w:themeColor="text1"/>
                <w:sz w:val="22"/>
                <w:szCs w:val="22"/>
              </w:rPr>
            </w:pPr>
            <w:r w:rsidRPr="00D8559A">
              <w:rPr>
                <w:rFonts w:asciiTheme="minorHAnsi" w:eastAsia="Times New Roman" w:hAnsiTheme="minorHAnsi" w:cstheme="minorHAnsi"/>
                <w:color w:val="333333"/>
                <w:sz w:val="22"/>
                <w:szCs w:val="22"/>
              </w:rPr>
              <w:t xml:space="preserve">PAGE Program has contributed to Uruguay's climate action by addressing key priorities across sectors, such as improving GHG emission estimates, supporting wood-based social housing projects, and promoting sustainable tourism through the "Green Tourism" certification. In line with the country's commitment to making the most efficient use of PAGE's support and fostering innovative and impactful opportunities, the Ministry of Environment has prioritized the pilot project "Geothermal Heating and Cooling in a School in the </w:t>
            </w:r>
            <w:proofErr w:type="spellStart"/>
            <w:r w:rsidRPr="00D8559A">
              <w:rPr>
                <w:rFonts w:asciiTheme="minorHAnsi" w:eastAsia="Times New Roman" w:hAnsiTheme="minorHAnsi" w:cstheme="minorHAnsi"/>
                <w:color w:val="333333"/>
                <w:sz w:val="22"/>
                <w:szCs w:val="22"/>
              </w:rPr>
              <w:t>Raigón</w:t>
            </w:r>
            <w:proofErr w:type="spellEnd"/>
            <w:r w:rsidRPr="00D8559A">
              <w:rPr>
                <w:rFonts w:asciiTheme="minorHAnsi" w:eastAsia="Times New Roman" w:hAnsiTheme="minorHAnsi" w:cstheme="minorHAnsi"/>
                <w:color w:val="333333"/>
                <w:sz w:val="22"/>
                <w:szCs w:val="22"/>
              </w:rPr>
              <w:t xml:space="preserve"> Aquifer". This initiative is complemented by funding from the Ministry of Environment</w:t>
            </w:r>
            <w:r w:rsidR="00FB4E31">
              <w:rPr>
                <w:rFonts w:asciiTheme="minorHAnsi" w:eastAsia="Times New Roman" w:hAnsiTheme="minorHAnsi" w:cstheme="minorHAnsi"/>
                <w:color w:val="333333"/>
                <w:sz w:val="22"/>
                <w:szCs w:val="22"/>
              </w:rPr>
              <w:t xml:space="preserve"> and</w:t>
            </w:r>
            <w:r w:rsidR="002027F9" w:rsidRPr="00D8559A">
              <w:rPr>
                <w:rFonts w:asciiTheme="minorHAnsi" w:eastAsia="Times New Roman" w:hAnsiTheme="minorHAnsi" w:cstheme="minorHAnsi"/>
                <w:color w:val="333333"/>
                <w:sz w:val="22"/>
                <w:szCs w:val="22"/>
              </w:rPr>
              <w:t xml:space="preserve"> reflects the Ministry's goal of utilizing PAGE resources to explore innovative experiences across multiple sectors, generate lessons learned, and contribute to </w:t>
            </w:r>
            <w:r w:rsidR="002027F9" w:rsidRPr="00D8559A">
              <w:rPr>
                <w:rFonts w:asciiTheme="minorHAnsi" w:eastAsia="Times New Roman" w:hAnsiTheme="minorHAnsi" w:cstheme="minorHAnsi"/>
                <w:color w:val="333333"/>
                <w:sz w:val="22"/>
                <w:szCs w:val="22"/>
              </w:rPr>
              <w:lastRenderedPageBreak/>
              <w:t xml:space="preserve">Uruguay's strategic policies in climate action and sustainable energy. </w:t>
            </w:r>
            <w:r w:rsidR="00BD7967" w:rsidRPr="00D8559A">
              <w:rPr>
                <w:rFonts w:asciiTheme="minorHAnsi" w:hAnsiTheme="minorHAnsi" w:cstheme="minorHAnsi"/>
                <w:color w:val="000000" w:themeColor="text1"/>
                <w:sz w:val="22"/>
                <w:szCs w:val="22"/>
              </w:rPr>
              <w:t>In 2023, the Ministry of Environment</w:t>
            </w:r>
            <w:r w:rsidR="00046A79" w:rsidRPr="00D8559A">
              <w:rPr>
                <w:rFonts w:asciiTheme="minorHAnsi" w:hAnsiTheme="minorHAnsi" w:cstheme="minorHAnsi"/>
                <w:color w:val="000000" w:themeColor="text1"/>
                <w:sz w:val="22"/>
                <w:szCs w:val="22"/>
              </w:rPr>
              <w:t xml:space="preserve"> and</w:t>
            </w:r>
            <w:r w:rsidR="00BD7967" w:rsidRPr="00D8559A">
              <w:rPr>
                <w:rFonts w:asciiTheme="minorHAnsi" w:hAnsiTheme="minorHAnsi" w:cstheme="minorHAnsi"/>
                <w:color w:val="000000" w:themeColor="text1"/>
                <w:sz w:val="22"/>
                <w:szCs w:val="22"/>
              </w:rPr>
              <w:t xml:space="preserve"> UNDP</w:t>
            </w:r>
            <w:r w:rsidR="00416A85" w:rsidRPr="00D8559A">
              <w:rPr>
                <w:rFonts w:asciiTheme="minorHAnsi" w:hAnsiTheme="minorHAnsi" w:cstheme="minorHAnsi"/>
                <w:color w:val="000000" w:themeColor="text1"/>
                <w:sz w:val="22"/>
                <w:szCs w:val="22"/>
              </w:rPr>
              <w:t xml:space="preserve"> have agreed on the revised </w:t>
            </w:r>
            <w:r w:rsidR="002027F9" w:rsidRPr="00D8559A">
              <w:rPr>
                <w:rFonts w:asciiTheme="minorHAnsi" w:hAnsiTheme="minorHAnsi" w:cstheme="minorHAnsi"/>
                <w:color w:val="000000" w:themeColor="text1"/>
                <w:sz w:val="22"/>
                <w:szCs w:val="22"/>
              </w:rPr>
              <w:t xml:space="preserve">PAGE </w:t>
            </w:r>
            <w:r w:rsidR="00416A85" w:rsidRPr="00D8559A">
              <w:rPr>
                <w:rFonts w:asciiTheme="minorHAnsi" w:hAnsiTheme="minorHAnsi" w:cstheme="minorHAnsi"/>
                <w:color w:val="000000" w:themeColor="text1"/>
                <w:sz w:val="22"/>
                <w:szCs w:val="22"/>
              </w:rPr>
              <w:t>activity</w:t>
            </w:r>
            <w:r w:rsidR="00BD7967" w:rsidRPr="00D8559A">
              <w:rPr>
                <w:rFonts w:asciiTheme="minorHAnsi" w:hAnsiTheme="minorHAnsi" w:cstheme="minorHAnsi"/>
                <w:color w:val="000000" w:themeColor="text1"/>
                <w:sz w:val="22"/>
                <w:szCs w:val="22"/>
              </w:rPr>
              <w:t xml:space="preserve"> aim</w:t>
            </w:r>
            <w:r w:rsidR="005C24D5" w:rsidRPr="00D8559A">
              <w:rPr>
                <w:rFonts w:asciiTheme="minorHAnsi" w:hAnsiTheme="minorHAnsi" w:cstheme="minorHAnsi"/>
                <w:color w:val="000000" w:themeColor="text1"/>
                <w:sz w:val="22"/>
                <w:szCs w:val="22"/>
              </w:rPr>
              <w:t>ed at</w:t>
            </w:r>
            <w:r w:rsidR="00BD7967" w:rsidRPr="00D8559A">
              <w:rPr>
                <w:rFonts w:asciiTheme="minorHAnsi" w:hAnsiTheme="minorHAnsi" w:cstheme="minorHAnsi"/>
                <w:color w:val="000000" w:themeColor="text1"/>
                <w:sz w:val="22"/>
                <w:szCs w:val="22"/>
              </w:rPr>
              <w:t xml:space="preserve"> install</w:t>
            </w:r>
            <w:r w:rsidR="007D2E4C" w:rsidRPr="00D8559A">
              <w:rPr>
                <w:rFonts w:asciiTheme="minorHAnsi" w:hAnsiTheme="minorHAnsi" w:cstheme="minorHAnsi"/>
                <w:color w:val="000000" w:themeColor="text1"/>
                <w:sz w:val="22"/>
                <w:szCs w:val="22"/>
              </w:rPr>
              <w:t>ing</w:t>
            </w:r>
            <w:r w:rsidR="00BD7967" w:rsidRPr="00D8559A">
              <w:rPr>
                <w:rFonts w:asciiTheme="minorHAnsi" w:hAnsiTheme="minorHAnsi" w:cstheme="minorHAnsi"/>
                <w:color w:val="000000" w:themeColor="text1"/>
                <w:sz w:val="22"/>
                <w:szCs w:val="22"/>
              </w:rPr>
              <w:t xml:space="preserve"> a geothermal heat pump system</w:t>
            </w:r>
            <w:r w:rsidR="007D2E4C" w:rsidRPr="00D8559A">
              <w:rPr>
                <w:rFonts w:asciiTheme="minorHAnsi" w:hAnsiTheme="minorHAnsi" w:cstheme="minorHAnsi"/>
                <w:color w:val="000000" w:themeColor="text1"/>
                <w:sz w:val="22"/>
                <w:szCs w:val="22"/>
              </w:rPr>
              <w:t xml:space="preserve"> at a public school</w:t>
            </w:r>
            <w:r w:rsidR="00BD7967" w:rsidRPr="00D8559A">
              <w:rPr>
                <w:rFonts w:asciiTheme="minorHAnsi" w:hAnsiTheme="minorHAnsi" w:cstheme="minorHAnsi"/>
                <w:color w:val="000000" w:themeColor="text1"/>
                <w:sz w:val="22"/>
                <w:szCs w:val="22"/>
              </w:rPr>
              <w:t>. This will allow further progress in the development and implementation of renewable energy alternatives to fossil fuels.</w:t>
            </w:r>
            <w:r w:rsidR="009D3DF9" w:rsidRPr="00D8559A">
              <w:rPr>
                <w:rFonts w:asciiTheme="minorHAnsi" w:hAnsiTheme="minorHAnsi" w:cstheme="minorHAnsi"/>
                <w:color w:val="000000" w:themeColor="text1"/>
                <w:sz w:val="22"/>
                <w:szCs w:val="22"/>
              </w:rPr>
              <w:t xml:space="preserve"> </w:t>
            </w:r>
            <w:r w:rsidR="009D3DF9" w:rsidRPr="00D8559A">
              <w:rPr>
                <w:rFonts w:asciiTheme="minorHAnsi" w:eastAsia="Times New Roman" w:hAnsiTheme="minorHAnsi" w:cstheme="minorHAnsi"/>
                <w:color w:val="333333"/>
                <w:sz w:val="22"/>
                <w:szCs w:val="22"/>
              </w:rPr>
              <w:t>This activity aligns with the National Climate Change Policy and Uruguay's Nationally Determined Contributions (NDCs) under the Paris Agreement. As Uruguay transitions further toward sustainable development following its successful decarbonization of the electricity matrix, this pilot project contributes by advancing renewable and alternative energy use, reducing GHG emissions, and fostering technological innovation.</w:t>
            </w:r>
          </w:p>
          <w:p w14:paraId="1A09B6F8" w14:textId="77777777" w:rsidR="009D3DF9" w:rsidRPr="00D8559A" w:rsidRDefault="009D3DF9" w:rsidP="00295652">
            <w:pPr>
              <w:rPr>
                <w:rFonts w:asciiTheme="minorHAnsi" w:hAnsiTheme="minorHAnsi" w:cstheme="minorHAnsi"/>
                <w:color w:val="000000" w:themeColor="text1"/>
                <w:sz w:val="22"/>
                <w:szCs w:val="22"/>
              </w:rPr>
            </w:pPr>
          </w:p>
          <w:p w14:paraId="11F0D354" w14:textId="7A2398B6" w:rsidR="00EA6DB1" w:rsidRPr="00D8559A" w:rsidRDefault="009D3DF9" w:rsidP="00D8559A">
            <w:pPr>
              <w:rPr>
                <w:rFonts w:asciiTheme="minorHAnsi" w:hAnsiTheme="minorHAnsi" w:cstheme="minorHAnsi"/>
                <w:sz w:val="22"/>
                <w:szCs w:val="22"/>
              </w:rPr>
            </w:pPr>
            <w:r w:rsidRPr="00D8559A">
              <w:rPr>
                <w:rFonts w:asciiTheme="minorHAnsi" w:hAnsiTheme="minorHAnsi" w:cstheme="minorHAnsi"/>
                <w:color w:val="000000" w:themeColor="text1"/>
                <w:sz w:val="22"/>
                <w:szCs w:val="22"/>
              </w:rPr>
              <w:t xml:space="preserve">In 2024, </w:t>
            </w:r>
            <w:r w:rsidR="00A94ACA" w:rsidRPr="00D8559A">
              <w:rPr>
                <w:rFonts w:asciiTheme="minorHAnsi" w:eastAsia="Times New Roman" w:hAnsiTheme="minorHAnsi" w:cstheme="minorHAnsi"/>
                <w:color w:val="333333"/>
                <w:sz w:val="22"/>
                <w:szCs w:val="22"/>
              </w:rPr>
              <w:t xml:space="preserve">UNDP worked with its national counterparts to </w:t>
            </w:r>
            <w:r w:rsidR="000B25D3" w:rsidRPr="00D8559A">
              <w:rPr>
                <w:rFonts w:asciiTheme="minorHAnsi" w:eastAsia="Times New Roman" w:hAnsiTheme="minorHAnsi" w:cstheme="minorHAnsi"/>
                <w:color w:val="333333"/>
                <w:sz w:val="22"/>
                <w:szCs w:val="22"/>
              </w:rPr>
              <w:t xml:space="preserve">fully </w:t>
            </w:r>
            <w:r w:rsidR="00A94ACA" w:rsidRPr="00D8559A">
              <w:rPr>
                <w:rFonts w:asciiTheme="minorHAnsi" w:eastAsia="Times New Roman" w:hAnsiTheme="minorHAnsi" w:cstheme="minorHAnsi"/>
                <w:color w:val="333333"/>
                <w:sz w:val="22"/>
                <w:szCs w:val="22"/>
              </w:rPr>
              <w:t>design the</w:t>
            </w:r>
            <w:r w:rsidR="00295652" w:rsidRPr="00D8559A">
              <w:rPr>
                <w:rFonts w:asciiTheme="minorHAnsi" w:eastAsia="Times New Roman" w:hAnsiTheme="minorHAnsi" w:cstheme="minorHAnsi"/>
                <w:color w:val="333333"/>
                <w:sz w:val="22"/>
                <w:szCs w:val="22"/>
              </w:rPr>
              <w:t xml:space="preserve"> geothermal heat pump project</w:t>
            </w:r>
            <w:r w:rsidR="000B25D3" w:rsidRPr="00D8559A">
              <w:rPr>
                <w:rFonts w:asciiTheme="minorHAnsi" w:eastAsia="Times New Roman" w:hAnsiTheme="minorHAnsi" w:cstheme="minorHAnsi"/>
                <w:color w:val="333333"/>
                <w:sz w:val="22"/>
                <w:szCs w:val="22"/>
              </w:rPr>
              <w:t xml:space="preserve"> for a</w:t>
            </w:r>
            <w:r w:rsidR="00295652" w:rsidRPr="00D8559A">
              <w:rPr>
                <w:rFonts w:asciiTheme="minorHAnsi" w:eastAsia="Times New Roman" w:hAnsiTheme="minorHAnsi" w:cstheme="minorHAnsi"/>
                <w:color w:val="333333"/>
                <w:sz w:val="22"/>
                <w:szCs w:val="22"/>
              </w:rPr>
              <w:t xml:space="preserve"> selected school. The terms of reference with technical specifications and the call for proposals </w:t>
            </w:r>
            <w:r w:rsidR="000B25D3" w:rsidRPr="00D8559A">
              <w:rPr>
                <w:rFonts w:asciiTheme="minorHAnsi" w:eastAsia="Times New Roman" w:hAnsiTheme="minorHAnsi" w:cstheme="minorHAnsi"/>
                <w:color w:val="333333"/>
                <w:sz w:val="22"/>
                <w:szCs w:val="22"/>
              </w:rPr>
              <w:t>have been</w:t>
            </w:r>
            <w:r w:rsidR="00295652" w:rsidRPr="00D8559A">
              <w:rPr>
                <w:rFonts w:asciiTheme="minorHAnsi" w:eastAsia="Times New Roman" w:hAnsiTheme="minorHAnsi" w:cstheme="minorHAnsi"/>
                <w:color w:val="333333"/>
                <w:sz w:val="22"/>
                <w:szCs w:val="22"/>
              </w:rPr>
              <w:t xml:space="preserve"> finalized.  </w:t>
            </w:r>
            <w:r w:rsidR="00331B87" w:rsidRPr="00D8559A">
              <w:rPr>
                <w:rFonts w:asciiTheme="minorHAnsi" w:eastAsia="Times New Roman" w:hAnsiTheme="minorHAnsi" w:cstheme="minorHAnsi"/>
                <w:color w:val="333333"/>
                <w:sz w:val="22"/>
                <w:szCs w:val="22"/>
              </w:rPr>
              <w:t>T</w:t>
            </w:r>
            <w:r w:rsidR="00295652" w:rsidRPr="00D8559A">
              <w:rPr>
                <w:rFonts w:asciiTheme="minorHAnsi" w:eastAsia="Times New Roman" w:hAnsiTheme="minorHAnsi" w:cstheme="minorHAnsi"/>
                <w:color w:val="333333"/>
                <w:sz w:val="22"/>
                <w:szCs w:val="22"/>
              </w:rPr>
              <w:t xml:space="preserve">he installation </w:t>
            </w:r>
            <w:r w:rsidR="00331B87" w:rsidRPr="00D8559A">
              <w:rPr>
                <w:rFonts w:asciiTheme="minorHAnsi" w:eastAsia="Times New Roman" w:hAnsiTheme="minorHAnsi" w:cstheme="minorHAnsi"/>
                <w:color w:val="333333"/>
                <w:sz w:val="22"/>
                <w:szCs w:val="22"/>
              </w:rPr>
              <w:t>will be completed in 2025</w:t>
            </w:r>
            <w:r w:rsidR="00295652" w:rsidRPr="00D8559A">
              <w:rPr>
                <w:rFonts w:asciiTheme="minorHAnsi" w:eastAsia="Times New Roman" w:hAnsiTheme="minorHAnsi" w:cstheme="minorHAnsi"/>
                <w:color w:val="333333"/>
                <w:sz w:val="22"/>
                <w:szCs w:val="22"/>
              </w:rPr>
              <w:t>. </w:t>
            </w:r>
          </w:p>
        </w:tc>
      </w:tr>
    </w:tbl>
    <w:p w14:paraId="02DB9489" w14:textId="77777777" w:rsidR="00EA6DB1" w:rsidRPr="0071206E" w:rsidRDefault="00EA6DB1" w:rsidP="00EA6DB1">
      <w:pPr>
        <w:jc w:val="center"/>
        <w:rPr>
          <w:rFonts w:asciiTheme="minorHAnsi" w:hAnsiTheme="minorHAnsi" w:cstheme="minorHAnsi"/>
          <w:b/>
          <w:iCs/>
          <w:sz w:val="22"/>
          <w:szCs w:val="22"/>
        </w:rPr>
      </w:pPr>
    </w:p>
    <w:p w14:paraId="7C345420" w14:textId="77777777" w:rsidR="00AE6BC7" w:rsidRPr="0071206E" w:rsidRDefault="00AE6BC7" w:rsidP="005A62A2">
      <w:pPr>
        <w:jc w:val="center"/>
        <w:rPr>
          <w:rFonts w:asciiTheme="minorHAnsi" w:hAnsiTheme="minorHAnsi" w:cstheme="minorHAnsi"/>
          <w:b/>
          <w:iCs/>
          <w:sz w:val="22"/>
          <w:szCs w:val="22"/>
        </w:rPr>
      </w:pPr>
    </w:p>
    <w:p w14:paraId="723EFE44" w14:textId="77777777" w:rsidR="00E14752" w:rsidRPr="0071206E" w:rsidRDefault="00E14752" w:rsidP="00E14752">
      <w:pPr>
        <w:rPr>
          <w:rFonts w:asciiTheme="minorHAnsi" w:hAnsiTheme="minorHAnsi" w:cstheme="minorHAnsi"/>
          <w:b/>
          <w:iCs/>
          <w:sz w:val="22"/>
          <w:szCs w:val="22"/>
        </w:rPr>
      </w:pPr>
    </w:p>
    <w:p w14:paraId="75AD59AE" w14:textId="77777777" w:rsidR="00E14752" w:rsidRPr="0071206E" w:rsidRDefault="00E14752" w:rsidP="00E14752">
      <w:pPr>
        <w:rPr>
          <w:rFonts w:asciiTheme="minorHAnsi" w:hAnsiTheme="minorHAnsi" w:cstheme="minorHAnsi"/>
          <w:b/>
          <w:iCs/>
          <w:sz w:val="22"/>
          <w:szCs w:val="22"/>
        </w:rPr>
      </w:pPr>
    </w:p>
    <w:p w14:paraId="16566678" w14:textId="77777777" w:rsidR="00E14752" w:rsidRPr="0071206E" w:rsidRDefault="00E14752" w:rsidP="007B5561">
      <w:pPr>
        <w:pStyle w:val="ListParagraph"/>
        <w:numPr>
          <w:ilvl w:val="0"/>
          <w:numId w:val="1"/>
        </w:numPr>
        <w:rPr>
          <w:rFonts w:asciiTheme="minorHAnsi" w:hAnsiTheme="minorHAnsi" w:cstheme="minorHAnsi"/>
          <w:b/>
          <w:iCs/>
          <w:sz w:val="22"/>
          <w:szCs w:val="22"/>
        </w:rPr>
      </w:pPr>
      <w:r w:rsidRPr="0071206E">
        <w:rPr>
          <w:rFonts w:asciiTheme="minorHAnsi" w:hAnsiTheme="minorHAnsi" w:cstheme="minorHAnsi"/>
          <w:b/>
          <w:iCs/>
          <w:sz w:val="22"/>
          <w:szCs w:val="22"/>
        </w:rPr>
        <w:t>Project Title:  UNDP – PAGE Workplan (UNDP Special Project)</w:t>
      </w:r>
    </w:p>
    <w:p w14:paraId="0BA5BF9F" w14:textId="77777777" w:rsidR="00E14752" w:rsidRPr="0071206E" w:rsidRDefault="00E14752" w:rsidP="00E14752">
      <w:pPr>
        <w:rPr>
          <w:rFonts w:asciiTheme="minorHAnsi" w:hAnsiTheme="minorHAnsi" w:cstheme="minorHAnsi"/>
          <w:b/>
          <w:iCs/>
          <w:sz w:val="22"/>
          <w:szCs w:val="22"/>
        </w:rPr>
      </w:pPr>
    </w:p>
    <w:p w14:paraId="70B4E8D0" w14:textId="77777777" w:rsidR="00E14752" w:rsidRPr="0071206E" w:rsidRDefault="00E14752" w:rsidP="007B5561">
      <w:pPr>
        <w:pStyle w:val="ListParagraph"/>
        <w:numPr>
          <w:ilvl w:val="0"/>
          <w:numId w:val="2"/>
        </w:numPr>
        <w:rPr>
          <w:rFonts w:asciiTheme="minorHAnsi" w:hAnsiTheme="minorHAnsi" w:cstheme="minorHAnsi"/>
          <w:b/>
          <w:iCs/>
          <w:sz w:val="22"/>
          <w:szCs w:val="22"/>
        </w:rPr>
      </w:pPr>
      <w:r w:rsidRPr="0071206E">
        <w:rPr>
          <w:rFonts w:asciiTheme="minorHAnsi" w:hAnsiTheme="minorHAnsi" w:cstheme="minorHAnsi"/>
          <w:b/>
          <w:iCs/>
          <w:sz w:val="22"/>
          <w:szCs w:val="22"/>
        </w:rPr>
        <w:t>MPTF Project Number:  110737</w:t>
      </w:r>
    </w:p>
    <w:p w14:paraId="67545A4A" w14:textId="77777777" w:rsidR="00E14752" w:rsidRPr="0071206E" w:rsidRDefault="00E14752" w:rsidP="00E14752">
      <w:pPr>
        <w:rPr>
          <w:rFonts w:asciiTheme="minorHAnsi" w:hAnsiTheme="minorHAnsi" w:cstheme="minorHAnsi"/>
          <w:b/>
          <w:iCs/>
          <w:sz w:val="22"/>
          <w:szCs w:val="22"/>
        </w:rPr>
      </w:pPr>
    </w:p>
    <w:p w14:paraId="0E5562D0" w14:textId="76F06CB8" w:rsidR="00E14752" w:rsidRPr="0071206E" w:rsidRDefault="00E14752" w:rsidP="00E14752">
      <w:pPr>
        <w:jc w:val="center"/>
        <w:rPr>
          <w:rFonts w:asciiTheme="minorHAnsi" w:hAnsiTheme="minorHAnsi" w:cstheme="minorHAnsi"/>
          <w:b/>
          <w:iCs/>
          <w:sz w:val="22"/>
          <w:szCs w:val="22"/>
        </w:rPr>
      </w:pPr>
      <w:r w:rsidRPr="0071206E">
        <w:rPr>
          <w:rFonts w:asciiTheme="minorHAnsi" w:hAnsiTheme="minorHAnsi" w:cstheme="minorHAnsi"/>
          <w:b/>
          <w:iCs/>
          <w:sz w:val="22"/>
          <w:szCs w:val="22"/>
        </w:rPr>
        <w:t>UNDP Special Project – Country level</w:t>
      </w:r>
    </w:p>
    <w:p w14:paraId="7CBC8360" w14:textId="77777777" w:rsidR="00E14752" w:rsidRPr="0071206E" w:rsidRDefault="00E14752" w:rsidP="00E14752">
      <w:pPr>
        <w:rPr>
          <w:rFonts w:asciiTheme="minorHAnsi" w:hAnsiTheme="minorHAnsi" w:cstheme="minorHAnsi"/>
          <w:b/>
          <w:iCs/>
          <w:sz w:val="22"/>
          <w:szCs w:val="22"/>
          <w:highlight w:val="yellow"/>
        </w:rPr>
      </w:pPr>
    </w:p>
    <w:tbl>
      <w:tblPr>
        <w:tblStyle w:val="TableGrid12"/>
        <w:tblW w:w="0" w:type="auto"/>
        <w:tblLook w:val="04A0" w:firstRow="1" w:lastRow="0" w:firstColumn="1" w:lastColumn="0" w:noHBand="0" w:noVBand="1"/>
      </w:tblPr>
      <w:tblGrid>
        <w:gridCol w:w="1885"/>
        <w:gridCol w:w="8010"/>
      </w:tblGrid>
      <w:tr w:rsidR="00E14752" w:rsidRPr="0071206E" w14:paraId="5D970CA3" w14:textId="77777777" w:rsidTr="00B34BF0">
        <w:tc>
          <w:tcPr>
            <w:tcW w:w="9895" w:type="dxa"/>
            <w:gridSpan w:val="2"/>
          </w:tcPr>
          <w:p w14:paraId="6708F475" w14:textId="77777777" w:rsidR="00E14752" w:rsidRPr="0071206E" w:rsidRDefault="00E14752" w:rsidP="00B34BF0">
            <w:pPr>
              <w:rPr>
                <w:rFonts w:asciiTheme="minorHAnsi" w:hAnsiTheme="minorHAnsi" w:cstheme="minorHAnsi"/>
                <w:b/>
                <w:iCs/>
                <w:sz w:val="22"/>
                <w:szCs w:val="22"/>
                <w:highlight w:val="yellow"/>
              </w:rPr>
            </w:pPr>
            <w:r w:rsidRPr="0071206E">
              <w:rPr>
                <w:rFonts w:asciiTheme="minorHAnsi" w:hAnsiTheme="minorHAnsi" w:cstheme="minorHAnsi"/>
                <w:i/>
                <w:iCs/>
                <w:sz w:val="22"/>
                <w:szCs w:val="22"/>
              </w:rPr>
              <w:t xml:space="preserve">Outcome 2 - </w:t>
            </w:r>
            <w:r w:rsidRPr="0071206E">
              <w:rPr>
                <w:rFonts w:asciiTheme="minorHAnsi" w:hAnsiTheme="minorHAnsi" w:cstheme="minorHAnsi"/>
                <w:i/>
                <w:sz w:val="22"/>
                <w:szCs w:val="22"/>
              </w:rPr>
              <w:t>Countries</w:t>
            </w:r>
            <w:r w:rsidRPr="0071206E">
              <w:rPr>
                <w:rFonts w:asciiTheme="minorHAnsi" w:hAnsiTheme="minorHAnsi" w:cstheme="minorHAnsi"/>
                <w:i/>
                <w:iCs/>
                <w:sz w:val="22"/>
                <w:szCs w:val="22"/>
              </w:rPr>
              <w:t xml:space="preserve"> are implementing evidence based sectoral and thematic reforms in line with national IGE priorities</w:t>
            </w:r>
            <w:r w:rsidRPr="0071206E">
              <w:rPr>
                <w:rFonts w:asciiTheme="minorHAnsi" w:hAnsiTheme="minorHAnsi" w:cstheme="minorHAnsi"/>
                <w:iCs/>
                <w:sz w:val="22"/>
                <w:szCs w:val="22"/>
              </w:rPr>
              <w:t>.</w:t>
            </w:r>
          </w:p>
        </w:tc>
      </w:tr>
      <w:tr w:rsidR="00E14752" w:rsidRPr="0071206E" w14:paraId="12201794" w14:textId="77777777" w:rsidTr="00B34BF0">
        <w:tc>
          <w:tcPr>
            <w:tcW w:w="1885" w:type="dxa"/>
          </w:tcPr>
          <w:p w14:paraId="06CCA4C8" w14:textId="5DD7BE01" w:rsidR="00E14752" w:rsidRPr="0071206E" w:rsidRDefault="00E14752" w:rsidP="00B34BF0">
            <w:pPr>
              <w:rPr>
                <w:rFonts w:asciiTheme="minorHAnsi" w:hAnsiTheme="minorHAnsi" w:cstheme="minorHAnsi"/>
                <w:b/>
                <w:iCs/>
                <w:sz w:val="22"/>
                <w:szCs w:val="22"/>
              </w:rPr>
            </w:pPr>
            <w:r w:rsidRPr="0071206E">
              <w:rPr>
                <w:rFonts w:asciiTheme="minorHAnsi" w:hAnsiTheme="minorHAnsi" w:cstheme="minorHAnsi"/>
                <w:b/>
                <w:iCs/>
                <w:sz w:val="22"/>
                <w:szCs w:val="22"/>
              </w:rPr>
              <w:t>Key achievements in 202</w:t>
            </w:r>
            <w:r w:rsidR="00985179" w:rsidRPr="0071206E">
              <w:rPr>
                <w:rFonts w:asciiTheme="minorHAnsi" w:hAnsiTheme="minorHAnsi" w:cstheme="minorHAnsi"/>
                <w:b/>
                <w:iCs/>
                <w:sz w:val="22"/>
                <w:szCs w:val="22"/>
              </w:rPr>
              <w:t>4</w:t>
            </w:r>
          </w:p>
          <w:p w14:paraId="73DA3EC8" w14:textId="77777777" w:rsidR="00E14752" w:rsidRPr="0071206E" w:rsidRDefault="00E14752" w:rsidP="00B34BF0">
            <w:pPr>
              <w:rPr>
                <w:rFonts w:asciiTheme="minorHAnsi" w:hAnsiTheme="minorHAnsi" w:cstheme="minorHAnsi"/>
                <w:b/>
                <w:iCs/>
                <w:sz w:val="22"/>
                <w:szCs w:val="22"/>
                <w:highlight w:val="yellow"/>
              </w:rPr>
            </w:pPr>
          </w:p>
        </w:tc>
        <w:tc>
          <w:tcPr>
            <w:tcW w:w="8010" w:type="dxa"/>
          </w:tcPr>
          <w:p w14:paraId="77961C66" w14:textId="77777777" w:rsidR="003F6F2C" w:rsidRDefault="003F6F2C" w:rsidP="00B34BF0">
            <w:pPr>
              <w:rPr>
                <w:rFonts w:asciiTheme="minorHAnsi" w:eastAsia="Calibri" w:hAnsiTheme="minorHAnsi" w:cstheme="minorHAnsi"/>
                <w:sz w:val="22"/>
                <w:szCs w:val="22"/>
              </w:rPr>
            </w:pPr>
            <w:r>
              <w:rPr>
                <w:rFonts w:asciiTheme="minorHAnsi" w:eastAsia="Calibri" w:hAnsiTheme="minorHAnsi" w:cstheme="minorHAnsi"/>
                <w:sz w:val="22"/>
                <w:szCs w:val="22"/>
              </w:rPr>
              <w:t>n/a</w:t>
            </w:r>
          </w:p>
          <w:p w14:paraId="1BEA99EF" w14:textId="1144E958" w:rsidR="007939F3" w:rsidRPr="00CC31D5" w:rsidRDefault="001C5EA9" w:rsidP="007939F3">
            <w:pPr>
              <w:shd w:val="clear" w:color="auto" w:fill="FFFFFF"/>
              <w:jc w:val="left"/>
              <w:rPr>
                <w:rFonts w:asciiTheme="minorHAnsi" w:hAnsiTheme="minorHAnsi" w:cstheme="minorBidi"/>
                <w:sz w:val="22"/>
                <w:szCs w:val="22"/>
              </w:rPr>
            </w:pPr>
            <w:r>
              <w:rPr>
                <w:rFonts w:asciiTheme="minorHAnsi" w:hAnsiTheme="minorHAnsi" w:cstheme="minorHAnsi"/>
                <w:sz w:val="22"/>
                <w:szCs w:val="22"/>
              </w:rPr>
              <w:t xml:space="preserve"> </w:t>
            </w:r>
          </w:p>
        </w:tc>
      </w:tr>
    </w:tbl>
    <w:p w14:paraId="7435539E" w14:textId="77777777" w:rsidR="00E14752" w:rsidRPr="0071206E" w:rsidRDefault="00E14752" w:rsidP="00E14752">
      <w:pPr>
        <w:rPr>
          <w:rFonts w:asciiTheme="minorHAnsi" w:hAnsiTheme="minorHAnsi" w:cstheme="minorHAnsi"/>
          <w:b/>
          <w:iCs/>
          <w:sz w:val="22"/>
          <w:szCs w:val="22"/>
          <w:highlight w:val="yellow"/>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8365"/>
      </w:tblGrid>
      <w:tr w:rsidR="00E14752" w:rsidRPr="0071206E" w14:paraId="6F2DAD96" w14:textId="77777777" w:rsidTr="004E47EA">
        <w:tc>
          <w:tcPr>
            <w:tcW w:w="10250" w:type="dxa"/>
            <w:gridSpan w:val="2"/>
            <w:tcMar>
              <w:top w:w="0" w:type="dxa"/>
              <w:left w:w="108" w:type="dxa"/>
              <w:bottom w:w="0" w:type="dxa"/>
              <w:right w:w="108" w:type="dxa"/>
            </w:tcMar>
            <w:hideMark/>
          </w:tcPr>
          <w:p w14:paraId="3CD5BFD9" w14:textId="77777777" w:rsidR="00E14752" w:rsidRPr="0071206E" w:rsidRDefault="00E14752" w:rsidP="00B34BF0">
            <w:pPr>
              <w:rPr>
                <w:rFonts w:asciiTheme="minorHAnsi" w:hAnsiTheme="minorHAnsi" w:cstheme="minorHAnsi"/>
                <w:i/>
                <w:iCs/>
                <w:sz w:val="22"/>
                <w:szCs w:val="22"/>
              </w:rPr>
            </w:pPr>
            <w:r w:rsidRPr="0071206E">
              <w:rPr>
                <w:rFonts w:asciiTheme="minorHAnsi" w:hAnsiTheme="minorHAnsi" w:cstheme="minorHAnsi"/>
                <w:i/>
                <w:iCs/>
                <w:sz w:val="22"/>
                <w:szCs w:val="22"/>
              </w:rPr>
              <w:t xml:space="preserve">Outcome 3 - </w:t>
            </w:r>
            <w:r w:rsidRPr="0071206E">
              <w:rPr>
                <w:rFonts w:asciiTheme="minorHAnsi" w:hAnsiTheme="minorHAnsi" w:cstheme="minorHAnsi"/>
                <w:i/>
                <w:iCs/>
                <w:sz w:val="22"/>
                <w:szCs w:val="22"/>
                <w:lang w:val="en-GB"/>
              </w:rPr>
              <w:t>National and regional stakeholders, including green economy champions, decision-makers, practitioners, and youth representatives, access and apply knowledge for advancing IGE.</w:t>
            </w:r>
          </w:p>
        </w:tc>
      </w:tr>
      <w:tr w:rsidR="00E14752" w:rsidRPr="0071206E" w14:paraId="147E2778" w14:textId="77777777" w:rsidTr="004E47EA">
        <w:tc>
          <w:tcPr>
            <w:tcW w:w="1885" w:type="dxa"/>
            <w:tcMar>
              <w:top w:w="0" w:type="dxa"/>
              <w:left w:w="108" w:type="dxa"/>
              <w:bottom w:w="0" w:type="dxa"/>
              <w:right w:w="108" w:type="dxa"/>
            </w:tcMar>
          </w:tcPr>
          <w:p w14:paraId="525ABE5F" w14:textId="5B55C6A8" w:rsidR="00E14752" w:rsidRPr="0071206E" w:rsidRDefault="00E14752" w:rsidP="001C5EA9">
            <w:pPr>
              <w:rPr>
                <w:rFonts w:asciiTheme="minorHAnsi" w:hAnsiTheme="minorHAnsi" w:cstheme="minorHAnsi"/>
                <w:b/>
                <w:bCs/>
                <w:sz w:val="22"/>
                <w:szCs w:val="22"/>
              </w:rPr>
            </w:pPr>
            <w:r w:rsidRPr="0071206E">
              <w:rPr>
                <w:rFonts w:asciiTheme="minorHAnsi" w:hAnsiTheme="minorHAnsi" w:cstheme="minorHAnsi"/>
                <w:b/>
                <w:bCs/>
                <w:sz w:val="22"/>
                <w:szCs w:val="22"/>
              </w:rPr>
              <w:t>Key achievements in 202</w:t>
            </w:r>
            <w:r w:rsidR="00917742" w:rsidRPr="0071206E">
              <w:rPr>
                <w:rFonts w:asciiTheme="minorHAnsi" w:hAnsiTheme="minorHAnsi" w:cstheme="minorHAnsi"/>
                <w:b/>
                <w:bCs/>
                <w:sz w:val="22"/>
                <w:szCs w:val="22"/>
              </w:rPr>
              <w:t>4</w:t>
            </w:r>
          </w:p>
        </w:tc>
        <w:tc>
          <w:tcPr>
            <w:tcW w:w="8365" w:type="dxa"/>
            <w:tcMar>
              <w:top w:w="0" w:type="dxa"/>
              <w:left w:w="108" w:type="dxa"/>
              <w:bottom w:w="0" w:type="dxa"/>
              <w:right w:w="108" w:type="dxa"/>
            </w:tcMar>
          </w:tcPr>
          <w:p w14:paraId="163BF04B" w14:textId="1127C686" w:rsidR="00E14752" w:rsidRPr="0071206E" w:rsidRDefault="00917742" w:rsidP="00B34BF0">
            <w:pPr>
              <w:rPr>
                <w:rFonts w:asciiTheme="minorHAnsi" w:hAnsiTheme="minorHAnsi" w:cstheme="minorHAnsi"/>
                <w:sz w:val="22"/>
                <w:szCs w:val="22"/>
                <w:lang w:val="en-GB"/>
              </w:rPr>
            </w:pPr>
            <w:r w:rsidRPr="0071206E">
              <w:rPr>
                <w:rFonts w:asciiTheme="minorHAnsi" w:hAnsiTheme="minorHAnsi" w:cstheme="minorHAnsi"/>
                <w:sz w:val="22"/>
                <w:szCs w:val="22"/>
                <w:lang w:val="en-GB"/>
              </w:rPr>
              <w:t>n/a</w:t>
            </w:r>
          </w:p>
        </w:tc>
      </w:tr>
    </w:tbl>
    <w:p w14:paraId="46BCDF3D" w14:textId="77777777" w:rsidR="00E14752" w:rsidRPr="0071206E" w:rsidRDefault="00E14752" w:rsidP="00E14752">
      <w:pPr>
        <w:rPr>
          <w:rFonts w:asciiTheme="minorHAnsi" w:hAnsiTheme="minorHAnsi" w:cstheme="minorHAnsi"/>
          <w:b/>
          <w:iCs/>
          <w:sz w:val="22"/>
          <w:szCs w:val="22"/>
        </w:rPr>
      </w:pPr>
    </w:p>
    <w:p w14:paraId="14F33A94" w14:textId="77777777" w:rsidR="00E14752" w:rsidRPr="0071206E" w:rsidRDefault="00E14752" w:rsidP="00E14752">
      <w:pPr>
        <w:jc w:val="center"/>
        <w:rPr>
          <w:rFonts w:asciiTheme="minorHAnsi" w:hAnsiTheme="minorHAnsi" w:cstheme="minorHAnsi"/>
          <w:b/>
          <w:iCs/>
          <w:sz w:val="22"/>
          <w:szCs w:val="22"/>
          <w:highlight w:val="yellow"/>
        </w:rPr>
      </w:pPr>
    </w:p>
    <w:p w14:paraId="521B09CB" w14:textId="77777777" w:rsidR="00E14752" w:rsidRPr="0071206E" w:rsidRDefault="00E14752" w:rsidP="00E14752">
      <w:pPr>
        <w:jc w:val="center"/>
        <w:rPr>
          <w:rFonts w:asciiTheme="minorHAnsi" w:hAnsiTheme="minorHAnsi" w:cstheme="minorHAnsi"/>
          <w:b/>
          <w:iCs/>
          <w:sz w:val="22"/>
          <w:szCs w:val="22"/>
        </w:rPr>
      </w:pPr>
      <w:r w:rsidRPr="0071206E">
        <w:rPr>
          <w:rFonts w:asciiTheme="minorHAnsi" w:hAnsiTheme="minorHAnsi" w:cstheme="minorHAnsi"/>
          <w:b/>
          <w:iCs/>
          <w:sz w:val="22"/>
          <w:szCs w:val="22"/>
        </w:rPr>
        <w:t>UNDP Special Project – Global and Regional level</w:t>
      </w:r>
    </w:p>
    <w:p w14:paraId="72539C44" w14:textId="77777777" w:rsidR="00E14752" w:rsidRPr="0071206E" w:rsidRDefault="00E14752" w:rsidP="00E14752">
      <w:pPr>
        <w:rPr>
          <w:rFonts w:asciiTheme="minorHAnsi" w:hAnsiTheme="minorHAnsi" w:cstheme="minorHAnsi"/>
          <w:b/>
          <w:iCs/>
          <w:sz w:val="22"/>
          <w:szCs w:val="22"/>
        </w:rPr>
      </w:pPr>
    </w:p>
    <w:tbl>
      <w:tblPr>
        <w:tblStyle w:val="TableGrid"/>
        <w:tblW w:w="0" w:type="auto"/>
        <w:tblLook w:val="04A0" w:firstRow="1" w:lastRow="0" w:firstColumn="1" w:lastColumn="0" w:noHBand="0" w:noVBand="1"/>
      </w:tblPr>
      <w:tblGrid>
        <w:gridCol w:w="1975"/>
        <w:gridCol w:w="8239"/>
      </w:tblGrid>
      <w:tr w:rsidR="00E14752" w:rsidRPr="0071206E" w14:paraId="4390B8FE" w14:textId="77777777" w:rsidTr="424D5DAA">
        <w:tc>
          <w:tcPr>
            <w:tcW w:w="10214" w:type="dxa"/>
            <w:gridSpan w:val="2"/>
          </w:tcPr>
          <w:p w14:paraId="0C9ECFA6" w14:textId="77777777" w:rsidR="00E14752" w:rsidRPr="0071206E" w:rsidRDefault="00E14752" w:rsidP="00B34BF0">
            <w:pPr>
              <w:rPr>
                <w:rFonts w:asciiTheme="minorHAnsi" w:hAnsiTheme="minorHAnsi" w:cstheme="minorHAnsi"/>
                <w:iCs/>
                <w:sz w:val="22"/>
                <w:szCs w:val="22"/>
                <w:lang w:val="en-GB"/>
              </w:rPr>
            </w:pPr>
            <w:r w:rsidRPr="0071206E">
              <w:rPr>
                <w:rFonts w:asciiTheme="minorHAnsi" w:hAnsiTheme="minorHAnsi" w:cstheme="minorHAnsi"/>
                <w:bCs/>
                <w:iCs/>
                <w:sz w:val="22"/>
                <w:szCs w:val="22"/>
              </w:rPr>
              <w:t xml:space="preserve">Outcome 4 - </w:t>
            </w:r>
            <w:r w:rsidRPr="0071206E">
              <w:rPr>
                <w:rFonts w:asciiTheme="minorHAnsi" w:hAnsiTheme="minorHAnsi" w:cstheme="minorHAnsi"/>
                <w:bCs/>
                <w:i/>
                <w:sz w:val="22"/>
                <w:szCs w:val="22"/>
                <w:lang w:val="en-GB"/>
              </w:rPr>
              <w:t>National and regional stakeholders, including green economy champions, decision-makers, practitioners, and youth representatives, access and apply knowledge for advancing IGE.</w:t>
            </w:r>
          </w:p>
        </w:tc>
      </w:tr>
      <w:tr w:rsidR="00E14752" w:rsidRPr="0071206E" w14:paraId="3F6C4F40" w14:textId="77777777" w:rsidTr="001C5EA9">
        <w:trPr>
          <w:trHeight w:val="503"/>
        </w:trPr>
        <w:tc>
          <w:tcPr>
            <w:tcW w:w="1975" w:type="dxa"/>
          </w:tcPr>
          <w:p w14:paraId="39DE2C06" w14:textId="517B8817" w:rsidR="00E14752" w:rsidRPr="0071206E" w:rsidRDefault="00E14752" w:rsidP="001C5EA9">
            <w:pPr>
              <w:rPr>
                <w:rFonts w:asciiTheme="minorHAnsi" w:hAnsiTheme="minorHAnsi" w:cstheme="minorHAnsi"/>
                <w:b/>
                <w:iCs/>
                <w:sz w:val="22"/>
                <w:szCs w:val="22"/>
              </w:rPr>
            </w:pPr>
            <w:r w:rsidRPr="0071206E">
              <w:rPr>
                <w:rFonts w:asciiTheme="minorHAnsi" w:hAnsiTheme="minorHAnsi" w:cstheme="minorHAnsi"/>
                <w:b/>
                <w:iCs/>
                <w:sz w:val="22"/>
                <w:szCs w:val="22"/>
              </w:rPr>
              <w:t>Key achievements in 202</w:t>
            </w:r>
            <w:r w:rsidR="00985179" w:rsidRPr="0071206E">
              <w:rPr>
                <w:rFonts w:asciiTheme="minorHAnsi" w:hAnsiTheme="minorHAnsi" w:cstheme="minorHAnsi"/>
                <w:b/>
                <w:iCs/>
                <w:sz w:val="22"/>
                <w:szCs w:val="22"/>
              </w:rPr>
              <w:t>4</w:t>
            </w:r>
          </w:p>
        </w:tc>
        <w:tc>
          <w:tcPr>
            <w:tcW w:w="8239" w:type="dxa"/>
            <w:vAlign w:val="center"/>
          </w:tcPr>
          <w:p w14:paraId="23A3010F" w14:textId="17BD52F3" w:rsidR="00E14752" w:rsidRPr="0071206E" w:rsidRDefault="00B95102" w:rsidP="424D5DAA">
            <w:pPr>
              <w:ind w:left="76" w:right="76"/>
              <w:rPr>
                <w:rFonts w:asciiTheme="minorHAnsi" w:hAnsiTheme="minorHAnsi" w:cstheme="minorBidi"/>
                <w:sz w:val="22"/>
                <w:szCs w:val="22"/>
              </w:rPr>
            </w:pPr>
            <w:r w:rsidRPr="424D5DAA">
              <w:rPr>
                <w:rFonts w:asciiTheme="minorHAnsi" w:hAnsiTheme="minorHAnsi" w:cstheme="minorBidi"/>
                <w:sz w:val="22"/>
                <w:szCs w:val="22"/>
              </w:rPr>
              <w:t>N</w:t>
            </w:r>
            <w:r w:rsidR="005D5DDE" w:rsidRPr="424D5DAA">
              <w:rPr>
                <w:rFonts w:asciiTheme="minorHAnsi" w:hAnsiTheme="minorHAnsi" w:cstheme="minorBidi"/>
                <w:sz w:val="22"/>
                <w:szCs w:val="22"/>
              </w:rPr>
              <w:t>/a</w:t>
            </w:r>
            <w:r w:rsidRPr="424D5DAA">
              <w:rPr>
                <w:rFonts w:asciiTheme="minorHAnsi" w:hAnsiTheme="minorHAnsi" w:cstheme="minorBidi"/>
                <w:sz w:val="22"/>
                <w:szCs w:val="22"/>
              </w:rPr>
              <w:t xml:space="preserve">. Project activities </w:t>
            </w:r>
            <w:r w:rsidR="0071206E" w:rsidRPr="424D5DAA">
              <w:rPr>
                <w:rFonts w:asciiTheme="minorHAnsi" w:hAnsiTheme="minorHAnsi" w:cstheme="minorBidi"/>
                <w:sz w:val="22"/>
                <w:szCs w:val="22"/>
              </w:rPr>
              <w:t>were</w:t>
            </w:r>
            <w:r w:rsidR="008470E5">
              <w:rPr>
                <w:rFonts w:asciiTheme="minorHAnsi" w:hAnsiTheme="minorHAnsi" w:cstheme="minorBidi"/>
                <w:sz w:val="22"/>
                <w:szCs w:val="22"/>
              </w:rPr>
              <w:t xml:space="preserve"> </w:t>
            </w:r>
            <w:r w:rsidRPr="424D5DAA">
              <w:rPr>
                <w:rFonts w:asciiTheme="minorHAnsi" w:hAnsiTheme="minorHAnsi" w:cstheme="minorBidi"/>
                <w:sz w:val="22"/>
                <w:szCs w:val="22"/>
              </w:rPr>
              <w:t>completed in 2023.</w:t>
            </w:r>
          </w:p>
        </w:tc>
      </w:tr>
    </w:tbl>
    <w:p w14:paraId="6042FE1D" w14:textId="77777777" w:rsidR="0078455A" w:rsidRPr="0071206E" w:rsidRDefault="0078455A" w:rsidP="0078455A">
      <w:pPr>
        <w:jc w:val="center"/>
        <w:rPr>
          <w:rFonts w:asciiTheme="minorHAnsi" w:hAnsiTheme="minorHAnsi" w:cstheme="minorHAnsi"/>
          <w:b/>
          <w:iCs/>
          <w:sz w:val="22"/>
          <w:szCs w:val="22"/>
        </w:rPr>
      </w:pPr>
    </w:p>
    <w:p w14:paraId="051B90F4" w14:textId="77777777" w:rsidR="0078455A" w:rsidRPr="0071206E" w:rsidRDefault="0078455A" w:rsidP="0078455A">
      <w:pPr>
        <w:jc w:val="center"/>
        <w:rPr>
          <w:rFonts w:asciiTheme="minorHAnsi" w:hAnsiTheme="minorHAnsi" w:cstheme="minorHAnsi"/>
          <w:b/>
          <w:iCs/>
          <w:sz w:val="22"/>
          <w:szCs w:val="22"/>
        </w:rPr>
      </w:pPr>
    </w:p>
    <w:p w14:paraId="0D94A222" w14:textId="77777777" w:rsidR="0078455A" w:rsidRPr="0071206E" w:rsidRDefault="0078455A" w:rsidP="0078455A">
      <w:pPr>
        <w:jc w:val="center"/>
        <w:rPr>
          <w:rFonts w:asciiTheme="minorHAnsi" w:hAnsiTheme="minorHAnsi" w:cstheme="minorHAnsi"/>
          <w:b/>
          <w:iCs/>
          <w:sz w:val="22"/>
          <w:szCs w:val="22"/>
        </w:rPr>
      </w:pPr>
    </w:p>
    <w:p w14:paraId="1A1C9C64" w14:textId="77777777" w:rsidR="0078455A" w:rsidRPr="0071206E" w:rsidRDefault="0078455A" w:rsidP="0078455A">
      <w:pPr>
        <w:jc w:val="center"/>
        <w:rPr>
          <w:rFonts w:asciiTheme="minorHAnsi" w:hAnsiTheme="minorHAnsi" w:cstheme="minorHAnsi"/>
          <w:b/>
          <w:iCs/>
          <w:sz w:val="22"/>
          <w:szCs w:val="22"/>
        </w:rPr>
      </w:pPr>
    </w:p>
    <w:p w14:paraId="56A857FB" w14:textId="77777777" w:rsidR="0078455A" w:rsidRPr="0071206E" w:rsidRDefault="0078455A" w:rsidP="0078455A">
      <w:pPr>
        <w:jc w:val="center"/>
        <w:rPr>
          <w:rFonts w:asciiTheme="minorHAnsi" w:hAnsiTheme="minorHAnsi" w:cstheme="minorHAnsi"/>
          <w:b/>
          <w:iCs/>
          <w:sz w:val="22"/>
          <w:szCs w:val="22"/>
        </w:rPr>
      </w:pPr>
    </w:p>
    <w:p w14:paraId="1344261B" w14:textId="77777777" w:rsidR="0078455A" w:rsidRPr="0071206E" w:rsidRDefault="0078455A" w:rsidP="0078455A">
      <w:pPr>
        <w:jc w:val="center"/>
        <w:rPr>
          <w:rFonts w:asciiTheme="minorHAnsi" w:hAnsiTheme="minorHAnsi" w:cstheme="minorHAnsi"/>
          <w:b/>
          <w:iCs/>
          <w:sz w:val="22"/>
          <w:szCs w:val="22"/>
        </w:rPr>
      </w:pPr>
    </w:p>
    <w:p w14:paraId="3383B00F" w14:textId="78C7AB44" w:rsidR="0078455A" w:rsidRPr="0071206E" w:rsidRDefault="0078455A" w:rsidP="7A1375F1">
      <w:pPr>
        <w:jc w:val="center"/>
        <w:rPr>
          <w:rFonts w:asciiTheme="minorHAnsi" w:hAnsiTheme="minorHAnsi" w:cstheme="minorHAnsi"/>
          <w:b/>
          <w:bCs/>
          <w:sz w:val="22"/>
          <w:szCs w:val="22"/>
        </w:rPr>
      </w:pPr>
    </w:p>
    <w:sectPr w:rsidR="0078455A" w:rsidRPr="0071206E" w:rsidSect="001E373D">
      <w:footerReference w:type="default" r:id="rId1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7A65" w14:textId="77777777" w:rsidR="00D96CF1" w:rsidRDefault="00D96CF1" w:rsidP="001E373D">
      <w:r>
        <w:separator/>
      </w:r>
    </w:p>
  </w:endnote>
  <w:endnote w:type="continuationSeparator" w:id="0">
    <w:p w14:paraId="0835407D" w14:textId="77777777" w:rsidR="00D96CF1" w:rsidRDefault="00D96CF1" w:rsidP="001E373D">
      <w:r>
        <w:continuationSeparator/>
      </w:r>
    </w:p>
  </w:endnote>
  <w:endnote w:type="continuationNotice" w:id="1">
    <w:p w14:paraId="24784F8F" w14:textId="77777777" w:rsidR="00D96CF1" w:rsidRDefault="00D96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01022"/>
      <w:docPartObj>
        <w:docPartGallery w:val="Page Numbers (Bottom of Page)"/>
        <w:docPartUnique/>
      </w:docPartObj>
    </w:sdtPr>
    <w:sdtEndPr>
      <w:rPr>
        <w:noProof/>
      </w:rPr>
    </w:sdtEndPr>
    <w:sdtContent>
      <w:p w14:paraId="7681D6F2" w14:textId="06A9986C" w:rsidR="001F233F" w:rsidRDefault="001F233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E200868" w14:textId="77777777" w:rsidR="001F233F" w:rsidRDefault="001F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5517" w14:textId="77777777" w:rsidR="00D96CF1" w:rsidRDefault="00D96CF1" w:rsidP="001E373D">
      <w:r>
        <w:separator/>
      </w:r>
    </w:p>
  </w:footnote>
  <w:footnote w:type="continuationSeparator" w:id="0">
    <w:p w14:paraId="6F8DC4C5" w14:textId="77777777" w:rsidR="00D96CF1" w:rsidRDefault="00D96CF1" w:rsidP="001E373D">
      <w:r>
        <w:continuationSeparator/>
      </w:r>
    </w:p>
  </w:footnote>
  <w:footnote w:type="continuationNotice" w:id="1">
    <w:p w14:paraId="40B781DB" w14:textId="77777777" w:rsidR="00D96CF1" w:rsidRDefault="00D96C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1C4"/>
    <w:multiLevelType w:val="multilevel"/>
    <w:tmpl w:val="F42CF1A4"/>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1D91669"/>
    <w:multiLevelType w:val="multilevel"/>
    <w:tmpl w:val="F7AAC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35385"/>
    <w:multiLevelType w:val="multilevel"/>
    <w:tmpl w:val="B3E02658"/>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92B57C6"/>
    <w:multiLevelType w:val="multilevel"/>
    <w:tmpl w:val="26EC92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1A5AC9"/>
    <w:multiLevelType w:val="hybridMultilevel"/>
    <w:tmpl w:val="00B430F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47B60F6"/>
    <w:multiLevelType w:val="multilevel"/>
    <w:tmpl w:val="13E22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23863"/>
    <w:multiLevelType w:val="hybridMultilevel"/>
    <w:tmpl w:val="DE3C5220"/>
    <w:lvl w:ilvl="0" w:tplc="E182E5B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D6518"/>
    <w:multiLevelType w:val="multilevel"/>
    <w:tmpl w:val="0C9E60B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1ADF1988"/>
    <w:multiLevelType w:val="multilevel"/>
    <w:tmpl w:val="6D9ED1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3E747F"/>
    <w:multiLevelType w:val="multilevel"/>
    <w:tmpl w:val="DB5E586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C5C013A"/>
    <w:multiLevelType w:val="multilevel"/>
    <w:tmpl w:val="7FB4A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85CF5"/>
    <w:multiLevelType w:val="multilevel"/>
    <w:tmpl w:val="F266E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8E414D"/>
    <w:multiLevelType w:val="multilevel"/>
    <w:tmpl w:val="D1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EB0755"/>
    <w:multiLevelType w:val="multilevel"/>
    <w:tmpl w:val="E8163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cs="Times New Roman" w:hint="default"/>
        <w:sz w:val="20"/>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440"/>
        </w:tabs>
        <w:ind w:left="1440" w:hanging="360"/>
      </w:pPr>
      <w:rPr>
        <w:rFonts w:ascii="Wingdings" w:hAnsi="Wingdings" w:hint="default"/>
        <w:sz w:val="20"/>
      </w:rPr>
    </w:lvl>
    <w:lvl w:ilvl="4">
      <w:start w:val="1"/>
      <w:numFmt w:val="bullet"/>
      <w:lvlText w:val=""/>
      <w:lvlJc w:val="left"/>
      <w:pPr>
        <w:tabs>
          <w:tab w:val="num" w:pos="2160"/>
        </w:tabs>
        <w:ind w:left="2160" w:hanging="360"/>
      </w:pPr>
      <w:rPr>
        <w:rFonts w:ascii="Wingdings" w:hAnsi="Wingdings" w:hint="default"/>
        <w:sz w:val="20"/>
      </w:rPr>
    </w:lvl>
    <w:lvl w:ilvl="5">
      <w:start w:val="1"/>
      <w:numFmt w:val="bullet"/>
      <w:lvlText w:val=""/>
      <w:lvlJc w:val="left"/>
      <w:pPr>
        <w:tabs>
          <w:tab w:val="num" w:pos="2880"/>
        </w:tabs>
        <w:ind w:left="2880" w:hanging="360"/>
      </w:pPr>
      <w:rPr>
        <w:rFonts w:ascii="Wingdings" w:hAnsi="Wingdings" w:hint="default"/>
        <w:sz w:val="20"/>
      </w:rPr>
    </w:lvl>
    <w:lvl w:ilvl="6">
      <w:start w:val="1"/>
      <w:numFmt w:val="bullet"/>
      <w:lvlText w:val=""/>
      <w:lvlJc w:val="left"/>
      <w:pPr>
        <w:tabs>
          <w:tab w:val="num" w:pos="3600"/>
        </w:tabs>
        <w:ind w:left="3600" w:hanging="360"/>
      </w:pPr>
      <w:rPr>
        <w:rFonts w:ascii="Wingdings" w:hAnsi="Wingdings" w:hint="default"/>
        <w:sz w:val="20"/>
      </w:rPr>
    </w:lvl>
    <w:lvl w:ilvl="7">
      <w:start w:val="1"/>
      <w:numFmt w:val="bullet"/>
      <w:lvlText w:val=""/>
      <w:lvlJc w:val="left"/>
      <w:pPr>
        <w:tabs>
          <w:tab w:val="num" w:pos="4320"/>
        </w:tabs>
        <w:ind w:left="4320" w:hanging="360"/>
      </w:pPr>
      <w:rPr>
        <w:rFonts w:ascii="Wingdings" w:hAnsi="Wingdings" w:hint="default"/>
        <w:sz w:val="20"/>
      </w:rPr>
    </w:lvl>
    <w:lvl w:ilvl="8">
      <w:start w:val="1"/>
      <w:numFmt w:val="bullet"/>
      <w:lvlText w:val=""/>
      <w:lvlJc w:val="left"/>
      <w:pPr>
        <w:tabs>
          <w:tab w:val="num" w:pos="5040"/>
        </w:tabs>
        <w:ind w:left="5040" w:hanging="360"/>
      </w:pPr>
      <w:rPr>
        <w:rFonts w:ascii="Wingdings" w:hAnsi="Wingdings" w:hint="default"/>
        <w:sz w:val="20"/>
      </w:rPr>
    </w:lvl>
  </w:abstractNum>
  <w:abstractNum w:abstractNumId="14" w15:restartNumberingAfterBreak="0">
    <w:nsid w:val="4127418C"/>
    <w:multiLevelType w:val="multilevel"/>
    <w:tmpl w:val="CB12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B2788C"/>
    <w:multiLevelType w:val="hybridMultilevel"/>
    <w:tmpl w:val="EC90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E3B2A"/>
    <w:multiLevelType w:val="multilevel"/>
    <w:tmpl w:val="E4181546"/>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BE12990"/>
    <w:multiLevelType w:val="multilevel"/>
    <w:tmpl w:val="7E6A23DC"/>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40"/>
        </w:tabs>
        <w:ind w:left="-1440" w:hanging="360"/>
      </w:pPr>
      <w:rPr>
        <w:rFonts w:ascii="Wingdings" w:hAnsi="Wingdings" w:hint="default"/>
        <w:sz w:val="20"/>
      </w:rPr>
    </w:lvl>
    <w:lvl w:ilvl="4">
      <w:start w:val="1"/>
      <w:numFmt w:val="bullet"/>
      <w:lvlText w:val=""/>
      <w:lvlJc w:val="left"/>
      <w:pPr>
        <w:tabs>
          <w:tab w:val="num" w:pos="-720"/>
        </w:tabs>
        <w:ind w:left="-720" w:hanging="360"/>
      </w:pPr>
      <w:rPr>
        <w:rFonts w:ascii="Wingdings" w:hAnsi="Wingdings" w:hint="default"/>
        <w:sz w:val="20"/>
      </w:rPr>
    </w:lvl>
    <w:lvl w:ilvl="5">
      <w:start w:val="1"/>
      <w:numFmt w:val="bullet"/>
      <w:lvlText w:val=""/>
      <w:lvlJc w:val="left"/>
      <w:pPr>
        <w:tabs>
          <w:tab w:val="num" w:pos="0"/>
        </w:tabs>
        <w:ind w:left="0" w:hanging="360"/>
      </w:pPr>
      <w:rPr>
        <w:rFonts w:ascii="Wingdings" w:hAnsi="Wingdings" w:hint="default"/>
        <w:sz w:val="20"/>
      </w:rPr>
    </w:lvl>
    <w:lvl w:ilvl="6">
      <w:start w:val="1"/>
      <w:numFmt w:val="bullet"/>
      <w:lvlText w:val=""/>
      <w:lvlJc w:val="left"/>
      <w:pPr>
        <w:tabs>
          <w:tab w:val="num" w:pos="720"/>
        </w:tabs>
        <w:ind w:left="720" w:hanging="360"/>
      </w:pPr>
      <w:rPr>
        <w:rFonts w:ascii="Wingdings" w:hAnsi="Wingdings" w:hint="default"/>
        <w:sz w:val="20"/>
      </w:rPr>
    </w:lvl>
    <w:lvl w:ilvl="7">
      <w:start w:val="1"/>
      <w:numFmt w:val="bullet"/>
      <w:lvlText w:val=""/>
      <w:lvlJc w:val="left"/>
      <w:pPr>
        <w:tabs>
          <w:tab w:val="num" w:pos="1440"/>
        </w:tabs>
        <w:ind w:left="1440" w:hanging="360"/>
      </w:pPr>
      <w:rPr>
        <w:rFonts w:ascii="Wingdings" w:hAnsi="Wingdings" w:hint="default"/>
        <w:sz w:val="20"/>
      </w:rPr>
    </w:lvl>
    <w:lvl w:ilvl="8">
      <w:start w:val="1"/>
      <w:numFmt w:val="bullet"/>
      <w:lvlText w:val=""/>
      <w:lvlJc w:val="left"/>
      <w:pPr>
        <w:tabs>
          <w:tab w:val="num" w:pos="2160"/>
        </w:tabs>
        <w:ind w:left="2160" w:hanging="360"/>
      </w:pPr>
      <w:rPr>
        <w:rFonts w:ascii="Wingdings" w:hAnsi="Wingdings" w:hint="default"/>
        <w:sz w:val="20"/>
      </w:rPr>
    </w:lvl>
  </w:abstractNum>
  <w:abstractNum w:abstractNumId="18" w15:restartNumberingAfterBreak="0">
    <w:nsid w:val="4C3C6668"/>
    <w:multiLevelType w:val="multilevel"/>
    <w:tmpl w:val="FB080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30619"/>
    <w:multiLevelType w:val="multilevel"/>
    <w:tmpl w:val="55A640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59CC25A1"/>
    <w:multiLevelType w:val="multilevel"/>
    <w:tmpl w:val="7C00A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750215"/>
    <w:multiLevelType w:val="hybridMultilevel"/>
    <w:tmpl w:val="4E208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D4A4F"/>
    <w:multiLevelType w:val="multilevel"/>
    <w:tmpl w:val="FAECF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367272"/>
    <w:multiLevelType w:val="multilevel"/>
    <w:tmpl w:val="B99287D8"/>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31B5BE8"/>
    <w:multiLevelType w:val="multilevel"/>
    <w:tmpl w:val="5C021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A4CED"/>
    <w:multiLevelType w:val="multilevel"/>
    <w:tmpl w:val="A502D4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67197E28"/>
    <w:multiLevelType w:val="multilevel"/>
    <w:tmpl w:val="51882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8E5144"/>
    <w:multiLevelType w:val="multilevel"/>
    <w:tmpl w:val="B3BCD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8F7E5B"/>
    <w:multiLevelType w:val="multilevel"/>
    <w:tmpl w:val="7B62D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D75DE9"/>
    <w:multiLevelType w:val="multilevel"/>
    <w:tmpl w:val="F8768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3311190">
    <w:abstractNumId w:val="21"/>
  </w:num>
  <w:num w:numId="2" w16cid:durableId="2049380237">
    <w:abstractNumId w:val="6"/>
  </w:num>
  <w:num w:numId="3" w16cid:durableId="760026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379997">
    <w:abstractNumId w:val="26"/>
  </w:num>
  <w:num w:numId="5" w16cid:durableId="141362340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1583585">
    <w:abstractNumId w:val="11"/>
  </w:num>
  <w:num w:numId="7" w16cid:durableId="11567216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779256">
    <w:abstractNumId w:val="1"/>
  </w:num>
  <w:num w:numId="9" w16cid:durableId="32539825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7241673">
    <w:abstractNumId w:val="10"/>
  </w:num>
  <w:num w:numId="11" w16cid:durableId="171515339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863308">
    <w:abstractNumId w:val="27"/>
  </w:num>
  <w:num w:numId="13" w16cid:durableId="1330788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9412968">
    <w:abstractNumId w:val="20"/>
  </w:num>
  <w:num w:numId="15" w16cid:durableId="18271649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793133">
    <w:abstractNumId w:val="24"/>
  </w:num>
  <w:num w:numId="17" w16cid:durableId="37644063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890470">
    <w:abstractNumId w:val="5"/>
  </w:num>
  <w:num w:numId="19" w16cid:durableId="1858695609">
    <w:abstractNumId w:val="13"/>
  </w:num>
  <w:num w:numId="20" w16cid:durableId="20325507">
    <w:abstractNumId w:val="17"/>
  </w:num>
  <w:num w:numId="21" w16cid:durableId="1941833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1266675">
    <w:abstractNumId w:val="4"/>
  </w:num>
  <w:num w:numId="23" w16cid:durableId="1313296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6671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9666793">
    <w:abstractNumId w:val="15"/>
  </w:num>
  <w:num w:numId="26" w16cid:durableId="1243682945">
    <w:abstractNumId w:val="28"/>
    <w:lvlOverride w:ilvl="0"/>
    <w:lvlOverride w:ilvl="1"/>
    <w:lvlOverride w:ilvl="2"/>
    <w:lvlOverride w:ilvl="3"/>
    <w:lvlOverride w:ilvl="4"/>
    <w:lvlOverride w:ilvl="5"/>
    <w:lvlOverride w:ilvl="6"/>
    <w:lvlOverride w:ilvl="7"/>
    <w:lvlOverride w:ilvl="8"/>
  </w:num>
  <w:num w:numId="27" w16cid:durableId="1184516612">
    <w:abstractNumId w:val="12"/>
    <w:lvlOverride w:ilvl="0"/>
    <w:lvlOverride w:ilvl="1"/>
    <w:lvlOverride w:ilvl="2"/>
    <w:lvlOverride w:ilvl="3"/>
    <w:lvlOverride w:ilvl="4"/>
    <w:lvlOverride w:ilvl="5"/>
    <w:lvlOverride w:ilvl="6"/>
    <w:lvlOverride w:ilvl="7"/>
    <w:lvlOverride w:ilvl="8"/>
  </w:num>
  <w:num w:numId="28" w16cid:durableId="2035811319">
    <w:abstractNumId w:val="22"/>
    <w:lvlOverride w:ilvl="0"/>
    <w:lvlOverride w:ilvl="1"/>
    <w:lvlOverride w:ilvl="2"/>
    <w:lvlOverride w:ilvl="3"/>
    <w:lvlOverride w:ilvl="4"/>
    <w:lvlOverride w:ilvl="5"/>
    <w:lvlOverride w:ilvl="6"/>
    <w:lvlOverride w:ilvl="7"/>
    <w:lvlOverride w:ilvl="8"/>
  </w:num>
  <w:num w:numId="29" w16cid:durableId="528685871">
    <w:abstractNumId w:val="29"/>
    <w:lvlOverride w:ilvl="0"/>
    <w:lvlOverride w:ilvl="1"/>
    <w:lvlOverride w:ilvl="2"/>
    <w:lvlOverride w:ilvl="3"/>
    <w:lvlOverride w:ilvl="4"/>
    <w:lvlOverride w:ilvl="5"/>
    <w:lvlOverride w:ilvl="6"/>
    <w:lvlOverride w:ilvl="7"/>
    <w:lvlOverride w:ilvl="8"/>
  </w:num>
  <w:num w:numId="30" w16cid:durableId="273444944">
    <w:abstractNumId w:val="18"/>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3D"/>
    <w:rsid w:val="00000959"/>
    <w:rsid w:val="00000F9B"/>
    <w:rsid w:val="000015C0"/>
    <w:rsid w:val="0000197A"/>
    <w:rsid w:val="00001C92"/>
    <w:rsid w:val="000034E8"/>
    <w:rsid w:val="000037ED"/>
    <w:rsid w:val="000041A2"/>
    <w:rsid w:val="00004A72"/>
    <w:rsid w:val="00004BB5"/>
    <w:rsid w:val="000103BD"/>
    <w:rsid w:val="00010D13"/>
    <w:rsid w:val="00010D2E"/>
    <w:rsid w:val="000112AD"/>
    <w:rsid w:val="00011B40"/>
    <w:rsid w:val="00011E73"/>
    <w:rsid w:val="000122CA"/>
    <w:rsid w:val="00013065"/>
    <w:rsid w:val="00014C9B"/>
    <w:rsid w:val="00014D26"/>
    <w:rsid w:val="00015235"/>
    <w:rsid w:val="00015342"/>
    <w:rsid w:val="00015911"/>
    <w:rsid w:val="00016034"/>
    <w:rsid w:val="0001647B"/>
    <w:rsid w:val="0001674C"/>
    <w:rsid w:val="000171FB"/>
    <w:rsid w:val="000174D8"/>
    <w:rsid w:val="00017526"/>
    <w:rsid w:val="00017EB7"/>
    <w:rsid w:val="000201CF"/>
    <w:rsid w:val="000226CF"/>
    <w:rsid w:val="0002274A"/>
    <w:rsid w:val="00023AB1"/>
    <w:rsid w:val="00023D3C"/>
    <w:rsid w:val="00024644"/>
    <w:rsid w:val="00025069"/>
    <w:rsid w:val="00025310"/>
    <w:rsid w:val="00025BAC"/>
    <w:rsid w:val="000264D2"/>
    <w:rsid w:val="00026F64"/>
    <w:rsid w:val="00030271"/>
    <w:rsid w:val="0003119D"/>
    <w:rsid w:val="0003222B"/>
    <w:rsid w:val="00033E5F"/>
    <w:rsid w:val="00033F05"/>
    <w:rsid w:val="0003411E"/>
    <w:rsid w:val="000346D7"/>
    <w:rsid w:val="000347A0"/>
    <w:rsid w:val="00034A92"/>
    <w:rsid w:val="00035635"/>
    <w:rsid w:val="0003618D"/>
    <w:rsid w:val="000363A0"/>
    <w:rsid w:val="00036599"/>
    <w:rsid w:val="00036EE6"/>
    <w:rsid w:val="0003794F"/>
    <w:rsid w:val="00037C2D"/>
    <w:rsid w:val="00037F51"/>
    <w:rsid w:val="000402B6"/>
    <w:rsid w:val="000405DF"/>
    <w:rsid w:val="00040A9A"/>
    <w:rsid w:val="00040BA6"/>
    <w:rsid w:val="00040E33"/>
    <w:rsid w:val="00042CB5"/>
    <w:rsid w:val="000430BD"/>
    <w:rsid w:val="000439FB"/>
    <w:rsid w:val="00046208"/>
    <w:rsid w:val="00046A79"/>
    <w:rsid w:val="00047C9D"/>
    <w:rsid w:val="0005069D"/>
    <w:rsid w:val="00050BF6"/>
    <w:rsid w:val="00051B92"/>
    <w:rsid w:val="00053095"/>
    <w:rsid w:val="000535A5"/>
    <w:rsid w:val="0005386F"/>
    <w:rsid w:val="00053EBE"/>
    <w:rsid w:val="0005497F"/>
    <w:rsid w:val="00054ED1"/>
    <w:rsid w:val="00054F16"/>
    <w:rsid w:val="00055985"/>
    <w:rsid w:val="00055AB2"/>
    <w:rsid w:val="00055EF0"/>
    <w:rsid w:val="0005705A"/>
    <w:rsid w:val="000579EF"/>
    <w:rsid w:val="00057D02"/>
    <w:rsid w:val="000609F2"/>
    <w:rsid w:val="00060FE7"/>
    <w:rsid w:val="000611D0"/>
    <w:rsid w:val="00062283"/>
    <w:rsid w:val="0006284E"/>
    <w:rsid w:val="00062D73"/>
    <w:rsid w:val="00063308"/>
    <w:rsid w:val="00063CEB"/>
    <w:rsid w:val="00064D43"/>
    <w:rsid w:val="00064FD6"/>
    <w:rsid w:val="0006666B"/>
    <w:rsid w:val="00066A22"/>
    <w:rsid w:val="00066F4A"/>
    <w:rsid w:val="00067C39"/>
    <w:rsid w:val="00067D9F"/>
    <w:rsid w:val="00070001"/>
    <w:rsid w:val="0007039D"/>
    <w:rsid w:val="00071156"/>
    <w:rsid w:val="00071AFA"/>
    <w:rsid w:val="00071DC3"/>
    <w:rsid w:val="0007271E"/>
    <w:rsid w:val="000729EF"/>
    <w:rsid w:val="00072A08"/>
    <w:rsid w:val="0007307F"/>
    <w:rsid w:val="00073347"/>
    <w:rsid w:val="00074A97"/>
    <w:rsid w:val="00074FE1"/>
    <w:rsid w:val="00075658"/>
    <w:rsid w:val="00077B85"/>
    <w:rsid w:val="00081573"/>
    <w:rsid w:val="00081B78"/>
    <w:rsid w:val="00082155"/>
    <w:rsid w:val="00082530"/>
    <w:rsid w:val="00082C62"/>
    <w:rsid w:val="00083834"/>
    <w:rsid w:val="00083ADD"/>
    <w:rsid w:val="00083B94"/>
    <w:rsid w:val="00083FDA"/>
    <w:rsid w:val="000840DE"/>
    <w:rsid w:val="00084923"/>
    <w:rsid w:val="00084B1D"/>
    <w:rsid w:val="0008570B"/>
    <w:rsid w:val="00085A1E"/>
    <w:rsid w:val="0008744A"/>
    <w:rsid w:val="000874F7"/>
    <w:rsid w:val="0008782E"/>
    <w:rsid w:val="000909D3"/>
    <w:rsid w:val="00090B37"/>
    <w:rsid w:val="00091495"/>
    <w:rsid w:val="00091648"/>
    <w:rsid w:val="00092850"/>
    <w:rsid w:val="00092DCC"/>
    <w:rsid w:val="00093292"/>
    <w:rsid w:val="00093491"/>
    <w:rsid w:val="00094416"/>
    <w:rsid w:val="0009441A"/>
    <w:rsid w:val="000944F7"/>
    <w:rsid w:val="00094BEC"/>
    <w:rsid w:val="000970B4"/>
    <w:rsid w:val="000A08B9"/>
    <w:rsid w:val="000A1A18"/>
    <w:rsid w:val="000A1A5D"/>
    <w:rsid w:val="000A1E3A"/>
    <w:rsid w:val="000A27C7"/>
    <w:rsid w:val="000A2D7C"/>
    <w:rsid w:val="000A2EAE"/>
    <w:rsid w:val="000A311A"/>
    <w:rsid w:val="000A4FF4"/>
    <w:rsid w:val="000A503C"/>
    <w:rsid w:val="000A5218"/>
    <w:rsid w:val="000A5E6F"/>
    <w:rsid w:val="000A64B3"/>
    <w:rsid w:val="000A6736"/>
    <w:rsid w:val="000A695F"/>
    <w:rsid w:val="000A6B04"/>
    <w:rsid w:val="000A7166"/>
    <w:rsid w:val="000A72A0"/>
    <w:rsid w:val="000A78F5"/>
    <w:rsid w:val="000A7FDD"/>
    <w:rsid w:val="000B04F8"/>
    <w:rsid w:val="000B087E"/>
    <w:rsid w:val="000B1799"/>
    <w:rsid w:val="000B2529"/>
    <w:rsid w:val="000B25D3"/>
    <w:rsid w:val="000B266F"/>
    <w:rsid w:val="000B3211"/>
    <w:rsid w:val="000B36C0"/>
    <w:rsid w:val="000B3930"/>
    <w:rsid w:val="000B3E3D"/>
    <w:rsid w:val="000B5D97"/>
    <w:rsid w:val="000B7078"/>
    <w:rsid w:val="000C0583"/>
    <w:rsid w:val="000C06F0"/>
    <w:rsid w:val="000C0E0F"/>
    <w:rsid w:val="000C3B43"/>
    <w:rsid w:val="000C3BAE"/>
    <w:rsid w:val="000C4179"/>
    <w:rsid w:val="000C48A5"/>
    <w:rsid w:val="000C48B8"/>
    <w:rsid w:val="000C58A3"/>
    <w:rsid w:val="000C594B"/>
    <w:rsid w:val="000C6D3F"/>
    <w:rsid w:val="000C71DA"/>
    <w:rsid w:val="000C7EB9"/>
    <w:rsid w:val="000D04A8"/>
    <w:rsid w:val="000D07D5"/>
    <w:rsid w:val="000D15AD"/>
    <w:rsid w:val="000D1B7A"/>
    <w:rsid w:val="000D3D33"/>
    <w:rsid w:val="000D41DB"/>
    <w:rsid w:val="000D42CB"/>
    <w:rsid w:val="000D43C2"/>
    <w:rsid w:val="000D52A6"/>
    <w:rsid w:val="000D52CE"/>
    <w:rsid w:val="000D5BDD"/>
    <w:rsid w:val="000D6E2E"/>
    <w:rsid w:val="000D72CE"/>
    <w:rsid w:val="000D779C"/>
    <w:rsid w:val="000E030D"/>
    <w:rsid w:val="000E0937"/>
    <w:rsid w:val="000E0A6A"/>
    <w:rsid w:val="000E1113"/>
    <w:rsid w:val="000E2033"/>
    <w:rsid w:val="000E2AA7"/>
    <w:rsid w:val="000E3FAA"/>
    <w:rsid w:val="000E404C"/>
    <w:rsid w:val="000E47E0"/>
    <w:rsid w:val="000E49A3"/>
    <w:rsid w:val="000E627E"/>
    <w:rsid w:val="000E6565"/>
    <w:rsid w:val="000E6CE9"/>
    <w:rsid w:val="000E6D42"/>
    <w:rsid w:val="000E7269"/>
    <w:rsid w:val="000E7760"/>
    <w:rsid w:val="000E7F09"/>
    <w:rsid w:val="000F06D9"/>
    <w:rsid w:val="000F2644"/>
    <w:rsid w:val="000F2D60"/>
    <w:rsid w:val="000F5A4D"/>
    <w:rsid w:val="000F64E7"/>
    <w:rsid w:val="000F6D3A"/>
    <w:rsid w:val="000F71A6"/>
    <w:rsid w:val="000F735C"/>
    <w:rsid w:val="000F78FE"/>
    <w:rsid w:val="000F7DA6"/>
    <w:rsid w:val="000F7DE8"/>
    <w:rsid w:val="00100030"/>
    <w:rsid w:val="0010013B"/>
    <w:rsid w:val="001002EF"/>
    <w:rsid w:val="00100872"/>
    <w:rsid w:val="00100B77"/>
    <w:rsid w:val="00101173"/>
    <w:rsid w:val="00101475"/>
    <w:rsid w:val="0010153F"/>
    <w:rsid w:val="00101E50"/>
    <w:rsid w:val="001031E8"/>
    <w:rsid w:val="001033FA"/>
    <w:rsid w:val="001038F9"/>
    <w:rsid w:val="00103D10"/>
    <w:rsid w:val="00104CE9"/>
    <w:rsid w:val="00104EF4"/>
    <w:rsid w:val="00105AE4"/>
    <w:rsid w:val="00105D47"/>
    <w:rsid w:val="0010687C"/>
    <w:rsid w:val="00106C47"/>
    <w:rsid w:val="00106F84"/>
    <w:rsid w:val="00107144"/>
    <w:rsid w:val="00107684"/>
    <w:rsid w:val="00107824"/>
    <w:rsid w:val="00107E72"/>
    <w:rsid w:val="00110C20"/>
    <w:rsid w:val="0011155B"/>
    <w:rsid w:val="00111BB0"/>
    <w:rsid w:val="00111EA4"/>
    <w:rsid w:val="00113642"/>
    <w:rsid w:val="00113751"/>
    <w:rsid w:val="00113CC1"/>
    <w:rsid w:val="00113D31"/>
    <w:rsid w:val="00113DEA"/>
    <w:rsid w:val="001142A1"/>
    <w:rsid w:val="0011452F"/>
    <w:rsid w:val="00115191"/>
    <w:rsid w:val="00115431"/>
    <w:rsid w:val="001160F9"/>
    <w:rsid w:val="001176BD"/>
    <w:rsid w:val="00117761"/>
    <w:rsid w:val="00117B6E"/>
    <w:rsid w:val="00117FF7"/>
    <w:rsid w:val="00120B01"/>
    <w:rsid w:val="00120C13"/>
    <w:rsid w:val="00120EDB"/>
    <w:rsid w:val="00120F6A"/>
    <w:rsid w:val="0012112F"/>
    <w:rsid w:val="0012137C"/>
    <w:rsid w:val="00121A52"/>
    <w:rsid w:val="0012229F"/>
    <w:rsid w:val="001229C2"/>
    <w:rsid w:val="001230C5"/>
    <w:rsid w:val="00124620"/>
    <w:rsid w:val="00124A6A"/>
    <w:rsid w:val="00124DF7"/>
    <w:rsid w:val="0012521C"/>
    <w:rsid w:val="001254FE"/>
    <w:rsid w:val="00125A33"/>
    <w:rsid w:val="00126414"/>
    <w:rsid w:val="00126461"/>
    <w:rsid w:val="00126D5C"/>
    <w:rsid w:val="00126DD5"/>
    <w:rsid w:val="00131084"/>
    <w:rsid w:val="0013164D"/>
    <w:rsid w:val="00131DF2"/>
    <w:rsid w:val="00132C7F"/>
    <w:rsid w:val="00132E4E"/>
    <w:rsid w:val="00133796"/>
    <w:rsid w:val="00133F3F"/>
    <w:rsid w:val="0013498B"/>
    <w:rsid w:val="00134B60"/>
    <w:rsid w:val="0013521E"/>
    <w:rsid w:val="00135351"/>
    <w:rsid w:val="0013539C"/>
    <w:rsid w:val="001355D5"/>
    <w:rsid w:val="001357F3"/>
    <w:rsid w:val="00135DAE"/>
    <w:rsid w:val="00136DC9"/>
    <w:rsid w:val="00136F53"/>
    <w:rsid w:val="00136FEA"/>
    <w:rsid w:val="0014079E"/>
    <w:rsid w:val="00140868"/>
    <w:rsid w:val="00141286"/>
    <w:rsid w:val="00141501"/>
    <w:rsid w:val="00142465"/>
    <w:rsid w:val="00142C77"/>
    <w:rsid w:val="00143267"/>
    <w:rsid w:val="00144C0C"/>
    <w:rsid w:val="0014549A"/>
    <w:rsid w:val="0014561B"/>
    <w:rsid w:val="0014762A"/>
    <w:rsid w:val="00147B65"/>
    <w:rsid w:val="0015054A"/>
    <w:rsid w:val="00150AAF"/>
    <w:rsid w:val="001513F8"/>
    <w:rsid w:val="00151E47"/>
    <w:rsid w:val="0015233C"/>
    <w:rsid w:val="00152436"/>
    <w:rsid w:val="00153CAB"/>
    <w:rsid w:val="00153CC3"/>
    <w:rsid w:val="0015419C"/>
    <w:rsid w:val="00154548"/>
    <w:rsid w:val="00154722"/>
    <w:rsid w:val="0015491A"/>
    <w:rsid w:val="00154C9A"/>
    <w:rsid w:val="00155F24"/>
    <w:rsid w:val="00155F8F"/>
    <w:rsid w:val="00156719"/>
    <w:rsid w:val="00156A79"/>
    <w:rsid w:val="001573B5"/>
    <w:rsid w:val="00161520"/>
    <w:rsid w:val="00161C97"/>
    <w:rsid w:val="001622B5"/>
    <w:rsid w:val="001638C3"/>
    <w:rsid w:val="0016416D"/>
    <w:rsid w:val="0016511E"/>
    <w:rsid w:val="0016569F"/>
    <w:rsid w:val="001659DE"/>
    <w:rsid w:val="00165AD2"/>
    <w:rsid w:val="00165BA4"/>
    <w:rsid w:val="00165D4C"/>
    <w:rsid w:val="00166A98"/>
    <w:rsid w:val="0017014D"/>
    <w:rsid w:val="0017135F"/>
    <w:rsid w:val="001714FA"/>
    <w:rsid w:val="00171684"/>
    <w:rsid w:val="0017230D"/>
    <w:rsid w:val="0017267B"/>
    <w:rsid w:val="001726F9"/>
    <w:rsid w:val="00172B39"/>
    <w:rsid w:val="00172B5A"/>
    <w:rsid w:val="001747D8"/>
    <w:rsid w:val="00174C37"/>
    <w:rsid w:val="00174F85"/>
    <w:rsid w:val="00175AE7"/>
    <w:rsid w:val="00175BD1"/>
    <w:rsid w:val="00176114"/>
    <w:rsid w:val="00176318"/>
    <w:rsid w:val="001763D2"/>
    <w:rsid w:val="00177DFC"/>
    <w:rsid w:val="00180377"/>
    <w:rsid w:val="00181B12"/>
    <w:rsid w:val="00182E7D"/>
    <w:rsid w:val="00183025"/>
    <w:rsid w:val="001835E2"/>
    <w:rsid w:val="0018428F"/>
    <w:rsid w:val="0018481D"/>
    <w:rsid w:val="0018545C"/>
    <w:rsid w:val="00185C42"/>
    <w:rsid w:val="001874B6"/>
    <w:rsid w:val="001876E9"/>
    <w:rsid w:val="001907B1"/>
    <w:rsid w:val="00190EBE"/>
    <w:rsid w:val="001917C0"/>
    <w:rsid w:val="00191A29"/>
    <w:rsid w:val="00192456"/>
    <w:rsid w:val="00192F6E"/>
    <w:rsid w:val="00193543"/>
    <w:rsid w:val="00193851"/>
    <w:rsid w:val="00193D88"/>
    <w:rsid w:val="0019440F"/>
    <w:rsid w:val="00194E9A"/>
    <w:rsid w:val="00197919"/>
    <w:rsid w:val="00197A68"/>
    <w:rsid w:val="001A004A"/>
    <w:rsid w:val="001A00F5"/>
    <w:rsid w:val="001A02B1"/>
    <w:rsid w:val="001A0E4B"/>
    <w:rsid w:val="001A1F42"/>
    <w:rsid w:val="001A2AF0"/>
    <w:rsid w:val="001A31AD"/>
    <w:rsid w:val="001A3721"/>
    <w:rsid w:val="001A3A23"/>
    <w:rsid w:val="001A3E09"/>
    <w:rsid w:val="001A4724"/>
    <w:rsid w:val="001A4765"/>
    <w:rsid w:val="001A6871"/>
    <w:rsid w:val="001A6A8C"/>
    <w:rsid w:val="001A730D"/>
    <w:rsid w:val="001A7364"/>
    <w:rsid w:val="001A7A45"/>
    <w:rsid w:val="001A7D92"/>
    <w:rsid w:val="001B04A4"/>
    <w:rsid w:val="001B05A4"/>
    <w:rsid w:val="001B0A1F"/>
    <w:rsid w:val="001B2247"/>
    <w:rsid w:val="001B27CA"/>
    <w:rsid w:val="001B2A68"/>
    <w:rsid w:val="001B35E0"/>
    <w:rsid w:val="001B41B7"/>
    <w:rsid w:val="001B55C0"/>
    <w:rsid w:val="001B562D"/>
    <w:rsid w:val="001B5E52"/>
    <w:rsid w:val="001B630B"/>
    <w:rsid w:val="001B6899"/>
    <w:rsid w:val="001B77CD"/>
    <w:rsid w:val="001C17E2"/>
    <w:rsid w:val="001C1C1F"/>
    <w:rsid w:val="001C381A"/>
    <w:rsid w:val="001C45D0"/>
    <w:rsid w:val="001C48B1"/>
    <w:rsid w:val="001C5131"/>
    <w:rsid w:val="001C5679"/>
    <w:rsid w:val="001C5C97"/>
    <w:rsid w:val="001C5EA9"/>
    <w:rsid w:val="001C679D"/>
    <w:rsid w:val="001C6B8F"/>
    <w:rsid w:val="001C7599"/>
    <w:rsid w:val="001C781D"/>
    <w:rsid w:val="001C7CC1"/>
    <w:rsid w:val="001D04C9"/>
    <w:rsid w:val="001D13C0"/>
    <w:rsid w:val="001D15AE"/>
    <w:rsid w:val="001D238F"/>
    <w:rsid w:val="001D3402"/>
    <w:rsid w:val="001D345C"/>
    <w:rsid w:val="001D6191"/>
    <w:rsid w:val="001D761E"/>
    <w:rsid w:val="001D7A5B"/>
    <w:rsid w:val="001D7CFA"/>
    <w:rsid w:val="001D7D1F"/>
    <w:rsid w:val="001E076C"/>
    <w:rsid w:val="001E14C6"/>
    <w:rsid w:val="001E21C8"/>
    <w:rsid w:val="001E24FF"/>
    <w:rsid w:val="001E2DCA"/>
    <w:rsid w:val="001E3579"/>
    <w:rsid w:val="001E35E5"/>
    <w:rsid w:val="001E3659"/>
    <w:rsid w:val="001E373D"/>
    <w:rsid w:val="001E3D5F"/>
    <w:rsid w:val="001E3FD5"/>
    <w:rsid w:val="001E4514"/>
    <w:rsid w:val="001E4C13"/>
    <w:rsid w:val="001E4C77"/>
    <w:rsid w:val="001E545E"/>
    <w:rsid w:val="001E57AD"/>
    <w:rsid w:val="001E63F3"/>
    <w:rsid w:val="001F0742"/>
    <w:rsid w:val="001F1A99"/>
    <w:rsid w:val="001F1D46"/>
    <w:rsid w:val="001F233F"/>
    <w:rsid w:val="001F2B98"/>
    <w:rsid w:val="001F2F83"/>
    <w:rsid w:val="001F4471"/>
    <w:rsid w:val="001F4C68"/>
    <w:rsid w:val="001F51FE"/>
    <w:rsid w:val="001F53A9"/>
    <w:rsid w:val="001F5B45"/>
    <w:rsid w:val="001F6424"/>
    <w:rsid w:val="001F688D"/>
    <w:rsid w:val="001F69CF"/>
    <w:rsid w:val="001F6BB8"/>
    <w:rsid w:val="001F6F10"/>
    <w:rsid w:val="001F751D"/>
    <w:rsid w:val="001F7A86"/>
    <w:rsid w:val="001F7FC7"/>
    <w:rsid w:val="00200751"/>
    <w:rsid w:val="00200A4C"/>
    <w:rsid w:val="00200ECB"/>
    <w:rsid w:val="0020118B"/>
    <w:rsid w:val="002016B3"/>
    <w:rsid w:val="002024D7"/>
    <w:rsid w:val="002027F9"/>
    <w:rsid w:val="00202E7B"/>
    <w:rsid w:val="00202E8F"/>
    <w:rsid w:val="00203030"/>
    <w:rsid w:val="002033C9"/>
    <w:rsid w:val="00203BB0"/>
    <w:rsid w:val="00203FC7"/>
    <w:rsid w:val="00204920"/>
    <w:rsid w:val="00204E23"/>
    <w:rsid w:val="00205293"/>
    <w:rsid w:val="00205EEF"/>
    <w:rsid w:val="00205F95"/>
    <w:rsid w:val="00206A2E"/>
    <w:rsid w:val="00206AE0"/>
    <w:rsid w:val="002100CF"/>
    <w:rsid w:val="00210AE8"/>
    <w:rsid w:val="0021159D"/>
    <w:rsid w:val="002122B6"/>
    <w:rsid w:val="00212382"/>
    <w:rsid w:val="00212AAC"/>
    <w:rsid w:val="00212C08"/>
    <w:rsid w:val="00212C37"/>
    <w:rsid w:val="0021334C"/>
    <w:rsid w:val="00213756"/>
    <w:rsid w:val="0021454D"/>
    <w:rsid w:val="0021485C"/>
    <w:rsid w:val="00215265"/>
    <w:rsid w:val="00215A72"/>
    <w:rsid w:val="00215FB8"/>
    <w:rsid w:val="002166CF"/>
    <w:rsid w:val="00216AEF"/>
    <w:rsid w:val="00216D3E"/>
    <w:rsid w:val="00217735"/>
    <w:rsid w:val="00217AB3"/>
    <w:rsid w:val="00217D3C"/>
    <w:rsid w:val="0022105C"/>
    <w:rsid w:val="0022203D"/>
    <w:rsid w:val="00224367"/>
    <w:rsid w:val="00224495"/>
    <w:rsid w:val="00224BF0"/>
    <w:rsid w:val="0022524F"/>
    <w:rsid w:val="00225610"/>
    <w:rsid w:val="002258EC"/>
    <w:rsid w:val="00225910"/>
    <w:rsid w:val="00225FF7"/>
    <w:rsid w:val="0022655C"/>
    <w:rsid w:val="00226FAB"/>
    <w:rsid w:val="00230B8E"/>
    <w:rsid w:val="00230D46"/>
    <w:rsid w:val="002312ED"/>
    <w:rsid w:val="00232159"/>
    <w:rsid w:val="00233145"/>
    <w:rsid w:val="00233F38"/>
    <w:rsid w:val="002341F0"/>
    <w:rsid w:val="00234714"/>
    <w:rsid w:val="00234E30"/>
    <w:rsid w:val="00234E66"/>
    <w:rsid w:val="002353BB"/>
    <w:rsid w:val="00235712"/>
    <w:rsid w:val="00235877"/>
    <w:rsid w:val="00235E90"/>
    <w:rsid w:val="0023638D"/>
    <w:rsid w:val="00236491"/>
    <w:rsid w:val="002367C7"/>
    <w:rsid w:val="00236C89"/>
    <w:rsid w:val="00237247"/>
    <w:rsid w:val="00237641"/>
    <w:rsid w:val="002410B4"/>
    <w:rsid w:val="00242187"/>
    <w:rsid w:val="002423A3"/>
    <w:rsid w:val="00242A18"/>
    <w:rsid w:val="00243736"/>
    <w:rsid w:val="0024442B"/>
    <w:rsid w:val="00244764"/>
    <w:rsid w:val="00245252"/>
    <w:rsid w:val="00245266"/>
    <w:rsid w:val="00245408"/>
    <w:rsid w:val="002458D3"/>
    <w:rsid w:val="002459AE"/>
    <w:rsid w:val="00245D7D"/>
    <w:rsid w:val="0024611C"/>
    <w:rsid w:val="00246304"/>
    <w:rsid w:val="00246E10"/>
    <w:rsid w:val="00247B03"/>
    <w:rsid w:val="00247F20"/>
    <w:rsid w:val="00250081"/>
    <w:rsid w:val="00250BD9"/>
    <w:rsid w:val="00251484"/>
    <w:rsid w:val="00251638"/>
    <w:rsid w:val="00251E61"/>
    <w:rsid w:val="00251EEC"/>
    <w:rsid w:val="00252127"/>
    <w:rsid w:val="00253217"/>
    <w:rsid w:val="00253336"/>
    <w:rsid w:val="00253D43"/>
    <w:rsid w:val="00255255"/>
    <w:rsid w:val="002553CF"/>
    <w:rsid w:val="00255AAA"/>
    <w:rsid w:val="00257CD8"/>
    <w:rsid w:val="00257D2C"/>
    <w:rsid w:val="00257F61"/>
    <w:rsid w:val="00260DD6"/>
    <w:rsid w:val="00261330"/>
    <w:rsid w:val="00261844"/>
    <w:rsid w:val="00261C2C"/>
    <w:rsid w:val="00261F12"/>
    <w:rsid w:val="0026200A"/>
    <w:rsid w:val="00262693"/>
    <w:rsid w:val="00262CD9"/>
    <w:rsid w:val="00264CF0"/>
    <w:rsid w:val="00265023"/>
    <w:rsid w:val="00266594"/>
    <w:rsid w:val="0026756E"/>
    <w:rsid w:val="00270105"/>
    <w:rsid w:val="00270809"/>
    <w:rsid w:val="00270C8E"/>
    <w:rsid w:val="002727F6"/>
    <w:rsid w:val="002736C5"/>
    <w:rsid w:val="00273EDD"/>
    <w:rsid w:val="002740C8"/>
    <w:rsid w:val="00274E35"/>
    <w:rsid w:val="00275499"/>
    <w:rsid w:val="00275658"/>
    <w:rsid w:val="002771BB"/>
    <w:rsid w:val="002776EA"/>
    <w:rsid w:val="002778F3"/>
    <w:rsid w:val="00277981"/>
    <w:rsid w:val="002800A5"/>
    <w:rsid w:val="00280E0B"/>
    <w:rsid w:val="00281089"/>
    <w:rsid w:val="00281554"/>
    <w:rsid w:val="00283D44"/>
    <w:rsid w:val="00284390"/>
    <w:rsid w:val="00284ECA"/>
    <w:rsid w:val="00285607"/>
    <w:rsid w:val="002858B5"/>
    <w:rsid w:val="002866E7"/>
    <w:rsid w:val="002874BC"/>
    <w:rsid w:val="00287A15"/>
    <w:rsid w:val="002900D9"/>
    <w:rsid w:val="00290251"/>
    <w:rsid w:val="0029105B"/>
    <w:rsid w:val="00291783"/>
    <w:rsid w:val="002918F0"/>
    <w:rsid w:val="002921E2"/>
    <w:rsid w:val="00292C66"/>
    <w:rsid w:val="00292E1C"/>
    <w:rsid w:val="002930C8"/>
    <w:rsid w:val="00293EA7"/>
    <w:rsid w:val="002943BF"/>
    <w:rsid w:val="00294569"/>
    <w:rsid w:val="00295652"/>
    <w:rsid w:val="00295C06"/>
    <w:rsid w:val="0029615D"/>
    <w:rsid w:val="0029791F"/>
    <w:rsid w:val="002A00A2"/>
    <w:rsid w:val="002A22FD"/>
    <w:rsid w:val="002A260B"/>
    <w:rsid w:val="002A270E"/>
    <w:rsid w:val="002A2E3A"/>
    <w:rsid w:val="002A41DD"/>
    <w:rsid w:val="002A5045"/>
    <w:rsid w:val="002A53DC"/>
    <w:rsid w:val="002A5C30"/>
    <w:rsid w:val="002A5F3A"/>
    <w:rsid w:val="002A68F5"/>
    <w:rsid w:val="002A6C39"/>
    <w:rsid w:val="002A7D93"/>
    <w:rsid w:val="002B0168"/>
    <w:rsid w:val="002B0E99"/>
    <w:rsid w:val="002B1207"/>
    <w:rsid w:val="002B1E88"/>
    <w:rsid w:val="002B2194"/>
    <w:rsid w:val="002B24EC"/>
    <w:rsid w:val="002B2AEB"/>
    <w:rsid w:val="002B2BB0"/>
    <w:rsid w:val="002B2C0F"/>
    <w:rsid w:val="002B34D3"/>
    <w:rsid w:val="002B58F2"/>
    <w:rsid w:val="002B59AB"/>
    <w:rsid w:val="002B67D3"/>
    <w:rsid w:val="002B6B1B"/>
    <w:rsid w:val="002B6FD4"/>
    <w:rsid w:val="002B7448"/>
    <w:rsid w:val="002B7D25"/>
    <w:rsid w:val="002C0276"/>
    <w:rsid w:val="002C0884"/>
    <w:rsid w:val="002C08E1"/>
    <w:rsid w:val="002C10E8"/>
    <w:rsid w:val="002C262D"/>
    <w:rsid w:val="002C2FD5"/>
    <w:rsid w:val="002C3336"/>
    <w:rsid w:val="002C3795"/>
    <w:rsid w:val="002C382D"/>
    <w:rsid w:val="002C4EE7"/>
    <w:rsid w:val="002C62F1"/>
    <w:rsid w:val="002C6853"/>
    <w:rsid w:val="002C68AD"/>
    <w:rsid w:val="002C707B"/>
    <w:rsid w:val="002C760F"/>
    <w:rsid w:val="002C79A4"/>
    <w:rsid w:val="002C7AFA"/>
    <w:rsid w:val="002D09E4"/>
    <w:rsid w:val="002D169A"/>
    <w:rsid w:val="002D1765"/>
    <w:rsid w:val="002D1899"/>
    <w:rsid w:val="002D3549"/>
    <w:rsid w:val="002D3926"/>
    <w:rsid w:val="002D4613"/>
    <w:rsid w:val="002D4629"/>
    <w:rsid w:val="002D4C0B"/>
    <w:rsid w:val="002D4F0C"/>
    <w:rsid w:val="002D52D8"/>
    <w:rsid w:val="002D59AF"/>
    <w:rsid w:val="002E0CFE"/>
    <w:rsid w:val="002E205B"/>
    <w:rsid w:val="002E21E8"/>
    <w:rsid w:val="002E25E7"/>
    <w:rsid w:val="002E2B7B"/>
    <w:rsid w:val="002E2CAD"/>
    <w:rsid w:val="002E3235"/>
    <w:rsid w:val="002E46C4"/>
    <w:rsid w:val="002E4F8E"/>
    <w:rsid w:val="002E574F"/>
    <w:rsid w:val="002E6151"/>
    <w:rsid w:val="002E61E1"/>
    <w:rsid w:val="002E6A37"/>
    <w:rsid w:val="002F016E"/>
    <w:rsid w:val="002F0267"/>
    <w:rsid w:val="002F0314"/>
    <w:rsid w:val="002F04B2"/>
    <w:rsid w:val="002F106A"/>
    <w:rsid w:val="002F10F5"/>
    <w:rsid w:val="002F1143"/>
    <w:rsid w:val="002F14BA"/>
    <w:rsid w:val="002F2425"/>
    <w:rsid w:val="002F27D0"/>
    <w:rsid w:val="002F298C"/>
    <w:rsid w:val="002F4D25"/>
    <w:rsid w:val="002F4EE0"/>
    <w:rsid w:val="002F507D"/>
    <w:rsid w:val="002F5961"/>
    <w:rsid w:val="003005C1"/>
    <w:rsid w:val="003017AE"/>
    <w:rsid w:val="00301871"/>
    <w:rsid w:val="00301B1B"/>
    <w:rsid w:val="00301FC1"/>
    <w:rsid w:val="00302544"/>
    <w:rsid w:val="00302AEA"/>
    <w:rsid w:val="003044CC"/>
    <w:rsid w:val="0030475C"/>
    <w:rsid w:val="003051E3"/>
    <w:rsid w:val="003057C0"/>
    <w:rsid w:val="00305BF3"/>
    <w:rsid w:val="00305CCD"/>
    <w:rsid w:val="00306410"/>
    <w:rsid w:val="003064EA"/>
    <w:rsid w:val="00306A89"/>
    <w:rsid w:val="00310448"/>
    <w:rsid w:val="003105CB"/>
    <w:rsid w:val="00310D92"/>
    <w:rsid w:val="00311909"/>
    <w:rsid w:val="00311D69"/>
    <w:rsid w:val="0031287C"/>
    <w:rsid w:val="00314439"/>
    <w:rsid w:val="00314AD3"/>
    <w:rsid w:val="00314F75"/>
    <w:rsid w:val="00314FAB"/>
    <w:rsid w:val="0031540D"/>
    <w:rsid w:val="003158B9"/>
    <w:rsid w:val="00315A99"/>
    <w:rsid w:val="003167DC"/>
    <w:rsid w:val="003206B2"/>
    <w:rsid w:val="003208AC"/>
    <w:rsid w:val="00321B54"/>
    <w:rsid w:val="00321D56"/>
    <w:rsid w:val="003235ED"/>
    <w:rsid w:val="0032451F"/>
    <w:rsid w:val="003246F1"/>
    <w:rsid w:val="00324E07"/>
    <w:rsid w:val="00325731"/>
    <w:rsid w:val="00325798"/>
    <w:rsid w:val="00327068"/>
    <w:rsid w:val="003301C1"/>
    <w:rsid w:val="00330671"/>
    <w:rsid w:val="00330879"/>
    <w:rsid w:val="00330A53"/>
    <w:rsid w:val="00331B87"/>
    <w:rsid w:val="0033246A"/>
    <w:rsid w:val="003329B8"/>
    <w:rsid w:val="00332F90"/>
    <w:rsid w:val="0033373C"/>
    <w:rsid w:val="003340D0"/>
    <w:rsid w:val="0033458A"/>
    <w:rsid w:val="0033563D"/>
    <w:rsid w:val="00336675"/>
    <w:rsid w:val="003367B3"/>
    <w:rsid w:val="003368C7"/>
    <w:rsid w:val="0033724F"/>
    <w:rsid w:val="00337B0C"/>
    <w:rsid w:val="00337E00"/>
    <w:rsid w:val="00340BE5"/>
    <w:rsid w:val="00340CA2"/>
    <w:rsid w:val="00341081"/>
    <w:rsid w:val="003410A5"/>
    <w:rsid w:val="00341321"/>
    <w:rsid w:val="003421EB"/>
    <w:rsid w:val="00343A9F"/>
    <w:rsid w:val="003450EF"/>
    <w:rsid w:val="00345DFB"/>
    <w:rsid w:val="00345FD1"/>
    <w:rsid w:val="003469B4"/>
    <w:rsid w:val="00346B5B"/>
    <w:rsid w:val="00346D7C"/>
    <w:rsid w:val="00346ED4"/>
    <w:rsid w:val="003470C7"/>
    <w:rsid w:val="00347505"/>
    <w:rsid w:val="00347774"/>
    <w:rsid w:val="003477B8"/>
    <w:rsid w:val="003478C4"/>
    <w:rsid w:val="00347CE0"/>
    <w:rsid w:val="00347F74"/>
    <w:rsid w:val="00350387"/>
    <w:rsid w:val="003506A9"/>
    <w:rsid w:val="00350F1D"/>
    <w:rsid w:val="00351289"/>
    <w:rsid w:val="0035256F"/>
    <w:rsid w:val="00352931"/>
    <w:rsid w:val="00352F8F"/>
    <w:rsid w:val="0035345D"/>
    <w:rsid w:val="00353773"/>
    <w:rsid w:val="003542B5"/>
    <w:rsid w:val="003550FC"/>
    <w:rsid w:val="00355465"/>
    <w:rsid w:val="00356E46"/>
    <w:rsid w:val="003570BF"/>
    <w:rsid w:val="00357422"/>
    <w:rsid w:val="003616E3"/>
    <w:rsid w:val="00361937"/>
    <w:rsid w:val="00362112"/>
    <w:rsid w:val="003621AE"/>
    <w:rsid w:val="00362509"/>
    <w:rsid w:val="003636D1"/>
    <w:rsid w:val="00363FB3"/>
    <w:rsid w:val="00364B19"/>
    <w:rsid w:val="00364CCC"/>
    <w:rsid w:val="00365249"/>
    <w:rsid w:val="0036590D"/>
    <w:rsid w:val="00365983"/>
    <w:rsid w:val="00365CF6"/>
    <w:rsid w:val="00365ED6"/>
    <w:rsid w:val="0036645A"/>
    <w:rsid w:val="00366E4B"/>
    <w:rsid w:val="003671FF"/>
    <w:rsid w:val="003676BB"/>
    <w:rsid w:val="003679EE"/>
    <w:rsid w:val="00367E1B"/>
    <w:rsid w:val="003707C6"/>
    <w:rsid w:val="00370898"/>
    <w:rsid w:val="00370F7E"/>
    <w:rsid w:val="003714EC"/>
    <w:rsid w:val="003722B0"/>
    <w:rsid w:val="003723DA"/>
    <w:rsid w:val="00372834"/>
    <w:rsid w:val="003728FC"/>
    <w:rsid w:val="00374381"/>
    <w:rsid w:val="00374943"/>
    <w:rsid w:val="003755F4"/>
    <w:rsid w:val="00375BF4"/>
    <w:rsid w:val="00375F1A"/>
    <w:rsid w:val="0037600F"/>
    <w:rsid w:val="00376604"/>
    <w:rsid w:val="00376A2A"/>
    <w:rsid w:val="00376EF5"/>
    <w:rsid w:val="003801C3"/>
    <w:rsid w:val="003807F3"/>
    <w:rsid w:val="00381E00"/>
    <w:rsid w:val="00381EFC"/>
    <w:rsid w:val="003821E4"/>
    <w:rsid w:val="00382CEF"/>
    <w:rsid w:val="003840D4"/>
    <w:rsid w:val="003843CC"/>
    <w:rsid w:val="0038481B"/>
    <w:rsid w:val="00386CD4"/>
    <w:rsid w:val="00386E71"/>
    <w:rsid w:val="0038727A"/>
    <w:rsid w:val="003878FB"/>
    <w:rsid w:val="00387F30"/>
    <w:rsid w:val="0039012B"/>
    <w:rsid w:val="0039081F"/>
    <w:rsid w:val="00390EC3"/>
    <w:rsid w:val="00391060"/>
    <w:rsid w:val="003917AE"/>
    <w:rsid w:val="0039241C"/>
    <w:rsid w:val="00393585"/>
    <w:rsid w:val="00393BF8"/>
    <w:rsid w:val="003941F8"/>
    <w:rsid w:val="00394E0B"/>
    <w:rsid w:val="00394F9A"/>
    <w:rsid w:val="003958C4"/>
    <w:rsid w:val="00395AFE"/>
    <w:rsid w:val="00396B02"/>
    <w:rsid w:val="00396E81"/>
    <w:rsid w:val="00397796"/>
    <w:rsid w:val="00397E08"/>
    <w:rsid w:val="003A110B"/>
    <w:rsid w:val="003A1550"/>
    <w:rsid w:val="003A1881"/>
    <w:rsid w:val="003A21BA"/>
    <w:rsid w:val="003A2326"/>
    <w:rsid w:val="003A25F0"/>
    <w:rsid w:val="003A376D"/>
    <w:rsid w:val="003A3A51"/>
    <w:rsid w:val="003A4BE3"/>
    <w:rsid w:val="003A5244"/>
    <w:rsid w:val="003A52EA"/>
    <w:rsid w:val="003A5519"/>
    <w:rsid w:val="003A586F"/>
    <w:rsid w:val="003A6AE3"/>
    <w:rsid w:val="003A77CA"/>
    <w:rsid w:val="003A781F"/>
    <w:rsid w:val="003B022E"/>
    <w:rsid w:val="003B16AE"/>
    <w:rsid w:val="003B2729"/>
    <w:rsid w:val="003B3A76"/>
    <w:rsid w:val="003B3F3D"/>
    <w:rsid w:val="003B463D"/>
    <w:rsid w:val="003B4DFF"/>
    <w:rsid w:val="003B51E6"/>
    <w:rsid w:val="003B5893"/>
    <w:rsid w:val="003B600A"/>
    <w:rsid w:val="003B6320"/>
    <w:rsid w:val="003B6419"/>
    <w:rsid w:val="003B66BE"/>
    <w:rsid w:val="003B7603"/>
    <w:rsid w:val="003C04E8"/>
    <w:rsid w:val="003C1F7C"/>
    <w:rsid w:val="003C20C4"/>
    <w:rsid w:val="003C2F74"/>
    <w:rsid w:val="003C31B3"/>
    <w:rsid w:val="003C3AA2"/>
    <w:rsid w:val="003C4472"/>
    <w:rsid w:val="003C4AD4"/>
    <w:rsid w:val="003C5359"/>
    <w:rsid w:val="003C565C"/>
    <w:rsid w:val="003C5991"/>
    <w:rsid w:val="003C6D91"/>
    <w:rsid w:val="003C7D4E"/>
    <w:rsid w:val="003D03E0"/>
    <w:rsid w:val="003D06DB"/>
    <w:rsid w:val="003D1164"/>
    <w:rsid w:val="003D1F8C"/>
    <w:rsid w:val="003D34E6"/>
    <w:rsid w:val="003D37B8"/>
    <w:rsid w:val="003D39FB"/>
    <w:rsid w:val="003D43F5"/>
    <w:rsid w:val="003D45B2"/>
    <w:rsid w:val="003D4E5B"/>
    <w:rsid w:val="003D59C4"/>
    <w:rsid w:val="003D6044"/>
    <w:rsid w:val="003D615A"/>
    <w:rsid w:val="003D6CA1"/>
    <w:rsid w:val="003D6F46"/>
    <w:rsid w:val="003E09B7"/>
    <w:rsid w:val="003E0A55"/>
    <w:rsid w:val="003E23DB"/>
    <w:rsid w:val="003E28F4"/>
    <w:rsid w:val="003E2B38"/>
    <w:rsid w:val="003E2CFA"/>
    <w:rsid w:val="003E468F"/>
    <w:rsid w:val="003E4D5F"/>
    <w:rsid w:val="003E4E2E"/>
    <w:rsid w:val="003E4EF3"/>
    <w:rsid w:val="003E57A4"/>
    <w:rsid w:val="003E5D36"/>
    <w:rsid w:val="003E687A"/>
    <w:rsid w:val="003E7440"/>
    <w:rsid w:val="003E78EF"/>
    <w:rsid w:val="003F0A4E"/>
    <w:rsid w:val="003F0F23"/>
    <w:rsid w:val="003F101F"/>
    <w:rsid w:val="003F13C8"/>
    <w:rsid w:val="003F1DB7"/>
    <w:rsid w:val="003F203B"/>
    <w:rsid w:val="003F3790"/>
    <w:rsid w:val="003F3F69"/>
    <w:rsid w:val="003F49F3"/>
    <w:rsid w:val="003F544D"/>
    <w:rsid w:val="003F636F"/>
    <w:rsid w:val="003F663B"/>
    <w:rsid w:val="003F6DD0"/>
    <w:rsid w:val="003F6F2C"/>
    <w:rsid w:val="003F77C6"/>
    <w:rsid w:val="004000DA"/>
    <w:rsid w:val="004007F2"/>
    <w:rsid w:val="0040099E"/>
    <w:rsid w:val="00401043"/>
    <w:rsid w:val="004019D0"/>
    <w:rsid w:val="004028B7"/>
    <w:rsid w:val="00402A74"/>
    <w:rsid w:val="0040346F"/>
    <w:rsid w:val="00403DF3"/>
    <w:rsid w:val="00404164"/>
    <w:rsid w:val="00404385"/>
    <w:rsid w:val="004046AB"/>
    <w:rsid w:val="0040488B"/>
    <w:rsid w:val="00405043"/>
    <w:rsid w:val="0040515D"/>
    <w:rsid w:val="00405668"/>
    <w:rsid w:val="00405B73"/>
    <w:rsid w:val="00405D66"/>
    <w:rsid w:val="00406901"/>
    <w:rsid w:val="00407C19"/>
    <w:rsid w:val="004108FF"/>
    <w:rsid w:val="00410D96"/>
    <w:rsid w:val="00411494"/>
    <w:rsid w:val="00411965"/>
    <w:rsid w:val="00411A26"/>
    <w:rsid w:val="0041207D"/>
    <w:rsid w:val="0041228F"/>
    <w:rsid w:val="00412A8D"/>
    <w:rsid w:val="00413462"/>
    <w:rsid w:val="004136BC"/>
    <w:rsid w:val="004137F1"/>
    <w:rsid w:val="0041466B"/>
    <w:rsid w:val="004149B4"/>
    <w:rsid w:val="00414A50"/>
    <w:rsid w:val="00414EE7"/>
    <w:rsid w:val="00415AE0"/>
    <w:rsid w:val="00415BBE"/>
    <w:rsid w:val="00416018"/>
    <w:rsid w:val="0041653B"/>
    <w:rsid w:val="004165A4"/>
    <w:rsid w:val="0041662A"/>
    <w:rsid w:val="00416A85"/>
    <w:rsid w:val="00416D8B"/>
    <w:rsid w:val="0041772C"/>
    <w:rsid w:val="00420629"/>
    <w:rsid w:val="00420C2F"/>
    <w:rsid w:val="00420FC2"/>
    <w:rsid w:val="00421F1C"/>
    <w:rsid w:val="004237B1"/>
    <w:rsid w:val="00424150"/>
    <w:rsid w:val="00424E3A"/>
    <w:rsid w:val="00425E56"/>
    <w:rsid w:val="00425EEB"/>
    <w:rsid w:val="00426021"/>
    <w:rsid w:val="0042772F"/>
    <w:rsid w:val="00427DBC"/>
    <w:rsid w:val="0043039D"/>
    <w:rsid w:val="00430995"/>
    <w:rsid w:val="00430CBF"/>
    <w:rsid w:val="004313CB"/>
    <w:rsid w:val="0043184C"/>
    <w:rsid w:val="0043354F"/>
    <w:rsid w:val="00435266"/>
    <w:rsid w:val="0043636D"/>
    <w:rsid w:val="00436384"/>
    <w:rsid w:val="00436CB1"/>
    <w:rsid w:val="0043722A"/>
    <w:rsid w:val="00437699"/>
    <w:rsid w:val="004400D0"/>
    <w:rsid w:val="00440E60"/>
    <w:rsid w:val="0044140E"/>
    <w:rsid w:val="00441624"/>
    <w:rsid w:val="00441886"/>
    <w:rsid w:val="00441E8D"/>
    <w:rsid w:val="00444143"/>
    <w:rsid w:val="00444911"/>
    <w:rsid w:val="00444A73"/>
    <w:rsid w:val="00444E16"/>
    <w:rsid w:val="004457B2"/>
    <w:rsid w:val="004459BA"/>
    <w:rsid w:val="0044653A"/>
    <w:rsid w:val="0044653B"/>
    <w:rsid w:val="00446A6E"/>
    <w:rsid w:val="004470B9"/>
    <w:rsid w:val="00447640"/>
    <w:rsid w:val="00447CF1"/>
    <w:rsid w:val="00447E65"/>
    <w:rsid w:val="004500AC"/>
    <w:rsid w:val="004507B3"/>
    <w:rsid w:val="00451096"/>
    <w:rsid w:val="00451169"/>
    <w:rsid w:val="00451D9E"/>
    <w:rsid w:val="00451F55"/>
    <w:rsid w:val="00452114"/>
    <w:rsid w:val="0045213A"/>
    <w:rsid w:val="00452FB6"/>
    <w:rsid w:val="00453AE3"/>
    <w:rsid w:val="004540FA"/>
    <w:rsid w:val="00455CD7"/>
    <w:rsid w:val="00456020"/>
    <w:rsid w:val="00456957"/>
    <w:rsid w:val="00456A9B"/>
    <w:rsid w:val="00457388"/>
    <w:rsid w:val="00457B72"/>
    <w:rsid w:val="00457D91"/>
    <w:rsid w:val="00457F79"/>
    <w:rsid w:val="00460DBE"/>
    <w:rsid w:val="00460E9F"/>
    <w:rsid w:val="00461408"/>
    <w:rsid w:val="00461976"/>
    <w:rsid w:val="00462233"/>
    <w:rsid w:val="0046260E"/>
    <w:rsid w:val="00462666"/>
    <w:rsid w:val="0046277E"/>
    <w:rsid w:val="0046288C"/>
    <w:rsid w:val="00462C50"/>
    <w:rsid w:val="00462DC8"/>
    <w:rsid w:val="0046304B"/>
    <w:rsid w:val="0046342F"/>
    <w:rsid w:val="00463C33"/>
    <w:rsid w:val="004644F7"/>
    <w:rsid w:val="00467034"/>
    <w:rsid w:val="0046732A"/>
    <w:rsid w:val="00467536"/>
    <w:rsid w:val="00467F90"/>
    <w:rsid w:val="004707E2"/>
    <w:rsid w:val="00470963"/>
    <w:rsid w:val="00470A49"/>
    <w:rsid w:val="004713B8"/>
    <w:rsid w:val="00471798"/>
    <w:rsid w:val="00471F28"/>
    <w:rsid w:val="00471FC2"/>
    <w:rsid w:val="00472666"/>
    <w:rsid w:val="00472DAB"/>
    <w:rsid w:val="004743AB"/>
    <w:rsid w:val="0047477E"/>
    <w:rsid w:val="004748A9"/>
    <w:rsid w:val="004750AE"/>
    <w:rsid w:val="00477225"/>
    <w:rsid w:val="0047784F"/>
    <w:rsid w:val="00477980"/>
    <w:rsid w:val="00480B35"/>
    <w:rsid w:val="00480BD1"/>
    <w:rsid w:val="00480F82"/>
    <w:rsid w:val="004816CB"/>
    <w:rsid w:val="004821D1"/>
    <w:rsid w:val="004822C5"/>
    <w:rsid w:val="004830B0"/>
    <w:rsid w:val="0048330D"/>
    <w:rsid w:val="004834C1"/>
    <w:rsid w:val="00483902"/>
    <w:rsid w:val="00484765"/>
    <w:rsid w:val="00484C65"/>
    <w:rsid w:val="0048572C"/>
    <w:rsid w:val="0048577F"/>
    <w:rsid w:val="0048595E"/>
    <w:rsid w:val="004869D7"/>
    <w:rsid w:val="00486CAA"/>
    <w:rsid w:val="00486E9B"/>
    <w:rsid w:val="00487280"/>
    <w:rsid w:val="00487343"/>
    <w:rsid w:val="004873D5"/>
    <w:rsid w:val="00487589"/>
    <w:rsid w:val="00487E77"/>
    <w:rsid w:val="00491161"/>
    <w:rsid w:val="00491522"/>
    <w:rsid w:val="0049194F"/>
    <w:rsid w:val="004920B0"/>
    <w:rsid w:val="00492605"/>
    <w:rsid w:val="004926E0"/>
    <w:rsid w:val="00492D43"/>
    <w:rsid w:val="00493008"/>
    <w:rsid w:val="0049350D"/>
    <w:rsid w:val="00493547"/>
    <w:rsid w:val="00493A01"/>
    <w:rsid w:val="00494310"/>
    <w:rsid w:val="0049513E"/>
    <w:rsid w:val="00496044"/>
    <w:rsid w:val="0049604A"/>
    <w:rsid w:val="00496ACA"/>
    <w:rsid w:val="00496E08"/>
    <w:rsid w:val="0049712B"/>
    <w:rsid w:val="0049716D"/>
    <w:rsid w:val="00497967"/>
    <w:rsid w:val="00497E45"/>
    <w:rsid w:val="004A03BF"/>
    <w:rsid w:val="004A0430"/>
    <w:rsid w:val="004A1EA5"/>
    <w:rsid w:val="004A2D7F"/>
    <w:rsid w:val="004A2EA5"/>
    <w:rsid w:val="004A3FA7"/>
    <w:rsid w:val="004A459C"/>
    <w:rsid w:val="004A52EE"/>
    <w:rsid w:val="004A64C8"/>
    <w:rsid w:val="004A7B49"/>
    <w:rsid w:val="004B029B"/>
    <w:rsid w:val="004B090F"/>
    <w:rsid w:val="004B0AAA"/>
    <w:rsid w:val="004B0CDD"/>
    <w:rsid w:val="004B141F"/>
    <w:rsid w:val="004B2544"/>
    <w:rsid w:val="004B29CE"/>
    <w:rsid w:val="004B3010"/>
    <w:rsid w:val="004B377E"/>
    <w:rsid w:val="004B382D"/>
    <w:rsid w:val="004B3A8E"/>
    <w:rsid w:val="004B456A"/>
    <w:rsid w:val="004B4589"/>
    <w:rsid w:val="004B509A"/>
    <w:rsid w:val="004B72F5"/>
    <w:rsid w:val="004B7988"/>
    <w:rsid w:val="004BA51C"/>
    <w:rsid w:val="004C01BE"/>
    <w:rsid w:val="004C02EF"/>
    <w:rsid w:val="004C0CD7"/>
    <w:rsid w:val="004C12B6"/>
    <w:rsid w:val="004C2CB3"/>
    <w:rsid w:val="004C3119"/>
    <w:rsid w:val="004C3C6C"/>
    <w:rsid w:val="004C4541"/>
    <w:rsid w:val="004C4708"/>
    <w:rsid w:val="004C47E4"/>
    <w:rsid w:val="004C50C5"/>
    <w:rsid w:val="004C58C1"/>
    <w:rsid w:val="004C5AAC"/>
    <w:rsid w:val="004C61ED"/>
    <w:rsid w:val="004C7953"/>
    <w:rsid w:val="004D03F8"/>
    <w:rsid w:val="004D0C19"/>
    <w:rsid w:val="004D1D68"/>
    <w:rsid w:val="004D360D"/>
    <w:rsid w:val="004D43A0"/>
    <w:rsid w:val="004D43E0"/>
    <w:rsid w:val="004D457E"/>
    <w:rsid w:val="004D4598"/>
    <w:rsid w:val="004D4C29"/>
    <w:rsid w:val="004D6080"/>
    <w:rsid w:val="004D6606"/>
    <w:rsid w:val="004E002C"/>
    <w:rsid w:val="004E0062"/>
    <w:rsid w:val="004E0584"/>
    <w:rsid w:val="004E118F"/>
    <w:rsid w:val="004E4790"/>
    <w:rsid w:val="004E47EA"/>
    <w:rsid w:val="004E4B7B"/>
    <w:rsid w:val="004E57DE"/>
    <w:rsid w:val="004E595C"/>
    <w:rsid w:val="004E5A33"/>
    <w:rsid w:val="004E6829"/>
    <w:rsid w:val="004E74B7"/>
    <w:rsid w:val="004E766F"/>
    <w:rsid w:val="004E7855"/>
    <w:rsid w:val="004E7E3C"/>
    <w:rsid w:val="004F0939"/>
    <w:rsid w:val="004F143D"/>
    <w:rsid w:val="004F1880"/>
    <w:rsid w:val="004F1A16"/>
    <w:rsid w:val="004F2588"/>
    <w:rsid w:val="004F2844"/>
    <w:rsid w:val="004F2A9C"/>
    <w:rsid w:val="004F3E49"/>
    <w:rsid w:val="004F4A90"/>
    <w:rsid w:val="004F5D41"/>
    <w:rsid w:val="004F63FE"/>
    <w:rsid w:val="004F6505"/>
    <w:rsid w:val="004F6A1D"/>
    <w:rsid w:val="004F6D89"/>
    <w:rsid w:val="004F7967"/>
    <w:rsid w:val="004F7A00"/>
    <w:rsid w:val="00500C34"/>
    <w:rsid w:val="00500EBB"/>
    <w:rsid w:val="0050113B"/>
    <w:rsid w:val="005029E8"/>
    <w:rsid w:val="005034C5"/>
    <w:rsid w:val="0050350A"/>
    <w:rsid w:val="00503558"/>
    <w:rsid w:val="00503E9C"/>
    <w:rsid w:val="00504739"/>
    <w:rsid w:val="005047FB"/>
    <w:rsid w:val="0050482A"/>
    <w:rsid w:val="005048D7"/>
    <w:rsid w:val="00504BB3"/>
    <w:rsid w:val="00505105"/>
    <w:rsid w:val="005060F3"/>
    <w:rsid w:val="00506474"/>
    <w:rsid w:val="00507E7C"/>
    <w:rsid w:val="00511F31"/>
    <w:rsid w:val="00512BCC"/>
    <w:rsid w:val="00513FD3"/>
    <w:rsid w:val="0051409B"/>
    <w:rsid w:val="00514268"/>
    <w:rsid w:val="00515C19"/>
    <w:rsid w:val="0051656F"/>
    <w:rsid w:val="005171BD"/>
    <w:rsid w:val="0052075F"/>
    <w:rsid w:val="005214F7"/>
    <w:rsid w:val="005215EF"/>
    <w:rsid w:val="00522AA6"/>
    <w:rsid w:val="00522D8C"/>
    <w:rsid w:val="0052301F"/>
    <w:rsid w:val="005234E2"/>
    <w:rsid w:val="00523BA4"/>
    <w:rsid w:val="00523D56"/>
    <w:rsid w:val="00523E4D"/>
    <w:rsid w:val="00524BB3"/>
    <w:rsid w:val="00525835"/>
    <w:rsid w:val="00525DE2"/>
    <w:rsid w:val="005269CE"/>
    <w:rsid w:val="00527618"/>
    <w:rsid w:val="00530197"/>
    <w:rsid w:val="00530B96"/>
    <w:rsid w:val="00530FE7"/>
    <w:rsid w:val="00531513"/>
    <w:rsid w:val="005319B8"/>
    <w:rsid w:val="0053252B"/>
    <w:rsid w:val="00533A0A"/>
    <w:rsid w:val="0053444F"/>
    <w:rsid w:val="0053468F"/>
    <w:rsid w:val="00534D58"/>
    <w:rsid w:val="00534F66"/>
    <w:rsid w:val="00534FD9"/>
    <w:rsid w:val="00535294"/>
    <w:rsid w:val="005358B3"/>
    <w:rsid w:val="00535A6F"/>
    <w:rsid w:val="00535BA6"/>
    <w:rsid w:val="00536097"/>
    <w:rsid w:val="00536AE3"/>
    <w:rsid w:val="0053746C"/>
    <w:rsid w:val="005375EA"/>
    <w:rsid w:val="00537757"/>
    <w:rsid w:val="005408A8"/>
    <w:rsid w:val="00541CBF"/>
    <w:rsid w:val="00542FFB"/>
    <w:rsid w:val="00543731"/>
    <w:rsid w:val="0054376A"/>
    <w:rsid w:val="0054401C"/>
    <w:rsid w:val="00544E03"/>
    <w:rsid w:val="00545051"/>
    <w:rsid w:val="00550C5D"/>
    <w:rsid w:val="00550E34"/>
    <w:rsid w:val="005510FC"/>
    <w:rsid w:val="005512DF"/>
    <w:rsid w:val="00551C63"/>
    <w:rsid w:val="00551F24"/>
    <w:rsid w:val="00553D55"/>
    <w:rsid w:val="005543DA"/>
    <w:rsid w:val="0055503C"/>
    <w:rsid w:val="00555167"/>
    <w:rsid w:val="00555DAF"/>
    <w:rsid w:val="005560FA"/>
    <w:rsid w:val="005571E0"/>
    <w:rsid w:val="00557EFB"/>
    <w:rsid w:val="0056015A"/>
    <w:rsid w:val="005606AA"/>
    <w:rsid w:val="005608AE"/>
    <w:rsid w:val="00560D52"/>
    <w:rsid w:val="00560F5D"/>
    <w:rsid w:val="005614A9"/>
    <w:rsid w:val="00561CD0"/>
    <w:rsid w:val="00562515"/>
    <w:rsid w:val="00562882"/>
    <w:rsid w:val="00562E9E"/>
    <w:rsid w:val="00562FE2"/>
    <w:rsid w:val="00564A15"/>
    <w:rsid w:val="00564B62"/>
    <w:rsid w:val="00564ED7"/>
    <w:rsid w:val="005651A3"/>
    <w:rsid w:val="00565B70"/>
    <w:rsid w:val="00565FE0"/>
    <w:rsid w:val="0056626D"/>
    <w:rsid w:val="00566F73"/>
    <w:rsid w:val="00567850"/>
    <w:rsid w:val="00567FC4"/>
    <w:rsid w:val="00571D04"/>
    <w:rsid w:val="00572BAB"/>
    <w:rsid w:val="00573F16"/>
    <w:rsid w:val="005751C5"/>
    <w:rsid w:val="00575DA5"/>
    <w:rsid w:val="00575FB1"/>
    <w:rsid w:val="005770BB"/>
    <w:rsid w:val="005773A9"/>
    <w:rsid w:val="005774A4"/>
    <w:rsid w:val="00577904"/>
    <w:rsid w:val="00580841"/>
    <w:rsid w:val="00580D6B"/>
    <w:rsid w:val="00580FB7"/>
    <w:rsid w:val="0058163B"/>
    <w:rsid w:val="00581663"/>
    <w:rsid w:val="00581D7C"/>
    <w:rsid w:val="00581E4D"/>
    <w:rsid w:val="005822F0"/>
    <w:rsid w:val="00582696"/>
    <w:rsid w:val="00582726"/>
    <w:rsid w:val="005828F9"/>
    <w:rsid w:val="00582D71"/>
    <w:rsid w:val="00583C2A"/>
    <w:rsid w:val="00584198"/>
    <w:rsid w:val="00584818"/>
    <w:rsid w:val="00584E09"/>
    <w:rsid w:val="00585993"/>
    <w:rsid w:val="00585B72"/>
    <w:rsid w:val="00585C97"/>
    <w:rsid w:val="005863E5"/>
    <w:rsid w:val="0058668F"/>
    <w:rsid w:val="00587AC4"/>
    <w:rsid w:val="0059130D"/>
    <w:rsid w:val="00591442"/>
    <w:rsid w:val="005914C4"/>
    <w:rsid w:val="00591EBC"/>
    <w:rsid w:val="0059238F"/>
    <w:rsid w:val="00592F38"/>
    <w:rsid w:val="00593422"/>
    <w:rsid w:val="005941FE"/>
    <w:rsid w:val="00594B31"/>
    <w:rsid w:val="00595689"/>
    <w:rsid w:val="0059570E"/>
    <w:rsid w:val="005967DE"/>
    <w:rsid w:val="005967F3"/>
    <w:rsid w:val="00597120"/>
    <w:rsid w:val="0059752F"/>
    <w:rsid w:val="005A048C"/>
    <w:rsid w:val="005A08AF"/>
    <w:rsid w:val="005A150A"/>
    <w:rsid w:val="005A2EE1"/>
    <w:rsid w:val="005A360F"/>
    <w:rsid w:val="005A371F"/>
    <w:rsid w:val="005A42AC"/>
    <w:rsid w:val="005A46B0"/>
    <w:rsid w:val="005A4A69"/>
    <w:rsid w:val="005A5DDB"/>
    <w:rsid w:val="005A5ECE"/>
    <w:rsid w:val="005A5EE4"/>
    <w:rsid w:val="005A62A2"/>
    <w:rsid w:val="005A6362"/>
    <w:rsid w:val="005A6BBD"/>
    <w:rsid w:val="005A75BC"/>
    <w:rsid w:val="005A766D"/>
    <w:rsid w:val="005A79AE"/>
    <w:rsid w:val="005B003C"/>
    <w:rsid w:val="005B0B51"/>
    <w:rsid w:val="005B1489"/>
    <w:rsid w:val="005B1644"/>
    <w:rsid w:val="005B2BB8"/>
    <w:rsid w:val="005B2C19"/>
    <w:rsid w:val="005B2F5D"/>
    <w:rsid w:val="005B308C"/>
    <w:rsid w:val="005B31E3"/>
    <w:rsid w:val="005B3BD1"/>
    <w:rsid w:val="005B3E26"/>
    <w:rsid w:val="005B4245"/>
    <w:rsid w:val="005B47D2"/>
    <w:rsid w:val="005B4D00"/>
    <w:rsid w:val="005B5068"/>
    <w:rsid w:val="005B58FF"/>
    <w:rsid w:val="005B5B71"/>
    <w:rsid w:val="005B5C54"/>
    <w:rsid w:val="005B5EE8"/>
    <w:rsid w:val="005B659E"/>
    <w:rsid w:val="005B67AC"/>
    <w:rsid w:val="005B75FD"/>
    <w:rsid w:val="005B7CA0"/>
    <w:rsid w:val="005B7DCC"/>
    <w:rsid w:val="005C0954"/>
    <w:rsid w:val="005C1D33"/>
    <w:rsid w:val="005C24D5"/>
    <w:rsid w:val="005C2ACD"/>
    <w:rsid w:val="005C39CE"/>
    <w:rsid w:val="005C4011"/>
    <w:rsid w:val="005C415E"/>
    <w:rsid w:val="005C4651"/>
    <w:rsid w:val="005C4E3F"/>
    <w:rsid w:val="005C53D1"/>
    <w:rsid w:val="005C5626"/>
    <w:rsid w:val="005C57F4"/>
    <w:rsid w:val="005C6066"/>
    <w:rsid w:val="005D2535"/>
    <w:rsid w:val="005D4329"/>
    <w:rsid w:val="005D4C87"/>
    <w:rsid w:val="005D50B1"/>
    <w:rsid w:val="005D5DDE"/>
    <w:rsid w:val="005D631F"/>
    <w:rsid w:val="005D64F1"/>
    <w:rsid w:val="005D6A46"/>
    <w:rsid w:val="005D7A70"/>
    <w:rsid w:val="005D7EE4"/>
    <w:rsid w:val="005D7F94"/>
    <w:rsid w:val="005E0432"/>
    <w:rsid w:val="005E0883"/>
    <w:rsid w:val="005E0C26"/>
    <w:rsid w:val="005E13A8"/>
    <w:rsid w:val="005E1BAC"/>
    <w:rsid w:val="005E1F94"/>
    <w:rsid w:val="005E2497"/>
    <w:rsid w:val="005E3D38"/>
    <w:rsid w:val="005E4760"/>
    <w:rsid w:val="005E4AD5"/>
    <w:rsid w:val="005E4FA6"/>
    <w:rsid w:val="005E51C5"/>
    <w:rsid w:val="005E5365"/>
    <w:rsid w:val="005E555C"/>
    <w:rsid w:val="005E5948"/>
    <w:rsid w:val="005E60E0"/>
    <w:rsid w:val="005E612C"/>
    <w:rsid w:val="005E613D"/>
    <w:rsid w:val="005E7E9D"/>
    <w:rsid w:val="005F1A2C"/>
    <w:rsid w:val="005F1AFD"/>
    <w:rsid w:val="005F2962"/>
    <w:rsid w:val="005F3619"/>
    <w:rsid w:val="005F3FB4"/>
    <w:rsid w:val="005F3FE7"/>
    <w:rsid w:val="005F459C"/>
    <w:rsid w:val="005F4798"/>
    <w:rsid w:val="005F48DA"/>
    <w:rsid w:val="005F4B11"/>
    <w:rsid w:val="005F4B41"/>
    <w:rsid w:val="005F4C13"/>
    <w:rsid w:val="005F5090"/>
    <w:rsid w:val="005F5201"/>
    <w:rsid w:val="005F5819"/>
    <w:rsid w:val="005F65FE"/>
    <w:rsid w:val="005F669E"/>
    <w:rsid w:val="005F6723"/>
    <w:rsid w:val="005F68E8"/>
    <w:rsid w:val="005F7A58"/>
    <w:rsid w:val="00600422"/>
    <w:rsid w:val="00602DF1"/>
    <w:rsid w:val="00603071"/>
    <w:rsid w:val="00605AC2"/>
    <w:rsid w:val="0060613A"/>
    <w:rsid w:val="006065DD"/>
    <w:rsid w:val="006066E4"/>
    <w:rsid w:val="00606886"/>
    <w:rsid w:val="00606951"/>
    <w:rsid w:val="00607A3F"/>
    <w:rsid w:val="006102C2"/>
    <w:rsid w:val="0061064B"/>
    <w:rsid w:val="00610A75"/>
    <w:rsid w:val="00610B6D"/>
    <w:rsid w:val="00611272"/>
    <w:rsid w:val="00611AD2"/>
    <w:rsid w:val="006126A1"/>
    <w:rsid w:val="00613114"/>
    <w:rsid w:val="00613341"/>
    <w:rsid w:val="00613449"/>
    <w:rsid w:val="00613C01"/>
    <w:rsid w:val="006149DD"/>
    <w:rsid w:val="00615A32"/>
    <w:rsid w:val="00616735"/>
    <w:rsid w:val="00616FBA"/>
    <w:rsid w:val="006209D6"/>
    <w:rsid w:val="00621FCA"/>
    <w:rsid w:val="0062342D"/>
    <w:rsid w:val="00623534"/>
    <w:rsid w:val="00623B67"/>
    <w:rsid w:val="0062407D"/>
    <w:rsid w:val="0062436C"/>
    <w:rsid w:val="006249AB"/>
    <w:rsid w:val="00625891"/>
    <w:rsid w:val="006264E0"/>
    <w:rsid w:val="00626F66"/>
    <w:rsid w:val="00627376"/>
    <w:rsid w:val="00627BE0"/>
    <w:rsid w:val="006318DA"/>
    <w:rsid w:val="00632548"/>
    <w:rsid w:val="006327B9"/>
    <w:rsid w:val="0063302E"/>
    <w:rsid w:val="00633096"/>
    <w:rsid w:val="00633692"/>
    <w:rsid w:val="00633DAE"/>
    <w:rsid w:val="00634AFD"/>
    <w:rsid w:val="00634DC7"/>
    <w:rsid w:val="00636258"/>
    <w:rsid w:val="006364F8"/>
    <w:rsid w:val="00637183"/>
    <w:rsid w:val="00637434"/>
    <w:rsid w:val="00637800"/>
    <w:rsid w:val="00640794"/>
    <w:rsid w:val="00641263"/>
    <w:rsid w:val="00641BA9"/>
    <w:rsid w:val="00641E50"/>
    <w:rsid w:val="00642ECA"/>
    <w:rsid w:val="006431D0"/>
    <w:rsid w:val="00643436"/>
    <w:rsid w:val="0064343A"/>
    <w:rsid w:val="00643B9C"/>
    <w:rsid w:val="00643E40"/>
    <w:rsid w:val="00643E95"/>
    <w:rsid w:val="00643F5D"/>
    <w:rsid w:val="00644B81"/>
    <w:rsid w:val="006452D3"/>
    <w:rsid w:val="006459DE"/>
    <w:rsid w:val="00645D0F"/>
    <w:rsid w:val="00646814"/>
    <w:rsid w:val="006468CE"/>
    <w:rsid w:val="006478F6"/>
    <w:rsid w:val="00647B5B"/>
    <w:rsid w:val="00650325"/>
    <w:rsid w:val="00650608"/>
    <w:rsid w:val="00651153"/>
    <w:rsid w:val="00651961"/>
    <w:rsid w:val="00651DB0"/>
    <w:rsid w:val="006533BC"/>
    <w:rsid w:val="00653B91"/>
    <w:rsid w:val="006554AF"/>
    <w:rsid w:val="00655A3C"/>
    <w:rsid w:val="006569A8"/>
    <w:rsid w:val="0065792E"/>
    <w:rsid w:val="00660726"/>
    <w:rsid w:val="00660B13"/>
    <w:rsid w:val="0066153E"/>
    <w:rsid w:val="00661545"/>
    <w:rsid w:val="00662239"/>
    <w:rsid w:val="00662B0B"/>
    <w:rsid w:val="006637D5"/>
    <w:rsid w:val="006646F5"/>
    <w:rsid w:val="006650B4"/>
    <w:rsid w:val="006655EE"/>
    <w:rsid w:val="00665AF1"/>
    <w:rsid w:val="00665F27"/>
    <w:rsid w:val="006669C4"/>
    <w:rsid w:val="006670C2"/>
    <w:rsid w:val="00667912"/>
    <w:rsid w:val="00670603"/>
    <w:rsid w:val="006706F1"/>
    <w:rsid w:val="00670DD8"/>
    <w:rsid w:val="00671D91"/>
    <w:rsid w:val="00671FFF"/>
    <w:rsid w:val="006729F0"/>
    <w:rsid w:val="00672A4A"/>
    <w:rsid w:val="00672FDF"/>
    <w:rsid w:val="0067369F"/>
    <w:rsid w:val="00673E6A"/>
    <w:rsid w:val="006756DB"/>
    <w:rsid w:val="00676415"/>
    <w:rsid w:val="00676AD0"/>
    <w:rsid w:val="0067771D"/>
    <w:rsid w:val="006807EE"/>
    <w:rsid w:val="00680870"/>
    <w:rsid w:val="00680D8D"/>
    <w:rsid w:val="006813A6"/>
    <w:rsid w:val="00681412"/>
    <w:rsid w:val="00681B22"/>
    <w:rsid w:val="006822E4"/>
    <w:rsid w:val="00682624"/>
    <w:rsid w:val="0068265C"/>
    <w:rsid w:val="00682786"/>
    <w:rsid w:val="00682D98"/>
    <w:rsid w:val="006839A4"/>
    <w:rsid w:val="00683AE3"/>
    <w:rsid w:val="00684D00"/>
    <w:rsid w:val="0068564D"/>
    <w:rsid w:val="00685DA9"/>
    <w:rsid w:val="00686529"/>
    <w:rsid w:val="00686910"/>
    <w:rsid w:val="00686B5D"/>
    <w:rsid w:val="00686EE3"/>
    <w:rsid w:val="00686F6B"/>
    <w:rsid w:val="006907F7"/>
    <w:rsid w:val="006915C8"/>
    <w:rsid w:val="00691669"/>
    <w:rsid w:val="00691A3C"/>
    <w:rsid w:val="006928B9"/>
    <w:rsid w:val="00692BB0"/>
    <w:rsid w:val="00693C81"/>
    <w:rsid w:val="006945FF"/>
    <w:rsid w:val="00694D1D"/>
    <w:rsid w:val="00695B3C"/>
    <w:rsid w:val="00695D06"/>
    <w:rsid w:val="006961E4"/>
    <w:rsid w:val="00697C9E"/>
    <w:rsid w:val="006A027A"/>
    <w:rsid w:val="006A0406"/>
    <w:rsid w:val="006A1018"/>
    <w:rsid w:val="006A1164"/>
    <w:rsid w:val="006A11B9"/>
    <w:rsid w:val="006A141F"/>
    <w:rsid w:val="006A1959"/>
    <w:rsid w:val="006A1C4D"/>
    <w:rsid w:val="006A3101"/>
    <w:rsid w:val="006A44A7"/>
    <w:rsid w:val="006A4DD1"/>
    <w:rsid w:val="006A5B00"/>
    <w:rsid w:val="006A5D30"/>
    <w:rsid w:val="006A6329"/>
    <w:rsid w:val="006A7C85"/>
    <w:rsid w:val="006B215C"/>
    <w:rsid w:val="006B315C"/>
    <w:rsid w:val="006B31DA"/>
    <w:rsid w:val="006B329F"/>
    <w:rsid w:val="006B3836"/>
    <w:rsid w:val="006B4052"/>
    <w:rsid w:val="006B5A8F"/>
    <w:rsid w:val="006B6569"/>
    <w:rsid w:val="006B7135"/>
    <w:rsid w:val="006B76BC"/>
    <w:rsid w:val="006B7A31"/>
    <w:rsid w:val="006B7CA1"/>
    <w:rsid w:val="006C0858"/>
    <w:rsid w:val="006C1241"/>
    <w:rsid w:val="006C15CF"/>
    <w:rsid w:val="006C17EE"/>
    <w:rsid w:val="006C1B27"/>
    <w:rsid w:val="006C1D1F"/>
    <w:rsid w:val="006C1FBB"/>
    <w:rsid w:val="006C3CE9"/>
    <w:rsid w:val="006C4364"/>
    <w:rsid w:val="006C44B5"/>
    <w:rsid w:val="006C4B4B"/>
    <w:rsid w:val="006C549E"/>
    <w:rsid w:val="006C59D8"/>
    <w:rsid w:val="006C59F6"/>
    <w:rsid w:val="006C5C03"/>
    <w:rsid w:val="006C6023"/>
    <w:rsid w:val="006C6A15"/>
    <w:rsid w:val="006C6E5E"/>
    <w:rsid w:val="006C7703"/>
    <w:rsid w:val="006C7991"/>
    <w:rsid w:val="006D00E2"/>
    <w:rsid w:val="006D020D"/>
    <w:rsid w:val="006D02DD"/>
    <w:rsid w:val="006D040D"/>
    <w:rsid w:val="006D2C51"/>
    <w:rsid w:val="006D459F"/>
    <w:rsid w:val="006D4755"/>
    <w:rsid w:val="006D52F5"/>
    <w:rsid w:val="006D69CB"/>
    <w:rsid w:val="006D6AA6"/>
    <w:rsid w:val="006D6D58"/>
    <w:rsid w:val="006D6E7D"/>
    <w:rsid w:val="006D711C"/>
    <w:rsid w:val="006E13D1"/>
    <w:rsid w:val="006E1BFC"/>
    <w:rsid w:val="006E24F0"/>
    <w:rsid w:val="006E250C"/>
    <w:rsid w:val="006E2A57"/>
    <w:rsid w:val="006E2D1F"/>
    <w:rsid w:val="006E341D"/>
    <w:rsid w:val="006E37A6"/>
    <w:rsid w:val="006E3B33"/>
    <w:rsid w:val="006E3CC5"/>
    <w:rsid w:val="006E4E15"/>
    <w:rsid w:val="006E570F"/>
    <w:rsid w:val="006E5D94"/>
    <w:rsid w:val="006E6509"/>
    <w:rsid w:val="006E73D4"/>
    <w:rsid w:val="006E7609"/>
    <w:rsid w:val="006E799B"/>
    <w:rsid w:val="006F03F1"/>
    <w:rsid w:val="006F0FF6"/>
    <w:rsid w:val="006F18AA"/>
    <w:rsid w:val="006F3040"/>
    <w:rsid w:val="006F3396"/>
    <w:rsid w:val="006F38AD"/>
    <w:rsid w:val="006F3E94"/>
    <w:rsid w:val="006F4BC7"/>
    <w:rsid w:val="006F5399"/>
    <w:rsid w:val="006F5AF0"/>
    <w:rsid w:val="006F5B7E"/>
    <w:rsid w:val="006F6389"/>
    <w:rsid w:val="006F63DA"/>
    <w:rsid w:val="006F6BD1"/>
    <w:rsid w:val="006F7490"/>
    <w:rsid w:val="006F79C9"/>
    <w:rsid w:val="006F7E6F"/>
    <w:rsid w:val="007003C5"/>
    <w:rsid w:val="007004D4"/>
    <w:rsid w:val="00700A26"/>
    <w:rsid w:val="0070102E"/>
    <w:rsid w:val="0070129D"/>
    <w:rsid w:val="007023FC"/>
    <w:rsid w:val="0070297E"/>
    <w:rsid w:val="00703764"/>
    <w:rsid w:val="00703996"/>
    <w:rsid w:val="00704277"/>
    <w:rsid w:val="0070533E"/>
    <w:rsid w:val="00705B41"/>
    <w:rsid w:val="00706BB9"/>
    <w:rsid w:val="007070B8"/>
    <w:rsid w:val="0070735D"/>
    <w:rsid w:val="00707498"/>
    <w:rsid w:val="00707CB1"/>
    <w:rsid w:val="00710713"/>
    <w:rsid w:val="0071088D"/>
    <w:rsid w:val="00710F4D"/>
    <w:rsid w:val="007119B7"/>
    <w:rsid w:val="00711ACE"/>
    <w:rsid w:val="0071206E"/>
    <w:rsid w:val="00712510"/>
    <w:rsid w:val="0071294E"/>
    <w:rsid w:val="00712DD9"/>
    <w:rsid w:val="007136BC"/>
    <w:rsid w:val="00715C8A"/>
    <w:rsid w:val="00715D8C"/>
    <w:rsid w:val="00716030"/>
    <w:rsid w:val="00716B1B"/>
    <w:rsid w:val="00717156"/>
    <w:rsid w:val="007177A9"/>
    <w:rsid w:val="007222EB"/>
    <w:rsid w:val="007224BF"/>
    <w:rsid w:val="00722BEC"/>
    <w:rsid w:val="0072321A"/>
    <w:rsid w:val="00724081"/>
    <w:rsid w:val="00724310"/>
    <w:rsid w:val="00725290"/>
    <w:rsid w:val="0072646C"/>
    <w:rsid w:val="007264B4"/>
    <w:rsid w:val="007276DC"/>
    <w:rsid w:val="00727E9F"/>
    <w:rsid w:val="00727EFF"/>
    <w:rsid w:val="00731332"/>
    <w:rsid w:val="00732EA7"/>
    <w:rsid w:val="00734C75"/>
    <w:rsid w:val="0073559A"/>
    <w:rsid w:val="007360F1"/>
    <w:rsid w:val="007363A7"/>
    <w:rsid w:val="007363BB"/>
    <w:rsid w:val="007365F6"/>
    <w:rsid w:val="00736BA1"/>
    <w:rsid w:val="00737643"/>
    <w:rsid w:val="007379E0"/>
    <w:rsid w:val="00740D56"/>
    <w:rsid w:val="00740D70"/>
    <w:rsid w:val="00740FDD"/>
    <w:rsid w:val="007412C9"/>
    <w:rsid w:val="00741B03"/>
    <w:rsid w:val="00742166"/>
    <w:rsid w:val="0074234B"/>
    <w:rsid w:val="0074249C"/>
    <w:rsid w:val="00743243"/>
    <w:rsid w:val="00744331"/>
    <w:rsid w:val="007451F9"/>
    <w:rsid w:val="00745617"/>
    <w:rsid w:val="007456A3"/>
    <w:rsid w:val="00745842"/>
    <w:rsid w:val="00745BAA"/>
    <w:rsid w:val="00746A4F"/>
    <w:rsid w:val="00746C91"/>
    <w:rsid w:val="00747372"/>
    <w:rsid w:val="00747E7A"/>
    <w:rsid w:val="00747F69"/>
    <w:rsid w:val="007500AC"/>
    <w:rsid w:val="007501CF"/>
    <w:rsid w:val="007507A8"/>
    <w:rsid w:val="0075131D"/>
    <w:rsid w:val="0075240B"/>
    <w:rsid w:val="00752C56"/>
    <w:rsid w:val="00752E91"/>
    <w:rsid w:val="00753813"/>
    <w:rsid w:val="00753ED5"/>
    <w:rsid w:val="00754073"/>
    <w:rsid w:val="007545EA"/>
    <w:rsid w:val="0075587F"/>
    <w:rsid w:val="007559C3"/>
    <w:rsid w:val="00756276"/>
    <w:rsid w:val="00757A0C"/>
    <w:rsid w:val="00757D0E"/>
    <w:rsid w:val="007608C4"/>
    <w:rsid w:val="00760970"/>
    <w:rsid w:val="00760E26"/>
    <w:rsid w:val="0076174C"/>
    <w:rsid w:val="007617BE"/>
    <w:rsid w:val="00761A18"/>
    <w:rsid w:val="00761DC3"/>
    <w:rsid w:val="007628D1"/>
    <w:rsid w:val="00762E3C"/>
    <w:rsid w:val="007656C8"/>
    <w:rsid w:val="00765AAA"/>
    <w:rsid w:val="007671EE"/>
    <w:rsid w:val="00767F73"/>
    <w:rsid w:val="007722E7"/>
    <w:rsid w:val="0077297C"/>
    <w:rsid w:val="00773E5A"/>
    <w:rsid w:val="007742AD"/>
    <w:rsid w:val="00774404"/>
    <w:rsid w:val="007750B1"/>
    <w:rsid w:val="00776A64"/>
    <w:rsid w:val="00776E87"/>
    <w:rsid w:val="00777348"/>
    <w:rsid w:val="0077745D"/>
    <w:rsid w:val="007775D7"/>
    <w:rsid w:val="00777A24"/>
    <w:rsid w:val="0078037B"/>
    <w:rsid w:val="0078057F"/>
    <w:rsid w:val="0078059F"/>
    <w:rsid w:val="00781A28"/>
    <w:rsid w:val="00781F14"/>
    <w:rsid w:val="00782868"/>
    <w:rsid w:val="00782BD1"/>
    <w:rsid w:val="00782E4E"/>
    <w:rsid w:val="00783290"/>
    <w:rsid w:val="00783994"/>
    <w:rsid w:val="00783BA0"/>
    <w:rsid w:val="007841E4"/>
    <w:rsid w:val="0078455A"/>
    <w:rsid w:val="00784AB0"/>
    <w:rsid w:val="00784FC8"/>
    <w:rsid w:val="00786187"/>
    <w:rsid w:val="007868D4"/>
    <w:rsid w:val="00786A15"/>
    <w:rsid w:val="00786C9A"/>
    <w:rsid w:val="00786F2D"/>
    <w:rsid w:val="007870E6"/>
    <w:rsid w:val="00787F24"/>
    <w:rsid w:val="00790E9E"/>
    <w:rsid w:val="007910EF"/>
    <w:rsid w:val="00791A52"/>
    <w:rsid w:val="00791C7D"/>
    <w:rsid w:val="00791F36"/>
    <w:rsid w:val="00792915"/>
    <w:rsid w:val="00793384"/>
    <w:rsid w:val="007939F3"/>
    <w:rsid w:val="007940E4"/>
    <w:rsid w:val="00794581"/>
    <w:rsid w:val="00794B14"/>
    <w:rsid w:val="00794B60"/>
    <w:rsid w:val="007951DF"/>
    <w:rsid w:val="007957CC"/>
    <w:rsid w:val="007958A5"/>
    <w:rsid w:val="00795BAB"/>
    <w:rsid w:val="00795FC4"/>
    <w:rsid w:val="00795FD8"/>
    <w:rsid w:val="00797BF6"/>
    <w:rsid w:val="00797E29"/>
    <w:rsid w:val="007A01ED"/>
    <w:rsid w:val="007A047C"/>
    <w:rsid w:val="007A0BE9"/>
    <w:rsid w:val="007A0E62"/>
    <w:rsid w:val="007A1567"/>
    <w:rsid w:val="007A16D4"/>
    <w:rsid w:val="007A22C6"/>
    <w:rsid w:val="007A23C3"/>
    <w:rsid w:val="007A2A56"/>
    <w:rsid w:val="007A36B6"/>
    <w:rsid w:val="007A3ADB"/>
    <w:rsid w:val="007A554B"/>
    <w:rsid w:val="007A5F4B"/>
    <w:rsid w:val="007A627F"/>
    <w:rsid w:val="007A65F6"/>
    <w:rsid w:val="007A68D8"/>
    <w:rsid w:val="007A6E6E"/>
    <w:rsid w:val="007A7044"/>
    <w:rsid w:val="007B0C23"/>
    <w:rsid w:val="007B0EA5"/>
    <w:rsid w:val="007B115C"/>
    <w:rsid w:val="007B1582"/>
    <w:rsid w:val="007B2E0B"/>
    <w:rsid w:val="007B43A9"/>
    <w:rsid w:val="007B474D"/>
    <w:rsid w:val="007B4839"/>
    <w:rsid w:val="007B4BE1"/>
    <w:rsid w:val="007B500C"/>
    <w:rsid w:val="007B5561"/>
    <w:rsid w:val="007B6BDC"/>
    <w:rsid w:val="007B6C6F"/>
    <w:rsid w:val="007C0761"/>
    <w:rsid w:val="007C089C"/>
    <w:rsid w:val="007C08C9"/>
    <w:rsid w:val="007C09ED"/>
    <w:rsid w:val="007C11BA"/>
    <w:rsid w:val="007C1900"/>
    <w:rsid w:val="007C292C"/>
    <w:rsid w:val="007C3512"/>
    <w:rsid w:val="007C36EA"/>
    <w:rsid w:val="007C4984"/>
    <w:rsid w:val="007C5B8D"/>
    <w:rsid w:val="007C6053"/>
    <w:rsid w:val="007C6B71"/>
    <w:rsid w:val="007C6C68"/>
    <w:rsid w:val="007C726C"/>
    <w:rsid w:val="007D07C0"/>
    <w:rsid w:val="007D0A19"/>
    <w:rsid w:val="007D0CFD"/>
    <w:rsid w:val="007D1AFF"/>
    <w:rsid w:val="007D212F"/>
    <w:rsid w:val="007D219F"/>
    <w:rsid w:val="007D2439"/>
    <w:rsid w:val="007D28ED"/>
    <w:rsid w:val="007D2A7F"/>
    <w:rsid w:val="007D2E4C"/>
    <w:rsid w:val="007D3736"/>
    <w:rsid w:val="007D4931"/>
    <w:rsid w:val="007D50CC"/>
    <w:rsid w:val="007D527A"/>
    <w:rsid w:val="007D5530"/>
    <w:rsid w:val="007D5564"/>
    <w:rsid w:val="007D63E6"/>
    <w:rsid w:val="007D650C"/>
    <w:rsid w:val="007D66DF"/>
    <w:rsid w:val="007D6B31"/>
    <w:rsid w:val="007D7F87"/>
    <w:rsid w:val="007E09ED"/>
    <w:rsid w:val="007E0C32"/>
    <w:rsid w:val="007E0D3F"/>
    <w:rsid w:val="007E1309"/>
    <w:rsid w:val="007E1A12"/>
    <w:rsid w:val="007E22A5"/>
    <w:rsid w:val="007E2A96"/>
    <w:rsid w:val="007E2C6C"/>
    <w:rsid w:val="007E2C78"/>
    <w:rsid w:val="007E2E5F"/>
    <w:rsid w:val="007E3814"/>
    <w:rsid w:val="007E428C"/>
    <w:rsid w:val="007E46C2"/>
    <w:rsid w:val="007E59A8"/>
    <w:rsid w:val="007E652C"/>
    <w:rsid w:val="007E7275"/>
    <w:rsid w:val="007E7430"/>
    <w:rsid w:val="007E74A4"/>
    <w:rsid w:val="007E7DB3"/>
    <w:rsid w:val="007F0E18"/>
    <w:rsid w:val="007F2275"/>
    <w:rsid w:val="007F25E5"/>
    <w:rsid w:val="007F2AA3"/>
    <w:rsid w:val="007F34DB"/>
    <w:rsid w:val="007F3995"/>
    <w:rsid w:val="007F3FE8"/>
    <w:rsid w:val="007F42DC"/>
    <w:rsid w:val="007F4F1A"/>
    <w:rsid w:val="007F6445"/>
    <w:rsid w:val="007F7226"/>
    <w:rsid w:val="008008B7"/>
    <w:rsid w:val="00800B96"/>
    <w:rsid w:val="00801A54"/>
    <w:rsid w:val="00803574"/>
    <w:rsid w:val="008042E4"/>
    <w:rsid w:val="00804D64"/>
    <w:rsid w:val="00804F2C"/>
    <w:rsid w:val="00805137"/>
    <w:rsid w:val="00805664"/>
    <w:rsid w:val="008057EA"/>
    <w:rsid w:val="008065EC"/>
    <w:rsid w:val="00806FB3"/>
    <w:rsid w:val="00807094"/>
    <w:rsid w:val="00807995"/>
    <w:rsid w:val="0081101A"/>
    <w:rsid w:val="00811256"/>
    <w:rsid w:val="00811E4A"/>
    <w:rsid w:val="008124C0"/>
    <w:rsid w:val="00813AC2"/>
    <w:rsid w:val="00814EDA"/>
    <w:rsid w:val="008152F7"/>
    <w:rsid w:val="00815611"/>
    <w:rsid w:val="008157B7"/>
    <w:rsid w:val="00816378"/>
    <w:rsid w:val="008163DD"/>
    <w:rsid w:val="00816636"/>
    <w:rsid w:val="00816861"/>
    <w:rsid w:val="00817BA0"/>
    <w:rsid w:val="00820F01"/>
    <w:rsid w:val="008215B3"/>
    <w:rsid w:val="00821787"/>
    <w:rsid w:val="00822475"/>
    <w:rsid w:val="0082327A"/>
    <w:rsid w:val="00823DDD"/>
    <w:rsid w:val="00825F2D"/>
    <w:rsid w:val="00826063"/>
    <w:rsid w:val="008269AA"/>
    <w:rsid w:val="00827EDA"/>
    <w:rsid w:val="00830093"/>
    <w:rsid w:val="008308F5"/>
    <w:rsid w:val="00830F68"/>
    <w:rsid w:val="0083163A"/>
    <w:rsid w:val="00831A66"/>
    <w:rsid w:val="00831AB2"/>
    <w:rsid w:val="00832934"/>
    <w:rsid w:val="008350BD"/>
    <w:rsid w:val="00836C59"/>
    <w:rsid w:val="00836C8F"/>
    <w:rsid w:val="00837069"/>
    <w:rsid w:val="008378FD"/>
    <w:rsid w:val="00840B7B"/>
    <w:rsid w:val="00840D26"/>
    <w:rsid w:val="00841519"/>
    <w:rsid w:val="00841BB9"/>
    <w:rsid w:val="00841CC6"/>
    <w:rsid w:val="00842F56"/>
    <w:rsid w:val="00843307"/>
    <w:rsid w:val="0084349D"/>
    <w:rsid w:val="008435AD"/>
    <w:rsid w:val="00843727"/>
    <w:rsid w:val="00845038"/>
    <w:rsid w:val="0084534C"/>
    <w:rsid w:val="008453ED"/>
    <w:rsid w:val="0084544A"/>
    <w:rsid w:val="00845EEB"/>
    <w:rsid w:val="00846FF0"/>
    <w:rsid w:val="008470E5"/>
    <w:rsid w:val="0084740C"/>
    <w:rsid w:val="00847C25"/>
    <w:rsid w:val="00847D0C"/>
    <w:rsid w:val="0085075B"/>
    <w:rsid w:val="00850E65"/>
    <w:rsid w:val="00851EA5"/>
    <w:rsid w:val="008523E8"/>
    <w:rsid w:val="008527AB"/>
    <w:rsid w:val="008529FF"/>
    <w:rsid w:val="008532D1"/>
    <w:rsid w:val="0085393E"/>
    <w:rsid w:val="00854416"/>
    <w:rsid w:val="00854760"/>
    <w:rsid w:val="0085516D"/>
    <w:rsid w:val="008563CE"/>
    <w:rsid w:val="008566B3"/>
    <w:rsid w:val="00856BD8"/>
    <w:rsid w:val="00856E29"/>
    <w:rsid w:val="00857DC0"/>
    <w:rsid w:val="00860B31"/>
    <w:rsid w:val="00861A00"/>
    <w:rsid w:val="00861DBA"/>
    <w:rsid w:val="008628ED"/>
    <w:rsid w:val="00862A02"/>
    <w:rsid w:val="008630F1"/>
    <w:rsid w:val="008638BC"/>
    <w:rsid w:val="00864391"/>
    <w:rsid w:val="00864467"/>
    <w:rsid w:val="00864782"/>
    <w:rsid w:val="008702D7"/>
    <w:rsid w:val="00870797"/>
    <w:rsid w:val="008707A3"/>
    <w:rsid w:val="00870E33"/>
    <w:rsid w:val="0087137B"/>
    <w:rsid w:val="00871413"/>
    <w:rsid w:val="00871EAA"/>
    <w:rsid w:val="00871FD4"/>
    <w:rsid w:val="00873738"/>
    <w:rsid w:val="008744F6"/>
    <w:rsid w:val="00874543"/>
    <w:rsid w:val="008762D7"/>
    <w:rsid w:val="00876AB2"/>
    <w:rsid w:val="00876DA7"/>
    <w:rsid w:val="0087701E"/>
    <w:rsid w:val="0087709E"/>
    <w:rsid w:val="0087744E"/>
    <w:rsid w:val="008776A4"/>
    <w:rsid w:val="0088055E"/>
    <w:rsid w:val="0088074D"/>
    <w:rsid w:val="008809DB"/>
    <w:rsid w:val="00882821"/>
    <w:rsid w:val="00882A49"/>
    <w:rsid w:val="00883A27"/>
    <w:rsid w:val="00883D4A"/>
    <w:rsid w:val="00883E51"/>
    <w:rsid w:val="0088443A"/>
    <w:rsid w:val="00884C30"/>
    <w:rsid w:val="00884EEA"/>
    <w:rsid w:val="008853F9"/>
    <w:rsid w:val="0088781E"/>
    <w:rsid w:val="00890F6F"/>
    <w:rsid w:val="008911AF"/>
    <w:rsid w:val="008919B2"/>
    <w:rsid w:val="00892365"/>
    <w:rsid w:val="008938F5"/>
    <w:rsid w:val="00893BCA"/>
    <w:rsid w:val="008947A2"/>
    <w:rsid w:val="00894F90"/>
    <w:rsid w:val="00895FFF"/>
    <w:rsid w:val="00897675"/>
    <w:rsid w:val="00897E9C"/>
    <w:rsid w:val="008A19EA"/>
    <w:rsid w:val="008A1A77"/>
    <w:rsid w:val="008A1C0B"/>
    <w:rsid w:val="008A3E23"/>
    <w:rsid w:val="008A3ED7"/>
    <w:rsid w:val="008A4090"/>
    <w:rsid w:val="008A4F74"/>
    <w:rsid w:val="008A5035"/>
    <w:rsid w:val="008A50C3"/>
    <w:rsid w:val="008A50D1"/>
    <w:rsid w:val="008A6C5C"/>
    <w:rsid w:val="008A7A80"/>
    <w:rsid w:val="008B0158"/>
    <w:rsid w:val="008B1D53"/>
    <w:rsid w:val="008B2A51"/>
    <w:rsid w:val="008B30A5"/>
    <w:rsid w:val="008B3825"/>
    <w:rsid w:val="008B3C7C"/>
    <w:rsid w:val="008B64A7"/>
    <w:rsid w:val="008B6D50"/>
    <w:rsid w:val="008B6E92"/>
    <w:rsid w:val="008B7182"/>
    <w:rsid w:val="008B7612"/>
    <w:rsid w:val="008B76FC"/>
    <w:rsid w:val="008C02B1"/>
    <w:rsid w:val="008C02B3"/>
    <w:rsid w:val="008C0388"/>
    <w:rsid w:val="008C0404"/>
    <w:rsid w:val="008C0B9E"/>
    <w:rsid w:val="008C1264"/>
    <w:rsid w:val="008C13F9"/>
    <w:rsid w:val="008C181E"/>
    <w:rsid w:val="008C1E90"/>
    <w:rsid w:val="008C2BB2"/>
    <w:rsid w:val="008C2CB5"/>
    <w:rsid w:val="008C538E"/>
    <w:rsid w:val="008C58CD"/>
    <w:rsid w:val="008C65EB"/>
    <w:rsid w:val="008C6EED"/>
    <w:rsid w:val="008C7647"/>
    <w:rsid w:val="008D266A"/>
    <w:rsid w:val="008D475F"/>
    <w:rsid w:val="008D58A9"/>
    <w:rsid w:val="008D68AB"/>
    <w:rsid w:val="008D6BFE"/>
    <w:rsid w:val="008D6F77"/>
    <w:rsid w:val="008D7DD8"/>
    <w:rsid w:val="008E0210"/>
    <w:rsid w:val="008E0AC9"/>
    <w:rsid w:val="008E0DEA"/>
    <w:rsid w:val="008E1419"/>
    <w:rsid w:val="008E215F"/>
    <w:rsid w:val="008E22E1"/>
    <w:rsid w:val="008E26F0"/>
    <w:rsid w:val="008E29C7"/>
    <w:rsid w:val="008E29D9"/>
    <w:rsid w:val="008E2C22"/>
    <w:rsid w:val="008E363F"/>
    <w:rsid w:val="008E3991"/>
    <w:rsid w:val="008E3A91"/>
    <w:rsid w:val="008E40E4"/>
    <w:rsid w:val="008E558F"/>
    <w:rsid w:val="008E60DD"/>
    <w:rsid w:val="008E6ADB"/>
    <w:rsid w:val="008E6CD6"/>
    <w:rsid w:val="008E6EAB"/>
    <w:rsid w:val="008F0C19"/>
    <w:rsid w:val="008F100C"/>
    <w:rsid w:val="008F152F"/>
    <w:rsid w:val="008F1AF9"/>
    <w:rsid w:val="008F2BF0"/>
    <w:rsid w:val="008F2DCD"/>
    <w:rsid w:val="008F3325"/>
    <w:rsid w:val="008F3603"/>
    <w:rsid w:val="008F3690"/>
    <w:rsid w:val="008F3B7A"/>
    <w:rsid w:val="008F432B"/>
    <w:rsid w:val="008F6E49"/>
    <w:rsid w:val="008F7EBE"/>
    <w:rsid w:val="00901B0F"/>
    <w:rsid w:val="00901CC8"/>
    <w:rsid w:val="00902656"/>
    <w:rsid w:val="00902F9F"/>
    <w:rsid w:val="00903535"/>
    <w:rsid w:val="0090416D"/>
    <w:rsid w:val="00904A1C"/>
    <w:rsid w:val="00906C36"/>
    <w:rsid w:val="0091029E"/>
    <w:rsid w:val="00911C2E"/>
    <w:rsid w:val="00912E6F"/>
    <w:rsid w:val="00913430"/>
    <w:rsid w:val="009138F8"/>
    <w:rsid w:val="0091484A"/>
    <w:rsid w:val="009149F7"/>
    <w:rsid w:val="00914E1B"/>
    <w:rsid w:val="00915BC8"/>
    <w:rsid w:val="00916588"/>
    <w:rsid w:val="009169C8"/>
    <w:rsid w:val="009169D0"/>
    <w:rsid w:val="00916C3B"/>
    <w:rsid w:val="00916DFB"/>
    <w:rsid w:val="00917742"/>
    <w:rsid w:val="009178E4"/>
    <w:rsid w:val="00917910"/>
    <w:rsid w:val="00917F4D"/>
    <w:rsid w:val="009202BD"/>
    <w:rsid w:val="0092040C"/>
    <w:rsid w:val="009224DC"/>
    <w:rsid w:val="00922556"/>
    <w:rsid w:val="0092257D"/>
    <w:rsid w:val="00922805"/>
    <w:rsid w:val="00922C7E"/>
    <w:rsid w:val="009230E5"/>
    <w:rsid w:val="0092332B"/>
    <w:rsid w:val="00923539"/>
    <w:rsid w:val="009235CB"/>
    <w:rsid w:val="00923841"/>
    <w:rsid w:val="00923AB4"/>
    <w:rsid w:val="00925479"/>
    <w:rsid w:val="00926303"/>
    <w:rsid w:val="009278D5"/>
    <w:rsid w:val="00927A9E"/>
    <w:rsid w:val="00930D0A"/>
    <w:rsid w:val="00931FFD"/>
    <w:rsid w:val="00932CBD"/>
    <w:rsid w:val="0093383C"/>
    <w:rsid w:val="009341B6"/>
    <w:rsid w:val="00934596"/>
    <w:rsid w:val="00935340"/>
    <w:rsid w:val="00940449"/>
    <w:rsid w:val="0094058A"/>
    <w:rsid w:val="00940B80"/>
    <w:rsid w:val="00941188"/>
    <w:rsid w:val="009417C1"/>
    <w:rsid w:val="00941BF9"/>
    <w:rsid w:val="00942845"/>
    <w:rsid w:val="00943C14"/>
    <w:rsid w:val="009449B2"/>
    <w:rsid w:val="00945136"/>
    <w:rsid w:val="00946241"/>
    <w:rsid w:val="00946363"/>
    <w:rsid w:val="0094743E"/>
    <w:rsid w:val="00947DAE"/>
    <w:rsid w:val="00947E63"/>
    <w:rsid w:val="00950FE2"/>
    <w:rsid w:val="00951386"/>
    <w:rsid w:val="009515AF"/>
    <w:rsid w:val="00951ACD"/>
    <w:rsid w:val="00951FFA"/>
    <w:rsid w:val="00952991"/>
    <w:rsid w:val="00952B8F"/>
    <w:rsid w:val="00952F49"/>
    <w:rsid w:val="009537BD"/>
    <w:rsid w:val="00953D58"/>
    <w:rsid w:val="009543C5"/>
    <w:rsid w:val="00955A83"/>
    <w:rsid w:val="0095615E"/>
    <w:rsid w:val="009569BF"/>
    <w:rsid w:val="00956F7E"/>
    <w:rsid w:val="009578AF"/>
    <w:rsid w:val="00957B7F"/>
    <w:rsid w:val="00960C09"/>
    <w:rsid w:val="00961969"/>
    <w:rsid w:val="009622A5"/>
    <w:rsid w:val="00964821"/>
    <w:rsid w:val="00964C7F"/>
    <w:rsid w:val="0096605F"/>
    <w:rsid w:val="0096637D"/>
    <w:rsid w:val="00966807"/>
    <w:rsid w:val="009678CD"/>
    <w:rsid w:val="00967B03"/>
    <w:rsid w:val="009710A1"/>
    <w:rsid w:val="00971388"/>
    <w:rsid w:val="00971B20"/>
    <w:rsid w:val="009738D0"/>
    <w:rsid w:val="00974033"/>
    <w:rsid w:val="00976349"/>
    <w:rsid w:val="0097698E"/>
    <w:rsid w:val="00977447"/>
    <w:rsid w:val="00977533"/>
    <w:rsid w:val="00977D10"/>
    <w:rsid w:val="009808FD"/>
    <w:rsid w:val="00980D39"/>
    <w:rsid w:val="009810CE"/>
    <w:rsid w:val="00982B20"/>
    <w:rsid w:val="00983F08"/>
    <w:rsid w:val="00983F6E"/>
    <w:rsid w:val="0098429D"/>
    <w:rsid w:val="00984426"/>
    <w:rsid w:val="009844FE"/>
    <w:rsid w:val="009850B4"/>
    <w:rsid w:val="00985179"/>
    <w:rsid w:val="00985D01"/>
    <w:rsid w:val="00987563"/>
    <w:rsid w:val="00987881"/>
    <w:rsid w:val="00987DFE"/>
    <w:rsid w:val="009903C9"/>
    <w:rsid w:val="00990979"/>
    <w:rsid w:val="0099172C"/>
    <w:rsid w:val="00991D7E"/>
    <w:rsid w:val="00991DF9"/>
    <w:rsid w:val="00992CDF"/>
    <w:rsid w:val="00992F63"/>
    <w:rsid w:val="00993783"/>
    <w:rsid w:val="009941D4"/>
    <w:rsid w:val="009944DE"/>
    <w:rsid w:val="00994A31"/>
    <w:rsid w:val="00995017"/>
    <w:rsid w:val="009976C5"/>
    <w:rsid w:val="009A0435"/>
    <w:rsid w:val="009A09A4"/>
    <w:rsid w:val="009A0A7A"/>
    <w:rsid w:val="009A0F63"/>
    <w:rsid w:val="009A11AA"/>
    <w:rsid w:val="009A3137"/>
    <w:rsid w:val="009A4057"/>
    <w:rsid w:val="009A4215"/>
    <w:rsid w:val="009A442F"/>
    <w:rsid w:val="009A464D"/>
    <w:rsid w:val="009A47F2"/>
    <w:rsid w:val="009A48A0"/>
    <w:rsid w:val="009A49CC"/>
    <w:rsid w:val="009A5B96"/>
    <w:rsid w:val="009A6D01"/>
    <w:rsid w:val="009A7214"/>
    <w:rsid w:val="009A74CA"/>
    <w:rsid w:val="009A7728"/>
    <w:rsid w:val="009A7C95"/>
    <w:rsid w:val="009B0217"/>
    <w:rsid w:val="009B0ADD"/>
    <w:rsid w:val="009B10D3"/>
    <w:rsid w:val="009B11D5"/>
    <w:rsid w:val="009B12D2"/>
    <w:rsid w:val="009B1470"/>
    <w:rsid w:val="009B1B7A"/>
    <w:rsid w:val="009B1BA5"/>
    <w:rsid w:val="009B1EE0"/>
    <w:rsid w:val="009B20E0"/>
    <w:rsid w:val="009B2211"/>
    <w:rsid w:val="009B3FEA"/>
    <w:rsid w:val="009B4BAD"/>
    <w:rsid w:val="009B4CC0"/>
    <w:rsid w:val="009B58DD"/>
    <w:rsid w:val="009B5C6E"/>
    <w:rsid w:val="009B5CF1"/>
    <w:rsid w:val="009B60DA"/>
    <w:rsid w:val="009B646C"/>
    <w:rsid w:val="009B6D8A"/>
    <w:rsid w:val="009B7911"/>
    <w:rsid w:val="009C072A"/>
    <w:rsid w:val="009C11F9"/>
    <w:rsid w:val="009C17C1"/>
    <w:rsid w:val="009C19E7"/>
    <w:rsid w:val="009C2111"/>
    <w:rsid w:val="009C23BC"/>
    <w:rsid w:val="009C40AD"/>
    <w:rsid w:val="009C445C"/>
    <w:rsid w:val="009C461B"/>
    <w:rsid w:val="009C568C"/>
    <w:rsid w:val="009C579B"/>
    <w:rsid w:val="009C5CC5"/>
    <w:rsid w:val="009C649A"/>
    <w:rsid w:val="009C6B62"/>
    <w:rsid w:val="009C7C90"/>
    <w:rsid w:val="009C7E58"/>
    <w:rsid w:val="009D0A81"/>
    <w:rsid w:val="009D0DEB"/>
    <w:rsid w:val="009D18D2"/>
    <w:rsid w:val="009D1F56"/>
    <w:rsid w:val="009D2814"/>
    <w:rsid w:val="009D2D63"/>
    <w:rsid w:val="009D305A"/>
    <w:rsid w:val="009D3688"/>
    <w:rsid w:val="009D37C9"/>
    <w:rsid w:val="009D3841"/>
    <w:rsid w:val="009D3DF9"/>
    <w:rsid w:val="009D3E45"/>
    <w:rsid w:val="009D52E0"/>
    <w:rsid w:val="009D53B2"/>
    <w:rsid w:val="009D5501"/>
    <w:rsid w:val="009D619F"/>
    <w:rsid w:val="009D6ABB"/>
    <w:rsid w:val="009D753F"/>
    <w:rsid w:val="009D7C30"/>
    <w:rsid w:val="009E0665"/>
    <w:rsid w:val="009E16E8"/>
    <w:rsid w:val="009E1EC4"/>
    <w:rsid w:val="009E1EDA"/>
    <w:rsid w:val="009E2300"/>
    <w:rsid w:val="009E28A2"/>
    <w:rsid w:val="009E32BC"/>
    <w:rsid w:val="009E4406"/>
    <w:rsid w:val="009E5653"/>
    <w:rsid w:val="009E6DA8"/>
    <w:rsid w:val="009F1AD7"/>
    <w:rsid w:val="009F1DAB"/>
    <w:rsid w:val="009F1FC1"/>
    <w:rsid w:val="009F2A12"/>
    <w:rsid w:val="009F3226"/>
    <w:rsid w:val="009F3BCD"/>
    <w:rsid w:val="009F3D89"/>
    <w:rsid w:val="009F451B"/>
    <w:rsid w:val="009F5036"/>
    <w:rsid w:val="009F64CC"/>
    <w:rsid w:val="009F6CB7"/>
    <w:rsid w:val="009F6FB3"/>
    <w:rsid w:val="00A0022D"/>
    <w:rsid w:val="00A00932"/>
    <w:rsid w:val="00A00E3A"/>
    <w:rsid w:val="00A014C3"/>
    <w:rsid w:val="00A0169A"/>
    <w:rsid w:val="00A01A83"/>
    <w:rsid w:val="00A02133"/>
    <w:rsid w:val="00A0282A"/>
    <w:rsid w:val="00A0283A"/>
    <w:rsid w:val="00A02A39"/>
    <w:rsid w:val="00A03053"/>
    <w:rsid w:val="00A0307E"/>
    <w:rsid w:val="00A03480"/>
    <w:rsid w:val="00A03DBC"/>
    <w:rsid w:val="00A042B2"/>
    <w:rsid w:val="00A0437C"/>
    <w:rsid w:val="00A04648"/>
    <w:rsid w:val="00A053C6"/>
    <w:rsid w:val="00A053D3"/>
    <w:rsid w:val="00A05946"/>
    <w:rsid w:val="00A06241"/>
    <w:rsid w:val="00A06465"/>
    <w:rsid w:val="00A06B55"/>
    <w:rsid w:val="00A079C6"/>
    <w:rsid w:val="00A07C7C"/>
    <w:rsid w:val="00A115C6"/>
    <w:rsid w:val="00A117E3"/>
    <w:rsid w:val="00A118C0"/>
    <w:rsid w:val="00A12748"/>
    <w:rsid w:val="00A12775"/>
    <w:rsid w:val="00A1310C"/>
    <w:rsid w:val="00A131E3"/>
    <w:rsid w:val="00A132FA"/>
    <w:rsid w:val="00A134EE"/>
    <w:rsid w:val="00A14227"/>
    <w:rsid w:val="00A150F3"/>
    <w:rsid w:val="00A15842"/>
    <w:rsid w:val="00A1636A"/>
    <w:rsid w:val="00A16BC1"/>
    <w:rsid w:val="00A2023A"/>
    <w:rsid w:val="00A20AB8"/>
    <w:rsid w:val="00A20FD5"/>
    <w:rsid w:val="00A21EA3"/>
    <w:rsid w:val="00A22846"/>
    <w:rsid w:val="00A22CF4"/>
    <w:rsid w:val="00A22EBC"/>
    <w:rsid w:val="00A239BF"/>
    <w:rsid w:val="00A23CB3"/>
    <w:rsid w:val="00A240AC"/>
    <w:rsid w:val="00A257B1"/>
    <w:rsid w:val="00A26349"/>
    <w:rsid w:val="00A27042"/>
    <w:rsid w:val="00A27741"/>
    <w:rsid w:val="00A2779B"/>
    <w:rsid w:val="00A303EE"/>
    <w:rsid w:val="00A317FD"/>
    <w:rsid w:val="00A31971"/>
    <w:rsid w:val="00A31D69"/>
    <w:rsid w:val="00A323C9"/>
    <w:rsid w:val="00A3284C"/>
    <w:rsid w:val="00A32F1E"/>
    <w:rsid w:val="00A33587"/>
    <w:rsid w:val="00A33CBB"/>
    <w:rsid w:val="00A33DE2"/>
    <w:rsid w:val="00A341F9"/>
    <w:rsid w:val="00A3457D"/>
    <w:rsid w:val="00A359F3"/>
    <w:rsid w:val="00A364DF"/>
    <w:rsid w:val="00A366AB"/>
    <w:rsid w:val="00A36F2F"/>
    <w:rsid w:val="00A3739C"/>
    <w:rsid w:val="00A37757"/>
    <w:rsid w:val="00A4064B"/>
    <w:rsid w:val="00A408AB"/>
    <w:rsid w:val="00A40AC7"/>
    <w:rsid w:val="00A41094"/>
    <w:rsid w:val="00A415BE"/>
    <w:rsid w:val="00A41E6A"/>
    <w:rsid w:val="00A41FCA"/>
    <w:rsid w:val="00A427E0"/>
    <w:rsid w:val="00A42DC2"/>
    <w:rsid w:val="00A43446"/>
    <w:rsid w:val="00A434DA"/>
    <w:rsid w:val="00A4392B"/>
    <w:rsid w:val="00A43A2F"/>
    <w:rsid w:val="00A443C9"/>
    <w:rsid w:val="00A445D1"/>
    <w:rsid w:val="00A445DA"/>
    <w:rsid w:val="00A446D4"/>
    <w:rsid w:val="00A44EB5"/>
    <w:rsid w:val="00A45A92"/>
    <w:rsid w:val="00A46CEB"/>
    <w:rsid w:val="00A474C7"/>
    <w:rsid w:val="00A475DC"/>
    <w:rsid w:val="00A475F8"/>
    <w:rsid w:val="00A515C8"/>
    <w:rsid w:val="00A51F2B"/>
    <w:rsid w:val="00A524BB"/>
    <w:rsid w:val="00A52844"/>
    <w:rsid w:val="00A529DF"/>
    <w:rsid w:val="00A5381B"/>
    <w:rsid w:val="00A53DF3"/>
    <w:rsid w:val="00A5613C"/>
    <w:rsid w:val="00A5635A"/>
    <w:rsid w:val="00A60DF5"/>
    <w:rsid w:val="00A60E8C"/>
    <w:rsid w:val="00A61CD6"/>
    <w:rsid w:val="00A62CB5"/>
    <w:rsid w:val="00A62CF7"/>
    <w:rsid w:val="00A63799"/>
    <w:rsid w:val="00A651EA"/>
    <w:rsid w:val="00A659A1"/>
    <w:rsid w:val="00A65A8D"/>
    <w:rsid w:val="00A6601E"/>
    <w:rsid w:val="00A664A5"/>
    <w:rsid w:val="00A66DB2"/>
    <w:rsid w:val="00A6720B"/>
    <w:rsid w:val="00A67A33"/>
    <w:rsid w:val="00A71866"/>
    <w:rsid w:val="00A71F48"/>
    <w:rsid w:val="00A7200D"/>
    <w:rsid w:val="00A72879"/>
    <w:rsid w:val="00A72F55"/>
    <w:rsid w:val="00A73491"/>
    <w:rsid w:val="00A740E2"/>
    <w:rsid w:val="00A74707"/>
    <w:rsid w:val="00A747A2"/>
    <w:rsid w:val="00A74E54"/>
    <w:rsid w:val="00A7535C"/>
    <w:rsid w:val="00A75546"/>
    <w:rsid w:val="00A7604C"/>
    <w:rsid w:val="00A76305"/>
    <w:rsid w:val="00A766A0"/>
    <w:rsid w:val="00A766D1"/>
    <w:rsid w:val="00A77267"/>
    <w:rsid w:val="00A77536"/>
    <w:rsid w:val="00A77D42"/>
    <w:rsid w:val="00A77FA0"/>
    <w:rsid w:val="00A81E30"/>
    <w:rsid w:val="00A8250F"/>
    <w:rsid w:val="00A834A0"/>
    <w:rsid w:val="00A84058"/>
    <w:rsid w:val="00A85327"/>
    <w:rsid w:val="00A86379"/>
    <w:rsid w:val="00A8655E"/>
    <w:rsid w:val="00A866E4"/>
    <w:rsid w:val="00A867CA"/>
    <w:rsid w:val="00A86E3F"/>
    <w:rsid w:val="00A91AE5"/>
    <w:rsid w:val="00A92090"/>
    <w:rsid w:val="00A92A2A"/>
    <w:rsid w:val="00A92F16"/>
    <w:rsid w:val="00A92FA6"/>
    <w:rsid w:val="00A93F7E"/>
    <w:rsid w:val="00A94260"/>
    <w:rsid w:val="00A94ACA"/>
    <w:rsid w:val="00A94B4F"/>
    <w:rsid w:val="00A95553"/>
    <w:rsid w:val="00A96D25"/>
    <w:rsid w:val="00A97516"/>
    <w:rsid w:val="00A97D76"/>
    <w:rsid w:val="00A97EAA"/>
    <w:rsid w:val="00A97EAF"/>
    <w:rsid w:val="00A97ED4"/>
    <w:rsid w:val="00AA011F"/>
    <w:rsid w:val="00AA1891"/>
    <w:rsid w:val="00AA2010"/>
    <w:rsid w:val="00AA2701"/>
    <w:rsid w:val="00AA3060"/>
    <w:rsid w:val="00AA37B0"/>
    <w:rsid w:val="00AA434B"/>
    <w:rsid w:val="00AA440B"/>
    <w:rsid w:val="00AA55D2"/>
    <w:rsid w:val="00AA5D85"/>
    <w:rsid w:val="00AA5E6D"/>
    <w:rsid w:val="00AA600E"/>
    <w:rsid w:val="00AA6242"/>
    <w:rsid w:val="00AA68F0"/>
    <w:rsid w:val="00AA692D"/>
    <w:rsid w:val="00AA6D4C"/>
    <w:rsid w:val="00AB02A1"/>
    <w:rsid w:val="00AB0BC7"/>
    <w:rsid w:val="00AB1096"/>
    <w:rsid w:val="00AB19AD"/>
    <w:rsid w:val="00AB20CD"/>
    <w:rsid w:val="00AB2AA5"/>
    <w:rsid w:val="00AB38F8"/>
    <w:rsid w:val="00AB4984"/>
    <w:rsid w:val="00AB4A00"/>
    <w:rsid w:val="00AB4C60"/>
    <w:rsid w:val="00AB4D5C"/>
    <w:rsid w:val="00AB5915"/>
    <w:rsid w:val="00AB5D24"/>
    <w:rsid w:val="00AB6789"/>
    <w:rsid w:val="00AB69FA"/>
    <w:rsid w:val="00AB7611"/>
    <w:rsid w:val="00AC07FE"/>
    <w:rsid w:val="00AC1DF0"/>
    <w:rsid w:val="00AC2239"/>
    <w:rsid w:val="00AC28B1"/>
    <w:rsid w:val="00AC3155"/>
    <w:rsid w:val="00AC3255"/>
    <w:rsid w:val="00AC374E"/>
    <w:rsid w:val="00AC3856"/>
    <w:rsid w:val="00AC39DA"/>
    <w:rsid w:val="00AC3B40"/>
    <w:rsid w:val="00AC3E2C"/>
    <w:rsid w:val="00AC403C"/>
    <w:rsid w:val="00AC40FA"/>
    <w:rsid w:val="00AC4478"/>
    <w:rsid w:val="00AC46A3"/>
    <w:rsid w:val="00AC5751"/>
    <w:rsid w:val="00AC5B32"/>
    <w:rsid w:val="00AC5ED0"/>
    <w:rsid w:val="00AC626E"/>
    <w:rsid w:val="00AC69BE"/>
    <w:rsid w:val="00AC6B9D"/>
    <w:rsid w:val="00AC6DC0"/>
    <w:rsid w:val="00AC721C"/>
    <w:rsid w:val="00AD1126"/>
    <w:rsid w:val="00AD1409"/>
    <w:rsid w:val="00AD1D6D"/>
    <w:rsid w:val="00AD2C8D"/>
    <w:rsid w:val="00AD4E43"/>
    <w:rsid w:val="00AD4F26"/>
    <w:rsid w:val="00AD4FC3"/>
    <w:rsid w:val="00AD52F0"/>
    <w:rsid w:val="00AD5478"/>
    <w:rsid w:val="00AD5FB0"/>
    <w:rsid w:val="00AD6AAA"/>
    <w:rsid w:val="00AD72EE"/>
    <w:rsid w:val="00AD7B03"/>
    <w:rsid w:val="00AE0C56"/>
    <w:rsid w:val="00AE11FA"/>
    <w:rsid w:val="00AE1638"/>
    <w:rsid w:val="00AE1F3F"/>
    <w:rsid w:val="00AE206C"/>
    <w:rsid w:val="00AE240E"/>
    <w:rsid w:val="00AE2EFB"/>
    <w:rsid w:val="00AE34B9"/>
    <w:rsid w:val="00AE4D69"/>
    <w:rsid w:val="00AE5EEE"/>
    <w:rsid w:val="00AE66A9"/>
    <w:rsid w:val="00AE6BC7"/>
    <w:rsid w:val="00AE755A"/>
    <w:rsid w:val="00AF080F"/>
    <w:rsid w:val="00AF1693"/>
    <w:rsid w:val="00AF1AD6"/>
    <w:rsid w:val="00AF271E"/>
    <w:rsid w:val="00AF2D83"/>
    <w:rsid w:val="00AF3CFD"/>
    <w:rsid w:val="00AF4063"/>
    <w:rsid w:val="00AF468C"/>
    <w:rsid w:val="00AF47EE"/>
    <w:rsid w:val="00AF492B"/>
    <w:rsid w:val="00AF4C67"/>
    <w:rsid w:val="00AF4E86"/>
    <w:rsid w:val="00AF5918"/>
    <w:rsid w:val="00AF6430"/>
    <w:rsid w:val="00AF6961"/>
    <w:rsid w:val="00AF70F7"/>
    <w:rsid w:val="00AF716A"/>
    <w:rsid w:val="00AF75A8"/>
    <w:rsid w:val="00AF76DD"/>
    <w:rsid w:val="00AF7941"/>
    <w:rsid w:val="00B003AA"/>
    <w:rsid w:val="00B003F1"/>
    <w:rsid w:val="00B00695"/>
    <w:rsid w:val="00B01A8A"/>
    <w:rsid w:val="00B01AAF"/>
    <w:rsid w:val="00B01B29"/>
    <w:rsid w:val="00B01B5B"/>
    <w:rsid w:val="00B02514"/>
    <w:rsid w:val="00B03752"/>
    <w:rsid w:val="00B03C04"/>
    <w:rsid w:val="00B03FB0"/>
    <w:rsid w:val="00B0441D"/>
    <w:rsid w:val="00B056AD"/>
    <w:rsid w:val="00B06064"/>
    <w:rsid w:val="00B06481"/>
    <w:rsid w:val="00B065B6"/>
    <w:rsid w:val="00B06B1E"/>
    <w:rsid w:val="00B06DDE"/>
    <w:rsid w:val="00B07CDD"/>
    <w:rsid w:val="00B103B5"/>
    <w:rsid w:val="00B10E4A"/>
    <w:rsid w:val="00B11971"/>
    <w:rsid w:val="00B12D20"/>
    <w:rsid w:val="00B13732"/>
    <w:rsid w:val="00B13A9B"/>
    <w:rsid w:val="00B14C82"/>
    <w:rsid w:val="00B15C81"/>
    <w:rsid w:val="00B16CA9"/>
    <w:rsid w:val="00B17053"/>
    <w:rsid w:val="00B202C0"/>
    <w:rsid w:val="00B20766"/>
    <w:rsid w:val="00B20D17"/>
    <w:rsid w:val="00B21C1A"/>
    <w:rsid w:val="00B21E7E"/>
    <w:rsid w:val="00B222E2"/>
    <w:rsid w:val="00B223C5"/>
    <w:rsid w:val="00B22A57"/>
    <w:rsid w:val="00B23366"/>
    <w:rsid w:val="00B24A45"/>
    <w:rsid w:val="00B25EA2"/>
    <w:rsid w:val="00B2642D"/>
    <w:rsid w:val="00B26C37"/>
    <w:rsid w:val="00B27311"/>
    <w:rsid w:val="00B275D4"/>
    <w:rsid w:val="00B27E2C"/>
    <w:rsid w:val="00B30509"/>
    <w:rsid w:val="00B30BB8"/>
    <w:rsid w:val="00B31B9A"/>
    <w:rsid w:val="00B320EF"/>
    <w:rsid w:val="00B321A3"/>
    <w:rsid w:val="00B328F1"/>
    <w:rsid w:val="00B32B87"/>
    <w:rsid w:val="00B3301A"/>
    <w:rsid w:val="00B3379D"/>
    <w:rsid w:val="00B33D27"/>
    <w:rsid w:val="00B34245"/>
    <w:rsid w:val="00B3427B"/>
    <w:rsid w:val="00B34335"/>
    <w:rsid w:val="00B345EC"/>
    <w:rsid w:val="00B3535E"/>
    <w:rsid w:val="00B3545F"/>
    <w:rsid w:val="00B36A98"/>
    <w:rsid w:val="00B36EB3"/>
    <w:rsid w:val="00B37911"/>
    <w:rsid w:val="00B37D93"/>
    <w:rsid w:val="00B37FE9"/>
    <w:rsid w:val="00B40BED"/>
    <w:rsid w:val="00B41DA2"/>
    <w:rsid w:val="00B41DCF"/>
    <w:rsid w:val="00B4238E"/>
    <w:rsid w:val="00B436E0"/>
    <w:rsid w:val="00B43D53"/>
    <w:rsid w:val="00B44842"/>
    <w:rsid w:val="00B44D6E"/>
    <w:rsid w:val="00B45263"/>
    <w:rsid w:val="00B459A3"/>
    <w:rsid w:val="00B46BAB"/>
    <w:rsid w:val="00B47928"/>
    <w:rsid w:val="00B47930"/>
    <w:rsid w:val="00B500C6"/>
    <w:rsid w:val="00B50265"/>
    <w:rsid w:val="00B50713"/>
    <w:rsid w:val="00B50868"/>
    <w:rsid w:val="00B50AAF"/>
    <w:rsid w:val="00B50D4D"/>
    <w:rsid w:val="00B51497"/>
    <w:rsid w:val="00B519DC"/>
    <w:rsid w:val="00B523F7"/>
    <w:rsid w:val="00B52886"/>
    <w:rsid w:val="00B52A7D"/>
    <w:rsid w:val="00B52CBC"/>
    <w:rsid w:val="00B5346B"/>
    <w:rsid w:val="00B5347F"/>
    <w:rsid w:val="00B53839"/>
    <w:rsid w:val="00B540D3"/>
    <w:rsid w:val="00B54CF6"/>
    <w:rsid w:val="00B54D98"/>
    <w:rsid w:val="00B55156"/>
    <w:rsid w:val="00B5599F"/>
    <w:rsid w:val="00B56720"/>
    <w:rsid w:val="00B56B0A"/>
    <w:rsid w:val="00B56E66"/>
    <w:rsid w:val="00B57172"/>
    <w:rsid w:val="00B5760E"/>
    <w:rsid w:val="00B576CC"/>
    <w:rsid w:val="00B57872"/>
    <w:rsid w:val="00B61B51"/>
    <w:rsid w:val="00B61CF1"/>
    <w:rsid w:val="00B61DB6"/>
    <w:rsid w:val="00B62468"/>
    <w:rsid w:val="00B62B17"/>
    <w:rsid w:val="00B62B2F"/>
    <w:rsid w:val="00B63448"/>
    <w:rsid w:val="00B63747"/>
    <w:rsid w:val="00B63CDF"/>
    <w:rsid w:val="00B6452C"/>
    <w:rsid w:val="00B64573"/>
    <w:rsid w:val="00B65201"/>
    <w:rsid w:val="00B652A2"/>
    <w:rsid w:val="00B6583C"/>
    <w:rsid w:val="00B665FA"/>
    <w:rsid w:val="00B70052"/>
    <w:rsid w:val="00B7005A"/>
    <w:rsid w:val="00B717B9"/>
    <w:rsid w:val="00B72660"/>
    <w:rsid w:val="00B72B27"/>
    <w:rsid w:val="00B72CE9"/>
    <w:rsid w:val="00B731BE"/>
    <w:rsid w:val="00B73806"/>
    <w:rsid w:val="00B7390B"/>
    <w:rsid w:val="00B73E6B"/>
    <w:rsid w:val="00B741FB"/>
    <w:rsid w:val="00B74202"/>
    <w:rsid w:val="00B75F97"/>
    <w:rsid w:val="00B76023"/>
    <w:rsid w:val="00B763A4"/>
    <w:rsid w:val="00B76F6B"/>
    <w:rsid w:val="00B77333"/>
    <w:rsid w:val="00B774BA"/>
    <w:rsid w:val="00B77E05"/>
    <w:rsid w:val="00B77FE2"/>
    <w:rsid w:val="00B80D78"/>
    <w:rsid w:val="00B81062"/>
    <w:rsid w:val="00B81DBD"/>
    <w:rsid w:val="00B81FF0"/>
    <w:rsid w:val="00B82719"/>
    <w:rsid w:val="00B8280F"/>
    <w:rsid w:val="00B84294"/>
    <w:rsid w:val="00B842B1"/>
    <w:rsid w:val="00B845C8"/>
    <w:rsid w:val="00B85588"/>
    <w:rsid w:val="00B8598F"/>
    <w:rsid w:val="00B85F8F"/>
    <w:rsid w:val="00B860E4"/>
    <w:rsid w:val="00B86376"/>
    <w:rsid w:val="00B86438"/>
    <w:rsid w:val="00B86EC9"/>
    <w:rsid w:val="00B8753D"/>
    <w:rsid w:val="00B90635"/>
    <w:rsid w:val="00B906B4"/>
    <w:rsid w:val="00B918FD"/>
    <w:rsid w:val="00B91FFB"/>
    <w:rsid w:val="00B94B6A"/>
    <w:rsid w:val="00B94C88"/>
    <w:rsid w:val="00B95102"/>
    <w:rsid w:val="00B957EB"/>
    <w:rsid w:val="00B95964"/>
    <w:rsid w:val="00B96771"/>
    <w:rsid w:val="00B9705E"/>
    <w:rsid w:val="00BA001D"/>
    <w:rsid w:val="00BA0423"/>
    <w:rsid w:val="00BA0764"/>
    <w:rsid w:val="00BA24CD"/>
    <w:rsid w:val="00BA2544"/>
    <w:rsid w:val="00BA275F"/>
    <w:rsid w:val="00BA2CBB"/>
    <w:rsid w:val="00BA2F44"/>
    <w:rsid w:val="00BA4E7F"/>
    <w:rsid w:val="00BA524A"/>
    <w:rsid w:val="00BA5311"/>
    <w:rsid w:val="00BA6465"/>
    <w:rsid w:val="00BA6618"/>
    <w:rsid w:val="00BA6A43"/>
    <w:rsid w:val="00BA77AD"/>
    <w:rsid w:val="00BA7857"/>
    <w:rsid w:val="00BB1F32"/>
    <w:rsid w:val="00BB247F"/>
    <w:rsid w:val="00BB2CB2"/>
    <w:rsid w:val="00BB3FAD"/>
    <w:rsid w:val="00BB57FE"/>
    <w:rsid w:val="00BB59AC"/>
    <w:rsid w:val="00BB5A98"/>
    <w:rsid w:val="00BB638A"/>
    <w:rsid w:val="00BB6616"/>
    <w:rsid w:val="00BB770C"/>
    <w:rsid w:val="00BB7A9E"/>
    <w:rsid w:val="00BC0E20"/>
    <w:rsid w:val="00BC1599"/>
    <w:rsid w:val="00BC15DD"/>
    <w:rsid w:val="00BC174A"/>
    <w:rsid w:val="00BC19DF"/>
    <w:rsid w:val="00BC1FCE"/>
    <w:rsid w:val="00BC218F"/>
    <w:rsid w:val="00BC2D9B"/>
    <w:rsid w:val="00BC3478"/>
    <w:rsid w:val="00BC3B64"/>
    <w:rsid w:val="00BC3FBA"/>
    <w:rsid w:val="00BC45BD"/>
    <w:rsid w:val="00BC4DEB"/>
    <w:rsid w:val="00BC587C"/>
    <w:rsid w:val="00BC5DEE"/>
    <w:rsid w:val="00BC633C"/>
    <w:rsid w:val="00BC68E4"/>
    <w:rsid w:val="00BC69EC"/>
    <w:rsid w:val="00BC6C64"/>
    <w:rsid w:val="00BC738F"/>
    <w:rsid w:val="00BD0CBF"/>
    <w:rsid w:val="00BD0CC5"/>
    <w:rsid w:val="00BD10B0"/>
    <w:rsid w:val="00BD12C4"/>
    <w:rsid w:val="00BD1596"/>
    <w:rsid w:val="00BD2A5D"/>
    <w:rsid w:val="00BD2A8F"/>
    <w:rsid w:val="00BD3369"/>
    <w:rsid w:val="00BD3F63"/>
    <w:rsid w:val="00BD42A0"/>
    <w:rsid w:val="00BD4719"/>
    <w:rsid w:val="00BD489A"/>
    <w:rsid w:val="00BD4B24"/>
    <w:rsid w:val="00BD5863"/>
    <w:rsid w:val="00BD596F"/>
    <w:rsid w:val="00BD72B5"/>
    <w:rsid w:val="00BD7795"/>
    <w:rsid w:val="00BD7886"/>
    <w:rsid w:val="00BD7967"/>
    <w:rsid w:val="00BD7A07"/>
    <w:rsid w:val="00BE11A9"/>
    <w:rsid w:val="00BE1F96"/>
    <w:rsid w:val="00BE2125"/>
    <w:rsid w:val="00BE24E9"/>
    <w:rsid w:val="00BE3103"/>
    <w:rsid w:val="00BE3209"/>
    <w:rsid w:val="00BE3791"/>
    <w:rsid w:val="00BE3D5C"/>
    <w:rsid w:val="00BE45BE"/>
    <w:rsid w:val="00BE4633"/>
    <w:rsid w:val="00BE4F55"/>
    <w:rsid w:val="00BE5047"/>
    <w:rsid w:val="00BE5343"/>
    <w:rsid w:val="00BE5A51"/>
    <w:rsid w:val="00BE6A1D"/>
    <w:rsid w:val="00BE6B63"/>
    <w:rsid w:val="00BE6CA6"/>
    <w:rsid w:val="00BF0AD9"/>
    <w:rsid w:val="00BF33BB"/>
    <w:rsid w:val="00BF3D1A"/>
    <w:rsid w:val="00BF46AC"/>
    <w:rsid w:val="00BF4A7A"/>
    <w:rsid w:val="00BF5855"/>
    <w:rsid w:val="00BF6B9D"/>
    <w:rsid w:val="00BF7090"/>
    <w:rsid w:val="00BF7F28"/>
    <w:rsid w:val="00C0003D"/>
    <w:rsid w:val="00C00068"/>
    <w:rsid w:val="00C00466"/>
    <w:rsid w:val="00C00476"/>
    <w:rsid w:val="00C0052E"/>
    <w:rsid w:val="00C0100C"/>
    <w:rsid w:val="00C036DE"/>
    <w:rsid w:val="00C040A4"/>
    <w:rsid w:val="00C04281"/>
    <w:rsid w:val="00C04491"/>
    <w:rsid w:val="00C04545"/>
    <w:rsid w:val="00C04F38"/>
    <w:rsid w:val="00C075D8"/>
    <w:rsid w:val="00C10675"/>
    <w:rsid w:val="00C10B48"/>
    <w:rsid w:val="00C10F2C"/>
    <w:rsid w:val="00C10F3E"/>
    <w:rsid w:val="00C10F71"/>
    <w:rsid w:val="00C112A0"/>
    <w:rsid w:val="00C128BD"/>
    <w:rsid w:val="00C12E89"/>
    <w:rsid w:val="00C12F70"/>
    <w:rsid w:val="00C13FD1"/>
    <w:rsid w:val="00C14079"/>
    <w:rsid w:val="00C14AD7"/>
    <w:rsid w:val="00C14B6D"/>
    <w:rsid w:val="00C14E7B"/>
    <w:rsid w:val="00C14EF6"/>
    <w:rsid w:val="00C164B9"/>
    <w:rsid w:val="00C2020B"/>
    <w:rsid w:val="00C216EC"/>
    <w:rsid w:val="00C21C86"/>
    <w:rsid w:val="00C224F7"/>
    <w:rsid w:val="00C22725"/>
    <w:rsid w:val="00C2272C"/>
    <w:rsid w:val="00C22C4D"/>
    <w:rsid w:val="00C23736"/>
    <w:rsid w:val="00C23F8E"/>
    <w:rsid w:val="00C24035"/>
    <w:rsid w:val="00C24A76"/>
    <w:rsid w:val="00C25013"/>
    <w:rsid w:val="00C25502"/>
    <w:rsid w:val="00C26088"/>
    <w:rsid w:val="00C27E15"/>
    <w:rsid w:val="00C30275"/>
    <w:rsid w:val="00C3045B"/>
    <w:rsid w:val="00C319FE"/>
    <w:rsid w:val="00C31B27"/>
    <w:rsid w:val="00C31B3D"/>
    <w:rsid w:val="00C32520"/>
    <w:rsid w:val="00C32F2D"/>
    <w:rsid w:val="00C32F3E"/>
    <w:rsid w:val="00C33B5E"/>
    <w:rsid w:val="00C342AA"/>
    <w:rsid w:val="00C34418"/>
    <w:rsid w:val="00C34A15"/>
    <w:rsid w:val="00C36ABA"/>
    <w:rsid w:val="00C36C10"/>
    <w:rsid w:val="00C37233"/>
    <w:rsid w:val="00C40E8C"/>
    <w:rsid w:val="00C4139D"/>
    <w:rsid w:val="00C4171B"/>
    <w:rsid w:val="00C42C06"/>
    <w:rsid w:val="00C44720"/>
    <w:rsid w:val="00C44881"/>
    <w:rsid w:val="00C46058"/>
    <w:rsid w:val="00C475B9"/>
    <w:rsid w:val="00C47F57"/>
    <w:rsid w:val="00C5109F"/>
    <w:rsid w:val="00C512AF"/>
    <w:rsid w:val="00C51C7E"/>
    <w:rsid w:val="00C524B3"/>
    <w:rsid w:val="00C52CF9"/>
    <w:rsid w:val="00C53656"/>
    <w:rsid w:val="00C53809"/>
    <w:rsid w:val="00C53EF3"/>
    <w:rsid w:val="00C55DEE"/>
    <w:rsid w:val="00C55FA7"/>
    <w:rsid w:val="00C56444"/>
    <w:rsid w:val="00C57423"/>
    <w:rsid w:val="00C57BC0"/>
    <w:rsid w:val="00C57D74"/>
    <w:rsid w:val="00C605E0"/>
    <w:rsid w:val="00C6071B"/>
    <w:rsid w:val="00C60743"/>
    <w:rsid w:val="00C616FC"/>
    <w:rsid w:val="00C61D1D"/>
    <w:rsid w:val="00C62033"/>
    <w:rsid w:val="00C62A4C"/>
    <w:rsid w:val="00C62B51"/>
    <w:rsid w:val="00C63071"/>
    <w:rsid w:val="00C630F5"/>
    <w:rsid w:val="00C6395C"/>
    <w:rsid w:val="00C64226"/>
    <w:rsid w:val="00C65375"/>
    <w:rsid w:val="00C654E1"/>
    <w:rsid w:val="00C706D1"/>
    <w:rsid w:val="00C70B2B"/>
    <w:rsid w:val="00C71446"/>
    <w:rsid w:val="00C71F3E"/>
    <w:rsid w:val="00C736B6"/>
    <w:rsid w:val="00C740D1"/>
    <w:rsid w:val="00C74515"/>
    <w:rsid w:val="00C74700"/>
    <w:rsid w:val="00C753BE"/>
    <w:rsid w:val="00C75623"/>
    <w:rsid w:val="00C7603D"/>
    <w:rsid w:val="00C76D86"/>
    <w:rsid w:val="00C7735D"/>
    <w:rsid w:val="00C774DB"/>
    <w:rsid w:val="00C7769F"/>
    <w:rsid w:val="00C80502"/>
    <w:rsid w:val="00C80FEF"/>
    <w:rsid w:val="00C8111B"/>
    <w:rsid w:val="00C81E74"/>
    <w:rsid w:val="00C82240"/>
    <w:rsid w:val="00C82DAE"/>
    <w:rsid w:val="00C82F38"/>
    <w:rsid w:val="00C82FA0"/>
    <w:rsid w:val="00C838F2"/>
    <w:rsid w:val="00C83997"/>
    <w:rsid w:val="00C84051"/>
    <w:rsid w:val="00C845E0"/>
    <w:rsid w:val="00C84B05"/>
    <w:rsid w:val="00C864AB"/>
    <w:rsid w:val="00C87666"/>
    <w:rsid w:val="00C87806"/>
    <w:rsid w:val="00C87BD0"/>
    <w:rsid w:val="00C87E7E"/>
    <w:rsid w:val="00C90B41"/>
    <w:rsid w:val="00C9223F"/>
    <w:rsid w:val="00C92777"/>
    <w:rsid w:val="00C92D03"/>
    <w:rsid w:val="00C92DB7"/>
    <w:rsid w:val="00C92F94"/>
    <w:rsid w:val="00C9365F"/>
    <w:rsid w:val="00C939A3"/>
    <w:rsid w:val="00C94D58"/>
    <w:rsid w:val="00C95033"/>
    <w:rsid w:val="00C96588"/>
    <w:rsid w:val="00C96F2D"/>
    <w:rsid w:val="00C9737B"/>
    <w:rsid w:val="00CA0884"/>
    <w:rsid w:val="00CA0D8E"/>
    <w:rsid w:val="00CA242D"/>
    <w:rsid w:val="00CA2802"/>
    <w:rsid w:val="00CA39A7"/>
    <w:rsid w:val="00CA3E3B"/>
    <w:rsid w:val="00CA4F86"/>
    <w:rsid w:val="00CA54DF"/>
    <w:rsid w:val="00CA5572"/>
    <w:rsid w:val="00CA5C5C"/>
    <w:rsid w:val="00CA5EEE"/>
    <w:rsid w:val="00CA6058"/>
    <w:rsid w:val="00CA61FC"/>
    <w:rsid w:val="00CA6C1C"/>
    <w:rsid w:val="00CA6F90"/>
    <w:rsid w:val="00CA72C9"/>
    <w:rsid w:val="00CA79B7"/>
    <w:rsid w:val="00CA7CE8"/>
    <w:rsid w:val="00CB025F"/>
    <w:rsid w:val="00CB0924"/>
    <w:rsid w:val="00CB0EAC"/>
    <w:rsid w:val="00CB10A6"/>
    <w:rsid w:val="00CB132F"/>
    <w:rsid w:val="00CB1332"/>
    <w:rsid w:val="00CB1BFD"/>
    <w:rsid w:val="00CB1C19"/>
    <w:rsid w:val="00CB1FDC"/>
    <w:rsid w:val="00CB26E2"/>
    <w:rsid w:val="00CB34B6"/>
    <w:rsid w:val="00CB367B"/>
    <w:rsid w:val="00CB3889"/>
    <w:rsid w:val="00CB3EA6"/>
    <w:rsid w:val="00CB3F31"/>
    <w:rsid w:val="00CB432E"/>
    <w:rsid w:val="00CB5596"/>
    <w:rsid w:val="00CB5777"/>
    <w:rsid w:val="00CB5BE6"/>
    <w:rsid w:val="00CB6563"/>
    <w:rsid w:val="00CB6A40"/>
    <w:rsid w:val="00CB6C27"/>
    <w:rsid w:val="00CB6E15"/>
    <w:rsid w:val="00CB70F5"/>
    <w:rsid w:val="00CC0AC4"/>
    <w:rsid w:val="00CC14D9"/>
    <w:rsid w:val="00CC31D5"/>
    <w:rsid w:val="00CC3284"/>
    <w:rsid w:val="00CC3575"/>
    <w:rsid w:val="00CC41BF"/>
    <w:rsid w:val="00CC482F"/>
    <w:rsid w:val="00CC4A01"/>
    <w:rsid w:val="00CC4CFB"/>
    <w:rsid w:val="00CC50F4"/>
    <w:rsid w:val="00CC5681"/>
    <w:rsid w:val="00CC6133"/>
    <w:rsid w:val="00CC6B33"/>
    <w:rsid w:val="00CC7727"/>
    <w:rsid w:val="00CC7A05"/>
    <w:rsid w:val="00CC7AFC"/>
    <w:rsid w:val="00CD046B"/>
    <w:rsid w:val="00CD077A"/>
    <w:rsid w:val="00CD09C4"/>
    <w:rsid w:val="00CD0FAC"/>
    <w:rsid w:val="00CD1D3E"/>
    <w:rsid w:val="00CD2703"/>
    <w:rsid w:val="00CD2B78"/>
    <w:rsid w:val="00CD3860"/>
    <w:rsid w:val="00CD3B17"/>
    <w:rsid w:val="00CD3F77"/>
    <w:rsid w:val="00CD4A38"/>
    <w:rsid w:val="00CD4EFD"/>
    <w:rsid w:val="00CD50EE"/>
    <w:rsid w:val="00CD5142"/>
    <w:rsid w:val="00CD542C"/>
    <w:rsid w:val="00CD586A"/>
    <w:rsid w:val="00CD640C"/>
    <w:rsid w:val="00CD6911"/>
    <w:rsid w:val="00CD6F5D"/>
    <w:rsid w:val="00CD70BB"/>
    <w:rsid w:val="00CD7306"/>
    <w:rsid w:val="00CD7347"/>
    <w:rsid w:val="00CD784C"/>
    <w:rsid w:val="00CE07E3"/>
    <w:rsid w:val="00CE0D3B"/>
    <w:rsid w:val="00CE1562"/>
    <w:rsid w:val="00CE1795"/>
    <w:rsid w:val="00CE1939"/>
    <w:rsid w:val="00CE1E45"/>
    <w:rsid w:val="00CE31DC"/>
    <w:rsid w:val="00CE455F"/>
    <w:rsid w:val="00CE4850"/>
    <w:rsid w:val="00CE5146"/>
    <w:rsid w:val="00CE52E7"/>
    <w:rsid w:val="00CE5D61"/>
    <w:rsid w:val="00CE6691"/>
    <w:rsid w:val="00CE7948"/>
    <w:rsid w:val="00CF048F"/>
    <w:rsid w:val="00CF14E7"/>
    <w:rsid w:val="00CF1E71"/>
    <w:rsid w:val="00CF207B"/>
    <w:rsid w:val="00CF27AC"/>
    <w:rsid w:val="00CF34B2"/>
    <w:rsid w:val="00CF3AC5"/>
    <w:rsid w:val="00CF49BA"/>
    <w:rsid w:val="00CF71F3"/>
    <w:rsid w:val="00CF7233"/>
    <w:rsid w:val="00CF73A6"/>
    <w:rsid w:val="00D000A5"/>
    <w:rsid w:val="00D00527"/>
    <w:rsid w:val="00D00D32"/>
    <w:rsid w:val="00D00E19"/>
    <w:rsid w:val="00D00EE2"/>
    <w:rsid w:val="00D018B3"/>
    <w:rsid w:val="00D022DB"/>
    <w:rsid w:val="00D03053"/>
    <w:rsid w:val="00D032B9"/>
    <w:rsid w:val="00D043EC"/>
    <w:rsid w:val="00D04A6B"/>
    <w:rsid w:val="00D05B19"/>
    <w:rsid w:val="00D05CE2"/>
    <w:rsid w:val="00D060A6"/>
    <w:rsid w:val="00D07853"/>
    <w:rsid w:val="00D101E3"/>
    <w:rsid w:val="00D10DE6"/>
    <w:rsid w:val="00D11060"/>
    <w:rsid w:val="00D1122E"/>
    <w:rsid w:val="00D114A7"/>
    <w:rsid w:val="00D11EA4"/>
    <w:rsid w:val="00D12B92"/>
    <w:rsid w:val="00D13716"/>
    <w:rsid w:val="00D137AA"/>
    <w:rsid w:val="00D13957"/>
    <w:rsid w:val="00D13DB8"/>
    <w:rsid w:val="00D14032"/>
    <w:rsid w:val="00D14A85"/>
    <w:rsid w:val="00D14BB2"/>
    <w:rsid w:val="00D14FAA"/>
    <w:rsid w:val="00D15165"/>
    <w:rsid w:val="00D15C25"/>
    <w:rsid w:val="00D16D8A"/>
    <w:rsid w:val="00D20955"/>
    <w:rsid w:val="00D20CBD"/>
    <w:rsid w:val="00D20D21"/>
    <w:rsid w:val="00D21333"/>
    <w:rsid w:val="00D22BD7"/>
    <w:rsid w:val="00D233AF"/>
    <w:rsid w:val="00D23539"/>
    <w:rsid w:val="00D235CA"/>
    <w:rsid w:val="00D23A22"/>
    <w:rsid w:val="00D23D00"/>
    <w:rsid w:val="00D2539E"/>
    <w:rsid w:val="00D255D3"/>
    <w:rsid w:val="00D26A28"/>
    <w:rsid w:val="00D26CA5"/>
    <w:rsid w:val="00D275A2"/>
    <w:rsid w:val="00D275CA"/>
    <w:rsid w:val="00D27BCD"/>
    <w:rsid w:val="00D27D3A"/>
    <w:rsid w:val="00D304B6"/>
    <w:rsid w:val="00D30506"/>
    <w:rsid w:val="00D30BEB"/>
    <w:rsid w:val="00D3145B"/>
    <w:rsid w:val="00D3177E"/>
    <w:rsid w:val="00D31ADC"/>
    <w:rsid w:val="00D31D8D"/>
    <w:rsid w:val="00D32C63"/>
    <w:rsid w:val="00D32D4C"/>
    <w:rsid w:val="00D3375D"/>
    <w:rsid w:val="00D3377C"/>
    <w:rsid w:val="00D34285"/>
    <w:rsid w:val="00D34313"/>
    <w:rsid w:val="00D350F3"/>
    <w:rsid w:val="00D3537F"/>
    <w:rsid w:val="00D35B9E"/>
    <w:rsid w:val="00D37028"/>
    <w:rsid w:val="00D41011"/>
    <w:rsid w:val="00D41258"/>
    <w:rsid w:val="00D41D37"/>
    <w:rsid w:val="00D425BD"/>
    <w:rsid w:val="00D42803"/>
    <w:rsid w:val="00D431F3"/>
    <w:rsid w:val="00D43E93"/>
    <w:rsid w:val="00D44B14"/>
    <w:rsid w:val="00D4540A"/>
    <w:rsid w:val="00D456DF"/>
    <w:rsid w:val="00D46733"/>
    <w:rsid w:val="00D46BB7"/>
    <w:rsid w:val="00D479BC"/>
    <w:rsid w:val="00D5104B"/>
    <w:rsid w:val="00D5149D"/>
    <w:rsid w:val="00D5150D"/>
    <w:rsid w:val="00D520C6"/>
    <w:rsid w:val="00D52F73"/>
    <w:rsid w:val="00D5356A"/>
    <w:rsid w:val="00D5451C"/>
    <w:rsid w:val="00D54AEC"/>
    <w:rsid w:val="00D54FCA"/>
    <w:rsid w:val="00D55357"/>
    <w:rsid w:val="00D557D7"/>
    <w:rsid w:val="00D55A65"/>
    <w:rsid w:val="00D56753"/>
    <w:rsid w:val="00D56B88"/>
    <w:rsid w:val="00D57B3E"/>
    <w:rsid w:val="00D601C0"/>
    <w:rsid w:val="00D60289"/>
    <w:rsid w:val="00D61531"/>
    <w:rsid w:val="00D615E5"/>
    <w:rsid w:val="00D62AE6"/>
    <w:rsid w:val="00D62B7E"/>
    <w:rsid w:val="00D62ED7"/>
    <w:rsid w:val="00D630CF"/>
    <w:rsid w:val="00D63124"/>
    <w:rsid w:val="00D6397A"/>
    <w:rsid w:val="00D65460"/>
    <w:rsid w:val="00D664C6"/>
    <w:rsid w:val="00D667FA"/>
    <w:rsid w:val="00D67DF2"/>
    <w:rsid w:val="00D70C88"/>
    <w:rsid w:val="00D7209E"/>
    <w:rsid w:val="00D72B95"/>
    <w:rsid w:val="00D72FEE"/>
    <w:rsid w:val="00D73B14"/>
    <w:rsid w:val="00D73FAF"/>
    <w:rsid w:val="00D74637"/>
    <w:rsid w:val="00D74DBD"/>
    <w:rsid w:val="00D75F92"/>
    <w:rsid w:val="00D7610B"/>
    <w:rsid w:val="00D761D7"/>
    <w:rsid w:val="00D76B5B"/>
    <w:rsid w:val="00D76D70"/>
    <w:rsid w:val="00D7717C"/>
    <w:rsid w:val="00D77FC3"/>
    <w:rsid w:val="00D8001F"/>
    <w:rsid w:val="00D808D2"/>
    <w:rsid w:val="00D80CF8"/>
    <w:rsid w:val="00D81EC2"/>
    <w:rsid w:val="00D81EFB"/>
    <w:rsid w:val="00D829FB"/>
    <w:rsid w:val="00D82C3D"/>
    <w:rsid w:val="00D82DE9"/>
    <w:rsid w:val="00D8391B"/>
    <w:rsid w:val="00D83E4E"/>
    <w:rsid w:val="00D84431"/>
    <w:rsid w:val="00D850F0"/>
    <w:rsid w:val="00D8559A"/>
    <w:rsid w:val="00D85644"/>
    <w:rsid w:val="00D863AF"/>
    <w:rsid w:val="00D8719A"/>
    <w:rsid w:val="00D873F5"/>
    <w:rsid w:val="00D87650"/>
    <w:rsid w:val="00D87CC3"/>
    <w:rsid w:val="00D87D29"/>
    <w:rsid w:val="00D905E6"/>
    <w:rsid w:val="00D90E94"/>
    <w:rsid w:val="00D92288"/>
    <w:rsid w:val="00D92EED"/>
    <w:rsid w:val="00D9322B"/>
    <w:rsid w:val="00D937BE"/>
    <w:rsid w:val="00D94D47"/>
    <w:rsid w:val="00D95093"/>
    <w:rsid w:val="00D95842"/>
    <w:rsid w:val="00D959AD"/>
    <w:rsid w:val="00D95A40"/>
    <w:rsid w:val="00D96300"/>
    <w:rsid w:val="00D96AA9"/>
    <w:rsid w:val="00D96AEF"/>
    <w:rsid w:val="00D96CF1"/>
    <w:rsid w:val="00D96DBB"/>
    <w:rsid w:val="00D970A1"/>
    <w:rsid w:val="00D9730A"/>
    <w:rsid w:val="00D976E7"/>
    <w:rsid w:val="00D97B1C"/>
    <w:rsid w:val="00D97CC4"/>
    <w:rsid w:val="00DA03F0"/>
    <w:rsid w:val="00DA04A3"/>
    <w:rsid w:val="00DA0B0F"/>
    <w:rsid w:val="00DA121F"/>
    <w:rsid w:val="00DA1F5F"/>
    <w:rsid w:val="00DA2CD8"/>
    <w:rsid w:val="00DA3024"/>
    <w:rsid w:val="00DA31B3"/>
    <w:rsid w:val="00DA3350"/>
    <w:rsid w:val="00DA3487"/>
    <w:rsid w:val="00DA3E64"/>
    <w:rsid w:val="00DA43AD"/>
    <w:rsid w:val="00DA48CA"/>
    <w:rsid w:val="00DA5691"/>
    <w:rsid w:val="00DA637A"/>
    <w:rsid w:val="00DA675F"/>
    <w:rsid w:val="00DA717D"/>
    <w:rsid w:val="00DB00BF"/>
    <w:rsid w:val="00DB03BE"/>
    <w:rsid w:val="00DB0A52"/>
    <w:rsid w:val="00DB13AC"/>
    <w:rsid w:val="00DB14B9"/>
    <w:rsid w:val="00DB17A3"/>
    <w:rsid w:val="00DB25B8"/>
    <w:rsid w:val="00DB25FE"/>
    <w:rsid w:val="00DB2629"/>
    <w:rsid w:val="00DB37C8"/>
    <w:rsid w:val="00DB3E4F"/>
    <w:rsid w:val="00DB4A68"/>
    <w:rsid w:val="00DB4E9F"/>
    <w:rsid w:val="00DB536F"/>
    <w:rsid w:val="00DB5807"/>
    <w:rsid w:val="00DB63C9"/>
    <w:rsid w:val="00DB6F6B"/>
    <w:rsid w:val="00DB7FA3"/>
    <w:rsid w:val="00DC1033"/>
    <w:rsid w:val="00DC2EB1"/>
    <w:rsid w:val="00DC30AE"/>
    <w:rsid w:val="00DC3289"/>
    <w:rsid w:val="00DC32DA"/>
    <w:rsid w:val="00DC3907"/>
    <w:rsid w:val="00DC44B1"/>
    <w:rsid w:val="00DC4D1B"/>
    <w:rsid w:val="00DC5208"/>
    <w:rsid w:val="00DC6D80"/>
    <w:rsid w:val="00DC784D"/>
    <w:rsid w:val="00DC7C55"/>
    <w:rsid w:val="00DC7E7E"/>
    <w:rsid w:val="00DD0E99"/>
    <w:rsid w:val="00DD1AB1"/>
    <w:rsid w:val="00DD1D2B"/>
    <w:rsid w:val="00DD211B"/>
    <w:rsid w:val="00DD2773"/>
    <w:rsid w:val="00DD28FD"/>
    <w:rsid w:val="00DD3053"/>
    <w:rsid w:val="00DD36F1"/>
    <w:rsid w:val="00DD3BA6"/>
    <w:rsid w:val="00DD3C07"/>
    <w:rsid w:val="00DD46A0"/>
    <w:rsid w:val="00DD4D07"/>
    <w:rsid w:val="00DD4F8C"/>
    <w:rsid w:val="00DD5A14"/>
    <w:rsid w:val="00DD5AA5"/>
    <w:rsid w:val="00DE090D"/>
    <w:rsid w:val="00DE278D"/>
    <w:rsid w:val="00DE2F1A"/>
    <w:rsid w:val="00DE342A"/>
    <w:rsid w:val="00DE3944"/>
    <w:rsid w:val="00DE3A26"/>
    <w:rsid w:val="00DE3DCA"/>
    <w:rsid w:val="00DE6580"/>
    <w:rsid w:val="00DE7A76"/>
    <w:rsid w:val="00DE7C00"/>
    <w:rsid w:val="00DF0B2C"/>
    <w:rsid w:val="00DF2CD9"/>
    <w:rsid w:val="00DF2D61"/>
    <w:rsid w:val="00DF2D6B"/>
    <w:rsid w:val="00DF2DB2"/>
    <w:rsid w:val="00DF35FE"/>
    <w:rsid w:val="00DF4272"/>
    <w:rsid w:val="00DF446B"/>
    <w:rsid w:val="00DF47EA"/>
    <w:rsid w:val="00DF4821"/>
    <w:rsid w:val="00DF4A8E"/>
    <w:rsid w:val="00DF5144"/>
    <w:rsid w:val="00DF5BBC"/>
    <w:rsid w:val="00DF6341"/>
    <w:rsid w:val="00DF688A"/>
    <w:rsid w:val="00DF727E"/>
    <w:rsid w:val="00DF78B9"/>
    <w:rsid w:val="00DF7DA9"/>
    <w:rsid w:val="00DF7F10"/>
    <w:rsid w:val="00E002AF"/>
    <w:rsid w:val="00E0208B"/>
    <w:rsid w:val="00E023DB"/>
    <w:rsid w:val="00E02BDA"/>
    <w:rsid w:val="00E038F8"/>
    <w:rsid w:val="00E043FD"/>
    <w:rsid w:val="00E05410"/>
    <w:rsid w:val="00E068F5"/>
    <w:rsid w:val="00E10711"/>
    <w:rsid w:val="00E10C1F"/>
    <w:rsid w:val="00E111C2"/>
    <w:rsid w:val="00E1236E"/>
    <w:rsid w:val="00E126C5"/>
    <w:rsid w:val="00E129B8"/>
    <w:rsid w:val="00E1407C"/>
    <w:rsid w:val="00E14752"/>
    <w:rsid w:val="00E165E9"/>
    <w:rsid w:val="00E16DAE"/>
    <w:rsid w:val="00E17F1B"/>
    <w:rsid w:val="00E203FF"/>
    <w:rsid w:val="00E2087A"/>
    <w:rsid w:val="00E20C83"/>
    <w:rsid w:val="00E20DFE"/>
    <w:rsid w:val="00E20FC4"/>
    <w:rsid w:val="00E21A91"/>
    <w:rsid w:val="00E22B87"/>
    <w:rsid w:val="00E230DF"/>
    <w:rsid w:val="00E23373"/>
    <w:rsid w:val="00E2388F"/>
    <w:rsid w:val="00E238CC"/>
    <w:rsid w:val="00E23AFF"/>
    <w:rsid w:val="00E242D8"/>
    <w:rsid w:val="00E25619"/>
    <w:rsid w:val="00E26451"/>
    <w:rsid w:val="00E26A23"/>
    <w:rsid w:val="00E26AEB"/>
    <w:rsid w:val="00E26B37"/>
    <w:rsid w:val="00E30BC8"/>
    <w:rsid w:val="00E31785"/>
    <w:rsid w:val="00E31894"/>
    <w:rsid w:val="00E322EE"/>
    <w:rsid w:val="00E32954"/>
    <w:rsid w:val="00E32DC7"/>
    <w:rsid w:val="00E335DB"/>
    <w:rsid w:val="00E33749"/>
    <w:rsid w:val="00E337AF"/>
    <w:rsid w:val="00E34735"/>
    <w:rsid w:val="00E35445"/>
    <w:rsid w:val="00E3596D"/>
    <w:rsid w:val="00E35BBE"/>
    <w:rsid w:val="00E35DFE"/>
    <w:rsid w:val="00E36B41"/>
    <w:rsid w:val="00E37700"/>
    <w:rsid w:val="00E4040A"/>
    <w:rsid w:val="00E40DB9"/>
    <w:rsid w:val="00E40DC3"/>
    <w:rsid w:val="00E412A2"/>
    <w:rsid w:val="00E415CC"/>
    <w:rsid w:val="00E43140"/>
    <w:rsid w:val="00E4399D"/>
    <w:rsid w:val="00E43A28"/>
    <w:rsid w:val="00E43B86"/>
    <w:rsid w:val="00E43D9A"/>
    <w:rsid w:val="00E43EC4"/>
    <w:rsid w:val="00E44A74"/>
    <w:rsid w:val="00E4607F"/>
    <w:rsid w:val="00E46579"/>
    <w:rsid w:val="00E473A6"/>
    <w:rsid w:val="00E4794E"/>
    <w:rsid w:val="00E479EB"/>
    <w:rsid w:val="00E50437"/>
    <w:rsid w:val="00E50A70"/>
    <w:rsid w:val="00E51177"/>
    <w:rsid w:val="00E517A1"/>
    <w:rsid w:val="00E51CFC"/>
    <w:rsid w:val="00E5200D"/>
    <w:rsid w:val="00E524A0"/>
    <w:rsid w:val="00E52A0D"/>
    <w:rsid w:val="00E5317A"/>
    <w:rsid w:val="00E53752"/>
    <w:rsid w:val="00E5471D"/>
    <w:rsid w:val="00E54C0C"/>
    <w:rsid w:val="00E56464"/>
    <w:rsid w:val="00E578B8"/>
    <w:rsid w:val="00E60068"/>
    <w:rsid w:val="00E60214"/>
    <w:rsid w:val="00E60369"/>
    <w:rsid w:val="00E606D3"/>
    <w:rsid w:val="00E60CB3"/>
    <w:rsid w:val="00E61A35"/>
    <w:rsid w:val="00E61A52"/>
    <w:rsid w:val="00E61D3F"/>
    <w:rsid w:val="00E61E30"/>
    <w:rsid w:val="00E620D9"/>
    <w:rsid w:val="00E627B0"/>
    <w:rsid w:val="00E63F27"/>
    <w:rsid w:val="00E64AEC"/>
    <w:rsid w:val="00E64F4B"/>
    <w:rsid w:val="00E65186"/>
    <w:rsid w:val="00E65325"/>
    <w:rsid w:val="00E65598"/>
    <w:rsid w:val="00E65783"/>
    <w:rsid w:val="00E65A44"/>
    <w:rsid w:val="00E65C64"/>
    <w:rsid w:val="00E65D44"/>
    <w:rsid w:val="00E661AF"/>
    <w:rsid w:val="00E66F60"/>
    <w:rsid w:val="00E67D26"/>
    <w:rsid w:val="00E70404"/>
    <w:rsid w:val="00E709CF"/>
    <w:rsid w:val="00E710A5"/>
    <w:rsid w:val="00E71801"/>
    <w:rsid w:val="00E726AA"/>
    <w:rsid w:val="00E7371F"/>
    <w:rsid w:val="00E7420E"/>
    <w:rsid w:val="00E749A9"/>
    <w:rsid w:val="00E74CAD"/>
    <w:rsid w:val="00E74D1B"/>
    <w:rsid w:val="00E752AF"/>
    <w:rsid w:val="00E756CF"/>
    <w:rsid w:val="00E759AB"/>
    <w:rsid w:val="00E778F1"/>
    <w:rsid w:val="00E80163"/>
    <w:rsid w:val="00E80CA4"/>
    <w:rsid w:val="00E81719"/>
    <w:rsid w:val="00E82264"/>
    <w:rsid w:val="00E82D41"/>
    <w:rsid w:val="00E830CE"/>
    <w:rsid w:val="00E83299"/>
    <w:rsid w:val="00E83944"/>
    <w:rsid w:val="00E83C95"/>
    <w:rsid w:val="00E83E61"/>
    <w:rsid w:val="00E83FE4"/>
    <w:rsid w:val="00E84021"/>
    <w:rsid w:val="00E8406D"/>
    <w:rsid w:val="00E85336"/>
    <w:rsid w:val="00E8569C"/>
    <w:rsid w:val="00E859DA"/>
    <w:rsid w:val="00E85C8A"/>
    <w:rsid w:val="00E87424"/>
    <w:rsid w:val="00E877DE"/>
    <w:rsid w:val="00E87D46"/>
    <w:rsid w:val="00E903AB"/>
    <w:rsid w:val="00E9267E"/>
    <w:rsid w:val="00E93244"/>
    <w:rsid w:val="00E934CD"/>
    <w:rsid w:val="00E93A5A"/>
    <w:rsid w:val="00E94196"/>
    <w:rsid w:val="00E943FA"/>
    <w:rsid w:val="00E946E6"/>
    <w:rsid w:val="00E9528A"/>
    <w:rsid w:val="00E9549A"/>
    <w:rsid w:val="00E96176"/>
    <w:rsid w:val="00E968DE"/>
    <w:rsid w:val="00EA0353"/>
    <w:rsid w:val="00EA071C"/>
    <w:rsid w:val="00EA44FA"/>
    <w:rsid w:val="00EA4639"/>
    <w:rsid w:val="00EA500D"/>
    <w:rsid w:val="00EA5755"/>
    <w:rsid w:val="00EA594F"/>
    <w:rsid w:val="00EA595B"/>
    <w:rsid w:val="00EA63FD"/>
    <w:rsid w:val="00EA6DB1"/>
    <w:rsid w:val="00EB0276"/>
    <w:rsid w:val="00EB07FA"/>
    <w:rsid w:val="00EB0F1C"/>
    <w:rsid w:val="00EB11D5"/>
    <w:rsid w:val="00EB1283"/>
    <w:rsid w:val="00EB149B"/>
    <w:rsid w:val="00EB1EDC"/>
    <w:rsid w:val="00EB20AC"/>
    <w:rsid w:val="00EB26CF"/>
    <w:rsid w:val="00EB2860"/>
    <w:rsid w:val="00EB3B2D"/>
    <w:rsid w:val="00EB49CF"/>
    <w:rsid w:val="00EB4A80"/>
    <w:rsid w:val="00EB4B85"/>
    <w:rsid w:val="00EB55FD"/>
    <w:rsid w:val="00EB6401"/>
    <w:rsid w:val="00EB6C2C"/>
    <w:rsid w:val="00EB6F81"/>
    <w:rsid w:val="00EB7855"/>
    <w:rsid w:val="00EB7AE3"/>
    <w:rsid w:val="00EB7B15"/>
    <w:rsid w:val="00EB7D33"/>
    <w:rsid w:val="00EC00D0"/>
    <w:rsid w:val="00EC0653"/>
    <w:rsid w:val="00EC0691"/>
    <w:rsid w:val="00EC14E2"/>
    <w:rsid w:val="00EC1ED7"/>
    <w:rsid w:val="00EC23EC"/>
    <w:rsid w:val="00EC3862"/>
    <w:rsid w:val="00EC49DA"/>
    <w:rsid w:val="00EC511B"/>
    <w:rsid w:val="00EC5703"/>
    <w:rsid w:val="00EC6643"/>
    <w:rsid w:val="00EC6964"/>
    <w:rsid w:val="00EC719A"/>
    <w:rsid w:val="00EC743B"/>
    <w:rsid w:val="00ED0E82"/>
    <w:rsid w:val="00ED1808"/>
    <w:rsid w:val="00ED2783"/>
    <w:rsid w:val="00ED2A30"/>
    <w:rsid w:val="00ED4014"/>
    <w:rsid w:val="00ED4762"/>
    <w:rsid w:val="00ED48F8"/>
    <w:rsid w:val="00ED4B65"/>
    <w:rsid w:val="00ED5DFC"/>
    <w:rsid w:val="00ED66D4"/>
    <w:rsid w:val="00ED6E87"/>
    <w:rsid w:val="00ED702C"/>
    <w:rsid w:val="00ED7760"/>
    <w:rsid w:val="00ED77DC"/>
    <w:rsid w:val="00ED7BA6"/>
    <w:rsid w:val="00ED7D64"/>
    <w:rsid w:val="00EE0905"/>
    <w:rsid w:val="00EE0B38"/>
    <w:rsid w:val="00EE1754"/>
    <w:rsid w:val="00EE208B"/>
    <w:rsid w:val="00EE2585"/>
    <w:rsid w:val="00EE2600"/>
    <w:rsid w:val="00EE2AB2"/>
    <w:rsid w:val="00EE2F12"/>
    <w:rsid w:val="00EE3AE3"/>
    <w:rsid w:val="00EE4CE8"/>
    <w:rsid w:val="00EE4D91"/>
    <w:rsid w:val="00EE4F0D"/>
    <w:rsid w:val="00EE53E5"/>
    <w:rsid w:val="00EE7AB3"/>
    <w:rsid w:val="00EE7CA1"/>
    <w:rsid w:val="00EF02B6"/>
    <w:rsid w:val="00EF02F3"/>
    <w:rsid w:val="00EF110D"/>
    <w:rsid w:val="00EF36C4"/>
    <w:rsid w:val="00EF3A6A"/>
    <w:rsid w:val="00EF3AFA"/>
    <w:rsid w:val="00EF4EEF"/>
    <w:rsid w:val="00EF53FA"/>
    <w:rsid w:val="00EF5D55"/>
    <w:rsid w:val="00EF6523"/>
    <w:rsid w:val="00EF6ED2"/>
    <w:rsid w:val="00EF738C"/>
    <w:rsid w:val="00EF7EC6"/>
    <w:rsid w:val="00EF7EF4"/>
    <w:rsid w:val="00F0125C"/>
    <w:rsid w:val="00F01655"/>
    <w:rsid w:val="00F020DD"/>
    <w:rsid w:val="00F0230A"/>
    <w:rsid w:val="00F026AF"/>
    <w:rsid w:val="00F02CF1"/>
    <w:rsid w:val="00F03ECE"/>
    <w:rsid w:val="00F03F7E"/>
    <w:rsid w:val="00F04B98"/>
    <w:rsid w:val="00F05999"/>
    <w:rsid w:val="00F0639A"/>
    <w:rsid w:val="00F06B7A"/>
    <w:rsid w:val="00F074D1"/>
    <w:rsid w:val="00F077C5"/>
    <w:rsid w:val="00F07E83"/>
    <w:rsid w:val="00F10112"/>
    <w:rsid w:val="00F105D4"/>
    <w:rsid w:val="00F129E4"/>
    <w:rsid w:val="00F12C73"/>
    <w:rsid w:val="00F136A7"/>
    <w:rsid w:val="00F13AF1"/>
    <w:rsid w:val="00F1413A"/>
    <w:rsid w:val="00F14772"/>
    <w:rsid w:val="00F14D8E"/>
    <w:rsid w:val="00F16337"/>
    <w:rsid w:val="00F16E68"/>
    <w:rsid w:val="00F16EAE"/>
    <w:rsid w:val="00F17A97"/>
    <w:rsid w:val="00F17AB6"/>
    <w:rsid w:val="00F2021D"/>
    <w:rsid w:val="00F20C0D"/>
    <w:rsid w:val="00F21186"/>
    <w:rsid w:val="00F21595"/>
    <w:rsid w:val="00F21E3A"/>
    <w:rsid w:val="00F22387"/>
    <w:rsid w:val="00F2269F"/>
    <w:rsid w:val="00F228D1"/>
    <w:rsid w:val="00F22DB4"/>
    <w:rsid w:val="00F22E7E"/>
    <w:rsid w:val="00F231CC"/>
    <w:rsid w:val="00F24877"/>
    <w:rsid w:val="00F250A4"/>
    <w:rsid w:val="00F251A2"/>
    <w:rsid w:val="00F27D5F"/>
    <w:rsid w:val="00F303B3"/>
    <w:rsid w:val="00F30453"/>
    <w:rsid w:val="00F3066D"/>
    <w:rsid w:val="00F31261"/>
    <w:rsid w:val="00F3132F"/>
    <w:rsid w:val="00F32AD1"/>
    <w:rsid w:val="00F32B8C"/>
    <w:rsid w:val="00F33D82"/>
    <w:rsid w:val="00F33F60"/>
    <w:rsid w:val="00F34060"/>
    <w:rsid w:val="00F34089"/>
    <w:rsid w:val="00F3503D"/>
    <w:rsid w:val="00F356B3"/>
    <w:rsid w:val="00F35731"/>
    <w:rsid w:val="00F358F4"/>
    <w:rsid w:val="00F35D57"/>
    <w:rsid w:val="00F3655F"/>
    <w:rsid w:val="00F36C41"/>
    <w:rsid w:val="00F40865"/>
    <w:rsid w:val="00F40DF9"/>
    <w:rsid w:val="00F4102E"/>
    <w:rsid w:val="00F415C4"/>
    <w:rsid w:val="00F41D06"/>
    <w:rsid w:val="00F42F27"/>
    <w:rsid w:val="00F432BF"/>
    <w:rsid w:val="00F43FB2"/>
    <w:rsid w:val="00F4443C"/>
    <w:rsid w:val="00F44CE4"/>
    <w:rsid w:val="00F45091"/>
    <w:rsid w:val="00F4511C"/>
    <w:rsid w:val="00F459A2"/>
    <w:rsid w:val="00F467B2"/>
    <w:rsid w:val="00F46953"/>
    <w:rsid w:val="00F46CD1"/>
    <w:rsid w:val="00F47421"/>
    <w:rsid w:val="00F4759B"/>
    <w:rsid w:val="00F50EA3"/>
    <w:rsid w:val="00F517E1"/>
    <w:rsid w:val="00F51EEE"/>
    <w:rsid w:val="00F52545"/>
    <w:rsid w:val="00F52626"/>
    <w:rsid w:val="00F532E5"/>
    <w:rsid w:val="00F53417"/>
    <w:rsid w:val="00F537A5"/>
    <w:rsid w:val="00F545ED"/>
    <w:rsid w:val="00F54E9E"/>
    <w:rsid w:val="00F5635F"/>
    <w:rsid w:val="00F57279"/>
    <w:rsid w:val="00F57543"/>
    <w:rsid w:val="00F575BC"/>
    <w:rsid w:val="00F57EB8"/>
    <w:rsid w:val="00F604D8"/>
    <w:rsid w:val="00F6066E"/>
    <w:rsid w:val="00F616C7"/>
    <w:rsid w:val="00F627D4"/>
    <w:rsid w:val="00F6309F"/>
    <w:rsid w:val="00F63351"/>
    <w:rsid w:val="00F64637"/>
    <w:rsid w:val="00F64D52"/>
    <w:rsid w:val="00F650BB"/>
    <w:rsid w:val="00F666A1"/>
    <w:rsid w:val="00F67D8D"/>
    <w:rsid w:val="00F70296"/>
    <w:rsid w:val="00F70541"/>
    <w:rsid w:val="00F70A0A"/>
    <w:rsid w:val="00F7168A"/>
    <w:rsid w:val="00F71798"/>
    <w:rsid w:val="00F71B85"/>
    <w:rsid w:val="00F72F41"/>
    <w:rsid w:val="00F733D6"/>
    <w:rsid w:val="00F73FC5"/>
    <w:rsid w:val="00F74B68"/>
    <w:rsid w:val="00F764E1"/>
    <w:rsid w:val="00F76526"/>
    <w:rsid w:val="00F774F5"/>
    <w:rsid w:val="00F77F47"/>
    <w:rsid w:val="00F811EE"/>
    <w:rsid w:val="00F81992"/>
    <w:rsid w:val="00F81C35"/>
    <w:rsid w:val="00F82503"/>
    <w:rsid w:val="00F82A04"/>
    <w:rsid w:val="00F83B62"/>
    <w:rsid w:val="00F83D00"/>
    <w:rsid w:val="00F84419"/>
    <w:rsid w:val="00F8577D"/>
    <w:rsid w:val="00F8748A"/>
    <w:rsid w:val="00F87571"/>
    <w:rsid w:val="00F87FA7"/>
    <w:rsid w:val="00F90664"/>
    <w:rsid w:val="00F9070B"/>
    <w:rsid w:val="00F90932"/>
    <w:rsid w:val="00F913DE"/>
    <w:rsid w:val="00F91572"/>
    <w:rsid w:val="00F91946"/>
    <w:rsid w:val="00F92535"/>
    <w:rsid w:val="00F926C7"/>
    <w:rsid w:val="00F93547"/>
    <w:rsid w:val="00F938F7"/>
    <w:rsid w:val="00F94171"/>
    <w:rsid w:val="00F947C8"/>
    <w:rsid w:val="00F94B1B"/>
    <w:rsid w:val="00F95076"/>
    <w:rsid w:val="00F95B97"/>
    <w:rsid w:val="00F962A9"/>
    <w:rsid w:val="00F96347"/>
    <w:rsid w:val="00F9636F"/>
    <w:rsid w:val="00F9648E"/>
    <w:rsid w:val="00F96922"/>
    <w:rsid w:val="00F96AF3"/>
    <w:rsid w:val="00F96C4D"/>
    <w:rsid w:val="00F97D9A"/>
    <w:rsid w:val="00F97E2E"/>
    <w:rsid w:val="00FA0626"/>
    <w:rsid w:val="00FA070C"/>
    <w:rsid w:val="00FA1A2C"/>
    <w:rsid w:val="00FA1A6D"/>
    <w:rsid w:val="00FA2055"/>
    <w:rsid w:val="00FA2A6E"/>
    <w:rsid w:val="00FA2C79"/>
    <w:rsid w:val="00FA380C"/>
    <w:rsid w:val="00FA3A52"/>
    <w:rsid w:val="00FA4BC6"/>
    <w:rsid w:val="00FA4D47"/>
    <w:rsid w:val="00FA4EBC"/>
    <w:rsid w:val="00FA5CD2"/>
    <w:rsid w:val="00FA70C4"/>
    <w:rsid w:val="00FA7161"/>
    <w:rsid w:val="00FA74A7"/>
    <w:rsid w:val="00FB028F"/>
    <w:rsid w:val="00FB029F"/>
    <w:rsid w:val="00FB09B1"/>
    <w:rsid w:val="00FB0E9F"/>
    <w:rsid w:val="00FB139E"/>
    <w:rsid w:val="00FB23DA"/>
    <w:rsid w:val="00FB2765"/>
    <w:rsid w:val="00FB3500"/>
    <w:rsid w:val="00FB3BDC"/>
    <w:rsid w:val="00FB3C28"/>
    <w:rsid w:val="00FB3E9D"/>
    <w:rsid w:val="00FB4445"/>
    <w:rsid w:val="00FB4BEB"/>
    <w:rsid w:val="00FB4E31"/>
    <w:rsid w:val="00FB56C5"/>
    <w:rsid w:val="00FB5EDF"/>
    <w:rsid w:val="00FC0FE2"/>
    <w:rsid w:val="00FC11CE"/>
    <w:rsid w:val="00FC1DB3"/>
    <w:rsid w:val="00FC23A8"/>
    <w:rsid w:val="00FC36CA"/>
    <w:rsid w:val="00FC397F"/>
    <w:rsid w:val="00FC399D"/>
    <w:rsid w:val="00FC4643"/>
    <w:rsid w:val="00FC5447"/>
    <w:rsid w:val="00FC5A41"/>
    <w:rsid w:val="00FC5A59"/>
    <w:rsid w:val="00FC5A8E"/>
    <w:rsid w:val="00FC638D"/>
    <w:rsid w:val="00FC7810"/>
    <w:rsid w:val="00FD085D"/>
    <w:rsid w:val="00FD3330"/>
    <w:rsid w:val="00FD397A"/>
    <w:rsid w:val="00FD413E"/>
    <w:rsid w:val="00FD41A9"/>
    <w:rsid w:val="00FD47CE"/>
    <w:rsid w:val="00FD5284"/>
    <w:rsid w:val="00FD5C23"/>
    <w:rsid w:val="00FD65B9"/>
    <w:rsid w:val="00FD65ED"/>
    <w:rsid w:val="00FD6C79"/>
    <w:rsid w:val="00FD6F3F"/>
    <w:rsid w:val="00FD7847"/>
    <w:rsid w:val="00FD7884"/>
    <w:rsid w:val="00FD7A5D"/>
    <w:rsid w:val="00FD7DE5"/>
    <w:rsid w:val="00FD7F7F"/>
    <w:rsid w:val="00FE0F07"/>
    <w:rsid w:val="00FE1147"/>
    <w:rsid w:val="00FE13F6"/>
    <w:rsid w:val="00FE1526"/>
    <w:rsid w:val="00FE1CB5"/>
    <w:rsid w:val="00FE292A"/>
    <w:rsid w:val="00FE2C32"/>
    <w:rsid w:val="00FE2E3B"/>
    <w:rsid w:val="00FE2F12"/>
    <w:rsid w:val="00FE4815"/>
    <w:rsid w:val="00FE66F0"/>
    <w:rsid w:val="00FE6703"/>
    <w:rsid w:val="00FE6953"/>
    <w:rsid w:val="00FE7474"/>
    <w:rsid w:val="00FE77CD"/>
    <w:rsid w:val="00FE7BDA"/>
    <w:rsid w:val="00FE7CC9"/>
    <w:rsid w:val="00FF120E"/>
    <w:rsid w:val="00FF14AE"/>
    <w:rsid w:val="00FF1A1A"/>
    <w:rsid w:val="00FF1D49"/>
    <w:rsid w:val="00FF1E7D"/>
    <w:rsid w:val="00FF203E"/>
    <w:rsid w:val="00FF2B1C"/>
    <w:rsid w:val="00FF3EFF"/>
    <w:rsid w:val="00FF4C87"/>
    <w:rsid w:val="00FF56C5"/>
    <w:rsid w:val="00FF5F84"/>
    <w:rsid w:val="00FF68FE"/>
    <w:rsid w:val="00FF697D"/>
    <w:rsid w:val="00FF6E57"/>
    <w:rsid w:val="00FF759E"/>
    <w:rsid w:val="00FF7BA7"/>
    <w:rsid w:val="00FF7C4E"/>
    <w:rsid w:val="01461A05"/>
    <w:rsid w:val="0162A8B2"/>
    <w:rsid w:val="02757437"/>
    <w:rsid w:val="036B87B6"/>
    <w:rsid w:val="03707964"/>
    <w:rsid w:val="03E136B4"/>
    <w:rsid w:val="046A0E1B"/>
    <w:rsid w:val="04EF4490"/>
    <w:rsid w:val="058ACF6D"/>
    <w:rsid w:val="05F6BB6B"/>
    <w:rsid w:val="06D9DD1D"/>
    <w:rsid w:val="0702C094"/>
    <w:rsid w:val="070C19E2"/>
    <w:rsid w:val="07770D99"/>
    <w:rsid w:val="07A85807"/>
    <w:rsid w:val="07FD743E"/>
    <w:rsid w:val="08B5FF06"/>
    <w:rsid w:val="08EB642B"/>
    <w:rsid w:val="09457752"/>
    <w:rsid w:val="0A3077E5"/>
    <w:rsid w:val="0A31282A"/>
    <w:rsid w:val="0B435424"/>
    <w:rsid w:val="0BABBEB6"/>
    <w:rsid w:val="0C9763DA"/>
    <w:rsid w:val="0D5886C9"/>
    <w:rsid w:val="0DF9D884"/>
    <w:rsid w:val="0E5A97A6"/>
    <w:rsid w:val="0E78EBCB"/>
    <w:rsid w:val="0F085BA8"/>
    <w:rsid w:val="0F423A16"/>
    <w:rsid w:val="101FA5FD"/>
    <w:rsid w:val="102375D0"/>
    <w:rsid w:val="10D52603"/>
    <w:rsid w:val="110A9054"/>
    <w:rsid w:val="11246F70"/>
    <w:rsid w:val="116B9685"/>
    <w:rsid w:val="12627D0F"/>
    <w:rsid w:val="12A5CA40"/>
    <w:rsid w:val="1327024C"/>
    <w:rsid w:val="139611F2"/>
    <w:rsid w:val="13C69A2D"/>
    <w:rsid w:val="1405A6A3"/>
    <w:rsid w:val="143185E3"/>
    <w:rsid w:val="150E5452"/>
    <w:rsid w:val="16AE447F"/>
    <w:rsid w:val="171CCCA6"/>
    <w:rsid w:val="19B741C9"/>
    <w:rsid w:val="19CE8016"/>
    <w:rsid w:val="1A31FA9D"/>
    <w:rsid w:val="1A604A22"/>
    <w:rsid w:val="1AD8CA4D"/>
    <w:rsid w:val="1D82C2A5"/>
    <w:rsid w:val="1EC68945"/>
    <w:rsid w:val="1F214D9A"/>
    <w:rsid w:val="1F5FC241"/>
    <w:rsid w:val="205114A6"/>
    <w:rsid w:val="22038F4F"/>
    <w:rsid w:val="225AA79D"/>
    <w:rsid w:val="22AAF148"/>
    <w:rsid w:val="22BD77DD"/>
    <w:rsid w:val="2457BE98"/>
    <w:rsid w:val="2463A61B"/>
    <w:rsid w:val="2471F2B8"/>
    <w:rsid w:val="252C69B4"/>
    <w:rsid w:val="253F018B"/>
    <w:rsid w:val="263A0B6F"/>
    <w:rsid w:val="2688820F"/>
    <w:rsid w:val="27373DF7"/>
    <w:rsid w:val="27ACCA5B"/>
    <w:rsid w:val="282DB444"/>
    <w:rsid w:val="2842C2EE"/>
    <w:rsid w:val="291B2CE0"/>
    <w:rsid w:val="296A9B64"/>
    <w:rsid w:val="29AB125B"/>
    <w:rsid w:val="2A46C910"/>
    <w:rsid w:val="2ACCC803"/>
    <w:rsid w:val="2B18AF00"/>
    <w:rsid w:val="2B677802"/>
    <w:rsid w:val="2B73DD5F"/>
    <w:rsid w:val="2BD59826"/>
    <w:rsid w:val="2CE14FC8"/>
    <w:rsid w:val="2CF71EB5"/>
    <w:rsid w:val="2D385862"/>
    <w:rsid w:val="2D62E8AA"/>
    <w:rsid w:val="2D6A00E4"/>
    <w:rsid w:val="2DCF4AFA"/>
    <w:rsid w:val="2DDFAC8B"/>
    <w:rsid w:val="2FE5E925"/>
    <w:rsid w:val="304A02BD"/>
    <w:rsid w:val="3087E5AA"/>
    <w:rsid w:val="30A4EA74"/>
    <w:rsid w:val="30CBB3A9"/>
    <w:rsid w:val="32770BC7"/>
    <w:rsid w:val="33150DA5"/>
    <w:rsid w:val="3323F7FB"/>
    <w:rsid w:val="348D3C79"/>
    <w:rsid w:val="34D39668"/>
    <w:rsid w:val="3551CB46"/>
    <w:rsid w:val="3624118C"/>
    <w:rsid w:val="373E7A84"/>
    <w:rsid w:val="38897E4C"/>
    <w:rsid w:val="3896066F"/>
    <w:rsid w:val="38A637EB"/>
    <w:rsid w:val="391DE3B7"/>
    <w:rsid w:val="3ACC92DC"/>
    <w:rsid w:val="3B95FAE0"/>
    <w:rsid w:val="3BF8A4BF"/>
    <w:rsid w:val="3C52681F"/>
    <w:rsid w:val="3CA3DD25"/>
    <w:rsid w:val="3D3EFEEC"/>
    <w:rsid w:val="3D813DFB"/>
    <w:rsid w:val="3DC02E3E"/>
    <w:rsid w:val="3E3633C3"/>
    <w:rsid w:val="3ECCC3F2"/>
    <w:rsid w:val="3F0B0026"/>
    <w:rsid w:val="3FA420DB"/>
    <w:rsid w:val="41895B1D"/>
    <w:rsid w:val="419B466F"/>
    <w:rsid w:val="41C64C02"/>
    <w:rsid w:val="42052ACE"/>
    <w:rsid w:val="424D5DAA"/>
    <w:rsid w:val="427343B6"/>
    <w:rsid w:val="436C0B77"/>
    <w:rsid w:val="445E3B42"/>
    <w:rsid w:val="4515D450"/>
    <w:rsid w:val="4584E4F6"/>
    <w:rsid w:val="467A0154"/>
    <w:rsid w:val="46DC54BC"/>
    <w:rsid w:val="4719DF5D"/>
    <w:rsid w:val="47CE3DAB"/>
    <w:rsid w:val="47D05B3F"/>
    <w:rsid w:val="47F4CE3F"/>
    <w:rsid w:val="480FCE96"/>
    <w:rsid w:val="48488E6D"/>
    <w:rsid w:val="4855D4C5"/>
    <w:rsid w:val="4859B190"/>
    <w:rsid w:val="4861F206"/>
    <w:rsid w:val="48FF917B"/>
    <w:rsid w:val="495B962E"/>
    <w:rsid w:val="498A40CE"/>
    <w:rsid w:val="49BE5DFD"/>
    <w:rsid w:val="4A3B09C5"/>
    <w:rsid w:val="4A41BC2F"/>
    <w:rsid w:val="4ADF6BBF"/>
    <w:rsid w:val="4BFE4C98"/>
    <w:rsid w:val="4C8FD044"/>
    <w:rsid w:val="4CBD2291"/>
    <w:rsid w:val="4CCA2176"/>
    <w:rsid w:val="4D2AEA16"/>
    <w:rsid w:val="4D9657F7"/>
    <w:rsid w:val="4DBA32B5"/>
    <w:rsid w:val="4DCE073D"/>
    <w:rsid w:val="4DEA42C1"/>
    <w:rsid w:val="4E10F062"/>
    <w:rsid w:val="4F2D9356"/>
    <w:rsid w:val="501A1267"/>
    <w:rsid w:val="5026BF33"/>
    <w:rsid w:val="505779CF"/>
    <w:rsid w:val="50677C28"/>
    <w:rsid w:val="50733AFD"/>
    <w:rsid w:val="51BD2643"/>
    <w:rsid w:val="51E218D6"/>
    <w:rsid w:val="51F33C0F"/>
    <w:rsid w:val="51FA59E6"/>
    <w:rsid w:val="5254CC2B"/>
    <w:rsid w:val="52CDE869"/>
    <w:rsid w:val="532CA2E3"/>
    <w:rsid w:val="536C5215"/>
    <w:rsid w:val="544C6B6C"/>
    <w:rsid w:val="55A04936"/>
    <w:rsid w:val="5675B515"/>
    <w:rsid w:val="56BB5B0D"/>
    <w:rsid w:val="56E13BA8"/>
    <w:rsid w:val="575A979C"/>
    <w:rsid w:val="575B69A8"/>
    <w:rsid w:val="57DBAEBB"/>
    <w:rsid w:val="5814CADC"/>
    <w:rsid w:val="588047A2"/>
    <w:rsid w:val="58E80953"/>
    <w:rsid w:val="594B9400"/>
    <w:rsid w:val="5995400E"/>
    <w:rsid w:val="59BE2CD2"/>
    <w:rsid w:val="5A015A43"/>
    <w:rsid w:val="5A573790"/>
    <w:rsid w:val="5A9DCFFF"/>
    <w:rsid w:val="5BB4B9F1"/>
    <w:rsid w:val="5C47F5D5"/>
    <w:rsid w:val="5DA154C2"/>
    <w:rsid w:val="5DABE755"/>
    <w:rsid w:val="5DD1819B"/>
    <w:rsid w:val="5E098CCE"/>
    <w:rsid w:val="5E3C4F0B"/>
    <w:rsid w:val="5EDBEA8D"/>
    <w:rsid w:val="5FD36090"/>
    <w:rsid w:val="5FDA534A"/>
    <w:rsid w:val="6170DB48"/>
    <w:rsid w:val="631FA3DD"/>
    <w:rsid w:val="633A0F32"/>
    <w:rsid w:val="6342DC95"/>
    <w:rsid w:val="6398764F"/>
    <w:rsid w:val="648E0F46"/>
    <w:rsid w:val="649C18D6"/>
    <w:rsid w:val="64D66058"/>
    <w:rsid w:val="65EC089A"/>
    <w:rsid w:val="665F176E"/>
    <w:rsid w:val="66EC2391"/>
    <w:rsid w:val="67866AF4"/>
    <w:rsid w:val="67F375D9"/>
    <w:rsid w:val="681EA063"/>
    <w:rsid w:val="68D8F3C2"/>
    <w:rsid w:val="69838609"/>
    <w:rsid w:val="69D0B4EE"/>
    <w:rsid w:val="6A289EC6"/>
    <w:rsid w:val="6ADA1E15"/>
    <w:rsid w:val="6B2B5EF4"/>
    <w:rsid w:val="6CAB4565"/>
    <w:rsid w:val="6DBE127F"/>
    <w:rsid w:val="6DD069C2"/>
    <w:rsid w:val="6E35461F"/>
    <w:rsid w:val="6E8F19D6"/>
    <w:rsid w:val="6EAA51B5"/>
    <w:rsid w:val="6F42C2A9"/>
    <w:rsid w:val="6F4AE523"/>
    <w:rsid w:val="6F563887"/>
    <w:rsid w:val="710E1892"/>
    <w:rsid w:val="71148A58"/>
    <w:rsid w:val="720C58C4"/>
    <w:rsid w:val="72568C57"/>
    <w:rsid w:val="728A5E56"/>
    <w:rsid w:val="72E70EFC"/>
    <w:rsid w:val="72E8DE4F"/>
    <w:rsid w:val="738B39A0"/>
    <w:rsid w:val="739D82D3"/>
    <w:rsid w:val="7420261B"/>
    <w:rsid w:val="7446B84A"/>
    <w:rsid w:val="75647F29"/>
    <w:rsid w:val="75C262FA"/>
    <w:rsid w:val="76DF52C9"/>
    <w:rsid w:val="7706951A"/>
    <w:rsid w:val="7781253D"/>
    <w:rsid w:val="778C83BF"/>
    <w:rsid w:val="77C829AA"/>
    <w:rsid w:val="77EA6916"/>
    <w:rsid w:val="78228524"/>
    <w:rsid w:val="789E1ACE"/>
    <w:rsid w:val="7A1375F1"/>
    <w:rsid w:val="7A16FA22"/>
    <w:rsid w:val="7A451F88"/>
    <w:rsid w:val="7AEB578C"/>
    <w:rsid w:val="7BA97CBF"/>
    <w:rsid w:val="7C2DD4FE"/>
    <w:rsid w:val="7C2F4481"/>
    <w:rsid w:val="7DA5C128"/>
    <w:rsid w:val="7DBA0DB0"/>
    <w:rsid w:val="7E1A68F2"/>
    <w:rsid w:val="7FD2C92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7C46D"/>
  <w15:chartTrackingRefBased/>
  <w15:docId w15:val="{2782E8DE-5266-402F-90A3-CAD3A13A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7F"/>
    <w:pPr>
      <w:spacing w:after="0" w:line="240" w:lineRule="auto"/>
      <w:jc w:val="both"/>
    </w:pPr>
    <w:rPr>
      <w:rFonts w:ascii="Times New Roman" w:hAnsi="Times New Roman" w:cs="Times New Roman"/>
      <w:sz w:val="24"/>
      <w:szCs w:val="24"/>
      <w:lang w:eastAsia="ko-KR"/>
    </w:rPr>
  </w:style>
  <w:style w:type="paragraph" w:styleId="Heading3">
    <w:name w:val="heading 3"/>
    <w:basedOn w:val="Normal"/>
    <w:link w:val="Heading3Char"/>
    <w:uiPriority w:val="9"/>
    <w:unhideWhenUsed/>
    <w:qFormat/>
    <w:rsid w:val="00EA6DB1"/>
    <w:pPr>
      <w:spacing w:before="100" w:beforeAutospacing="1" w:after="100" w:afterAutospacing="1"/>
      <w:jc w:val="left"/>
      <w:outlineLvl w:val="2"/>
    </w:pPr>
    <w:rPr>
      <w:rFonts w:ascii="Calibri" w:hAnsi="Calibri" w:cs="Calibri"/>
      <w:b/>
      <w:bCs/>
      <w:sz w:val="27"/>
      <w:szCs w:val="27"/>
      <w:lang w:val="fr-CH" w:eastAsia="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E373D"/>
    <w:rPr>
      <w:rFonts w:eastAsia="Times New Roman"/>
      <w:sz w:val="20"/>
      <w:szCs w:val="20"/>
    </w:rPr>
  </w:style>
  <w:style w:type="character" w:customStyle="1" w:styleId="FootnoteTextChar">
    <w:name w:val="Footnote Text Char"/>
    <w:basedOn w:val="DefaultParagraphFont"/>
    <w:link w:val="FootnoteText"/>
    <w:rsid w:val="001E373D"/>
    <w:rPr>
      <w:rFonts w:ascii="Times New Roman" w:eastAsia="Times New Roman" w:hAnsi="Times New Roman" w:cs="Times New Roman"/>
      <w:sz w:val="20"/>
      <w:szCs w:val="20"/>
    </w:rPr>
  </w:style>
  <w:style w:type="character" w:styleId="FootnoteReference">
    <w:name w:val="footnote reference"/>
    <w:rsid w:val="001E373D"/>
    <w:rPr>
      <w:vertAlign w:val="superscript"/>
    </w:rPr>
  </w:style>
  <w:style w:type="paragraph" w:styleId="Header">
    <w:name w:val="header"/>
    <w:basedOn w:val="Normal"/>
    <w:link w:val="HeaderChar"/>
    <w:uiPriority w:val="99"/>
    <w:unhideWhenUsed/>
    <w:rsid w:val="001E373D"/>
    <w:pPr>
      <w:tabs>
        <w:tab w:val="center" w:pos="4680"/>
        <w:tab w:val="right" w:pos="9360"/>
      </w:tabs>
    </w:pPr>
  </w:style>
  <w:style w:type="character" w:customStyle="1" w:styleId="HeaderChar">
    <w:name w:val="Header Char"/>
    <w:basedOn w:val="DefaultParagraphFont"/>
    <w:link w:val="Header"/>
    <w:uiPriority w:val="99"/>
    <w:rsid w:val="001E373D"/>
  </w:style>
  <w:style w:type="paragraph" w:styleId="Footer">
    <w:name w:val="footer"/>
    <w:basedOn w:val="Normal"/>
    <w:link w:val="FooterChar"/>
    <w:uiPriority w:val="99"/>
    <w:unhideWhenUsed/>
    <w:rsid w:val="001E373D"/>
    <w:pPr>
      <w:tabs>
        <w:tab w:val="center" w:pos="4680"/>
        <w:tab w:val="right" w:pos="9360"/>
      </w:tabs>
    </w:pPr>
  </w:style>
  <w:style w:type="character" w:customStyle="1" w:styleId="FooterChar">
    <w:name w:val="Footer Char"/>
    <w:basedOn w:val="DefaultParagraphFont"/>
    <w:link w:val="Footer"/>
    <w:uiPriority w:val="99"/>
    <w:rsid w:val="001E373D"/>
  </w:style>
  <w:style w:type="paragraph" w:styleId="BalloonText">
    <w:name w:val="Balloon Text"/>
    <w:basedOn w:val="Normal"/>
    <w:link w:val="BalloonTextChar"/>
    <w:uiPriority w:val="99"/>
    <w:semiHidden/>
    <w:unhideWhenUsed/>
    <w:rsid w:val="001E3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73D"/>
    <w:rPr>
      <w:rFonts w:ascii="Segoe UI" w:hAnsi="Segoe UI" w:cs="Segoe UI"/>
      <w:sz w:val="18"/>
      <w:szCs w:val="18"/>
    </w:rPr>
  </w:style>
  <w:style w:type="table" w:customStyle="1" w:styleId="TableGrid1">
    <w:name w:val="Table Grid1"/>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0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430"/>
    <w:rPr>
      <w:color w:val="0563C1" w:themeColor="hyperlink"/>
      <w:u w:val="single"/>
    </w:rPr>
  </w:style>
  <w:style w:type="character" w:customStyle="1" w:styleId="UnresolvedMention1">
    <w:name w:val="Unresolved Mention1"/>
    <w:basedOn w:val="DefaultParagraphFont"/>
    <w:uiPriority w:val="99"/>
    <w:semiHidden/>
    <w:unhideWhenUsed/>
    <w:rsid w:val="006A5B00"/>
    <w:rPr>
      <w:color w:val="808080"/>
      <w:shd w:val="clear" w:color="auto" w:fill="E6E6E6"/>
    </w:rPr>
  </w:style>
  <w:style w:type="character" w:styleId="CommentReference">
    <w:name w:val="annotation reference"/>
    <w:basedOn w:val="DefaultParagraphFont"/>
    <w:uiPriority w:val="99"/>
    <w:semiHidden/>
    <w:unhideWhenUsed/>
    <w:rsid w:val="00036EE6"/>
    <w:rPr>
      <w:sz w:val="16"/>
      <w:szCs w:val="16"/>
    </w:rPr>
  </w:style>
  <w:style w:type="paragraph" w:styleId="CommentText">
    <w:name w:val="annotation text"/>
    <w:basedOn w:val="Normal"/>
    <w:link w:val="CommentTextChar"/>
    <w:uiPriority w:val="99"/>
    <w:unhideWhenUsed/>
    <w:rsid w:val="00036EE6"/>
    <w:rPr>
      <w:sz w:val="20"/>
      <w:szCs w:val="20"/>
    </w:rPr>
  </w:style>
  <w:style w:type="character" w:customStyle="1" w:styleId="CommentTextChar">
    <w:name w:val="Comment Text Char"/>
    <w:basedOn w:val="DefaultParagraphFont"/>
    <w:link w:val="CommentText"/>
    <w:uiPriority w:val="99"/>
    <w:rsid w:val="00036EE6"/>
    <w:rPr>
      <w:sz w:val="20"/>
      <w:szCs w:val="20"/>
    </w:rPr>
  </w:style>
  <w:style w:type="paragraph" w:styleId="CommentSubject">
    <w:name w:val="annotation subject"/>
    <w:basedOn w:val="CommentText"/>
    <w:next w:val="CommentText"/>
    <w:link w:val="CommentSubjectChar"/>
    <w:uiPriority w:val="99"/>
    <w:semiHidden/>
    <w:unhideWhenUsed/>
    <w:rsid w:val="00036EE6"/>
    <w:rPr>
      <w:b/>
      <w:bCs/>
    </w:rPr>
  </w:style>
  <w:style w:type="character" w:customStyle="1" w:styleId="CommentSubjectChar">
    <w:name w:val="Comment Subject Char"/>
    <w:basedOn w:val="CommentTextChar"/>
    <w:link w:val="CommentSubject"/>
    <w:uiPriority w:val="99"/>
    <w:semiHidden/>
    <w:rsid w:val="00036EE6"/>
    <w:rPr>
      <w:b/>
      <w:bCs/>
      <w:sz w:val="20"/>
      <w:szCs w:val="20"/>
    </w:rPr>
  </w:style>
  <w:style w:type="paragraph" w:styleId="ListParagraph">
    <w:name w:val="List Paragraph"/>
    <w:aliases w:val="IBL List Paragraph,List Paragraph1,List Paragraph 1,Recommendation,List Paragraph11,L,Bullet Point,Numbered Paragraph,Main numbered paragraph,Bullets,References,Numbered List Paragraph,123 List Paragraph,List Paragraph (numbered (a)),lp1"/>
    <w:basedOn w:val="Normal"/>
    <w:link w:val="ListParagraphChar"/>
    <w:uiPriority w:val="34"/>
    <w:qFormat/>
    <w:rsid w:val="005408A8"/>
    <w:pPr>
      <w:ind w:left="720"/>
      <w:contextualSpacing/>
    </w:pPr>
  </w:style>
  <w:style w:type="paragraph" w:styleId="HTMLPreformatted">
    <w:name w:val="HTML Preformatted"/>
    <w:basedOn w:val="Normal"/>
    <w:link w:val="HTMLPreformattedChar"/>
    <w:uiPriority w:val="99"/>
    <w:semiHidden/>
    <w:unhideWhenUsed/>
    <w:rsid w:val="0059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752F"/>
    <w:rPr>
      <w:rFonts w:ascii="Courier New" w:eastAsia="Times New Roman" w:hAnsi="Courier New" w:cs="Courier New"/>
      <w:sz w:val="20"/>
      <w:szCs w:val="20"/>
    </w:rPr>
  </w:style>
  <w:style w:type="paragraph" w:customStyle="1" w:styleId="Default">
    <w:name w:val="Default"/>
    <w:rsid w:val="00E65325"/>
    <w:pPr>
      <w:autoSpaceDE w:val="0"/>
      <w:autoSpaceDN w:val="0"/>
      <w:adjustRightInd w:val="0"/>
      <w:spacing w:after="0" w:line="240" w:lineRule="auto"/>
    </w:pPr>
    <w:rPr>
      <w:rFonts w:ascii="Calibri" w:hAnsi="Calibri" w:cs="Calibri"/>
      <w:color w:val="000000"/>
      <w:sz w:val="24"/>
      <w:szCs w:val="24"/>
      <w:lang w:val="es-UY"/>
    </w:rPr>
  </w:style>
  <w:style w:type="character" w:customStyle="1" w:styleId="ListParagraphChar">
    <w:name w:val="List Paragraph Char"/>
    <w:aliases w:val="IBL List Paragraph Char,List Paragraph1 Char,List Paragraph 1 Char,Recommendation Char,List Paragraph11 Char,L Char,Bullet Point Char,Numbered Paragraph Char,Main numbered paragraph Char,Bullets Char,References Char,lp1 Char"/>
    <w:link w:val="ListParagraph"/>
    <w:uiPriority w:val="34"/>
    <w:qFormat/>
    <w:rsid w:val="00560D52"/>
  </w:style>
  <w:style w:type="character" w:styleId="FollowedHyperlink">
    <w:name w:val="FollowedHyperlink"/>
    <w:basedOn w:val="DefaultParagraphFont"/>
    <w:uiPriority w:val="99"/>
    <w:semiHidden/>
    <w:unhideWhenUsed/>
    <w:rsid w:val="004457B2"/>
    <w:rPr>
      <w:color w:val="954F72" w:themeColor="followedHyperlink"/>
      <w:u w:val="single"/>
    </w:rPr>
  </w:style>
  <w:style w:type="character" w:customStyle="1" w:styleId="table0020gridchar">
    <w:name w:val="table_0020grid__char"/>
    <w:basedOn w:val="DefaultParagraphFont"/>
    <w:rsid w:val="003616E3"/>
  </w:style>
  <w:style w:type="character" w:customStyle="1" w:styleId="EmailStyle24">
    <w:name w:val="EmailStyle24"/>
    <w:basedOn w:val="DefaultParagraphFont"/>
    <w:rsid w:val="0042772F"/>
    <w:rPr>
      <w:rFonts w:ascii="Arial" w:hAnsi="Arial" w:cs="Arial" w:hint="default"/>
      <w:color w:val="000000"/>
    </w:rPr>
  </w:style>
  <w:style w:type="character" w:styleId="UnresolvedMention">
    <w:name w:val="Unresolved Mention"/>
    <w:basedOn w:val="DefaultParagraphFont"/>
    <w:uiPriority w:val="99"/>
    <w:semiHidden/>
    <w:unhideWhenUsed/>
    <w:rsid w:val="00110C20"/>
    <w:rPr>
      <w:color w:val="605E5C"/>
      <w:shd w:val="clear" w:color="auto" w:fill="E1DFDD"/>
    </w:rPr>
  </w:style>
  <w:style w:type="character" w:customStyle="1" w:styleId="Heading3Char">
    <w:name w:val="Heading 3 Char"/>
    <w:basedOn w:val="DefaultParagraphFont"/>
    <w:link w:val="Heading3"/>
    <w:uiPriority w:val="9"/>
    <w:rsid w:val="00EA6DB1"/>
    <w:rPr>
      <w:rFonts w:ascii="Calibri" w:hAnsi="Calibri" w:cs="Calibri"/>
      <w:b/>
      <w:bCs/>
      <w:sz w:val="27"/>
      <w:szCs w:val="27"/>
      <w:lang w:val="fr-CH" w:eastAsia="fr-CH"/>
    </w:rPr>
  </w:style>
  <w:style w:type="character" w:customStyle="1" w:styleId="NichtaufgelsteErwhnung1">
    <w:name w:val="Nicht aufgelöste Erwähnung1"/>
    <w:basedOn w:val="DefaultParagraphFont"/>
    <w:uiPriority w:val="99"/>
    <w:semiHidden/>
    <w:unhideWhenUsed/>
    <w:rsid w:val="00EA6DB1"/>
    <w:rPr>
      <w:color w:val="808080"/>
      <w:shd w:val="clear" w:color="auto" w:fill="E6E6E6"/>
    </w:rPr>
  </w:style>
  <w:style w:type="paragraph" w:styleId="NormalWeb">
    <w:name w:val="Normal (Web)"/>
    <w:basedOn w:val="Normal"/>
    <w:uiPriority w:val="99"/>
    <w:unhideWhenUsed/>
    <w:rsid w:val="00EA6DB1"/>
    <w:pPr>
      <w:spacing w:before="100" w:beforeAutospacing="1" w:after="100" w:afterAutospacing="1"/>
      <w:jc w:val="left"/>
    </w:pPr>
    <w:rPr>
      <w:rFonts w:eastAsia="Times New Roman"/>
      <w:lang w:val="fr-CH" w:eastAsia="fr-CH"/>
    </w:rPr>
  </w:style>
  <w:style w:type="paragraph" w:customStyle="1" w:styleId="elementtoproof">
    <w:name w:val="elementtoproof"/>
    <w:basedOn w:val="Normal"/>
    <w:rsid w:val="00694D1D"/>
    <w:pPr>
      <w:jc w:val="left"/>
    </w:pPr>
    <w:rPr>
      <w:rFonts w:ascii="Calibri" w:hAnsi="Calibri" w:cs="Calibri"/>
      <w:sz w:val="22"/>
      <w:szCs w:val="22"/>
      <w:lang w:eastAsia="en-US"/>
    </w:rPr>
  </w:style>
  <w:style w:type="paragraph" w:customStyle="1" w:styleId="default0">
    <w:name w:val="default"/>
    <w:basedOn w:val="Normal"/>
    <w:rsid w:val="00A40AC7"/>
    <w:pPr>
      <w:autoSpaceDE w:val="0"/>
      <w:autoSpaceDN w:val="0"/>
      <w:jc w:val="left"/>
    </w:pPr>
    <w:rPr>
      <w:rFonts w:ascii="Calibri" w:hAnsi="Calibri" w:cs="Calibri"/>
      <w:color w:val="000000"/>
      <w:lang w:eastAsia="en-US" w:bidi="km-KH"/>
    </w:rPr>
  </w:style>
  <w:style w:type="character" w:customStyle="1" w:styleId="break-words">
    <w:name w:val="break-words"/>
    <w:basedOn w:val="DefaultParagraphFont"/>
    <w:rsid w:val="00245266"/>
  </w:style>
  <w:style w:type="character" w:customStyle="1" w:styleId="css-1jxf684">
    <w:name w:val="css-1jxf684"/>
    <w:basedOn w:val="DefaultParagraphFont"/>
    <w:rsid w:val="00245266"/>
  </w:style>
  <w:style w:type="paragraph" w:customStyle="1" w:styleId="xmsonormal">
    <w:name w:val="x_msonormal"/>
    <w:basedOn w:val="Normal"/>
    <w:rsid w:val="00CD09C4"/>
    <w:pPr>
      <w:jc w:val="left"/>
    </w:pPr>
    <w:rPr>
      <w:rFonts w:ascii="Calibri" w:hAnsi="Calibri" w:cs="Calibri"/>
      <w:sz w:val="22"/>
      <w:szCs w:val="22"/>
      <w:lang w:eastAsia="en-US"/>
      <w14:ligatures w14:val="standardContextual"/>
    </w:rPr>
  </w:style>
  <w:style w:type="paragraph" w:customStyle="1" w:styleId="xdefault">
    <w:name w:val="x_default"/>
    <w:basedOn w:val="Normal"/>
    <w:rsid w:val="00CD09C4"/>
    <w:pPr>
      <w:autoSpaceDE w:val="0"/>
      <w:autoSpaceDN w:val="0"/>
      <w:jc w:val="left"/>
    </w:pPr>
    <w:rPr>
      <w:rFonts w:ascii="Calibri" w:hAnsi="Calibri" w:cs="Calibri"/>
      <w:color w:val="000000"/>
      <w:lang w:eastAsia="en-US"/>
      <w14:ligatures w14:val="standardContextual"/>
    </w:rPr>
  </w:style>
  <w:style w:type="character" w:customStyle="1" w:styleId="normaltextrun">
    <w:name w:val="normaltextrun"/>
    <w:basedOn w:val="DefaultParagraphFont"/>
    <w:rsid w:val="00CD09C4"/>
  </w:style>
  <w:style w:type="paragraph" w:customStyle="1" w:styleId="paragraph">
    <w:name w:val="paragraph"/>
    <w:basedOn w:val="Normal"/>
    <w:rsid w:val="00CD09C4"/>
    <w:pPr>
      <w:spacing w:before="100" w:beforeAutospacing="1" w:after="100" w:afterAutospacing="1"/>
      <w:jc w:val="left"/>
    </w:pPr>
    <w:rPr>
      <w:rFonts w:eastAsia="Times New Roman"/>
      <w:lang w:eastAsia="en-US"/>
      <w14:ligatures w14:val="standardContextual"/>
    </w:rPr>
  </w:style>
  <w:style w:type="character" w:styleId="Strong">
    <w:name w:val="Strong"/>
    <w:basedOn w:val="DefaultParagraphFont"/>
    <w:uiPriority w:val="22"/>
    <w:qFormat/>
    <w:rsid w:val="006B76BC"/>
    <w:rPr>
      <w:b/>
      <w:bCs/>
    </w:rPr>
  </w:style>
  <w:style w:type="paragraph" w:styleId="Revision">
    <w:name w:val="Revision"/>
    <w:hidden/>
    <w:uiPriority w:val="99"/>
    <w:semiHidden/>
    <w:rsid w:val="004F7967"/>
    <w:pPr>
      <w:spacing w:after="0" w:line="240" w:lineRule="auto"/>
    </w:pPr>
    <w:rPr>
      <w:rFonts w:ascii="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826">
      <w:bodyDiv w:val="1"/>
      <w:marLeft w:val="0"/>
      <w:marRight w:val="0"/>
      <w:marTop w:val="0"/>
      <w:marBottom w:val="0"/>
      <w:divBdr>
        <w:top w:val="none" w:sz="0" w:space="0" w:color="auto"/>
        <w:left w:val="none" w:sz="0" w:space="0" w:color="auto"/>
        <w:bottom w:val="none" w:sz="0" w:space="0" w:color="auto"/>
        <w:right w:val="none" w:sz="0" w:space="0" w:color="auto"/>
      </w:divBdr>
    </w:div>
    <w:div w:id="57094112">
      <w:bodyDiv w:val="1"/>
      <w:marLeft w:val="0"/>
      <w:marRight w:val="0"/>
      <w:marTop w:val="0"/>
      <w:marBottom w:val="0"/>
      <w:divBdr>
        <w:top w:val="none" w:sz="0" w:space="0" w:color="auto"/>
        <w:left w:val="none" w:sz="0" w:space="0" w:color="auto"/>
        <w:bottom w:val="none" w:sz="0" w:space="0" w:color="auto"/>
        <w:right w:val="none" w:sz="0" w:space="0" w:color="auto"/>
      </w:divBdr>
    </w:div>
    <w:div w:id="78455244">
      <w:bodyDiv w:val="1"/>
      <w:marLeft w:val="0"/>
      <w:marRight w:val="0"/>
      <w:marTop w:val="0"/>
      <w:marBottom w:val="0"/>
      <w:divBdr>
        <w:top w:val="none" w:sz="0" w:space="0" w:color="auto"/>
        <w:left w:val="none" w:sz="0" w:space="0" w:color="auto"/>
        <w:bottom w:val="none" w:sz="0" w:space="0" w:color="auto"/>
        <w:right w:val="none" w:sz="0" w:space="0" w:color="auto"/>
      </w:divBdr>
    </w:div>
    <w:div w:id="161556919">
      <w:bodyDiv w:val="1"/>
      <w:marLeft w:val="0"/>
      <w:marRight w:val="0"/>
      <w:marTop w:val="0"/>
      <w:marBottom w:val="0"/>
      <w:divBdr>
        <w:top w:val="none" w:sz="0" w:space="0" w:color="auto"/>
        <w:left w:val="none" w:sz="0" w:space="0" w:color="auto"/>
        <w:bottom w:val="none" w:sz="0" w:space="0" w:color="auto"/>
        <w:right w:val="none" w:sz="0" w:space="0" w:color="auto"/>
      </w:divBdr>
    </w:div>
    <w:div w:id="171652333">
      <w:bodyDiv w:val="1"/>
      <w:marLeft w:val="0"/>
      <w:marRight w:val="0"/>
      <w:marTop w:val="0"/>
      <w:marBottom w:val="0"/>
      <w:divBdr>
        <w:top w:val="none" w:sz="0" w:space="0" w:color="auto"/>
        <w:left w:val="none" w:sz="0" w:space="0" w:color="auto"/>
        <w:bottom w:val="none" w:sz="0" w:space="0" w:color="auto"/>
        <w:right w:val="none" w:sz="0" w:space="0" w:color="auto"/>
      </w:divBdr>
    </w:div>
    <w:div w:id="195198466">
      <w:bodyDiv w:val="1"/>
      <w:marLeft w:val="0"/>
      <w:marRight w:val="0"/>
      <w:marTop w:val="0"/>
      <w:marBottom w:val="0"/>
      <w:divBdr>
        <w:top w:val="none" w:sz="0" w:space="0" w:color="auto"/>
        <w:left w:val="none" w:sz="0" w:space="0" w:color="auto"/>
        <w:bottom w:val="none" w:sz="0" w:space="0" w:color="auto"/>
        <w:right w:val="none" w:sz="0" w:space="0" w:color="auto"/>
      </w:divBdr>
    </w:div>
    <w:div w:id="248543412">
      <w:bodyDiv w:val="1"/>
      <w:marLeft w:val="0"/>
      <w:marRight w:val="0"/>
      <w:marTop w:val="0"/>
      <w:marBottom w:val="0"/>
      <w:divBdr>
        <w:top w:val="none" w:sz="0" w:space="0" w:color="auto"/>
        <w:left w:val="none" w:sz="0" w:space="0" w:color="auto"/>
        <w:bottom w:val="none" w:sz="0" w:space="0" w:color="auto"/>
        <w:right w:val="none" w:sz="0" w:space="0" w:color="auto"/>
      </w:divBdr>
    </w:div>
    <w:div w:id="299768211">
      <w:bodyDiv w:val="1"/>
      <w:marLeft w:val="0"/>
      <w:marRight w:val="0"/>
      <w:marTop w:val="0"/>
      <w:marBottom w:val="0"/>
      <w:divBdr>
        <w:top w:val="none" w:sz="0" w:space="0" w:color="auto"/>
        <w:left w:val="none" w:sz="0" w:space="0" w:color="auto"/>
        <w:bottom w:val="none" w:sz="0" w:space="0" w:color="auto"/>
        <w:right w:val="none" w:sz="0" w:space="0" w:color="auto"/>
      </w:divBdr>
    </w:div>
    <w:div w:id="349185678">
      <w:bodyDiv w:val="1"/>
      <w:marLeft w:val="0"/>
      <w:marRight w:val="0"/>
      <w:marTop w:val="0"/>
      <w:marBottom w:val="0"/>
      <w:divBdr>
        <w:top w:val="none" w:sz="0" w:space="0" w:color="auto"/>
        <w:left w:val="none" w:sz="0" w:space="0" w:color="auto"/>
        <w:bottom w:val="none" w:sz="0" w:space="0" w:color="auto"/>
        <w:right w:val="none" w:sz="0" w:space="0" w:color="auto"/>
      </w:divBdr>
    </w:div>
    <w:div w:id="463743816">
      <w:bodyDiv w:val="1"/>
      <w:marLeft w:val="0"/>
      <w:marRight w:val="0"/>
      <w:marTop w:val="0"/>
      <w:marBottom w:val="0"/>
      <w:divBdr>
        <w:top w:val="none" w:sz="0" w:space="0" w:color="auto"/>
        <w:left w:val="none" w:sz="0" w:space="0" w:color="auto"/>
        <w:bottom w:val="none" w:sz="0" w:space="0" w:color="auto"/>
        <w:right w:val="none" w:sz="0" w:space="0" w:color="auto"/>
      </w:divBdr>
    </w:div>
    <w:div w:id="489558982">
      <w:bodyDiv w:val="1"/>
      <w:marLeft w:val="0"/>
      <w:marRight w:val="0"/>
      <w:marTop w:val="0"/>
      <w:marBottom w:val="0"/>
      <w:divBdr>
        <w:top w:val="none" w:sz="0" w:space="0" w:color="auto"/>
        <w:left w:val="none" w:sz="0" w:space="0" w:color="auto"/>
        <w:bottom w:val="none" w:sz="0" w:space="0" w:color="auto"/>
        <w:right w:val="none" w:sz="0" w:space="0" w:color="auto"/>
      </w:divBdr>
    </w:div>
    <w:div w:id="490146077">
      <w:bodyDiv w:val="1"/>
      <w:marLeft w:val="0"/>
      <w:marRight w:val="0"/>
      <w:marTop w:val="0"/>
      <w:marBottom w:val="0"/>
      <w:divBdr>
        <w:top w:val="none" w:sz="0" w:space="0" w:color="auto"/>
        <w:left w:val="none" w:sz="0" w:space="0" w:color="auto"/>
        <w:bottom w:val="none" w:sz="0" w:space="0" w:color="auto"/>
        <w:right w:val="none" w:sz="0" w:space="0" w:color="auto"/>
      </w:divBdr>
    </w:div>
    <w:div w:id="631909167">
      <w:bodyDiv w:val="1"/>
      <w:marLeft w:val="0"/>
      <w:marRight w:val="0"/>
      <w:marTop w:val="0"/>
      <w:marBottom w:val="0"/>
      <w:divBdr>
        <w:top w:val="none" w:sz="0" w:space="0" w:color="auto"/>
        <w:left w:val="none" w:sz="0" w:space="0" w:color="auto"/>
        <w:bottom w:val="none" w:sz="0" w:space="0" w:color="auto"/>
        <w:right w:val="none" w:sz="0" w:space="0" w:color="auto"/>
      </w:divBdr>
    </w:div>
    <w:div w:id="633995483">
      <w:bodyDiv w:val="1"/>
      <w:marLeft w:val="0"/>
      <w:marRight w:val="0"/>
      <w:marTop w:val="0"/>
      <w:marBottom w:val="0"/>
      <w:divBdr>
        <w:top w:val="none" w:sz="0" w:space="0" w:color="auto"/>
        <w:left w:val="none" w:sz="0" w:space="0" w:color="auto"/>
        <w:bottom w:val="none" w:sz="0" w:space="0" w:color="auto"/>
        <w:right w:val="none" w:sz="0" w:space="0" w:color="auto"/>
      </w:divBdr>
    </w:div>
    <w:div w:id="645597347">
      <w:bodyDiv w:val="1"/>
      <w:marLeft w:val="0"/>
      <w:marRight w:val="0"/>
      <w:marTop w:val="0"/>
      <w:marBottom w:val="0"/>
      <w:divBdr>
        <w:top w:val="none" w:sz="0" w:space="0" w:color="auto"/>
        <w:left w:val="none" w:sz="0" w:space="0" w:color="auto"/>
        <w:bottom w:val="none" w:sz="0" w:space="0" w:color="auto"/>
        <w:right w:val="none" w:sz="0" w:space="0" w:color="auto"/>
      </w:divBdr>
    </w:div>
    <w:div w:id="745154553">
      <w:bodyDiv w:val="1"/>
      <w:marLeft w:val="0"/>
      <w:marRight w:val="0"/>
      <w:marTop w:val="0"/>
      <w:marBottom w:val="0"/>
      <w:divBdr>
        <w:top w:val="none" w:sz="0" w:space="0" w:color="auto"/>
        <w:left w:val="none" w:sz="0" w:space="0" w:color="auto"/>
        <w:bottom w:val="none" w:sz="0" w:space="0" w:color="auto"/>
        <w:right w:val="none" w:sz="0" w:space="0" w:color="auto"/>
      </w:divBdr>
    </w:div>
    <w:div w:id="751699034">
      <w:bodyDiv w:val="1"/>
      <w:marLeft w:val="0"/>
      <w:marRight w:val="0"/>
      <w:marTop w:val="0"/>
      <w:marBottom w:val="0"/>
      <w:divBdr>
        <w:top w:val="none" w:sz="0" w:space="0" w:color="auto"/>
        <w:left w:val="none" w:sz="0" w:space="0" w:color="auto"/>
        <w:bottom w:val="none" w:sz="0" w:space="0" w:color="auto"/>
        <w:right w:val="none" w:sz="0" w:space="0" w:color="auto"/>
      </w:divBdr>
    </w:div>
    <w:div w:id="755857636">
      <w:bodyDiv w:val="1"/>
      <w:marLeft w:val="0"/>
      <w:marRight w:val="0"/>
      <w:marTop w:val="0"/>
      <w:marBottom w:val="0"/>
      <w:divBdr>
        <w:top w:val="none" w:sz="0" w:space="0" w:color="auto"/>
        <w:left w:val="none" w:sz="0" w:space="0" w:color="auto"/>
        <w:bottom w:val="none" w:sz="0" w:space="0" w:color="auto"/>
        <w:right w:val="none" w:sz="0" w:space="0" w:color="auto"/>
      </w:divBdr>
    </w:div>
    <w:div w:id="808592573">
      <w:bodyDiv w:val="1"/>
      <w:marLeft w:val="0"/>
      <w:marRight w:val="0"/>
      <w:marTop w:val="0"/>
      <w:marBottom w:val="0"/>
      <w:divBdr>
        <w:top w:val="none" w:sz="0" w:space="0" w:color="auto"/>
        <w:left w:val="none" w:sz="0" w:space="0" w:color="auto"/>
        <w:bottom w:val="none" w:sz="0" w:space="0" w:color="auto"/>
        <w:right w:val="none" w:sz="0" w:space="0" w:color="auto"/>
      </w:divBdr>
    </w:div>
    <w:div w:id="887372617">
      <w:bodyDiv w:val="1"/>
      <w:marLeft w:val="0"/>
      <w:marRight w:val="0"/>
      <w:marTop w:val="0"/>
      <w:marBottom w:val="0"/>
      <w:divBdr>
        <w:top w:val="none" w:sz="0" w:space="0" w:color="auto"/>
        <w:left w:val="none" w:sz="0" w:space="0" w:color="auto"/>
        <w:bottom w:val="none" w:sz="0" w:space="0" w:color="auto"/>
        <w:right w:val="none" w:sz="0" w:space="0" w:color="auto"/>
      </w:divBdr>
    </w:div>
    <w:div w:id="888416321">
      <w:bodyDiv w:val="1"/>
      <w:marLeft w:val="0"/>
      <w:marRight w:val="0"/>
      <w:marTop w:val="0"/>
      <w:marBottom w:val="0"/>
      <w:divBdr>
        <w:top w:val="none" w:sz="0" w:space="0" w:color="auto"/>
        <w:left w:val="none" w:sz="0" w:space="0" w:color="auto"/>
        <w:bottom w:val="none" w:sz="0" w:space="0" w:color="auto"/>
        <w:right w:val="none" w:sz="0" w:space="0" w:color="auto"/>
      </w:divBdr>
    </w:div>
    <w:div w:id="929699721">
      <w:bodyDiv w:val="1"/>
      <w:marLeft w:val="0"/>
      <w:marRight w:val="0"/>
      <w:marTop w:val="0"/>
      <w:marBottom w:val="0"/>
      <w:divBdr>
        <w:top w:val="none" w:sz="0" w:space="0" w:color="auto"/>
        <w:left w:val="none" w:sz="0" w:space="0" w:color="auto"/>
        <w:bottom w:val="none" w:sz="0" w:space="0" w:color="auto"/>
        <w:right w:val="none" w:sz="0" w:space="0" w:color="auto"/>
      </w:divBdr>
    </w:div>
    <w:div w:id="930233896">
      <w:bodyDiv w:val="1"/>
      <w:marLeft w:val="0"/>
      <w:marRight w:val="0"/>
      <w:marTop w:val="0"/>
      <w:marBottom w:val="0"/>
      <w:divBdr>
        <w:top w:val="none" w:sz="0" w:space="0" w:color="auto"/>
        <w:left w:val="none" w:sz="0" w:space="0" w:color="auto"/>
        <w:bottom w:val="none" w:sz="0" w:space="0" w:color="auto"/>
        <w:right w:val="none" w:sz="0" w:space="0" w:color="auto"/>
      </w:divBdr>
    </w:div>
    <w:div w:id="936592988">
      <w:bodyDiv w:val="1"/>
      <w:marLeft w:val="0"/>
      <w:marRight w:val="0"/>
      <w:marTop w:val="0"/>
      <w:marBottom w:val="0"/>
      <w:divBdr>
        <w:top w:val="none" w:sz="0" w:space="0" w:color="auto"/>
        <w:left w:val="none" w:sz="0" w:space="0" w:color="auto"/>
        <w:bottom w:val="none" w:sz="0" w:space="0" w:color="auto"/>
        <w:right w:val="none" w:sz="0" w:space="0" w:color="auto"/>
      </w:divBdr>
    </w:div>
    <w:div w:id="979967985">
      <w:bodyDiv w:val="1"/>
      <w:marLeft w:val="0"/>
      <w:marRight w:val="0"/>
      <w:marTop w:val="0"/>
      <w:marBottom w:val="0"/>
      <w:divBdr>
        <w:top w:val="none" w:sz="0" w:space="0" w:color="auto"/>
        <w:left w:val="none" w:sz="0" w:space="0" w:color="auto"/>
        <w:bottom w:val="none" w:sz="0" w:space="0" w:color="auto"/>
        <w:right w:val="none" w:sz="0" w:space="0" w:color="auto"/>
      </w:divBdr>
    </w:div>
    <w:div w:id="1031612939">
      <w:bodyDiv w:val="1"/>
      <w:marLeft w:val="0"/>
      <w:marRight w:val="0"/>
      <w:marTop w:val="0"/>
      <w:marBottom w:val="0"/>
      <w:divBdr>
        <w:top w:val="none" w:sz="0" w:space="0" w:color="auto"/>
        <w:left w:val="none" w:sz="0" w:space="0" w:color="auto"/>
        <w:bottom w:val="none" w:sz="0" w:space="0" w:color="auto"/>
        <w:right w:val="none" w:sz="0" w:space="0" w:color="auto"/>
      </w:divBdr>
    </w:div>
    <w:div w:id="1060902331">
      <w:bodyDiv w:val="1"/>
      <w:marLeft w:val="0"/>
      <w:marRight w:val="0"/>
      <w:marTop w:val="0"/>
      <w:marBottom w:val="0"/>
      <w:divBdr>
        <w:top w:val="none" w:sz="0" w:space="0" w:color="auto"/>
        <w:left w:val="none" w:sz="0" w:space="0" w:color="auto"/>
        <w:bottom w:val="none" w:sz="0" w:space="0" w:color="auto"/>
        <w:right w:val="none" w:sz="0" w:space="0" w:color="auto"/>
      </w:divBdr>
    </w:div>
    <w:div w:id="1128009540">
      <w:bodyDiv w:val="1"/>
      <w:marLeft w:val="0"/>
      <w:marRight w:val="0"/>
      <w:marTop w:val="0"/>
      <w:marBottom w:val="0"/>
      <w:divBdr>
        <w:top w:val="none" w:sz="0" w:space="0" w:color="auto"/>
        <w:left w:val="none" w:sz="0" w:space="0" w:color="auto"/>
        <w:bottom w:val="none" w:sz="0" w:space="0" w:color="auto"/>
        <w:right w:val="none" w:sz="0" w:space="0" w:color="auto"/>
      </w:divBdr>
    </w:div>
    <w:div w:id="1145705622">
      <w:bodyDiv w:val="1"/>
      <w:marLeft w:val="0"/>
      <w:marRight w:val="0"/>
      <w:marTop w:val="0"/>
      <w:marBottom w:val="0"/>
      <w:divBdr>
        <w:top w:val="none" w:sz="0" w:space="0" w:color="auto"/>
        <w:left w:val="none" w:sz="0" w:space="0" w:color="auto"/>
        <w:bottom w:val="none" w:sz="0" w:space="0" w:color="auto"/>
        <w:right w:val="none" w:sz="0" w:space="0" w:color="auto"/>
      </w:divBdr>
    </w:div>
    <w:div w:id="1150905771">
      <w:bodyDiv w:val="1"/>
      <w:marLeft w:val="0"/>
      <w:marRight w:val="0"/>
      <w:marTop w:val="0"/>
      <w:marBottom w:val="0"/>
      <w:divBdr>
        <w:top w:val="none" w:sz="0" w:space="0" w:color="auto"/>
        <w:left w:val="none" w:sz="0" w:space="0" w:color="auto"/>
        <w:bottom w:val="none" w:sz="0" w:space="0" w:color="auto"/>
        <w:right w:val="none" w:sz="0" w:space="0" w:color="auto"/>
      </w:divBdr>
    </w:div>
    <w:div w:id="1178613342">
      <w:bodyDiv w:val="1"/>
      <w:marLeft w:val="0"/>
      <w:marRight w:val="0"/>
      <w:marTop w:val="0"/>
      <w:marBottom w:val="0"/>
      <w:divBdr>
        <w:top w:val="none" w:sz="0" w:space="0" w:color="auto"/>
        <w:left w:val="none" w:sz="0" w:space="0" w:color="auto"/>
        <w:bottom w:val="none" w:sz="0" w:space="0" w:color="auto"/>
        <w:right w:val="none" w:sz="0" w:space="0" w:color="auto"/>
      </w:divBdr>
    </w:div>
    <w:div w:id="1241674896">
      <w:bodyDiv w:val="1"/>
      <w:marLeft w:val="0"/>
      <w:marRight w:val="0"/>
      <w:marTop w:val="0"/>
      <w:marBottom w:val="0"/>
      <w:divBdr>
        <w:top w:val="none" w:sz="0" w:space="0" w:color="auto"/>
        <w:left w:val="none" w:sz="0" w:space="0" w:color="auto"/>
        <w:bottom w:val="none" w:sz="0" w:space="0" w:color="auto"/>
        <w:right w:val="none" w:sz="0" w:space="0" w:color="auto"/>
      </w:divBdr>
    </w:div>
    <w:div w:id="1287390311">
      <w:bodyDiv w:val="1"/>
      <w:marLeft w:val="0"/>
      <w:marRight w:val="0"/>
      <w:marTop w:val="0"/>
      <w:marBottom w:val="0"/>
      <w:divBdr>
        <w:top w:val="none" w:sz="0" w:space="0" w:color="auto"/>
        <w:left w:val="none" w:sz="0" w:space="0" w:color="auto"/>
        <w:bottom w:val="none" w:sz="0" w:space="0" w:color="auto"/>
        <w:right w:val="none" w:sz="0" w:space="0" w:color="auto"/>
      </w:divBdr>
    </w:div>
    <w:div w:id="1288044640">
      <w:bodyDiv w:val="1"/>
      <w:marLeft w:val="0"/>
      <w:marRight w:val="0"/>
      <w:marTop w:val="0"/>
      <w:marBottom w:val="0"/>
      <w:divBdr>
        <w:top w:val="none" w:sz="0" w:space="0" w:color="auto"/>
        <w:left w:val="none" w:sz="0" w:space="0" w:color="auto"/>
        <w:bottom w:val="none" w:sz="0" w:space="0" w:color="auto"/>
        <w:right w:val="none" w:sz="0" w:space="0" w:color="auto"/>
      </w:divBdr>
    </w:div>
    <w:div w:id="1337146499">
      <w:bodyDiv w:val="1"/>
      <w:marLeft w:val="0"/>
      <w:marRight w:val="0"/>
      <w:marTop w:val="0"/>
      <w:marBottom w:val="0"/>
      <w:divBdr>
        <w:top w:val="none" w:sz="0" w:space="0" w:color="auto"/>
        <w:left w:val="none" w:sz="0" w:space="0" w:color="auto"/>
        <w:bottom w:val="none" w:sz="0" w:space="0" w:color="auto"/>
        <w:right w:val="none" w:sz="0" w:space="0" w:color="auto"/>
      </w:divBdr>
    </w:div>
    <w:div w:id="1493327482">
      <w:bodyDiv w:val="1"/>
      <w:marLeft w:val="0"/>
      <w:marRight w:val="0"/>
      <w:marTop w:val="0"/>
      <w:marBottom w:val="0"/>
      <w:divBdr>
        <w:top w:val="none" w:sz="0" w:space="0" w:color="auto"/>
        <w:left w:val="none" w:sz="0" w:space="0" w:color="auto"/>
        <w:bottom w:val="none" w:sz="0" w:space="0" w:color="auto"/>
        <w:right w:val="none" w:sz="0" w:space="0" w:color="auto"/>
      </w:divBdr>
    </w:div>
    <w:div w:id="1597205639">
      <w:bodyDiv w:val="1"/>
      <w:marLeft w:val="0"/>
      <w:marRight w:val="0"/>
      <w:marTop w:val="0"/>
      <w:marBottom w:val="0"/>
      <w:divBdr>
        <w:top w:val="none" w:sz="0" w:space="0" w:color="auto"/>
        <w:left w:val="none" w:sz="0" w:space="0" w:color="auto"/>
        <w:bottom w:val="none" w:sz="0" w:space="0" w:color="auto"/>
        <w:right w:val="none" w:sz="0" w:space="0" w:color="auto"/>
      </w:divBdr>
    </w:div>
    <w:div w:id="1620916971">
      <w:bodyDiv w:val="1"/>
      <w:marLeft w:val="0"/>
      <w:marRight w:val="0"/>
      <w:marTop w:val="0"/>
      <w:marBottom w:val="0"/>
      <w:divBdr>
        <w:top w:val="none" w:sz="0" w:space="0" w:color="auto"/>
        <w:left w:val="none" w:sz="0" w:space="0" w:color="auto"/>
        <w:bottom w:val="none" w:sz="0" w:space="0" w:color="auto"/>
        <w:right w:val="none" w:sz="0" w:space="0" w:color="auto"/>
      </w:divBdr>
    </w:div>
    <w:div w:id="1703050559">
      <w:bodyDiv w:val="1"/>
      <w:marLeft w:val="0"/>
      <w:marRight w:val="0"/>
      <w:marTop w:val="0"/>
      <w:marBottom w:val="0"/>
      <w:divBdr>
        <w:top w:val="none" w:sz="0" w:space="0" w:color="auto"/>
        <w:left w:val="none" w:sz="0" w:space="0" w:color="auto"/>
        <w:bottom w:val="none" w:sz="0" w:space="0" w:color="auto"/>
        <w:right w:val="none" w:sz="0" w:space="0" w:color="auto"/>
      </w:divBdr>
    </w:div>
    <w:div w:id="1758553655">
      <w:bodyDiv w:val="1"/>
      <w:marLeft w:val="0"/>
      <w:marRight w:val="0"/>
      <w:marTop w:val="0"/>
      <w:marBottom w:val="0"/>
      <w:divBdr>
        <w:top w:val="none" w:sz="0" w:space="0" w:color="auto"/>
        <w:left w:val="none" w:sz="0" w:space="0" w:color="auto"/>
        <w:bottom w:val="none" w:sz="0" w:space="0" w:color="auto"/>
        <w:right w:val="none" w:sz="0" w:space="0" w:color="auto"/>
      </w:divBdr>
    </w:div>
    <w:div w:id="1847329804">
      <w:bodyDiv w:val="1"/>
      <w:marLeft w:val="0"/>
      <w:marRight w:val="0"/>
      <w:marTop w:val="0"/>
      <w:marBottom w:val="0"/>
      <w:divBdr>
        <w:top w:val="none" w:sz="0" w:space="0" w:color="auto"/>
        <w:left w:val="none" w:sz="0" w:space="0" w:color="auto"/>
        <w:bottom w:val="none" w:sz="0" w:space="0" w:color="auto"/>
        <w:right w:val="none" w:sz="0" w:space="0" w:color="auto"/>
      </w:divBdr>
    </w:div>
    <w:div w:id="1901361314">
      <w:bodyDiv w:val="1"/>
      <w:marLeft w:val="0"/>
      <w:marRight w:val="0"/>
      <w:marTop w:val="0"/>
      <w:marBottom w:val="0"/>
      <w:divBdr>
        <w:top w:val="none" w:sz="0" w:space="0" w:color="auto"/>
        <w:left w:val="none" w:sz="0" w:space="0" w:color="auto"/>
        <w:bottom w:val="none" w:sz="0" w:space="0" w:color="auto"/>
        <w:right w:val="none" w:sz="0" w:space="0" w:color="auto"/>
      </w:divBdr>
    </w:div>
    <w:div w:id="1932933392">
      <w:bodyDiv w:val="1"/>
      <w:marLeft w:val="0"/>
      <w:marRight w:val="0"/>
      <w:marTop w:val="0"/>
      <w:marBottom w:val="0"/>
      <w:divBdr>
        <w:top w:val="none" w:sz="0" w:space="0" w:color="auto"/>
        <w:left w:val="none" w:sz="0" w:space="0" w:color="auto"/>
        <w:bottom w:val="none" w:sz="0" w:space="0" w:color="auto"/>
        <w:right w:val="none" w:sz="0" w:space="0" w:color="auto"/>
      </w:divBdr>
    </w:div>
    <w:div w:id="1965966672">
      <w:bodyDiv w:val="1"/>
      <w:marLeft w:val="0"/>
      <w:marRight w:val="0"/>
      <w:marTop w:val="0"/>
      <w:marBottom w:val="0"/>
      <w:divBdr>
        <w:top w:val="none" w:sz="0" w:space="0" w:color="auto"/>
        <w:left w:val="none" w:sz="0" w:space="0" w:color="auto"/>
        <w:bottom w:val="none" w:sz="0" w:space="0" w:color="auto"/>
        <w:right w:val="none" w:sz="0" w:space="0" w:color="auto"/>
      </w:divBdr>
    </w:div>
    <w:div w:id="1967155824">
      <w:bodyDiv w:val="1"/>
      <w:marLeft w:val="0"/>
      <w:marRight w:val="0"/>
      <w:marTop w:val="0"/>
      <w:marBottom w:val="0"/>
      <w:divBdr>
        <w:top w:val="none" w:sz="0" w:space="0" w:color="auto"/>
        <w:left w:val="none" w:sz="0" w:space="0" w:color="auto"/>
        <w:bottom w:val="none" w:sz="0" w:space="0" w:color="auto"/>
        <w:right w:val="none" w:sz="0" w:space="0" w:color="auto"/>
      </w:divBdr>
    </w:div>
    <w:div w:id="1980646146">
      <w:bodyDiv w:val="1"/>
      <w:marLeft w:val="0"/>
      <w:marRight w:val="0"/>
      <w:marTop w:val="0"/>
      <w:marBottom w:val="0"/>
      <w:divBdr>
        <w:top w:val="none" w:sz="0" w:space="0" w:color="auto"/>
        <w:left w:val="none" w:sz="0" w:space="0" w:color="auto"/>
        <w:bottom w:val="none" w:sz="0" w:space="0" w:color="auto"/>
        <w:right w:val="none" w:sz="0" w:space="0" w:color="auto"/>
      </w:divBdr>
    </w:div>
    <w:div w:id="2067951038">
      <w:bodyDiv w:val="1"/>
      <w:marLeft w:val="0"/>
      <w:marRight w:val="0"/>
      <w:marTop w:val="0"/>
      <w:marBottom w:val="0"/>
      <w:divBdr>
        <w:top w:val="none" w:sz="0" w:space="0" w:color="auto"/>
        <w:left w:val="none" w:sz="0" w:space="0" w:color="auto"/>
        <w:bottom w:val="none" w:sz="0" w:space="0" w:color="auto"/>
        <w:right w:val="none" w:sz="0" w:space="0" w:color="auto"/>
      </w:divBdr>
    </w:div>
    <w:div w:id="2099712417">
      <w:bodyDiv w:val="1"/>
      <w:marLeft w:val="0"/>
      <w:marRight w:val="0"/>
      <w:marTop w:val="0"/>
      <w:marBottom w:val="0"/>
      <w:divBdr>
        <w:top w:val="none" w:sz="0" w:space="0" w:color="auto"/>
        <w:left w:val="none" w:sz="0" w:space="0" w:color="auto"/>
        <w:bottom w:val="none" w:sz="0" w:space="0" w:color="auto"/>
        <w:right w:val="none" w:sz="0" w:space="0" w:color="auto"/>
      </w:divBdr>
    </w:div>
    <w:div w:id="2105612137">
      <w:bodyDiv w:val="1"/>
      <w:marLeft w:val="0"/>
      <w:marRight w:val="0"/>
      <w:marTop w:val="0"/>
      <w:marBottom w:val="0"/>
      <w:divBdr>
        <w:top w:val="none" w:sz="0" w:space="0" w:color="auto"/>
        <w:left w:val="none" w:sz="0" w:space="0" w:color="auto"/>
        <w:bottom w:val="none" w:sz="0" w:space="0" w:color="auto"/>
        <w:right w:val="none" w:sz="0" w:space="0" w:color="auto"/>
      </w:divBdr>
    </w:div>
    <w:div w:id="2110000357">
      <w:bodyDiv w:val="1"/>
      <w:marLeft w:val="0"/>
      <w:marRight w:val="0"/>
      <w:marTop w:val="0"/>
      <w:marBottom w:val="0"/>
      <w:divBdr>
        <w:top w:val="none" w:sz="0" w:space="0" w:color="auto"/>
        <w:left w:val="none" w:sz="0" w:space="0" w:color="auto"/>
        <w:bottom w:val="none" w:sz="0" w:space="0" w:color="auto"/>
        <w:right w:val="none" w:sz="0" w:space="0" w:color="auto"/>
      </w:divBdr>
    </w:div>
    <w:div w:id="2118871477">
      <w:bodyDiv w:val="1"/>
      <w:marLeft w:val="0"/>
      <w:marRight w:val="0"/>
      <w:marTop w:val="0"/>
      <w:marBottom w:val="0"/>
      <w:divBdr>
        <w:top w:val="none" w:sz="0" w:space="0" w:color="auto"/>
        <w:left w:val="none" w:sz="0" w:space="0" w:color="auto"/>
        <w:bottom w:val="none" w:sz="0" w:space="0" w:color="auto"/>
        <w:right w:val="none" w:sz="0" w:space="0" w:color="auto"/>
      </w:divBdr>
    </w:div>
    <w:div w:id="21231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page.org/news/sum-up-page-at-cop1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n-page.org/news/page-at-cop29-a-just-transition-for-bold-climate-measures/"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un-page.org%2Fnews%2Findonesias-new-journey-towards-a-low-carbon-job-rich-and-socially-inclusive-economy%2F&amp;data=05%7C02%7Cnataly.olofinskaya%40undp.org%7C141b62a145c04176468308dd146a7d1d%7Cb3e5db5e2944483799f57488ace54319%7C0%7C0%7C638689172860012479%7CUnknown%7CTWFpbGZsb3d8eyJFbXB0eU1hcGkiOnRydWUsIlYiOiIwLjAuMDAwMCIsIlAiOiJXaW4zMiIsIkFOIjoiTWFpbCIsIldUIjoyfQ%3D%3D%7C0%7C%7C%7C&amp;sdata=3VNeKJGLW%2B6%2BIR9BZ9yJCjcahbT0sE6tVaAHGsa1gcs%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ur03.safelinks.protection.outlook.com/?url=https%3A%2F%2Fwww.undp.org%2Fes%2Fargentina%2Fpublicaciones%2Fguia-metodologica-promocion-de-la-vivienda-sustentable-mediante-esquemas-novedosos-de-financiamiento-traves-de-la-emision-de&amp;data=05%7C02%7Cnataly.olofinskaya%40undp.org%7Ce2f5f8f9efcd41c3ccc808dd4255e79c%7Cb3e5db5e2944483799f57488ace54319%7C0%7C0%7C638739658895226395%7CUnknown%7CTWFpbGZsb3d8eyJFbXB0eU1hcGkiOnRydWUsIlYiOiIwLjAuMDAwMCIsIlAiOiJXaW4zMiIsIkFOIjoiTWFpbCIsIldUIjoyfQ%3D%3D%7C0%7C%7C%7C&amp;sdata=lGsIbgKRQzLF6lqs%2FQJ0ErjpzkOjPxFU0Oeg5aen0Vc%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undp.org%2Fes%2Fargentina%2Fpublicaciones%2Ffinanzas-sostenibles-en-argentina-desarrollo-de-instrumentos-financieros-para-el-despegue&amp;data=05%7C02%7Cnataly.olofinskaya%40undp.org%7Ce2f5f8f9efcd41c3ccc808dd4255e79c%7Cb3e5db5e2944483799f57488ace54319%7C0%7C0%7C638739658895203805%7CUnknown%7CTWFpbGZsb3d8eyJFbXB0eU1hcGkiOnRydWUsIlYiOiIwLjAuMDAwMCIsIlAiOiJXaW4zMiIsIkFOIjoiTWFpbCIsIldUIjoyfQ%3D%3D%7C0%7C%7C%7C&amp;sdata=LeUGqj6s3QOVqrJ7XTKYnu9R192MPlaftwBB07hGgN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yousif.almasri@undp.org</UploadedBy>
    <Classification xmlns="b1528a4b-5ccb-40f7-a09e-43427183cd95">External</Classification>
    <FormCode xmlns="b1528a4b-5ccb-40f7-a09e-43427183cd95" xsi:nil="true"/>
    <FundId xmlns="f9695bc1-6109-4dcd-a27a-f8a0370b00e2">149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MPTF_00145_00003</ProjectId>
    <FundCode xmlns="f9695bc1-6109-4dcd-a27a-f8a0370b00e2">MPTF_00145</FundCode>
    <Comments xmlns="f9695bc1-6109-4dcd-a27a-f8a0370b00e2" xsi:nil="true"/>
    <Active xmlns="f9695bc1-6109-4dcd-a27a-f8a0370b00e2">Yes</Active>
    <DocumentDate xmlns="b1528a4b-5ccb-40f7-a09e-43427183cd95">2024-12-31T08:00:00+00:00</DocumentDate>
    <Featured xmlns="b1528a4b-5ccb-40f7-a09e-43427183cd95">1</Featured>
    <FormTypeCode xmlns="b1528a4b-5ccb-40f7-a09e-43427183cd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6A885-E03A-4FF3-A477-A76E56D3735E}">
  <ds:schemaRefs>
    <ds:schemaRef ds:uri="http://schemas.openxmlformats.org/officeDocument/2006/bibliography"/>
  </ds:schemaRefs>
</ds:datastoreItem>
</file>

<file path=customXml/itemProps2.xml><?xml version="1.0" encoding="utf-8"?>
<ds:datastoreItem xmlns:ds="http://schemas.openxmlformats.org/officeDocument/2006/customXml" ds:itemID="{7F019BF6-7303-4F0F-9E8A-7EF2D16F3798}">
  <ds:schemaRefs>
    <ds:schemaRef ds:uri="http://schemas.microsoft.com/office/2006/metadata/properties"/>
    <ds:schemaRef ds:uri="http://schemas.microsoft.com/office/infopath/2007/PartnerControls"/>
    <ds:schemaRef ds:uri="9d6f334d-024c-4d4b-9e2b-61ffaa0113e1"/>
    <ds:schemaRef ds:uri="985ec44e-1bab-4c0b-9df0-6ba128686fc9"/>
  </ds:schemaRefs>
</ds:datastoreItem>
</file>

<file path=customXml/itemProps3.xml><?xml version="1.0" encoding="utf-8"?>
<ds:datastoreItem xmlns:ds="http://schemas.openxmlformats.org/officeDocument/2006/customXml" ds:itemID="{56F77F09-98CE-4895-9CD7-8474AF71B01E}"/>
</file>

<file path=customXml/itemProps4.xml><?xml version="1.0" encoding="utf-8"?>
<ds:datastoreItem xmlns:ds="http://schemas.openxmlformats.org/officeDocument/2006/customXml" ds:itemID="{7F67E3D6-4A9D-455E-A16F-34B148949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10135</Words>
  <Characters>57773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Narrative report 2024_UNDP_MPTF_final_clean.docx</dc:title>
  <dc:subject/>
  <dc:creator>Mitsy Jean-Louis</dc:creator>
  <cp:keywords/>
  <dc:description/>
  <cp:lastModifiedBy>Nataly Olofinskaya</cp:lastModifiedBy>
  <cp:revision>8</cp:revision>
  <cp:lastPrinted>2018-03-12T19:37:00Z</cp:lastPrinted>
  <dcterms:created xsi:type="dcterms:W3CDTF">2025-04-04T06:18:00Z</dcterms:created>
  <dcterms:modified xsi:type="dcterms:W3CDTF">2025-04-04T06:24:00Z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